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4A75" w14:textId="2EFB12DE" w:rsidR="009C2B77" w:rsidRPr="005303F7" w:rsidRDefault="002162D9" w:rsidP="009C2B77">
      <w:pPr>
        <w:rPr>
          <w:rFonts w:ascii="Times New Roman" w:hAnsi="Times New Roman"/>
          <w:sz w:val="24"/>
          <w:lang w:val="sr-Cyrl-CS"/>
        </w:rPr>
      </w:pPr>
      <w:bookmarkStart w:id="0" w:name="_Hlk26796535"/>
      <w:r w:rsidRPr="005303F7">
        <w:rPr>
          <w:rFonts w:ascii="Times New Roman" w:hAnsi="Times New Roman"/>
          <w:sz w:val="24"/>
          <w:lang w:val="sr-Cyrl-CS"/>
        </w:rPr>
        <w:t xml:space="preserve">            </w:t>
      </w:r>
      <w:r w:rsidR="003A5D08" w:rsidRPr="005303F7">
        <w:rPr>
          <w:rFonts w:ascii="Times New Roman" w:hAnsi="Times New Roman"/>
          <w:sz w:val="24"/>
          <w:lang w:val="sr-Cyrl-CS"/>
        </w:rPr>
        <w:t>На</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основу</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члана</w:t>
      </w:r>
      <w:r w:rsidR="009C2B77" w:rsidRPr="005303F7">
        <w:rPr>
          <w:rFonts w:ascii="Times New Roman" w:hAnsi="Times New Roman"/>
          <w:sz w:val="24"/>
          <w:lang w:val="sr-Cyrl-CS"/>
        </w:rPr>
        <w:t xml:space="preserve"> </w:t>
      </w:r>
      <w:r w:rsidR="00C06124" w:rsidRPr="005303F7">
        <w:rPr>
          <w:rFonts w:ascii="Times New Roman" w:hAnsi="Times New Roman"/>
          <w:sz w:val="24"/>
          <w:lang w:val="sr-Cyrl-CS"/>
        </w:rPr>
        <w:t>7</w:t>
      </w:r>
      <w:r w:rsidR="004015AD" w:rsidRPr="005303F7">
        <w:rPr>
          <w:rFonts w:ascii="Times New Roman" w:hAnsi="Times New Roman"/>
          <w:sz w:val="24"/>
          <w:lang w:val="sr-Cyrl-CS"/>
        </w:rPr>
        <w:t>.</w:t>
      </w:r>
      <w:r w:rsidR="00C06124" w:rsidRPr="005303F7">
        <w:rPr>
          <w:rFonts w:ascii="Times New Roman" w:hAnsi="Times New Roman"/>
          <w:sz w:val="24"/>
          <w:lang w:val="sr-Cyrl-CS"/>
        </w:rPr>
        <w:t xml:space="preserve"> </w:t>
      </w:r>
      <w:r w:rsidR="00583CA3" w:rsidRPr="005303F7">
        <w:rPr>
          <w:rFonts w:ascii="Times New Roman" w:hAnsi="Times New Roman"/>
          <w:sz w:val="24"/>
          <w:lang w:val="sr-Cyrl-CS"/>
        </w:rPr>
        <w:t>став 3</w:t>
      </w:r>
      <w:r w:rsidR="002948E9" w:rsidRPr="005303F7">
        <w:rPr>
          <w:rFonts w:ascii="Times New Roman" w:hAnsi="Times New Roman"/>
          <w:sz w:val="24"/>
          <w:lang w:val="sr-Cyrl-CS"/>
        </w:rPr>
        <w:t>.</w:t>
      </w:r>
      <w:r w:rsidR="00C06124" w:rsidRPr="005303F7">
        <w:rPr>
          <w:rFonts w:ascii="Times New Roman" w:hAnsi="Times New Roman"/>
          <w:sz w:val="24"/>
          <w:lang w:val="sr-Cyrl-CS"/>
        </w:rPr>
        <w:t xml:space="preserve"> Закона о климатским промена</w:t>
      </w:r>
      <w:r w:rsidR="009711BD" w:rsidRPr="005303F7">
        <w:rPr>
          <w:rFonts w:ascii="Times New Roman" w:hAnsi="Times New Roman"/>
          <w:sz w:val="24"/>
          <w:lang w:val="sr-Cyrl-CS"/>
        </w:rPr>
        <w:t xml:space="preserve">ма („Службени гласник РСˮ, </w:t>
      </w:r>
      <w:r w:rsidR="00C06124" w:rsidRPr="005303F7">
        <w:rPr>
          <w:rFonts w:ascii="Times New Roman" w:hAnsi="Times New Roman"/>
          <w:sz w:val="24"/>
          <w:lang w:val="sr-Cyrl-CS"/>
        </w:rPr>
        <w:t>број 26/21)</w:t>
      </w:r>
      <w:r w:rsidR="0012356E" w:rsidRPr="005303F7">
        <w:rPr>
          <w:rFonts w:ascii="Times New Roman" w:hAnsi="Times New Roman"/>
          <w:sz w:val="24"/>
          <w:lang w:val="sr-Cyrl-CS"/>
        </w:rPr>
        <w:t xml:space="preserve">, </w:t>
      </w:r>
      <w:r w:rsidR="00C06124" w:rsidRPr="005303F7">
        <w:rPr>
          <w:rFonts w:ascii="Times New Roman" w:hAnsi="Times New Roman"/>
          <w:sz w:val="24"/>
          <w:lang w:val="sr-Cyrl-CS"/>
        </w:rPr>
        <w:t>чл</w:t>
      </w:r>
      <w:r w:rsidR="002C168F" w:rsidRPr="005303F7">
        <w:rPr>
          <w:rFonts w:ascii="Times New Roman" w:hAnsi="Times New Roman"/>
          <w:sz w:val="24"/>
          <w:lang w:val="sr-Cyrl-CS"/>
        </w:rPr>
        <w:t>.</w:t>
      </w:r>
      <w:r w:rsidR="00C06124" w:rsidRPr="005303F7">
        <w:rPr>
          <w:rFonts w:ascii="Times New Roman" w:hAnsi="Times New Roman"/>
          <w:sz w:val="24"/>
          <w:lang w:val="sr-Cyrl-CS"/>
        </w:rPr>
        <w:t xml:space="preserve"> </w:t>
      </w:r>
      <w:r w:rsidR="00652668" w:rsidRPr="005303F7">
        <w:rPr>
          <w:rFonts w:ascii="Times New Roman" w:hAnsi="Times New Roman"/>
          <w:sz w:val="24"/>
          <w:lang w:val="sr-Cyrl-CS"/>
        </w:rPr>
        <w:t>38</w:t>
      </w:r>
      <w:r w:rsidR="009C2B77" w:rsidRPr="005303F7">
        <w:rPr>
          <w:rFonts w:ascii="Times New Roman" w:hAnsi="Times New Roman"/>
          <w:sz w:val="24"/>
          <w:lang w:val="sr-Cyrl-CS"/>
        </w:rPr>
        <w:t>.</w:t>
      </w:r>
      <w:r w:rsidR="002C168F" w:rsidRPr="005303F7">
        <w:rPr>
          <w:rFonts w:ascii="Times New Roman" w:hAnsi="Times New Roman"/>
          <w:sz w:val="24"/>
          <w:lang w:val="sr-Cyrl-CS"/>
        </w:rPr>
        <w:t xml:space="preserve"> и 50.</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Закона</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о</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планском</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систему</w:t>
      </w:r>
      <w:r w:rsidR="009C2B77" w:rsidRPr="005303F7">
        <w:rPr>
          <w:rFonts w:ascii="Times New Roman" w:hAnsi="Times New Roman"/>
          <w:sz w:val="24"/>
          <w:lang w:val="sr-Cyrl-CS"/>
        </w:rPr>
        <w:t xml:space="preserve"> </w:t>
      </w:r>
      <w:r w:rsidR="00D73AAB" w:rsidRPr="005303F7">
        <w:rPr>
          <w:rFonts w:ascii="Times New Roman" w:hAnsi="Times New Roman"/>
          <w:sz w:val="24"/>
          <w:lang w:val="sr-Cyrl-CS"/>
        </w:rPr>
        <w:t>Републике Србије</w:t>
      </w:r>
      <w:r w:rsidR="009C2B77" w:rsidRPr="005303F7">
        <w:rPr>
          <w:rFonts w:ascii="Times New Roman" w:hAnsi="Times New Roman"/>
          <w:sz w:val="24"/>
          <w:lang w:val="sr-Cyrl-CS"/>
        </w:rPr>
        <w:t xml:space="preserve"> (</w:t>
      </w:r>
      <w:r w:rsidR="00F509F7" w:rsidRPr="005303F7">
        <w:rPr>
          <w:rFonts w:ascii="Times New Roman" w:hAnsi="Times New Roman"/>
          <w:sz w:val="24"/>
          <w:lang w:val="sr-Cyrl-CS"/>
        </w:rPr>
        <w:t>„</w:t>
      </w:r>
      <w:r w:rsidR="003A5D08" w:rsidRPr="005303F7">
        <w:rPr>
          <w:rFonts w:ascii="Times New Roman" w:hAnsi="Times New Roman"/>
          <w:sz w:val="24"/>
          <w:lang w:val="sr-Cyrl-CS"/>
        </w:rPr>
        <w:t>Сл</w:t>
      </w:r>
      <w:r w:rsidR="00F509F7" w:rsidRPr="005303F7">
        <w:rPr>
          <w:rFonts w:ascii="Times New Roman" w:hAnsi="Times New Roman"/>
          <w:sz w:val="24"/>
          <w:lang w:val="sr-Cyrl-CS"/>
        </w:rPr>
        <w:t>ужбени</w:t>
      </w:r>
      <w:r w:rsidR="009C2B77" w:rsidRPr="005303F7">
        <w:rPr>
          <w:rFonts w:ascii="Times New Roman" w:hAnsi="Times New Roman"/>
          <w:sz w:val="24"/>
          <w:lang w:val="sr-Cyrl-CS"/>
        </w:rPr>
        <w:t xml:space="preserve"> </w:t>
      </w:r>
      <w:r w:rsidR="00F509F7" w:rsidRPr="005303F7">
        <w:rPr>
          <w:rFonts w:ascii="Times New Roman" w:hAnsi="Times New Roman"/>
          <w:sz w:val="24"/>
          <w:lang w:val="sr-Cyrl-CS"/>
        </w:rPr>
        <w:t>г</w:t>
      </w:r>
      <w:r w:rsidR="003A5D08" w:rsidRPr="005303F7">
        <w:rPr>
          <w:rFonts w:ascii="Times New Roman" w:hAnsi="Times New Roman"/>
          <w:sz w:val="24"/>
          <w:lang w:val="sr-Cyrl-CS"/>
        </w:rPr>
        <w:t>ласник</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РС</w:t>
      </w:r>
      <w:r w:rsidR="00F509F7" w:rsidRPr="005303F7">
        <w:rPr>
          <w:rFonts w:ascii="Times New Roman" w:hAnsi="Times New Roman"/>
          <w:sz w:val="24"/>
          <w:lang w:val="sr-Cyrl-CS"/>
        </w:rPr>
        <w:t>ˮ</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бр</w:t>
      </w:r>
      <w:r w:rsidR="00F509F7" w:rsidRPr="005303F7">
        <w:rPr>
          <w:rFonts w:ascii="Times New Roman" w:hAnsi="Times New Roman"/>
          <w:sz w:val="24"/>
          <w:lang w:val="sr-Cyrl-CS"/>
        </w:rPr>
        <w:t>ој</w:t>
      </w:r>
      <w:r w:rsidR="009C2B77" w:rsidRPr="005303F7">
        <w:rPr>
          <w:rFonts w:ascii="Times New Roman" w:hAnsi="Times New Roman"/>
          <w:sz w:val="24"/>
          <w:lang w:val="sr-Cyrl-CS"/>
        </w:rPr>
        <w:t xml:space="preserve"> 30/18) </w:t>
      </w:r>
      <w:r w:rsidR="003A5D08" w:rsidRPr="005303F7">
        <w:rPr>
          <w:rFonts w:ascii="Times New Roman" w:hAnsi="Times New Roman"/>
          <w:sz w:val="24"/>
          <w:lang w:val="sr-Cyrl-CS"/>
        </w:rPr>
        <w:t>и</w:t>
      </w:r>
      <w:r w:rsidR="00752D6C" w:rsidRPr="005303F7">
        <w:rPr>
          <w:rFonts w:ascii="Times New Roman" w:hAnsi="Times New Roman"/>
          <w:sz w:val="24"/>
          <w:lang w:val="sr-Cyrl-CS"/>
        </w:rPr>
        <w:t xml:space="preserve"> члана 4.</w:t>
      </w:r>
      <w:r w:rsidR="00F509F7" w:rsidRPr="005303F7">
        <w:rPr>
          <w:rFonts w:ascii="Times New Roman" w:hAnsi="Times New Roman"/>
          <w:sz w:val="24"/>
          <w:lang w:val="sr-Cyrl-CS"/>
        </w:rPr>
        <w:t xml:space="preserve"> став</w:t>
      </w:r>
      <w:r w:rsidR="00752D6C" w:rsidRPr="005303F7">
        <w:rPr>
          <w:rFonts w:ascii="Times New Roman" w:hAnsi="Times New Roman"/>
          <w:sz w:val="24"/>
          <w:lang w:val="sr-Cyrl-CS"/>
        </w:rPr>
        <w:t xml:space="preserve"> 19.</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Закона</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о</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потврђивању</w:t>
      </w:r>
      <w:r w:rsidR="009C2B77" w:rsidRPr="005303F7">
        <w:rPr>
          <w:rFonts w:ascii="Times New Roman" w:hAnsi="Times New Roman"/>
          <w:sz w:val="24"/>
          <w:lang w:val="sr-Cyrl-CS"/>
        </w:rPr>
        <w:t xml:space="preserve"> </w:t>
      </w:r>
      <w:r w:rsidR="00AE7330" w:rsidRPr="005303F7">
        <w:rPr>
          <w:rFonts w:ascii="Times New Roman" w:hAnsi="Times New Roman"/>
          <w:sz w:val="24"/>
          <w:lang w:val="sr-Cyrl-CS"/>
        </w:rPr>
        <w:t>С</w:t>
      </w:r>
      <w:r w:rsidR="003A5D08" w:rsidRPr="005303F7">
        <w:rPr>
          <w:rFonts w:ascii="Times New Roman" w:hAnsi="Times New Roman"/>
          <w:sz w:val="24"/>
          <w:lang w:val="sr-Cyrl-CS"/>
        </w:rPr>
        <w:t>поразума</w:t>
      </w:r>
      <w:r w:rsidR="00AE7330" w:rsidRPr="005303F7">
        <w:rPr>
          <w:rFonts w:ascii="Times New Roman" w:hAnsi="Times New Roman"/>
          <w:sz w:val="24"/>
          <w:lang w:val="sr-Cyrl-CS"/>
        </w:rPr>
        <w:t xml:space="preserve"> из Париза</w:t>
      </w:r>
      <w:r w:rsidR="009C2B77" w:rsidRPr="005303F7">
        <w:rPr>
          <w:rFonts w:ascii="Times New Roman" w:hAnsi="Times New Roman"/>
          <w:sz w:val="24"/>
          <w:lang w:val="sr-Cyrl-CS"/>
        </w:rPr>
        <w:t xml:space="preserve"> (</w:t>
      </w:r>
      <w:r w:rsidR="00F509F7" w:rsidRPr="005303F7">
        <w:rPr>
          <w:rFonts w:ascii="Times New Roman" w:hAnsi="Times New Roman"/>
          <w:sz w:val="24"/>
          <w:lang w:val="sr-Cyrl-CS"/>
        </w:rPr>
        <w:t>„</w:t>
      </w:r>
      <w:r w:rsidR="003A5D08" w:rsidRPr="005303F7">
        <w:rPr>
          <w:rFonts w:ascii="Times New Roman" w:hAnsi="Times New Roman"/>
          <w:sz w:val="24"/>
          <w:lang w:val="sr-Cyrl-CS"/>
        </w:rPr>
        <w:t>Сл</w:t>
      </w:r>
      <w:r w:rsidR="00F509F7" w:rsidRPr="005303F7">
        <w:rPr>
          <w:rFonts w:ascii="Times New Roman" w:hAnsi="Times New Roman"/>
          <w:sz w:val="24"/>
          <w:lang w:val="sr-Cyrl-CS"/>
        </w:rPr>
        <w:t>ужбени</w:t>
      </w:r>
      <w:r w:rsidR="009C2B77" w:rsidRPr="005303F7">
        <w:rPr>
          <w:rFonts w:ascii="Times New Roman" w:hAnsi="Times New Roman"/>
          <w:sz w:val="24"/>
          <w:lang w:val="sr-Cyrl-CS"/>
        </w:rPr>
        <w:t xml:space="preserve"> </w:t>
      </w:r>
      <w:r w:rsidR="00F509F7" w:rsidRPr="005303F7">
        <w:rPr>
          <w:rFonts w:ascii="Times New Roman" w:hAnsi="Times New Roman"/>
          <w:sz w:val="24"/>
          <w:lang w:val="sr-Cyrl-CS"/>
        </w:rPr>
        <w:t>г</w:t>
      </w:r>
      <w:r w:rsidR="003A5D08" w:rsidRPr="005303F7">
        <w:rPr>
          <w:rFonts w:ascii="Times New Roman" w:hAnsi="Times New Roman"/>
          <w:sz w:val="24"/>
          <w:lang w:val="sr-Cyrl-CS"/>
        </w:rPr>
        <w:t>ласник</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РС</w:t>
      </w:r>
      <w:r w:rsidR="009C2B77" w:rsidRPr="005303F7">
        <w:rPr>
          <w:rFonts w:ascii="Times New Roman" w:hAnsi="Times New Roman"/>
          <w:sz w:val="24"/>
          <w:lang w:val="sr-Cyrl-CS"/>
        </w:rPr>
        <w:t xml:space="preserve"> - </w:t>
      </w:r>
      <w:r w:rsidR="003A5D08" w:rsidRPr="005303F7">
        <w:rPr>
          <w:rFonts w:ascii="Times New Roman" w:hAnsi="Times New Roman"/>
          <w:sz w:val="24"/>
          <w:lang w:val="sr-Cyrl-CS"/>
        </w:rPr>
        <w:t>Међународни</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уговори</w:t>
      </w:r>
      <w:r w:rsidR="00F509F7" w:rsidRPr="005303F7">
        <w:rPr>
          <w:rFonts w:ascii="Times New Roman" w:hAnsi="Times New Roman"/>
          <w:sz w:val="24"/>
          <w:lang w:val="sr-Cyrl-CS"/>
        </w:rPr>
        <w:t>ˮ</w:t>
      </w:r>
      <w:r w:rsidR="002C168F" w:rsidRPr="005303F7">
        <w:rPr>
          <w:rFonts w:ascii="Times New Roman" w:hAnsi="Times New Roman"/>
          <w:sz w:val="24"/>
          <w:lang w:val="sr-Cyrl-CS"/>
        </w:rPr>
        <w:t>,</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бр</w:t>
      </w:r>
      <w:r w:rsidR="00CC23DB" w:rsidRPr="005303F7">
        <w:rPr>
          <w:rFonts w:ascii="Times New Roman" w:hAnsi="Times New Roman"/>
          <w:sz w:val="24"/>
          <w:lang w:val="sr-Cyrl-CS"/>
        </w:rPr>
        <w:t>ој</w:t>
      </w:r>
      <w:r w:rsidR="009C2B77" w:rsidRPr="005303F7">
        <w:rPr>
          <w:rFonts w:ascii="Times New Roman" w:hAnsi="Times New Roman"/>
          <w:sz w:val="24"/>
          <w:lang w:val="sr-Cyrl-CS"/>
        </w:rPr>
        <w:t xml:space="preserve"> 4/17),</w:t>
      </w:r>
    </w:p>
    <w:p w14:paraId="07AB56C5" w14:textId="7C4CE4D0" w:rsidR="002162D9" w:rsidRPr="005303F7" w:rsidRDefault="002162D9" w:rsidP="009C2B77">
      <w:pPr>
        <w:rPr>
          <w:rFonts w:ascii="Times New Roman" w:hAnsi="Times New Roman"/>
          <w:sz w:val="24"/>
          <w:lang w:val="sr-Cyrl-CS"/>
        </w:rPr>
      </w:pPr>
    </w:p>
    <w:p w14:paraId="402C2446" w14:textId="4E3BE3D0" w:rsidR="009C2B77" w:rsidRPr="005303F7" w:rsidRDefault="002162D9" w:rsidP="009C2B77">
      <w:pPr>
        <w:rPr>
          <w:rFonts w:ascii="Times New Roman" w:hAnsi="Times New Roman"/>
          <w:sz w:val="24"/>
          <w:lang w:val="sr-Cyrl-CS"/>
        </w:rPr>
      </w:pPr>
      <w:r w:rsidRPr="005303F7">
        <w:rPr>
          <w:rFonts w:ascii="Times New Roman" w:hAnsi="Times New Roman"/>
          <w:sz w:val="24"/>
          <w:lang w:val="sr-Cyrl-CS"/>
        </w:rPr>
        <w:t xml:space="preserve">            </w:t>
      </w:r>
      <w:r w:rsidR="003A5D08" w:rsidRPr="005303F7">
        <w:rPr>
          <w:rFonts w:ascii="Times New Roman" w:hAnsi="Times New Roman"/>
          <w:sz w:val="24"/>
          <w:lang w:val="sr-Cyrl-CS"/>
        </w:rPr>
        <w:t>Влада</w:t>
      </w:r>
      <w:r w:rsidR="009C2B77" w:rsidRPr="005303F7">
        <w:rPr>
          <w:rFonts w:ascii="Times New Roman" w:hAnsi="Times New Roman"/>
          <w:sz w:val="24"/>
          <w:lang w:val="sr-Cyrl-CS"/>
        </w:rPr>
        <w:t xml:space="preserve"> </w:t>
      </w:r>
      <w:r w:rsidR="002C168F" w:rsidRPr="005303F7">
        <w:rPr>
          <w:rFonts w:ascii="Times New Roman" w:hAnsi="Times New Roman"/>
          <w:sz w:val="24"/>
          <w:lang w:val="sr-Cyrl-CS"/>
        </w:rPr>
        <w:t>доноси</w:t>
      </w:r>
    </w:p>
    <w:p w14:paraId="3D4B0A4D" w14:textId="7396A33B" w:rsidR="008F31A7" w:rsidRPr="005303F7" w:rsidRDefault="008F31A7" w:rsidP="008F31A7">
      <w:pPr>
        <w:rPr>
          <w:rFonts w:ascii="Times New Roman" w:hAnsi="Times New Roman"/>
          <w:lang w:val="sr-Cyrl-CS"/>
        </w:rPr>
      </w:pPr>
    </w:p>
    <w:p w14:paraId="440BEA27" w14:textId="77777777" w:rsidR="004517B1" w:rsidRPr="005303F7" w:rsidRDefault="003A5D08" w:rsidP="000F528D">
      <w:pPr>
        <w:jc w:val="center"/>
        <w:rPr>
          <w:rFonts w:ascii="Times New Roman" w:hAnsi="Times New Roman"/>
          <w:bCs/>
          <w:sz w:val="24"/>
          <w:szCs w:val="24"/>
          <w:lang w:val="sr-Cyrl-CS"/>
        </w:rPr>
      </w:pPr>
      <w:r w:rsidRPr="005303F7">
        <w:rPr>
          <w:rFonts w:ascii="Times New Roman" w:hAnsi="Times New Roman"/>
          <w:bCs/>
          <w:sz w:val="24"/>
          <w:szCs w:val="24"/>
          <w:lang w:val="sr-Cyrl-CS"/>
        </w:rPr>
        <w:t>СТРАТЕГИЈУ</w:t>
      </w:r>
      <w:r w:rsidR="009C2B77" w:rsidRPr="005303F7">
        <w:rPr>
          <w:rFonts w:ascii="Times New Roman" w:hAnsi="Times New Roman"/>
          <w:bCs/>
          <w:sz w:val="24"/>
          <w:szCs w:val="24"/>
          <w:lang w:val="sr-Cyrl-CS"/>
        </w:rPr>
        <w:t xml:space="preserve"> </w:t>
      </w:r>
    </w:p>
    <w:p w14:paraId="1314AD0F" w14:textId="757C7E73" w:rsidR="009C2B77" w:rsidRPr="005303F7" w:rsidRDefault="003A5D08" w:rsidP="000F528D">
      <w:pPr>
        <w:jc w:val="center"/>
        <w:rPr>
          <w:rFonts w:ascii="Times New Roman" w:hAnsi="Times New Roman"/>
          <w:bCs/>
          <w:sz w:val="24"/>
          <w:szCs w:val="24"/>
          <w:lang w:val="sr-Cyrl-CS"/>
        </w:rPr>
      </w:pPr>
      <w:r w:rsidRPr="005303F7">
        <w:rPr>
          <w:rFonts w:ascii="Times New Roman" w:hAnsi="Times New Roman"/>
          <w:bCs/>
          <w:sz w:val="24"/>
          <w:szCs w:val="24"/>
          <w:lang w:val="sr-Cyrl-CS"/>
        </w:rPr>
        <w:t>НИСКОУГ</w:t>
      </w:r>
      <w:r w:rsidR="0070650E" w:rsidRPr="005303F7">
        <w:rPr>
          <w:rFonts w:ascii="Times New Roman" w:hAnsi="Times New Roman"/>
          <w:bCs/>
          <w:sz w:val="24"/>
          <w:szCs w:val="24"/>
          <w:lang w:val="sr-Cyrl-CS"/>
        </w:rPr>
        <w:t>Љ</w:t>
      </w:r>
      <w:r w:rsidRPr="005303F7">
        <w:rPr>
          <w:rFonts w:ascii="Times New Roman" w:hAnsi="Times New Roman"/>
          <w:bCs/>
          <w:sz w:val="24"/>
          <w:szCs w:val="24"/>
          <w:lang w:val="sr-Cyrl-CS"/>
        </w:rPr>
        <w:t>ЕНИЧНОГ</w:t>
      </w:r>
      <w:r w:rsidR="00CA0690" w:rsidRPr="005303F7">
        <w:rPr>
          <w:rFonts w:ascii="Times New Roman" w:hAnsi="Times New Roman"/>
          <w:bCs/>
          <w:sz w:val="24"/>
          <w:szCs w:val="24"/>
          <w:lang w:val="sr-Cyrl-CS"/>
        </w:rPr>
        <w:t xml:space="preserve"> </w:t>
      </w:r>
      <w:r w:rsidRPr="005303F7">
        <w:rPr>
          <w:rFonts w:ascii="Times New Roman" w:hAnsi="Times New Roman"/>
          <w:bCs/>
          <w:sz w:val="24"/>
          <w:szCs w:val="24"/>
          <w:lang w:val="sr-Cyrl-CS"/>
        </w:rPr>
        <w:t>РАЗВОЈА</w:t>
      </w:r>
      <w:r w:rsidR="00AF24E8" w:rsidRPr="005303F7">
        <w:rPr>
          <w:rFonts w:ascii="Times New Roman" w:hAnsi="Times New Roman"/>
          <w:bCs/>
          <w:sz w:val="24"/>
          <w:szCs w:val="24"/>
          <w:lang w:val="sr-Cyrl-CS"/>
        </w:rPr>
        <w:t xml:space="preserve"> </w:t>
      </w:r>
      <w:r w:rsidR="00D73AAB" w:rsidRPr="005303F7">
        <w:rPr>
          <w:rFonts w:ascii="Times New Roman" w:hAnsi="Times New Roman"/>
          <w:bCs/>
          <w:sz w:val="24"/>
          <w:szCs w:val="24"/>
          <w:lang w:val="sr-Cyrl-CS"/>
        </w:rPr>
        <w:t>РЕПУБЛИКЕ СРБИЈЕ</w:t>
      </w:r>
    </w:p>
    <w:p w14:paraId="372D7E9E" w14:textId="4E17092C" w:rsidR="00183CEA" w:rsidRPr="005303F7" w:rsidRDefault="000F528D" w:rsidP="000F528D">
      <w:pPr>
        <w:jc w:val="center"/>
        <w:rPr>
          <w:rFonts w:ascii="Times New Roman" w:hAnsi="Times New Roman"/>
          <w:bCs/>
          <w:sz w:val="24"/>
          <w:szCs w:val="24"/>
          <w:lang w:val="sr-Cyrl-CS"/>
        </w:rPr>
      </w:pPr>
      <w:r w:rsidRPr="005303F7">
        <w:rPr>
          <w:rFonts w:ascii="Times New Roman" w:hAnsi="Times New Roman"/>
          <w:bCs/>
          <w:sz w:val="24"/>
          <w:szCs w:val="24"/>
          <w:lang w:val="sr-Cyrl-CS"/>
        </w:rPr>
        <w:t>ЗА ПЕРИОД ОД 2023. ДО 2030. ГОДИНЕ СА ПРОЈЕКЦИЈАМА ДО 2050. ГОДИНЕ</w:t>
      </w:r>
    </w:p>
    <w:p w14:paraId="4D24B4B4" w14:textId="77777777" w:rsidR="00E36FF7" w:rsidRPr="005303F7" w:rsidRDefault="00E36FF7" w:rsidP="000F528D">
      <w:pPr>
        <w:jc w:val="center"/>
        <w:rPr>
          <w:rFonts w:ascii="Times New Roman" w:hAnsi="Times New Roman"/>
          <w:sz w:val="24"/>
          <w:szCs w:val="24"/>
          <w:lang w:val="sr-Cyrl-CS"/>
        </w:rPr>
      </w:pPr>
    </w:p>
    <w:p w14:paraId="60CC71C7" w14:textId="5F72067B" w:rsidR="00163174" w:rsidRPr="005303F7" w:rsidRDefault="003A5D08" w:rsidP="00682F18">
      <w:pPr>
        <w:pStyle w:val="Einzug1"/>
        <w:rPr>
          <w:rFonts w:ascii="Times New Roman" w:hAnsi="Times New Roman" w:cs="Times New Roman"/>
          <w:b w:val="0"/>
          <w:sz w:val="24"/>
          <w:szCs w:val="24"/>
          <w:lang w:val="sr-Cyrl-CS"/>
        </w:rPr>
      </w:pPr>
      <w:bookmarkStart w:id="1" w:name="_Toc26686091"/>
      <w:r w:rsidRPr="005303F7">
        <w:rPr>
          <w:rFonts w:ascii="Times New Roman" w:hAnsi="Times New Roman" w:cs="Times New Roman"/>
          <w:b w:val="0"/>
          <w:sz w:val="24"/>
          <w:szCs w:val="24"/>
          <w:lang w:val="sr-Cyrl-CS"/>
        </w:rPr>
        <w:t>УВО</w:t>
      </w:r>
      <w:bookmarkEnd w:id="1"/>
      <w:r w:rsidRPr="005303F7">
        <w:rPr>
          <w:rFonts w:ascii="Times New Roman" w:hAnsi="Times New Roman" w:cs="Times New Roman"/>
          <w:b w:val="0"/>
          <w:sz w:val="24"/>
          <w:szCs w:val="24"/>
          <w:lang w:val="sr-Cyrl-CS"/>
        </w:rPr>
        <w:t>Д</w:t>
      </w:r>
    </w:p>
    <w:p w14:paraId="2A400551" w14:textId="6102AAF7" w:rsidR="009C2B77" w:rsidRPr="005303F7" w:rsidRDefault="00326004" w:rsidP="00C06D0F">
      <w:pPr>
        <w:tabs>
          <w:tab w:val="clear" w:pos="3825"/>
          <w:tab w:val="right" w:pos="720"/>
        </w:tabs>
        <w:rPr>
          <w:rFonts w:ascii="Times New Roman" w:hAnsi="Times New Roman"/>
          <w:sz w:val="24"/>
          <w:lang w:val="sr-Cyrl-CS"/>
        </w:rPr>
      </w:pPr>
      <w:r w:rsidRPr="005303F7">
        <w:rPr>
          <w:rFonts w:ascii="Times New Roman" w:hAnsi="Times New Roman"/>
          <w:sz w:val="24"/>
          <w:lang w:val="sr-Cyrl-CS"/>
        </w:rPr>
        <w:tab/>
      </w:r>
      <w:r w:rsidR="00C06D0F" w:rsidRPr="005303F7">
        <w:rPr>
          <w:rFonts w:ascii="Times New Roman" w:hAnsi="Times New Roman"/>
          <w:sz w:val="24"/>
          <w:lang w:val="sr-Cyrl-CS"/>
        </w:rPr>
        <w:t xml:space="preserve">             </w:t>
      </w:r>
      <w:r w:rsidR="003A5D08" w:rsidRPr="005303F7">
        <w:rPr>
          <w:rFonts w:ascii="Times New Roman" w:hAnsi="Times New Roman"/>
          <w:sz w:val="24"/>
          <w:lang w:val="sr-Cyrl-CS"/>
        </w:rPr>
        <w:t>Ризици</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климатских</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промена</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по</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одрживи</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развој</w:t>
      </w:r>
      <w:r w:rsidR="00D73AAB" w:rsidRPr="005303F7">
        <w:rPr>
          <w:rFonts w:ascii="Times New Roman" w:hAnsi="Times New Roman"/>
          <w:sz w:val="24"/>
          <w:lang w:val="sr-Cyrl-CS"/>
        </w:rPr>
        <w:t xml:space="preserve"> Републике Србије</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су</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очигледни</w:t>
      </w:r>
      <w:r w:rsidR="009C2B77" w:rsidRPr="005303F7">
        <w:rPr>
          <w:rFonts w:ascii="Times New Roman" w:hAnsi="Times New Roman"/>
          <w:sz w:val="24"/>
          <w:lang w:val="sr-Cyrl-CS"/>
        </w:rPr>
        <w:t xml:space="preserve">. </w:t>
      </w:r>
      <w:r w:rsidR="002C168F" w:rsidRPr="005303F7">
        <w:rPr>
          <w:rFonts w:ascii="Times New Roman" w:hAnsi="Times New Roman"/>
          <w:sz w:val="24"/>
          <w:lang w:val="sr-Cyrl-CS"/>
        </w:rPr>
        <w:t>У</w:t>
      </w:r>
      <w:r w:rsidR="003A5D08" w:rsidRPr="005303F7">
        <w:rPr>
          <w:rFonts w:ascii="Times New Roman" w:hAnsi="Times New Roman"/>
          <w:sz w:val="24"/>
          <w:lang w:val="sr-Cyrl-CS"/>
        </w:rPr>
        <w:t>тицаји</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климатских</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промена</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ве</w:t>
      </w:r>
      <w:r w:rsidR="00F543AF" w:rsidRPr="005303F7">
        <w:rPr>
          <w:rFonts w:ascii="Times New Roman" w:hAnsi="Times New Roman"/>
          <w:sz w:val="24"/>
          <w:lang w:val="sr-Cyrl-CS"/>
        </w:rPr>
        <w:t>ћ</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прете</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док</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би</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ризик</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у</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будућности</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могао</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угрозити</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између</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осталог</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и</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инфраструктуру</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пољопривредну</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производњу</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доступност</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воде</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и</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јавно</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здравље</w:t>
      </w:r>
      <w:r w:rsidR="009C2B77" w:rsidRPr="005303F7">
        <w:rPr>
          <w:rFonts w:ascii="Times New Roman" w:hAnsi="Times New Roman"/>
          <w:sz w:val="24"/>
          <w:lang w:val="sr-Cyrl-CS"/>
        </w:rPr>
        <w:t>.</w:t>
      </w:r>
    </w:p>
    <w:p w14:paraId="7518B370" w14:textId="0B44BFA0" w:rsidR="009C2B77" w:rsidRPr="005303F7" w:rsidRDefault="00C06D0F" w:rsidP="00C06D0F">
      <w:pPr>
        <w:tabs>
          <w:tab w:val="clear" w:pos="3825"/>
          <w:tab w:val="left" w:pos="720"/>
        </w:tabs>
        <w:rPr>
          <w:rFonts w:ascii="Times New Roman" w:hAnsi="Times New Roman"/>
          <w:sz w:val="24"/>
          <w:lang w:val="sr-Cyrl-CS"/>
        </w:rPr>
      </w:pPr>
      <w:r w:rsidRPr="005303F7">
        <w:rPr>
          <w:rFonts w:ascii="Times New Roman" w:hAnsi="Times New Roman"/>
          <w:sz w:val="24"/>
          <w:lang w:val="sr-Cyrl-CS"/>
        </w:rPr>
        <w:tab/>
      </w:r>
      <w:r w:rsidR="003A5D08" w:rsidRPr="005303F7">
        <w:rPr>
          <w:rFonts w:ascii="Times New Roman" w:hAnsi="Times New Roman"/>
          <w:sz w:val="24"/>
          <w:lang w:val="sr-Cyrl-CS"/>
        </w:rPr>
        <w:t>Најновији</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подаци</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показују</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просечни</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пораст</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температуре</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од</w:t>
      </w:r>
      <w:r w:rsidR="009C2B77" w:rsidRPr="005303F7">
        <w:rPr>
          <w:rFonts w:ascii="Times New Roman" w:hAnsi="Times New Roman"/>
          <w:sz w:val="24"/>
          <w:lang w:val="sr-Cyrl-CS"/>
        </w:rPr>
        <w:t xml:space="preserve"> 0,36º</w:t>
      </w:r>
      <w:r w:rsidR="00F543AF" w:rsidRPr="005303F7">
        <w:rPr>
          <w:rFonts w:ascii="Times New Roman" w:hAnsi="Times New Roman"/>
          <w:sz w:val="24"/>
          <w:lang w:val="sr-Cyrl-CS"/>
        </w:rPr>
        <w:t>C</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по</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деценији</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између</w:t>
      </w:r>
      <w:r w:rsidR="009C2B77" w:rsidRPr="005303F7">
        <w:rPr>
          <w:rFonts w:ascii="Times New Roman" w:hAnsi="Times New Roman"/>
          <w:sz w:val="24"/>
          <w:lang w:val="sr-Cyrl-CS"/>
        </w:rPr>
        <w:t xml:space="preserve"> 1961. </w:t>
      </w:r>
      <w:r w:rsidR="003A5D08" w:rsidRPr="005303F7">
        <w:rPr>
          <w:rFonts w:ascii="Times New Roman" w:hAnsi="Times New Roman"/>
          <w:sz w:val="24"/>
          <w:lang w:val="sr-Cyrl-CS"/>
        </w:rPr>
        <w:t>и</w:t>
      </w:r>
      <w:r w:rsidR="009C2B77" w:rsidRPr="005303F7">
        <w:rPr>
          <w:rFonts w:ascii="Times New Roman" w:hAnsi="Times New Roman"/>
          <w:sz w:val="24"/>
          <w:lang w:val="sr-Cyrl-CS"/>
        </w:rPr>
        <w:t xml:space="preserve"> 2017. </w:t>
      </w:r>
      <w:r w:rsidR="003A5D08" w:rsidRPr="005303F7">
        <w:rPr>
          <w:rFonts w:ascii="Times New Roman" w:hAnsi="Times New Roman"/>
          <w:sz w:val="24"/>
          <w:lang w:val="sr-Cyrl-CS"/>
        </w:rPr>
        <w:t>године</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док</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сценарији</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климатских</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промена</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предвиђају</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пораст</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између</w:t>
      </w:r>
      <w:r w:rsidR="009C2B77" w:rsidRPr="005303F7">
        <w:rPr>
          <w:rFonts w:ascii="Times New Roman" w:hAnsi="Times New Roman"/>
          <w:sz w:val="24"/>
          <w:lang w:val="sr-Cyrl-CS"/>
        </w:rPr>
        <w:t xml:space="preserve"> 2º</w:t>
      </w:r>
      <w:r w:rsidR="00F543AF" w:rsidRPr="005303F7">
        <w:rPr>
          <w:rFonts w:ascii="Times New Roman" w:hAnsi="Times New Roman"/>
          <w:sz w:val="24"/>
          <w:lang w:val="sr-Cyrl-CS"/>
        </w:rPr>
        <w:t>C</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и</w:t>
      </w:r>
      <w:r w:rsidR="009C2B77" w:rsidRPr="005303F7">
        <w:rPr>
          <w:rFonts w:ascii="Times New Roman" w:hAnsi="Times New Roman"/>
          <w:sz w:val="24"/>
          <w:lang w:val="sr-Cyrl-CS"/>
        </w:rPr>
        <w:t xml:space="preserve"> 4,3º</w:t>
      </w:r>
      <w:r w:rsidR="00F543AF" w:rsidRPr="005303F7">
        <w:rPr>
          <w:rFonts w:ascii="Times New Roman" w:hAnsi="Times New Roman"/>
          <w:sz w:val="24"/>
          <w:lang w:val="sr-Cyrl-CS"/>
        </w:rPr>
        <w:t>C</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до</w:t>
      </w:r>
      <w:r w:rsidR="009C2B77" w:rsidRPr="005303F7">
        <w:rPr>
          <w:rFonts w:ascii="Times New Roman" w:hAnsi="Times New Roman"/>
          <w:sz w:val="24"/>
          <w:lang w:val="sr-Cyrl-CS"/>
        </w:rPr>
        <w:t xml:space="preserve"> 2100. </w:t>
      </w:r>
      <w:r w:rsidR="003A5D08" w:rsidRPr="005303F7">
        <w:rPr>
          <w:rFonts w:ascii="Times New Roman" w:hAnsi="Times New Roman"/>
          <w:sz w:val="24"/>
          <w:lang w:val="sr-Cyrl-CS"/>
        </w:rPr>
        <w:t>године</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у</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поређењу</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са</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периодом</w:t>
      </w:r>
      <w:r w:rsidR="009C2B77" w:rsidRPr="005303F7">
        <w:rPr>
          <w:rFonts w:ascii="Times New Roman" w:hAnsi="Times New Roman"/>
          <w:sz w:val="24"/>
          <w:lang w:val="sr-Cyrl-CS"/>
        </w:rPr>
        <w:t xml:space="preserve"> 1986-2005.</w:t>
      </w:r>
      <w:r w:rsidR="005851DC" w:rsidRPr="005303F7">
        <w:rPr>
          <w:rFonts w:ascii="Times New Roman" w:hAnsi="Times New Roman"/>
          <w:sz w:val="24"/>
          <w:lang w:val="sr-Cyrl-CS"/>
        </w:rPr>
        <w:t xml:space="preserve"> године</w:t>
      </w:r>
      <w:r w:rsidR="00F543AF" w:rsidRPr="005303F7">
        <w:rPr>
          <w:rFonts w:ascii="Times New Roman" w:hAnsi="Times New Roman"/>
          <w:sz w:val="24"/>
          <w:lang w:val="sr-Cyrl-CS"/>
        </w:rPr>
        <w:t>.</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Просечне</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количине</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падавина</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смањене</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су</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до</w:t>
      </w:r>
      <w:r w:rsidR="009C2B77" w:rsidRPr="005303F7">
        <w:rPr>
          <w:rFonts w:ascii="Times New Roman" w:hAnsi="Times New Roman"/>
          <w:sz w:val="24"/>
          <w:lang w:val="sr-Cyrl-CS"/>
        </w:rPr>
        <w:t xml:space="preserve"> 10% </w:t>
      </w:r>
      <w:r w:rsidR="003A5D08" w:rsidRPr="005303F7">
        <w:rPr>
          <w:rFonts w:ascii="Times New Roman" w:hAnsi="Times New Roman"/>
          <w:sz w:val="24"/>
          <w:lang w:val="sr-Cyrl-CS"/>
        </w:rPr>
        <w:t>између</w:t>
      </w:r>
      <w:r w:rsidR="009C2B77" w:rsidRPr="005303F7">
        <w:rPr>
          <w:rFonts w:ascii="Times New Roman" w:hAnsi="Times New Roman"/>
          <w:sz w:val="24"/>
          <w:lang w:val="sr-Cyrl-CS"/>
        </w:rPr>
        <w:t xml:space="preserve"> 1961. </w:t>
      </w:r>
      <w:r w:rsidR="003A5D08" w:rsidRPr="005303F7">
        <w:rPr>
          <w:rFonts w:ascii="Times New Roman" w:hAnsi="Times New Roman"/>
          <w:sz w:val="24"/>
          <w:lang w:val="sr-Cyrl-CS"/>
        </w:rPr>
        <w:t>и</w:t>
      </w:r>
      <w:r w:rsidR="009C2B77" w:rsidRPr="005303F7">
        <w:rPr>
          <w:rFonts w:ascii="Times New Roman" w:hAnsi="Times New Roman"/>
          <w:sz w:val="24"/>
          <w:lang w:val="sr-Cyrl-CS"/>
        </w:rPr>
        <w:t xml:space="preserve"> 2017. </w:t>
      </w:r>
      <w:r w:rsidR="003A5D08" w:rsidRPr="005303F7">
        <w:rPr>
          <w:rFonts w:ascii="Times New Roman" w:hAnsi="Times New Roman"/>
          <w:sz w:val="24"/>
          <w:lang w:val="sr-Cyrl-CS"/>
        </w:rPr>
        <w:t>године</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док</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према</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сценаријима</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климатских</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промена</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просечне</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годишње</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падавине</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могу</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да</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се</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смање</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и</w:t>
      </w:r>
      <w:r w:rsidR="00292A56" w:rsidRPr="005303F7">
        <w:rPr>
          <w:rFonts w:ascii="Times New Roman" w:hAnsi="Times New Roman"/>
          <w:sz w:val="24"/>
          <w:lang w:val="sr-Cyrl-CS"/>
        </w:rPr>
        <w:t xml:space="preserve"> </w:t>
      </w:r>
      <w:r w:rsidR="003A5D08" w:rsidRPr="005303F7">
        <w:rPr>
          <w:rFonts w:ascii="Times New Roman" w:hAnsi="Times New Roman"/>
          <w:sz w:val="24"/>
          <w:lang w:val="sr-Cyrl-CS"/>
        </w:rPr>
        <w:t>до</w:t>
      </w:r>
      <w:r w:rsidR="009C2B77" w:rsidRPr="005303F7">
        <w:rPr>
          <w:rFonts w:ascii="Times New Roman" w:hAnsi="Times New Roman"/>
          <w:sz w:val="24"/>
          <w:lang w:val="sr-Cyrl-CS"/>
        </w:rPr>
        <w:t xml:space="preserve"> 4,5% </w:t>
      </w:r>
      <w:r w:rsidR="003A5D08" w:rsidRPr="005303F7">
        <w:rPr>
          <w:rFonts w:ascii="Times New Roman" w:hAnsi="Times New Roman"/>
          <w:sz w:val="24"/>
          <w:lang w:val="sr-Cyrl-CS"/>
        </w:rPr>
        <w:t>до</w:t>
      </w:r>
      <w:r w:rsidR="009C2B77" w:rsidRPr="005303F7">
        <w:rPr>
          <w:rFonts w:ascii="Times New Roman" w:hAnsi="Times New Roman"/>
          <w:sz w:val="24"/>
          <w:lang w:val="sr-Cyrl-CS"/>
        </w:rPr>
        <w:t xml:space="preserve"> 2100</w:t>
      </w:r>
      <w:r w:rsidR="008018FF" w:rsidRPr="005303F7">
        <w:rPr>
          <w:rFonts w:ascii="Times New Roman" w:hAnsi="Times New Roman"/>
          <w:sz w:val="24"/>
          <w:lang w:val="sr-Cyrl-CS"/>
        </w:rPr>
        <w:t>. године</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у</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поређењу</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са</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референтним</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периодом</w:t>
      </w:r>
      <w:r w:rsidR="009C2B77" w:rsidRPr="005303F7">
        <w:rPr>
          <w:rFonts w:ascii="Times New Roman" w:hAnsi="Times New Roman"/>
          <w:sz w:val="24"/>
          <w:lang w:val="sr-Cyrl-CS"/>
        </w:rPr>
        <w:t xml:space="preserve"> 1986-2005</w:t>
      </w:r>
      <w:r w:rsidR="00042F48" w:rsidRPr="005303F7">
        <w:rPr>
          <w:rFonts w:ascii="Times New Roman" w:hAnsi="Times New Roman"/>
          <w:sz w:val="24"/>
          <w:lang w:val="sr-Cyrl-CS"/>
        </w:rPr>
        <w:t>. година</w:t>
      </w:r>
      <w:r w:rsidR="009C2B77" w:rsidRPr="005303F7">
        <w:rPr>
          <w:rStyle w:val="FootnoteReference"/>
          <w:rFonts w:ascii="Times New Roman" w:hAnsi="Times New Roman"/>
          <w:sz w:val="18"/>
          <w:lang w:val="sr-Cyrl-CS"/>
        </w:rPr>
        <w:footnoteReference w:id="2"/>
      </w:r>
      <w:r w:rsidR="009C2B77" w:rsidRPr="005303F7">
        <w:rPr>
          <w:rFonts w:ascii="Times New Roman" w:hAnsi="Times New Roman"/>
          <w:sz w:val="24"/>
          <w:lang w:val="sr-Cyrl-CS"/>
        </w:rPr>
        <w:t xml:space="preserve">. </w:t>
      </w:r>
    </w:p>
    <w:p w14:paraId="4FA8C6AC" w14:textId="06D8FE0F" w:rsidR="009C2B77" w:rsidRPr="005303F7" w:rsidRDefault="001A1A44" w:rsidP="001A1A44">
      <w:pPr>
        <w:tabs>
          <w:tab w:val="clear" w:pos="3825"/>
          <w:tab w:val="left" w:pos="720"/>
        </w:tabs>
        <w:rPr>
          <w:rFonts w:ascii="Times New Roman" w:hAnsi="Times New Roman"/>
          <w:sz w:val="24"/>
          <w:lang w:val="sr-Cyrl-CS"/>
        </w:rPr>
      </w:pPr>
      <w:r w:rsidRPr="005303F7">
        <w:rPr>
          <w:rFonts w:ascii="Times New Roman" w:hAnsi="Times New Roman"/>
          <w:sz w:val="24"/>
          <w:lang w:val="sr-Cyrl-CS"/>
        </w:rPr>
        <w:tab/>
      </w:r>
      <w:r w:rsidR="003A5D08" w:rsidRPr="005303F7">
        <w:rPr>
          <w:rFonts w:ascii="Times New Roman" w:hAnsi="Times New Roman"/>
          <w:sz w:val="24"/>
          <w:lang w:val="sr-Cyrl-CS"/>
        </w:rPr>
        <w:t>С</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друге</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стране</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постојећа</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зависност</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од</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угљеника</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фосилних</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горива</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може</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угрозити</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конкурентност</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српске</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привреде</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у</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средњем</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року</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и</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дугорочно</w:t>
      </w:r>
      <w:r w:rsidR="009C2B77" w:rsidRPr="005303F7">
        <w:rPr>
          <w:rFonts w:ascii="Times New Roman" w:hAnsi="Times New Roman"/>
          <w:sz w:val="24"/>
          <w:lang w:val="sr-Cyrl-CS"/>
        </w:rPr>
        <w:t>.</w:t>
      </w:r>
    </w:p>
    <w:p w14:paraId="47295353" w14:textId="2232940A" w:rsidR="00226D52" w:rsidRPr="005303F7" w:rsidRDefault="001A1A44" w:rsidP="00377CC1">
      <w:pPr>
        <w:rPr>
          <w:rFonts w:ascii="Times New Roman" w:hAnsi="Times New Roman"/>
          <w:sz w:val="24"/>
          <w:lang w:val="sr-Cyrl-CS"/>
        </w:rPr>
      </w:pPr>
      <w:r w:rsidRPr="005303F7">
        <w:rPr>
          <w:rFonts w:ascii="Times New Roman" w:hAnsi="Times New Roman"/>
          <w:sz w:val="24"/>
          <w:lang w:val="sr-Cyrl-CS"/>
        </w:rPr>
        <w:t xml:space="preserve">            </w:t>
      </w:r>
      <w:r w:rsidR="003A5D08" w:rsidRPr="005303F7">
        <w:rPr>
          <w:rFonts w:ascii="Times New Roman" w:hAnsi="Times New Roman"/>
          <w:sz w:val="24"/>
          <w:lang w:val="sr-Cyrl-CS"/>
        </w:rPr>
        <w:t>Осим</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тога</w:t>
      </w:r>
      <w:r w:rsidR="00377CC1" w:rsidRPr="005303F7">
        <w:rPr>
          <w:rFonts w:ascii="Times New Roman" w:hAnsi="Times New Roman"/>
          <w:sz w:val="24"/>
          <w:lang w:val="sr-Cyrl-CS"/>
        </w:rPr>
        <w:t xml:space="preserve">, </w:t>
      </w:r>
      <w:r w:rsidR="003A5D08" w:rsidRPr="005303F7">
        <w:rPr>
          <w:rFonts w:ascii="Times New Roman" w:hAnsi="Times New Roman"/>
          <w:sz w:val="24"/>
          <w:lang w:val="sr-Cyrl-CS"/>
        </w:rPr>
        <w:t>обавезе</w:t>
      </w:r>
      <w:r w:rsidR="009C2B77" w:rsidRPr="005303F7">
        <w:rPr>
          <w:rFonts w:ascii="Times New Roman" w:hAnsi="Times New Roman"/>
          <w:sz w:val="24"/>
          <w:lang w:val="sr-Cyrl-CS"/>
        </w:rPr>
        <w:t xml:space="preserve"> </w:t>
      </w:r>
      <w:r w:rsidR="00D73AAB" w:rsidRPr="005303F7">
        <w:rPr>
          <w:rFonts w:ascii="Times New Roman" w:hAnsi="Times New Roman"/>
          <w:sz w:val="24"/>
          <w:lang w:val="sr-Cyrl-CS"/>
        </w:rPr>
        <w:t>Републике Србије</w:t>
      </w:r>
      <w:r w:rsidR="009C2B77" w:rsidRPr="005303F7">
        <w:rPr>
          <w:rFonts w:ascii="Times New Roman" w:hAnsi="Times New Roman"/>
          <w:sz w:val="24"/>
          <w:lang w:val="sr-Cyrl-CS"/>
        </w:rPr>
        <w:t xml:space="preserve"> </w:t>
      </w:r>
      <w:r w:rsidR="003A5D08" w:rsidRPr="005303F7">
        <w:rPr>
          <w:rFonts w:ascii="Times New Roman" w:hAnsi="Times New Roman"/>
          <w:sz w:val="24"/>
          <w:lang w:val="sr-Cyrl-CS"/>
        </w:rPr>
        <w:t>према</w:t>
      </w:r>
      <w:r w:rsidR="009C2B77" w:rsidRPr="005303F7">
        <w:rPr>
          <w:rFonts w:ascii="Times New Roman" w:hAnsi="Times New Roman"/>
          <w:sz w:val="24"/>
          <w:lang w:val="sr-Cyrl-CS"/>
        </w:rPr>
        <w:t xml:space="preserve"> </w:t>
      </w:r>
      <w:r w:rsidR="0086126D" w:rsidRPr="005303F7">
        <w:rPr>
          <w:rFonts w:ascii="Times New Roman" w:hAnsi="Times New Roman"/>
          <w:sz w:val="24"/>
          <w:lang w:val="sr-Cyrl-CS"/>
        </w:rPr>
        <w:t xml:space="preserve">Закону о потврђивању </w:t>
      </w:r>
      <w:r w:rsidR="00F27EFE" w:rsidRPr="005303F7">
        <w:rPr>
          <w:rFonts w:ascii="Times New Roman" w:hAnsi="Times New Roman"/>
          <w:sz w:val="24"/>
          <w:lang w:val="sr-Cyrl-CS"/>
        </w:rPr>
        <w:t>С</w:t>
      </w:r>
      <w:r w:rsidR="003A5D08" w:rsidRPr="005303F7">
        <w:rPr>
          <w:rFonts w:ascii="Times New Roman" w:hAnsi="Times New Roman"/>
          <w:sz w:val="24"/>
          <w:lang w:val="sr-Cyrl-CS"/>
        </w:rPr>
        <w:t>поразум</w:t>
      </w:r>
      <w:r w:rsidR="0086126D" w:rsidRPr="005303F7">
        <w:rPr>
          <w:rFonts w:ascii="Times New Roman" w:hAnsi="Times New Roman"/>
          <w:sz w:val="24"/>
          <w:lang w:val="sr-Cyrl-CS"/>
        </w:rPr>
        <w:t>а</w:t>
      </w:r>
      <w:r w:rsidR="00F27EFE" w:rsidRPr="005303F7">
        <w:rPr>
          <w:rFonts w:ascii="Times New Roman" w:hAnsi="Times New Roman"/>
          <w:sz w:val="24"/>
          <w:lang w:val="sr-Cyrl-CS"/>
        </w:rPr>
        <w:t xml:space="preserve"> из Париза</w:t>
      </w:r>
      <w:r w:rsidR="005E402E" w:rsidRPr="005303F7">
        <w:rPr>
          <w:rFonts w:ascii="Times New Roman" w:hAnsi="Times New Roman"/>
          <w:sz w:val="24"/>
          <w:lang w:val="sr-Cyrl-CS"/>
        </w:rPr>
        <w:t xml:space="preserve"> </w:t>
      </w:r>
      <w:r w:rsidR="0086126D" w:rsidRPr="005303F7">
        <w:rPr>
          <w:rFonts w:ascii="Times New Roman" w:hAnsi="Times New Roman"/>
          <w:sz w:val="24"/>
          <w:lang w:val="sr-Cyrl-CS"/>
        </w:rPr>
        <w:t xml:space="preserve">(у даљем тексту: Споразум из Париза) </w:t>
      </w:r>
      <w:r w:rsidR="003A5D08" w:rsidRPr="005303F7">
        <w:rPr>
          <w:rFonts w:ascii="Times New Roman" w:hAnsi="Times New Roman"/>
          <w:sz w:val="24"/>
          <w:lang w:val="sr-Cyrl-CS"/>
        </w:rPr>
        <w:t>и</w:t>
      </w:r>
      <w:r w:rsidR="004E5261" w:rsidRPr="005303F7">
        <w:rPr>
          <w:rFonts w:ascii="Times New Roman" w:hAnsi="Times New Roman"/>
          <w:sz w:val="24"/>
          <w:lang w:val="sr-Cyrl-CS"/>
        </w:rPr>
        <w:t xml:space="preserve"> </w:t>
      </w:r>
      <w:r w:rsidR="003A5D08" w:rsidRPr="005303F7">
        <w:rPr>
          <w:rFonts w:ascii="Times New Roman" w:hAnsi="Times New Roman"/>
          <w:sz w:val="24"/>
          <w:lang w:val="sr-Cyrl-CS"/>
        </w:rPr>
        <w:t>Оквирној</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конвенцији</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Уједињених</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нација</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о</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промени</w:t>
      </w:r>
      <w:r w:rsidR="00FD344F" w:rsidRPr="005303F7">
        <w:rPr>
          <w:rFonts w:ascii="Times New Roman" w:hAnsi="Times New Roman"/>
          <w:sz w:val="24"/>
          <w:lang w:val="sr-Cyrl-CS"/>
        </w:rPr>
        <w:t xml:space="preserve"> </w:t>
      </w:r>
      <w:r w:rsidR="003A5D08" w:rsidRPr="005303F7">
        <w:rPr>
          <w:rFonts w:ascii="Times New Roman" w:hAnsi="Times New Roman"/>
          <w:sz w:val="24"/>
          <w:lang w:val="sr-Cyrl-CS"/>
        </w:rPr>
        <w:t>климе</w:t>
      </w:r>
      <w:r w:rsidR="005E402E" w:rsidRPr="005303F7">
        <w:rPr>
          <w:rFonts w:ascii="Times New Roman" w:hAnsi="Times New Roman"/>
          <w:sz w:val="24"/>
          <w:lang w:val="sr-Cyrl-CS"/>
        </w:rPr>
        <w:t xml:space="preserve"> </w:t>
      </w:r>
      <w:r w:rsidR="00916093" w:rsidRPr="005303F7">
        <w:rPr>
          <w:rFonts w:ascii="Times New Roman" w:hAnsi="Times New Roman"/>
          <w:sz w:val="24"/>
          <w:lang w:val="sr-Cyrl-CS"/>
        </w:rPr>
        <w:t>(</w:t>
      </w:r>
      <w:r w:rsidR="003A5D08" w:rsidRPr="005303F7">
        <w:rPr>
          <w:rFonts w:ascii="Times New Roman" w:hAnsi="Times New Roman"/>
          <w:sz w:val="24"/>
          <w:lang w:val="sr-Cyrl-CS"/>
        </w:rPr>
        <w:t>енгл</w:t>
      </w:r>
      <w:r w:rsidR="00CB4973" w:rsidRPr="005303F7">
        <w:rPr>
          <w:rFonts w:ascii="Times New Roman" w:hAnsi="Times New Roman"/>
          <w:sz w:val="24"/>
          <w:lang w:val="sr-Cyrl-CS"/>
        </w:rPr>
        <w:t xml:space="preserve">. </w:t>
      </w:r>
      <w:r w:rsidR="00151429" w:rsidRPr="005303F7">
        <w:rPr>
          <w:rFonts w:ascii="Times New Roman" w:hAnsi="Times New Roman"/>
          <w:sz w:val="24"/>
          <w:lang w:val="sr-Cyrl-CS"/>
        </w:rPr>
        <w:t xml:space="preserve">United Nation Framework Convention on Climate change </w:t>
      </w:r>
      <w:r w:rsidR="00D73AAB" w:rsidRPr="005303F7">
        <w:rPr>
          <w:rFonts w:ascii="Times New Roman" w:hAnsi="Times New Roman"/>
          <w:sz w:val="24"/>
          <w:lang w:val="sr-Cyrl-CS"/>
        </w:rPr>
        <w:t>–</w:t>
      </w:r>
      <w:r w:rsidR="00151429" w:rsidRPr="005303F7">
        <w:rPr>
          <w:rFonts w:ascii="Times New Roman" w:hAnsi="Times New Roman"/>
          <w:sz w:val="24"/>
          <w:lang w:val="sr-Cyrl-CS"/>
        </w:rPr>
        <w:t xml:space="preserve"> </w:t>
      </w:r>
      <w:r w:rsidR="00D73AAB" w:rsidRPr="005303F7">
        <w:rPr>
          <w:rFonts w:ascii="Times New Roman" w:hAnsi="Times New Roman"/>
          <w:sz w:val="24"/>
          <w:lang w:val="sr-Cyrl-CS"/>
        </w:rPr>
        <w:t xml:space="preserve">у даљем тексту: </w:t>
      </w:r>
      <w:r w:rsidR="00916093" w:rsidRPr="005303F7">
        <w:rPr>
          <w:rFonts w:ascii="Times New Roman" w:hAnsi="Times New Roman"/>
          <w:sz w:val="24"/>
          <w:lang w:val="sr-Cyrl-CS"/>
        </w:rPr>
        <w:t>UNFCCC)</w:t>
      </w:r>
      <w:r w:rsidR="00377CC1" w:rsidRPr="005303F7">
        <w:rPr>
          <w:rFonts w:ascii="Times New Roman" w:hAnsi="Times New Roman"/>
          <w:sz w:val="24"/>
          <w:lang w:val="sr-Cyrl-CS"/>
        </w:rPr>
        <w:t xml:space="preserve">, </w:t>
      </w:r>
      <w:r w:rsidR="003A5D08" w:rsidRPr="005303F7">
        <w:rPr>
          <w:rFonts w:ascii="Times New Roman" w:hAnsi="Times New Roman"/>
          <w:sz w:val="24"/>
          <w:lang w:val="sr-Cyrl-CS"/>
        </w:rPr>
        <w:t>налажу</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дугорочно</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гледано</w:t>
      </w:r>
      <w:r w:rsidR="003834A5" w:rsidRPr="005303F7">
        <w:rPr>
          <w:rFonts w:ascii="Times New Roman" w:hAnsi="Times New Roman"/>
          <w:sz w:val="24"/>
          <w:lang w:val="sr-Cyrl-CS"/>
        </w:rPr>
        <w:t xml:space="preserve"> </w:t>
      </w:r>
      <w:r w:rsidR="003A5D08" w:rsidRPr="005303F7">
        <w:rPr>
          <w:rFonts w:ascii="Times New Roman" w:hAnsi="Times New Roman"/>
          <w:sz w:val="24"/>
          <w:lang w:val="sr-Cyrl-CS"/>
        </w:rPr>
        <w:t>значајан</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помак</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српске</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привреде</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ка</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нискоугљеничној</w:t>
      </w:r>
      <w:r w:rsidR="00EC3123" w:rsidRPr="005303F7">
        <w:rPr>
          <w:rFonts w:ascii="Times New Roman" w:hAnsi="Times New Roman"/>
          <w:sz w:val="24"/>
          <w:lang w:val="sr-Cyrl-CS"/>
        </w:rPr>
        <w:t xml:space="preserve"> </w:t>
      </w:r>
      <w:r w:rsidR="003A5D08" w:rsidRPr="005303F7">
        <w:rPr>
          <w:rFonts w:ascii="Times New Roman" w:hAnsi="Times New Roman"/>
          <w:sz w:val="24"/>
          <w:lang w:val="sr-Cyrl-CS"/>
        </w:rPr>
        <w:t>и</w:t>
      </w:r>
      <w:r w:rsidR="00EC3123" w:rsidRPr="005303F7">
        <w:rPr>
          <w:rFonts w:ascii="Times New Roman" w:hAnsi="Times New Roman"/>
          <w:sz w:val="24"/>
          <w:lang w:val="sr-Cyrl-CS"/>
        </w:rPr>
        <w:t xml:space="preserve"> </w:t>
      </w:r>
      <w:r w:rsidR="003A5D08" w:rsidRPr="005303F7">
        <w:rPr>
          <w:rFonts w:ascii="Times New Roman" w:hAnsi="Times New Roman"/>
          <w:sz w:val="24"/>
          <w:lang w:val="sr-Cyrl-CS"/>
        </w:rPr>
        <w:t>климатски</w:t>
      </w:r>
      <w:r w:rsidR="00EC3123" w:rsidRPr="005303F7">
        <w:rPr>
          <w:rFonts w:ascii="Times New Roman" w:hAnsi="Times New Roman"/>
          <w:sz w:val="24"/>
          <w:lang w:val="sr-Cyrl-CS"/>
        </w:rPr>
        <w:t xml:space="preserve"> </w:t>
      </w:r>
      <w:r w:rsidR="003A5D08" w:rsidRPr="005303F7">
        <w:rPr>
          <w:rFonts w:ascii="Times New Roman" w:hAnsi="Times New Roman"/>
          <w:sz w:val="24"/>
          <w:lang w:val="sr-Cyrl-CS"/>
        </w:rPr>
        <w:t>прилагодљивој</w:t>
      </w:r>
      <w:r w:rsidR="00EC3123" w:rsidRPr="005303F7">
        <w:rPr>
          <w:rFonts w:ascii="Times New Roman" w:hAnsi="Times New Roman"/>
          <w:sz w:val="24"/>
          <w:lang w:val="sr-Cyrl-CS"/>
        </w:rPr>
        <w:t xml:space="preserve"> </w:t>
      </w:r>
      <w:r w:rsidR="003A5D08" w:rsidRPr="005303F7">
        <w:rPr>
          <w:rFonts w:ascii="Times New Roman" w:hAnsi="Times New Roman"/>
          <w:sz w:val="24"/>
          <w:lang w:val="sr-Cyrl-CS"/>
        </w:rPr>
        <w:t>економији</w:t>
      </w:r>
      <w:r w:rsidR="00377CC1" w:rsidRPr="005303F7">
        <w:rPr>
          <w:rFonts w:ascii="Times New Roman" w:hAnsi="Times New Roman"/>
          <w:sz w:val="24"/>
          <w:lang w:val="sr-Cyrl-CS"/>
        </w:rPr>
        <w:t>.</w:t>
      </w:r>
    </w:p>
    <w:p w14:paraId="60440EE0" w14:textId="72C5316E" w:rsidR="005E402E" w:rsidRPr="005303F7" w:rsidRDefault="001A1A44" w:rsidP="00377CC1">
      <w:pPr>
        <w:rPr>
          <w:rFonts w:ascii="Times New Roman" w:hAnsi="Times New Roman"/>
          <w:sz w:val="24"/>
          <w:lang w:val="sr-Cyrl-CS"/>
        </w:rPr>
      </w:pPr>
      <w:r w:rsidRPr="005303F7">
        <w:rPr>
          <w:rFonts w:ascii="Times New Roman" w:hAnsi="Times New Roman"/>
          <w:sz w:val="24"/>
          <w:lang w:val="sr-Cyrl-CS"/>
        </w:rPr>
        <w:t xml:space="preserve">            </w:t>
      </w:r>
      <w:r w:rsidR="00D73AAB" w:rsidRPr="005303F7">
        <w:rPr>
          <w:rFonts w:ascii="Times New Roman" w:hAnsi="Times New Roman"/>
          <w:sz w:val="24"/>
          <w:lang w:val="sr-Cyrl-CS"/>
        </w:rPr>
        <w:t>Република Србија</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активно</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доприноси</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глобалним</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напорима</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у</w:t>
      </w:r>
      <w:r w:rsidR="00062A82" w:rsidRPr="005303F7">
        <w:rPr>
          <w:rFonts w:ascii="Times New Roman" w:hAnsi="Times New Roman"/>
          <w:sz w:val="24"/>
          <w:lang w:val="sr-Cyrl-CS"/>
        </w:rPr>
        <w:t xml:space="preserve"> </w:t>
      </w:r>
      <w:r w:rsidR="003A5D08" w:rsidRPr="005303F7">
        <w:rPr>
          <w:rFonts w:ascii="Times New Roman" w:hAnsi="Times New Roman"/>
          <w:sz w:val="24"/>
          <w:lang w:val="sr-Cyrl-CS"/>
        </w:rPr>
        <w:t>борби</w:t>
      </w:r>
      <w:r w:rsidR="00062A82" w:rsidRPr="005303F7">
        <w:rPr>
          <w:rFonts w:ascii="Times New Roman" w:hAnsi="Times New Roman"/>
          <w:sz w:val="24"/>
          <w:lang w:val="sr-Cyrl-CS"/>
        </w:rPr>
        <w:t xml:space="preserve"> </w:t>
      </w:r>
      <w:r w:rsidR="003A5D08" w:rsidRPr="005303F7">
        <w:rPr>
          <w:rFonts w:ascii="Times New Roman" w:hAnsi="Times New Roman"/>
          <w:sz w:val="24"/>
          <w:lang w:val="sr-Cyrl-CS"/>
        </w:rPr>
        <w:t>против</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климатских</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промена</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у</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складу</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са</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принципом</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заједничких</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али</w:t>
      </w:r>
      <w:r w:rsidR="005E402E" w:rsidRPr="005303F7">
        <w:rPr>
          <w:rFonts w:ascii="Times New Roman" w:hAnsi="Times New Roman"/>
          <w:sz w:val="24"/>
          <w:lang w:val="sr-Cyrl-CS"/>
        </w:rPr>
        <w:t xml:space="preserve"> </w:t>
      </w:r>
      <w:r w:rsidR="00763E46" w:rsidRPr="005303F7">
        <w:rPr>
          <w:rFonts w:ascii="Times New Roman" w:hAnsi="Times New Roman"/>
          <w:sz w:val="24"/>
          <w:lang w:val="sr-Cyrl-CS"/>
        </w:rPr>
        <w:t xml:space="preserve">подељених </w:t>
      </w:r>
      <w:r w:rsidR="003A5D08" w:rsidRPr="005303F7">
        <w:rPr>
          <w:rFonts w:ascii="Times New Roman" w:hAnsi="Times New Roman"/>
          <w:sz w:val="24"/>
          <w:lang w:val="sr-Cyrl-CS"/>
        </w:rPr>
        <w:t>одговорности</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као</w:t>
      </w:r>
      <w:r w:rsidR="005E402E" w:rsidRPr="005303F7">
        <w:rPr>
          <w:rFonts w:ascii="Times New Roman" w:hAnsi="Times New Roman"/>
          <w:sz w:val="24"/>
          <w:lang w:val="sr-Cyrl-CS"/>
        </w:rPr>
        <w:t xml:space="preserve"> </w:t>
      </w:r>
      <w:r w:rsidR="00F27EFE" w:rsidRPr="005303F7">
        <w:rPr>
          <w:rFonts w:ascii="Times New Roman" w:hAnsi="Times New Roman"/>
          <w:sz w:val="24"/>
          <w:lang w:val="sr-Cyrl-CS"/>
        </w:rPr>
        <w:t>не-</w:t>
      </w:r>
      <w:r w:rsidR="003A5D08" w:rsidRPr="005303F7">
        <w:rPr>
          <w:rFonts w:ascii="Times New Roman" w:hAnsi="Times New Roman"/>
          <w:sz w:val="24"/>
          <w:lang w:val="sr-Cyrl-CS"/>
        </w:rPr>
        <w:t>Анекс</w:t>
      </w:r>
      <w:r w:rsidR="00F27EFE" w:rsidRPr="005303F7">
        <w:rPr>
          <w:rFonts w:ascii="Times New Roman" w:hAnsi="Times New Roman"/>
          <w:sz w:val="24"/>
          <w:lang w:val="sr-Cyrl-CS"/>
        </w:rPr>
        <w:t xml:space="preserve"> I држава чланица</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Оквирне</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конвенције</w:t>
      </w:r>
      <w:r w:rsidR="00F446D5" w:rsidRPr="005303F7">
        <w:rPr>
          <w:rFonts w:ascii="Times New Roman" w:hAnsi="Times New Roman"/>
          <w:sz w:val="24"/>
          <w:lang w:val="sr-Cyrl-CS"/>
        </w:rPr>
        <w:t xml:space="preserve"> </w:t>
      </w:r>
      <w:r w:rsidR="003A5D08" w:rsidRPr="005303F7">
        <w:rPr>
          <w:rFonts w:ascii="Times New Roman" w:hAnsi="Times New Roman"/>
          <w:sz w:val="24"/>
          <w:lang w:val="sr-Cyrl-CS"/>
        </w:rPr>
        <w:t>Уједињених</w:t>
      </w:r>
      <w:r w:rsidR="00F446D5" w:rsidRPr="005303F7">
        <w:rPr>
          <w:rFonts w:ascii="Times New Roman" w:hAnsi="Times New Roman"/>
          <w:sz w:val="24"/>
          <w:lang w:val="sr-Cyrl-CS"/>
        </w:rPr>
        <w:t xml:space="preserve"> </w:t>
      </w:r>
      <w:r w:rsidR="003A5D08" w:rsidRPr="005303F7">
        <w:rPr>
          <w:rFonts w:ascii="Times New Roman" w:hAnsi="Times New Roman"/>
          <w:sz w:val="24"/>
          <w:lang w:val="sr-Cyrl-CS"/>
        </w:rPr>
        <w:t>нација</w:t>
      </w:r>
      <w:r w:rsidR="00F446D5" w:rsidRPr="005303F7">
        <w:rPr>
          <w:rFonts w:ascii="Times New Roman" w:hAnsi="Times New Roman"/>
          <w:sz w:val="24"/>
          <w:lang w:val="sr-Cyrl-CS"/>
        </w:rPr>
        <w:t xml:space="preserve"> </w:t>
      </w:r>
      <w:r w:rsidR="003A5D08" w:rsidRPr="005303F7">
        <w:rPr>
          <w:rFonts w:ascii="Times New Roman" w:hAnsi="Times New Roman"/>
          <w:sz w:val="24"/>
          <w:lang w:val="sr-Cyrl-CS"/>
        </w:rPr>
        <w:t>о</w:t>
      </w:r>
      <w:r w:rsidR="00F446D5" w:rsidRPr="005303F7">
        <w:rPr>
          <w:rFonts w:ascii="Times New Roman" w:hAnsi="Times New Roman"/>
          <w:sz w:val="24"/>
          <w:lang w:val="sr-Cyrl-CS"/>
        </w:rPr>
        <w:t xml:space="preserve"> </w:t>
      </w:r>
      <w:r w:rsidR="003A5D08" w:rsidRPr="005303F7">
        <w:rPr>
          <w:rFonts w:ascii="Times New Roman" w:hAnsi="Times New Roman"/>
          <w:sz w:val="24"/>
          <w:lang w:val="sr-Cyrl-CS"/>
        </w:rPr>
        <w:t>промени</w:t>
      </w:r>
      <w:r w:rsidR="00062A82" w:rsidRPr="005303F7">
        <w:rPr>
          <w:rFonts w:ascii="Times New Roman" w:hAnsi="Times New Roman"/>
          <w:sz w:val="24"/>
          <w:lang w:val="sr-Cyrl-CS"/>
        </w:rPr>
        <w:t xml:space="preserve"> </w:t>
      </w:r>
      <w:r w:rsidR="003A5D08" w:rsidRPr="005303F7">
        <w:rPr>
          <w:rFonts w:ascii="Times New Roman" w:hAnsi="Times New Roman"/>
          <w:sz w:val="24"/>
          <w:lang w:val="sr-Cyrl-CS"/>
        </w:rPr>
        <w:t>климе</w:t>
      </w:r>
      <w:r w:rsidR="005E402E" w:rsidRPr="005303F7">
        <w:rPr>
          <w:rFonts w:ascii="Times New Roman" w:hAnsi="Times New Roman"/>
          <w:sz w:val="24"/>
          <w:lang w:val="sr-Cyrl-CS"/>
        </w:rPr>
        <w:t xml:space="preserve">. </w:t>
      </w:r>
      <w:r w:rsidR="00D73AAB" w:rsidRPr="005303F7">
        <w:rPr>
          <w:rFonts w:ascii="Times New Roman" w:hAnsi="Times New Roman"/>
          <w:sz w:val="24"/>
          <w:lang w:val="sr-Cyrl-CS"/>
        </w:rPr>
        <w:t>Република Србија</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је</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такође</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потписница</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Кјото</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протокола</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и</w:t>
      </w:r>
      <w:r w:rsidR="005E402E" w:rsidRPr="005303F7">
        <w:rPr>
          <w:rFonts w:ascii="Times New Roman" w:hAnsi="Times New Roman"/>
          <w:sz w:val="24"/>
          <w:lang w:val="sr-Cyrl-CS"/>
        </w:rPr>
        <w:t xml:space="preserve"> </w:t>
      </w:r>
      <w:r w:rsidR="003A5D08" w:rsidRPr="005303F7">
        <w:rPr>
          <w:rFonts w:ascii="Times New Roman" w:hAnsi="Times New Roman"/>
          <w:sz w:val="24"/>
          <w:lang w:val="sr-Cyrl-CS"/>
        </w:rPr>
        <w:t>Споразума</w:t>
      </w:r>
      <w:r w:rsidR="00434777" w:rsidRPr="005303F7">
        <w:rPr>
          <w:rFonts w:ascii="Times New Roman" w:hAnsi="Times New Roman"/>
          <w:sz w:val="24"/>
          <w:lang w:val="sr-Cyrl-CS"/>
        </w:rPr>
        <w:t xml:space="preserve"> </w:t>
      </w:r>
      <w:r w:rsidR="003A5D08" w:rsidRPr="005303F7">
        <w:rPr>
          <w:rFonts w:ascii="Times New Roman" w:hAnsi="Times New Roman"/>
          <w:sz w:val="24"/>
          <w:lang w:val="sr-Cyrl-CS"/>
        </w:rPr>
        <w:t>из</w:t>
      </w:r>
      <w:r w:rsidR="00434777" w:rsidRPr="005303F7">
        <w:rPr>
          <w:rFonts w:ascii="Times New Roman" w:hAnsi="Times New Roman"/>
          <w:sz w:val="24"/>
          <w:lang w:val="sr-Cyrl-CS"/>
        </w:rPr>
        <w:t xml:space="preserve"> </w:t>
      </w:r>
      <w:r w:rsidR="003A5D08" w:rsidRPr="005303F7">
        <w:rPr>
          <w:rFonts w:ascii="Times New Roman" w:hAnsi="Times New Roman"/>
          <w:sz w:val="24"/>
          <w:lang w:val="sr-Cyrl-CS"/>
        </w:rPr>
        <w:t>Париза</w:t>
      </w:r>
      <w:r w:rsidR="005E402E" w:rsidRPr="005303F7">
        <w:rPr>
          <w:rFonts w:ascii="Times New Roman" w:hAnsi="Times New Roman"/>
          <w:sz w:val="24"/>
          <w:lang w:val="sr-Cyrl-CS"/>
        </w:rPr>
        <w:t>.</w:t>
      </w:r>
    </w:p>
    <w:p w14:paraId="4D387E06" w14:textId="3E5ECD9A" w:rsidR="001208BD" w:rsidRPr="005303F7" w:rsidRDefault="001A1A44" w:rsidP="00377CC1">
      <w:pPr>
        <w:rPr>
          <w:rFonts w:ascii="Times New Roman" w:hAnsi="Times New Roman"/>
          <w:sz w:val="24"/>
          <w:lang w:val="sr-Cyrl-CS"/>
        </w:rPr>
      </w:pPr>
      <w:r w:rsidRPr="005303F7">
        <w:rPr>
          <w:rFonts w:ascii="Times New Roman" w:hAnsi="Times New Roman"/>
          <w:sz w:val="24"/>
          <w:lang w:val="sr-Cyrl-CS"/>
        </w:rPr>
        <w:t xml:space="preserve">             </w:t>
      </w:r>
      <w:r w:rsidR="003A5D08" w:rsidRPr="005303F7">
        <w:rPr>
          <w:rFonts w:ascii="Times New Roman" w:hAnsi="Times New Roman"/>
          <w:sz w:val="24"/>
          <w:lang w:val="sr-Cyrl-CS"/>
        </w:rPr>
        <w:t>Споразумом</w:t>
      </w:r>
      <w:r w:rsidR="006E0E90" w:rsidRPr="005303F7">
        <w:rPr>
          <w:rFonts w:ascii="Times New Roman" w:hAnsi="Times New Roman"/>
          <w:sz w:val="24"/>
          <w:lang w:val="sr-Cyrl-CS"/>
        </w:rPr>
        <w:t xml:space="preserve"> </w:t>
      </w:r>
      <w:r w:rsidR="003A5D08" w:rsidRPr="005303F7">
        <w:rPr>
          <w:rFonts w:ascii="Times New Roman" w:hAnsi="Times New Roman"/>
          <w:sz w:val="24"/>
          <w:lang w:val="sr-Cyrl-CS"/>
        </w:rPr>
        <w:t>из</w:t>
      </w:r>
      <w:r w:rsidR="006E0E90" w:rsidRPr="005303F7">
        <w:rPr>
          <w:rFonts w:ascii="Times New Roman" w:hAnsi="Times New Roman"/>
          <w:sz w:val="24"/>
          <w:lang w:val="sr-Cyrl-CS"/>
        </w:rPr>
        <w:t xml:space="preserve"> </w:t>
      </w:r>
      <w:r w:rsidR="003A5D08" w:rsidRPr="005303F7">
        <w:rPr>
          <w:rFonts w:ascii="Times New Roman" w:hAnsi="Times New Roman"/>
          <w:sz w:val="24"/>
          <w:lang w:val="sr-Cyrl-CS"/>
        </w:rPr>
        <w:t>Париза</w:t>
      </w:r>
      <w:r w:rsidR="00F12E72" w:rsidRPr="005303F7">
        <w:rPr>
          <w:rFonts w:ascii="Times New Roman" w:hAnsi="Times New Roman"/>
          <w:sz w:val="24"/>
          <w:lang w:val="sr-Cyrl-CS"/>
        </w:rPr>
        <w:t>,</w:t>
      </w:r>
      <w:r w:rsidR="001208BD" w:rsidRPr="005303F7">
        <w:rPr>
          <w:rFonts w:ascii="Times New Roman" w:hAnsi="Times New Roman"/>
          <w:sz w:val="24"/>
          <w:lang w:val="sr-Cyrl-CS"/>
        </w:rPr>
        <w:t xml:space="preserve"> </w:t>
      </w:r>
      <w:r w:rsidR="00D73AAB" w:rsidRPr="005303F7">
        <w:rPr>
          <w:rFonts w:ascii="Times New Roman" w:hAnsi="Times New Roman"/>
          <w:sz w:val="24"/>
          <w:lang w:val="sr-Cyrl-CS"/>
        </w:rPr>
        <w:t>Република Србија</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се</w:t>
      </w:r>
      <w:r w:rsidR="001208BD" w:rsidRPr="005303F7">
        <w:rPr>
          <w:rFonts w:ascii="Times New Roman" w:hAnsi="Times New Roman"/>
          <w:sz w:val="24"/>
          <w:lang w:val="sr-Cyrl-CS"/>
        </w:rPr>
        <w:t xml:space="preserve"> </w:t>
      </w:r>
      <w:r w:rsidR="00250DF3" w:rsidRPr="005303F7">
        <w:rPr>
          <w:rFonts w:ascii="Times New Roman" w:hAnsi="Times New Roman"/>
          <w:sz w:val="24"/>
          <w:lang w:val="sr-Cyrl-CS"/>
        </w:rPr>
        <w:t>иницијално</w:t>
      </w:r>
      <w:r w:rsidR="006E3653" w:rsidRPr="005303F7">
        <w:rPr>
          <w:rFonts w:ascii="Times New Roman" w:hAnsi="Times New Roman"/>
          <w:sz w:val="24"/>
          <w:lang w:val="sr-Cyrl-CS"/>
        </w:rPr>
        <w:t xml:space="preserve"> </w:t>
      </w:r>
      <w:r w:rsidR="003A5D08" w:rsidRPr="005303F7">
        <w:rPr>
          <w:rFonts w:ascii="Times New Roman" w:hAnsi="Times New Roman"/>
          <w:sz w:val="24"/>
          <w:lang w:val="sr-Cyrl-CS"/>
        </w:rPr>
        <w:t>обавезала</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да</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смањи</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емисије</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гасова</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са</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ефектом</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стаклене</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баште</w:t>
      </w:r>
      <w:r w:rsidR="008850A9" w:rsidRPr="005303F7">
        <w:rPr>
          <w:rFonts w:ascii="Times New Roman" w:hAnsi="Times New Roman"/>
          <w:sz w:val="24"/>
          <w:lang w:val="sr-Cyrl-CS"/>
        </w:rPr>
        <w:t xml:space="preserve"> </w:t>
      </w:r>
      <w:r w:rsidR="008C542C" w:rsidRPr="005303F7">
        <w:rPr>
          <w:rFonts w:ascii="Times New Roman" w:hAnsi="Times New Roman"/>
          <w:bCs/>
          <w:sz w:val="24"/>
          <w:szCs w:val="21"/>
          <w:lang w:val="sr-Cyrl-CS"/>
        </w:rPr>
        <w:t xml:space="preserve">(енгл. </w:t>
      </w:r>
      <w:r w:rsidR="008850A9" w:rsidRPr="005303F7">
        <w:rPr>
          <w:rFonts w:ascii="Times New Roman" w:hAnsi="Times New Roman"/>
          <w:bCs/>
          <w:sz w:val="24"/>
          <w:szCs w:val="21"/>
          <w:lang w:val="sr-Cyrl-CS"/>
        </w:rPr>
        <w:t xml:space="preserve">Greenhouse </w:t>
      </w:r>
      <w:r w:rsidR="00C64AC3" w:rsidRPr="005303F7">
        <w:rPr>
          <w:rFonts w:ascii="Times New Roman" w:hAnsi="Times New Roman"/>
          <w:bCs/>
          <w:sz w:val="24"/>
          <w:szCs w:val="21"/>
          <w:lang w:val="sr-Cyrl-CS"/>
        </w:rPr>
        <w:t xml:space="preserve">gases </w:t>
      </w:r>
      <w:r w:rsidR="008850A9" w:rsidRPr="005303F7">
        <w:rPr>
          <w:rFonts w:ascii="Times New Roman" w:hAnsi="Times New Roman"/>
          <w:bCs/>
          <w:sz w:val="24"/>
          <w:szCs w:val="21"/>
          <w:lang w:val="sr-Cyrl-CS"/>
        </w:rPr>
        <w:t xml:space="preserve">– </w:t>
      </w:r>
      <w:r w:rsidR="00C64AC3" w:rsidRPr="005303F7">
        <w:rPr>
          <w:rFonts w:ascii="Times New Roman" w:hAnsi="Times New Roman"/>
          <w:bCs/>
          <w:sz w:val="24"/>
          <w:szCs w:val="21"/>
          <w:lang w:val="sr-Cyrl-CS"/>
        </w:rPr>
        <w:t xml:space="preserve">у даљем тексту: </w:t>
      </w:r>
      <w:r w:rsidR="008850A9" w:rsidRPr="005303F7">
        <w:rPr>
          <w:rFonts w:ascii="Times New Roman" w:hAnsi="Times New Roman"/>
          <w:bCs/>
          <w:sz w:val="24"/>
          <w:szCs w:val="21"/>
          <w:lang w:val="sr-Cyrl-CS"/>
        </w:rPr>
        <w:t>GHG)</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за</w:t>
      </w:r>
      <w:r w:rsidR="001208BD" w:rsidRPr="005303F7">
        <w:rPr>
          <w:rFonts w:ascii="Times New Roman" w:hAnsi="Times New Roman"/>
          <w:sz w:val="24"/>
          <w:lang w:val="sr-Cyrl-CS"/>
        </w:rPr>
        <w:t xml:space="preserve"> 9,8% </w:t>
      </w:r>
      <w:r w:rsidR="003A5D08" w:rsidRPr="005303F7">
        <w:rPr>
          <w:rFonts w:ascii="Times New Roman" w:hAnsi="Times New Roman"/>
          <w:sz w:val="24"/>
          <w:lang w:val="sr-Cyrl-CS"/>
        </w:rPr>
        <w:t>до</w:t>
      </w:r>
      <w:r w:rsidR="001208BD" w:rsidRPr="005303F7">
        <w:rPr>
          <w:rFonts w:ascii="Times New Roman" w:hAnsi="Times New Roman"/>
          <w:sz w:val="24"/>
          <w:lang w:val="sr-Cyrl-CS"/>
        </w:rPr>
        <w:t xml:space="preserve"> 2030. </w:t>
      </w:r>
      <w:r w:rsidR="003A5D08" w:rsidRPr="005303F7">
        <w:rPr>
          <w:rFonts w:ascii="Times New Roman" w:hAnsi="Times New Roman"/>
          <w:sz w:val="24"/>
          <w:lang w:val="sr-Cyrl-CS"/>
        </w:rPr>
        <w:t>године</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у</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односу</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на</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ниво</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из</w:t>
      </w:r>
      <w:r w:rsidR="001208BD" w:rsidRPr="005303F7">
        <w:rPr>
          <w:rFonts w:ascii="Times New Roman" w:hAnsi="Times New Roman"/>
          <w:sz w:val="24"/>
          <w:lang w:val="sr-Cyrl-CS"/>
        </w:rPr>
        <w:t xml:space="preserve"> 1990. </w:t>
      </w:r>
      <w:r w:rsidR="003A5D08" w:rsidRPr="005303F7">
        <w:rPr>
          <w:rFonts w:ascii="Times New Roman" w:hAnsi="Times New Roman"/>
          <w:sz w:val="24"/>
          <w:lang w:val="sr-Cyrl-CS"/>
        </w:rPr>
        <w:t>године</w:t>
      </w:r>
      <w:r w:rsidR="001208BD" w:rsidRPr="005303F7">
        <w:rPr>
          <w:rFonts w:ascii="Times New Roman" w:hAnsi="Times New Roman"/>
          <w:sz w:val="24"/>
          <w:lang w:val="sr-Cyrl-CS"/>
        </w:rPr>
        <w:t xml:space="preserve">. </w:t>
      </w:r>
      <w:r w:rsidR="00D73AAB" w:rsidRPr="005303F7">
        <w:rPr>
          <w:rFonts w:ascii="Times New Roman" w:hAnsi="Times New Roman"/>
          <w:sz w:val="24"/>
          <w:lang w:val="sr-Cyrl-CS"/>
        </w:rPr>
        <w:t>О</w:t>
      </w:r>
      <w:r w:rsidR="003A5D08" w:rsidRPr="005303F7">
        <w:rPr>
          <w:rFonts w:ascii="Times New Roman" w:hAnsi="Times New Roman"/>
          <w:sz w:val="24"/>
          <w:lang w:val="sr-Cyrl-CS"/>
        </w:rPr>
        <w:t>вај</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национално</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утврђени</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допринос</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смањењу</w:t>
      </w:r>
      <w:r w:rsidR="00434777" w:rsidRPr="005303F7">
        <w:rPr>
          <w:rFonts w:ascii="Times New Roman" w:hAnsi="Times New Roman"/>
          <w:sz w:val="24"/>
          <w:lang w:val="sr-Cyrl-CS"/>
        </w:rPr>
        <w:t xml:space="preserve"> </w:t>
      </w:r>
      <w:r w:rsidR="003A5D08" w:rsidRPr="005303F7">
        <w:rPr>
          <w:rFonts w:ascii="Times New Roman" w:hAnsi="Times New Roman"/>
          <w:sz w:val="24"/>
          <w:lang w:val="sr-Cyrl-CS"/>
        </w:rPr>
        <w:t>емисија</w:t>
      </w:r>
      <w:r w:rsidR="00434777" w:rsidRPr="005303F7">
        <w:rPr>
          <w:rFonts w:ascii="Times New Roman" w:hAnsi="Times New Roman"/>
          <w:sz w:val="24"/>
          <w:lang w:val="sr-Cyrl-CS"/>
        </w:rPr>
        <w:t xml:space="preserve"> </w:t>
      </w:r>
      <w:r w:rsidR="003A5D08" w:rsidRPr="005303F7">
        <w:rPr>
          <w:rFonts w:ascii="Times New Roman" w:hAnsi="Times New Roman"/>
          <w:sz w:val="24"/>
          <w:lang w:val="sr-Cyrl-CS"/>
        </w:rPr>
        <w:t>гасова</w:t>
      </w:r>
      <w:r w:rsidR="00434777" w:rsidRPr="005303F7">
        <w:rPr>
          <w:rFonts w:ascii="Times New Roman" w:hAnsi="Times New Roman"/>
          <w:sz w:val="24"/>
          <w:lang w:val="sr-Cyrl-CS"/>
        </w:rPr>
        <w:t xml:space="preserve"> </w:t>
      </w:r>
      <w:r w:rsidR="003A5D08" w:rsidRPr="005303F7">
        <w:rPr>
          <w:rFonts w:ascii="Times New Roman" w:hAnsi="Times New Roman"/>
          <w:sz w:val="24"/>
          <w:lang w:val="sr-Cyrl-CS"/>
        </w:rPr>
        <w:t>са</w:t>
      </w:r>
      <w:r w:rsidR="00434777" w:rsidRPr="005303F7">
        <w:rPr>
          <w:rFonts w:ascii="Times New Roman" w:hAnsi="Times New Roman"/>
          <w:sz w:val="24"/>
          <w:lang w:val="sr-Cyrl-CS"/>
        </w:rPr>
        <w:t xml:space="preserve"> </w:t>
      </w:r>
      <w:r w:rsidR="003A5D08" w:rsidRPr="005303F7">
        <w:rPr>
          <w:rFonts w:ascii="Times New Roman" w:hAnsi="Times New Roman"/>
          <w:sz w:val="24"/>
          <w:lang w:val="sr-Cyrl-CS"/>
        </w:rPr>
        <w:t>ефектом</w:t>
      </w:r>
      <w:r w:rsidR="00434777" w:rsidRPr="005303F7">
        <w:rPr>
          <w:rFonts w:ascii="Times New Roman" w:hAnsi="Times New Roman"/>
          <w:sz w:val="24"/>
          <w:lang w:val="sr-Cyrl-CS"/>
        </w:rPr>
        <w:t xml:space="preserve"> </w:t>
      </w:r>
      <w:r w:rsidR="003A5D08" w:rsidRPr="005303F7">
        <w:rPr>
          <w:rFonts w:ascii="Times New Roman" w:hAnsi="Times New Roman"/>
          <w:sz w:val="24"/>
          <w:lang w:val="sr-Cyrl-CS"/>
        </w:rPr>
        <w:t>стаклене</w:t>
      </w:r>
      <w:r w:rsidR="00434777" w:rsidRPr="005303F7">
        <w:rPr>
          <w:rFonts w:ascii="Times New Roman" w:hAnsi="Times New Roman"/>
          <w:sz w:val="24"/>
          <w:lang w:val="sr-Cyrl-CS"/>
        </w:rPr>
        <w:t xml:space="preserve"> </w:t>
      </w:r>
      <w:r w:rsidR="003A5D08" w:rsidRPr="005303F7">
        <w:rPr>
          <w:rFonts w:ascii="Times New Roman" w:hAnsi="Times New Roman"/>
          <w:sz w:val="24"/>
          <w:lang w:val="sr-Cyrl-CS"/>
        </w:rPr>
        <w:t>баште</w:t>
      </w:r>
      <w:r w:rsidR="00434777" w:rsidRPr="005303F7">
        <w:rPr>
          <w:rFonts w:ascii="Times New Roman" w:hAnsi="Times New Roman"/>
          <w:sz w:val="24"/>
          <w:lang w:val="sr-Cyrl-CS"/>
        </w:rPr>
        <w:t xml:space="preserve"> </w:t>
      </w:r>
      <w:r w:rsidR="001208BD" w:rsidRPr="005303F7">
        <w:rPr>
          <w:rFonts w:ascii="Times New Roman" w:hAnsi="Times New Roman"/>
          <w:sz w:val="24"/>
          <w:lang w:val="sr-Cyrl-CS"/>
        </w:rPr>
        <w:t>(</w:t>
      </w:r>
      <w:r w:rsidR="003A5D08" w:rsidRPr="005303F7">
        <w:rPr>
          <w:rFonts w:ascii="Times New Roman" w:hAnsi="Times New Roman"/>
          <w:sz w:val="24"/>
          <w:lang w:val="sr-Cyrl-CS"/>
        </w:rPr>
        <w:t>енгл</w:t>
      </w:r>
      <w:r w:rsidR="00CB4973" w:rsidRPr="005303F7">
        <w:rPr>
          <w:rFonts w:ascii="Times New Roman" w:hAnsi="Times New Roman"/>
          <w:sz w:val="24"/>
          <w:lang w:val="sr-Cyrl-CS"/>
        </w:rPr>
        <w:t xml:space="preserve">. </w:t>
      </w:r>
      <w:r w:rsidR="00317305" w:rsidRPr="005303F7">
        <w:rPr>
          <w:rFonts w:ascii="Times New Roman" w:hAnsi="Times New Roman"/>
          <w:sz w:val="24"/>
          <w:lang w:val="sr-Cyrl-CS"/>
        </w:rPr>
        <w:t>Na</w:t>
      </w:r>
      <w:r w:rsidR="00CD54E0" w:rsidRPr="005303F7">
        <w:rPr>
          <w:rFonts w:ascii="Times New Roman" w:hAnsi="Times New Roman"/>
          <w:sz w:val="24"/>
          <w:lang w:val="sr-Cyrl-CS"/>
        </w:rPr>
        <w:t>t</w:t>
      </w:r>
      <w:r w:rsidR="00317305" w:rsidRPr="005303F7">
        <w:rPr>
          <w:rFonts w:ascii="Times New Roman" w:hAnsi="Times New Roman"/>
          <w:sz w:val="24"/>
          <w:lang w:val="sr-Cyrl-CS"/>
        </w:rPr>
        <w:t>ional</w:t>
      </w:r>
      <w:r w:rsidR="00CD54E0" w:rsidRPr="005303F7">
        <w:rPr>
          <w:rFonts w:ascii="Times New Roman" w:hAnsi="Times New Roman"/>
          <w:sz w:val="24"/>
          <w:lang w:val="sr-Cyrl-CS"/>
        </w:rPr>
        <w:t>ly</w:t>
      </w:r>
      <w:r w:rsidR="00317305" w:rsidRPr="005303F7">
        <w:rPr>
          <w:rFonts w:ascii="Times New Roman" w:hAnsi="Times New Roman"/>
          <w:sz w:val="24"/>
          <w:lang w:val="sr-Cyrl-CS"/>
        </w:rPr>
        <w:t xml:space="preserve"> Determined Contribution</w:t>
      </w:r>
      <w:r w:rsidR="002C168F" w:rsidRPr="005303F7">
        <w:rPr>
          <w:rFonts w:ascii="Times New Roman" w:hAnsi="Times New Roman"/>
          <w:sz w:val="24"/>
          <w:lang w:val="sr-Cyrl-CS"/>
        </w:rPr>
        <w:t xml:space="preserve"> – у даљем тексту:</w:t>
      </w:r>
      <w:r w:rsidR="00317305" w:rsidRPr="005303F7">
        <w:rPr>
          <w:rFonts w:ascii="Times New Roman" w:hAnsi="Times New Roman"/>
          <w:sz w:val="24"/>
          <w:lang w:val="sr-Cyrl-CS"/>
        </w:rPr>
        <w:t xml:space="preserve"> </w:t>
      </w:r>
      <w:r w:rsidR="001208BD" w:rsidRPr="005303F7">
        <w:rPr>
          <w:rFonts w:ascii="Times New Roman" w:hAnsi="Times New Roman"/>
          <w:sz w:val="24"/>
          <w:lang w:val="sr-Cyrl-CS"/>
        </w:rPr>
        <w:t xml:space="preserve">NDC) </w:t>
      </w:r>
      <w:r w:rsidR="003A5D08" w:rsidRPr="005303F7">
        <w:rPr>
          <w:rFonts w:ascii="Times New Roman" w:hAnsi="Times New Roman"/>
          <w:sz w:val="24"/>
          <w:lang w:val="sr-Cyrl-CS"/>
        </w:rPr>
        <w:t>у</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складу</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са</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Споразумом</w:t>
      </w:r>
      <w:r w:rsidR="006E0E90" w:rsidRPr="005303F7">
        <w:rPr>
          <w:rFonts w:ascii="Times New Roman" w:hAnsi="Times New Roman"/>
          <w:sz w:val="24"/>
          <w:lang w:val="sr-Cyrl-CS"/>
        </w:rPr>
        <w:t xml:space="preserve"> </w:t>
      </w:r>
      <w:r w:rsidR="003A5D08" w:rsidRPr="005303F7">
        <w:rPr>
          <w:rFonts w:ascii="Times New Roman" w:hAnsi="Times New Roman"/>
          <w:sz w:val="24"/>
          <w:lang w:val="sr-Cyrl-CS"/>
        </w:rPr>
        <w:t>из</w:t>
      </w:r>
      <w:r w:rsidR="006E0E90" w:rsidRPr="005303F7">
        <w:rPr>
          <w:rFonts w:ascii="Times New Roman" w:hAnsi="Times New Roman"/>
          <w:sz w:val="24"/>
          <w:lang w:val="sr-Cyrl-CS"/>
        </w:rPr>
        <w:t xml:space="preserve"> </w:t>
      </w:r>
      <w:r w:rsidR="003A5D08" w:rsidRPr="005303F7">
        <w:rPr>
          <w:rFonts w:ascii="Times New Roman" w:hAnsi="Times New Roman"/>
          <w:sz w:val="24"/>
          <w:lang w:val="sr-Cyrl-CS"/>
        </w:rPr>
        <w:t>Париза</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каже</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да</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ће</w:t>
      </w:r>
      <w:r w:rsidR="00F12E72" w:rsidRPr="005303F7">
        <w:rPr>
          <w:rFonts w:ascii="Times New Roman" w:hAnsi="Times New Roman"/>
          <w:sz w:val="24"/>
          <w:lang w:val="sr-Cyrl-CS"/>
        </w:rPr>
        <w:t xml:space="preserve">: </w:t>
      </w:r>
      <w:r w:rsidR="00D73AAB" w:rsidRPr="005303F7">
        <w:rPr>
          <w:rFonts w:ascii="Times New Roman" w:hAnsi="Times New Roman"/>
          <w:sz w:val="24"/>
          <w:lang w:val="sr-Cyrl-CS"/>
        </w:rPr>
        <w:t>„</w:t>
      </w:r>
      <w:r w:rsidR="003A5D08" w:rsidRPr="005303F7">
        <w:rPr>
          <w:rFonts w:ascii="Times New Roman" w:hAnsi="Times New Roman"/>
          <w:sz w:val="24"/>
          <w:lang w:val="sr-Cyrl-CS"/>
        </w:rPr>
        <w:t>Стратегија</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борбе</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против</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климатских</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промена</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са</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акционим</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планом</w:t>
      </w:r>
      <w:r w:rsidR="001208BD" w:rsidRPr="005303F7">
        <w:rPr>
          <w:rFonts w:ascii="Times New Roman" w:hAnsi="Times New Roman"/>
          <w:sz w:val="24"/>
          <w:lang w:val="sr-Cyrl-CS"/>
        </w:rPr>
        <w:t xml:space="preserve"> […] </w:t>
      </w:r>
      <w:r w:rsidR="003A5D08" w:rsidRPr="005303F7">
        <w:rPr>
          <w:rFonts w:ascii="Times New Roman" w:hAnsi="Times New Roman"/>
          <w:sz w:val="24"/>
          <w:lang w:val="sr-Cyrl-CS"/>
        </w:rPr>
        <w:t>даље</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дефинисати</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прецизне</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активности</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методе</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и</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рокове</w:t>
      </w:r>
      <w:r w:rsidR="001208BD" w:rsidRPr="005303F7">
        <w:rPr>
          <w:rFonts w:ascii="Times New Roman" w:hAnsi="Times New Roman"/>
          <w:sz w:val="24"/>
          <w:lang w:val="sr-Cyrl-CS"/>
        </w:rPr>
        <w:t xml:space="preserve"> </w:t>
      </w:r>
      <w:r w:rsidR="003A5D08" w:rsidRPr="005303F7">
        <w:rPr>
          <w:rFonts w:ascii="Times New Roman" w:hAnsi="Times New Roman"/>
          <w:sz w:val="24"/>
          <w:lang w:val="sr-Cyrl-CS"/>
        </w:rPr>
        <w:t>спровођења</w:t>
      </w:r>
      <w:r w:rsidR="00EB2F9C" w:rsidRPr="005303F7">
        <w:rPr>
          <w:rFonts w:ascii="Times New Roman" w:hAnsi="Times New Roman"/>
          <w:sz w:val="24"/>
          <w:lang w:val="sr-Cyrl-CS"/>
        </w:rPr>
        <w:t>ˮ</w:t>
      </w:r>
      <w:r w:rsidR="001208BD" w:rsidRPr="005303F7">
        <w:rPr>
          <w:rFonts w:ascii="Times New Roman" w:hAnsi="Times New Roman"/>
          <w:sz w:val="24"/>
          <w:lang w:val="sr-Cyrl-CS"/>
        </w:rPr>
        <w:t>.</w:t>
      </w:r>
      <w:r w:rsidR="00D02CF2" w:rsidRPr="005303F7">
        <w:rPr>
          <w:rFonts w:ascii="Times New Roman" w:hAnsi="Times New Roman"/>
          <w:sz w:val="24"/>
          <w:lang w:val="sr-Cyrl-CS"/>
        </w:rPr>
        <w:t xml:space="preserve"> </w:t>
      </w:r>
    </w:p>
    <w:p w14:paraId="18E0D49D" w14:textId="17B4B229" w:rsidR="004060A0" w:rsidRPr="005303F7" w:rsidRDefault="001A1A44" w:rsidP="00377CC1">
      <w:pPr>
        <w:rPr>
          <w:rFonts w:ascii="Times New Roman" w:hAnsi="Times New Roman"/>
          <w:sz w:val="24"/>
          <w:lang w:val="sr-Cyrl-CS"/>
        </w:rPr>
      </w:pPr>
      <w:r w:rsidRPr="005303F7">
        <w:rPr>
          <w:rFonts w:ascii="Times New Roman" w:hAnsi="Times New Roman"/>
          <w:sz w:val="24"/>
          <w:lang w:val="sr-Cyrl-CS"/>
        </w:rPr>
        <w:lastRenderedPageBreak/>
        <w:t xml:space="preserve">            </w:t>
      </w:r>
      <w:r w:rsidR="003A5D08" w:rsidRPr="005303F7">
        <w:rPr>
          <w:rFonts w:ascii="Times New Roman" w:hAnsi="Times New Roman"/>
          <w:sz w:val="24"/>
          <w:lang w:val="sr-Cyrl-CS"/>
        </w:rPr>
        <w:t>Споразумом</w:t>
      </w:r>
      <w:r w:rsidR="006E0E90" w:rsidRPr="005303F7">
        <w:rPr>
          <w:rFonts w:ascii="Times New Roman" w:hAnsi="Times New Roman"/>
          <w:sz w:val="24"/>
          <w:lang w:val="sr-Cyrl-CS"/>
        </w:rPr>
        <w:t xml:space="preserve"> </w:t>
      </w:r>
      <w:r w:rsidR="003A5D08" w:rsidRPr="005303F7">
        <w:rPr>
          <w:rFonts w:ascii="Times New Roman" w:hAnsi="Times New Roman"/>
          <w:sz w:val="24"/>
          <w:lang w:val="sr-Cyrl-CS"/>
        </w:rPr>
        <w:t>из</w:t>
      </w:r>
      <w:r w:rsidR="006E0E90" w:rsidRPr="005303F7">
        <w:rPr>
          <w:rFonts w:ascii="Times New Roman" w:hAnsi="Times New Roman"/>
          <w:sz w:val="24"/>
          <w:lang w:val="sr-Cyrl-CS"/>
        </w:rPr>
        <w:t xml:space="preserve"> </w:t>
      </w:r>
      <w:r w:rsidR="003A5D08" w:rsidRPr="005303F7">
        <w:rPr>
          <w:rFonts w:ascii="Times New Roman" w:hAnsi="Times New Roman"/>
          <w:sz w:val="24"/>
          <w:lang w:val="sr-Cyrl-CS"/>
        </w:rPr>
        <w:t>Париза</w:t>
      </w:r>
      <w:r w:rsidR="00F81DA8" w:rsidRPr="005303F7">
        <w:rPr>
          <w:rFonts w:ascii="Times New Roman" w:hAnsi="Times New Roman"/>
          <w:sz w:val="24"/>
          <w:lang w:val="sr-Cyrl-CS"/>
        </w:rPr>
        <w:t xml:space="preserve"> </w:t>
      </w:r>
      <w:r w:rsidR="003A5D08" w:rsidRPr="005303F7">
        <w:rPr>
          <w:rFonts w:ascii="Times New Roman" w:hAnsi="Times New Roman"/>
          <w:sz w:val="24"/>
          <w:lang w:val="sr-Cyrl-CS"/>
        </w:rPr>
        <w:t>се</w:t>
      </w:r>
      <w:r w:rsidR="00F81DA8" w:rsidRPr="005303F7">
        <w:rPr>
          <w:rFonts w:ascii="Times New Roman" w:hAnsi="Times New Roman"/>
          <w:sz w:val="24"/>
          <w:lang w:val="sr-Cyrl-CS"/>
        </w:rPr>
        <w:t xml:space="preserve"> </w:t>
      </w:r>
      <w:r w:rsidR="003A5D08" w:rsidRPr="005303F7">
        <w:rPr>
          <w:rFonts w:ascii="Times New Roman" w:hAnsi="Times New Roman"/>
          <w:sz w:val="24"/>
          <w:lang w:val="sr-Cyrl-CS"/>
        </w:rPr>
        <w:t>од</w:t>
      </w:r>
      <w:r w:rsidR="00F81DA8" w:rsidRPr="005303F7">
        <w:rPr>
          <w:rFonts w:ascii="Times New Roman" w:hAnsi="Times New Roman"/>
          <w:sz w:val="24"/>
          <w:lang w:val="sr-Cyrl-CS"/>
        </w:rPr>
        <w:t xml:space="preserve"> </w:t>
      </w:r>
      <w:r w:rsidR="003A5D08" w:rsidRPr="005303F7">
        <w:rPr>
          <w:rFonts w:ascii="Times New Roman" w:hAnsi="Times New Roman"/>
          <w:sz w:val="24"/>
          <w:lang w:val="sr-Cyrl-CS"/>
        </w:rPr>
        <w:t>потписница</w:t>
      </w:r>
      <w:r w:rsidR="00F81DA8" w:rsidRPr="005303F7">
        <w:rPr>
          <w:rFonts w:ascii="Times New Roman" w:hAnsi="Times New Roman"/>
          <w:sz w:val="24"/>
          <w:lang w:val="sr-Cyrl-CS"/>
        </w:rPr>
        <w:t xml:space="preserve"> </w:t>
      </w:r>
      <w:r w:rsidR="003A5D08" w:rsidRPr="005303F7">
        <w:rPr>
          <w:rFonts w:ascii="Times New Roman" w:hAnsi="Times New Roman"/>
          <w:sz w:val="24"/>
          <w:lang w:val="sr-Cyrl-CS"/>
        </w:rPr>
        <w:t>захтева</w:t>
      </w:r>
      <w:r w:rsidR="00F81DA8" w:rsidRPr="005303F7">
        <w:rPr>
          <w:rFonts w:ascii="Times New Roman" w:hAnsi="Times New Roman"/>
          <w:sz w:val="24"/>
          <w:lang w:val="sr-Cyrl-CS"/>
        </w:rPr>
        <w:t xml:space="preserve"> </w:t>
      </w:r>
      <w:r w:rsidR="003A5D08" w:rsidRPr="005303F7">
        <w:rPr>
          <w:rFonts w:ascii="Times New Roman" w:hAnsi="Times New Roman"/>
          <w:sz w:val="24"/>
          <w:lang w:val="sr-Cyrl-CS"/>
        </w:rPr>
        <w:t>да</w:t>
      </w:r>
      <w:r w:rsidR="00F81DA8" w:rsidRPr="005303F7">
        <w:rPr>
          <w:rFonts w:ascii="Times New Roman" w:hAnsi="Times New Roman"/>
          <w:sz w:val="24"/>
          <w:lang w:val="sr-Cyrl-CS"/>
        </w:rPr>
        <w:t xml:space="preserve"> </w:t>
      </w:r>
      <w:r w:rsidR="003A5D08" w:rsidRPr="005303F7">
        <w:rPr>
          <w:rFonts w:ascii="Times New Roman" w:hAnsi="Times New Roman"/>
          <w:sz w:val="24"/>
          <w:lang w:val="sr-Cyrl-CS"/>
        </w:rPr>
        <w:t>периодично</w:t>
      </w:r>
      <w:r w:rsidR="00603453" w:rsidRPr="005303F7">
        <w:rPr>
          <w:rFonts w:ascii="Times New Roman" w:hAnsi="Times New Roman"/>
          <w:sz w:val="24"/>
          <w:lang w:val="sr-Cyrl-CS"/>
        </w:rPr>
        <w:t xml:space="preserve"> </w:t>
      </w:r>
      <w:r w:rsidR="003A5D08" w:rsidRPr="005303F7">
        <w:rPr>
          <w:rFonts w:ascii="Times New Roman" w:hAnsi="Times New Roman"/>
          <w:sz w:val="24"/>
          <w:lang w:val="sr-Cyrl-CS"/>
        </w:rPr>
        <w:t>ревидирају</w:t>
      </w:r>
      <w:r w:rsidR="00603453" w:rsidRPr="005303F7">
        <w:rPr>
          <w:rFonts w:ascii="Times New Roman" w:hAnsi="Times New Roman"/>
          <w:sz w:val="24"/>
          <w:lang w:val="sr-Cyrl-CS"/>
        </w:rPr>
        <w:t xml:space="preserve"> </w:t>
      </w:r>
      <w:r w:rsidR="003A5D08" w:rsidRPr="005303F7">
        <w:rPr>
          <w:rFonts w:ascii="Times New Roman" w:hAnsi="Times New Roman"/>
          <w:sz w:val="24"/>
          <w:lang w:val="sr-Cyrl-CS"/>
        </w:rPr>
        <w:t>и</w:t>
      </w:r>
      <w:r w:rsidR="00603453" w:rsidRPr="005303F7">
        <w:rPr>
          <w:rFonts w:ascii="Times New Roman" w:hAnsi="Times New Roman"/>
          <w:sz w:val="24"/>
          <w:lang w:val="sr-Cyrl-CS"/>
        </w:rPr>
        <w:t xml:space="preserve"> </w:t>
      </w:r>
      <w:r w:rsidR="003A5D08" w:rsidRPr="005303F7">
        <w:rPr>
          <w:rFonts w:ascii="Times New Roman" w:hAnsi="Times New Roman"/>
          <w:sz w:val="24"/>
          <w:lang w:val="sr-Cyrl-CS"/>
        </w:rPr>
        <w:t>ажурирају</w:t>
      </w:r>
      <w:r w:rsidR="00377CC1" w:rsidRPr="005303F7">
        <w:rPr>
          <w:rFonts w:ascii="Times New Roman" w:hAnsi="Times New Roman"/>
          <w:sz w:val="24"/>
          <w:lang w:val="sr-Cyrl-CS"/>
        </w:rPr>
        <w:t xml:space="preserve"> </w:t>
      </w:r>
      <w:r w:rsidR="003A5D08" w:rsidRPr="005303F7">
        <w:rPr>
          <w:rFonts w:ascii="Times New Roman" w:hAnsi="Times New Roman"/>
          <w:sz w:val="24"/>
          <w:lang w:val="sr-Cyrl-CS"/>
        </w:rPr>
        <w:t>своје</w:t>
      </w:r>
      <w:r w:rsidR="00F81DA8" w:rsidRPr="005303F7">
        <w:rPr>
          <w:rFonts w:ascii="Times New Roman" w:hAnsi="Times New Roman"/>
          <w:sz w:val="24"/>
          <w:lang w:val="sr-Cyrl-CS"/>
        </w:rPr>
        <w:t xml:space="preserve"> NDC</w:t>
      </w:r>
      <w:r w:rsidR="00DC374B" w:rsidRPr="005303F7">
        <w:rPr>
          <w:rFonts w:ascii="Times New Roman" w:hAnsi="Times New Roman"/>
          <w:sz w:val="24"/>
          <w:lang w:val="sr-Cyrl-CS"/>
        </w:rPr>
        <w:t>-</w:t>
      </w:r>
      <w:r w:rsidR="006E3653" w:rsidRPr="005303F7">
        <w:rPr>
          <w:rFonts w:ascii="Times New Roman" w:hAnsi="Times New Roman"/>
          <w:sz w:val="24"/>
          <w:lang w:val="sr-Cyrl-CS"/>
        </w:rPr>
        <w:t>еве</w:t>
      </w:r>
      <w:r w:rsidR="00377CC1" w:rsidRPr="005303F7">
        <w:rPr>
          <w:rFonts w:ascii="Times New Roman" w:hAnsi="Times New Roman"/>
          <w:sz w:val="24"/>
          <w:lang w:val="sr-Cyrl-CS"/>
        </w:rPr>
        <w:t xml:space="preserve"> (</w:t>
      </w:r>
      <w:r w:rsidR="003A5D08" w:rsidRPr="005303F7">
        <w:rPr>
          <w:rFonts w:ascii="Times New Roman" w:hAnsi="Times New Roman"/>
          <w:sz w:val="24"/>
          <w:lang w:val="sr-Cyrl-CS"/>
        </w:rPr>
        <w:t>почевши</w:t>
      </w:r>
      <w:r w:rsidR="00F81DA8" w:rsidRPr="005303F7">
        <w:rPr>
          <w:rFonts w:ascii="Times New Roman" w:hAnsi="Times New Roman"/>
          <w:sz w:val="24"/>
          <w:lang w:val="sr-Cyrl-CS"/>
        </w:rPr>
        <w:t xml:space="preserve"> </w:t>
      </w:r>
      <w:r w:rsidR="003A5D08" w:rsidRPr="005303F7">
        <w:rPr>
          <w:rFonts w:ascii="Times New Roman" w:hAnsi="Times New Roman"/>
          <w:sz w:val="24"/>
          <w:lang w:val="sr-Cyrl-CS"/>
        </w:rPr>
        <w:t>од</w:t>
      </w:r>
      <w:r w:rsidR="00377CC1" w:rsidRPr="005303F7">
        <w:rPr>
          <w:rFonts w:ascii="Times New Roman" w:hAnsi="Times New Roman"/>
          <w:sz w:val="24"/>
          <w:lang w:val="sr-Cyrl-CS"/>
        </w:rPr>
        <w:t xml:space="preserve"> 2020</w:t>
      </w:r>
      <w:r w:rsidR="00F81DA8" w:rsidRPr="005303F7">
        <w:rPr>
          <w:rFonts w:ascii="Times New Roman" w:hAnsi="Times New Roman"/>
          <w:sz w:val="24"/>
          <w:lang w:val="sr-Cyrl-CS"/>
        </w:rPr>
        <w:t xml:space="preserve">. </w:t>
      </w:r>
      <w:r w:rsidR="003A5D08" w:rsidRPr="005303F7">
        <w:rPr>
          <w:rFonts w:ascii="Times New Roman" w:hAnsi="Times New Roman"/>
          <w:sz w:val="24"/>
          <w:lang w:val="sr-Cyrl-CS"/>
        </w:rPr>
        <w:t>године</w:t>
      </w:r>
      <w:r w:rsidR="00377CC1" w:rsidRPr="005303F7">
        <w:rPr>
          <w:rFonts w:ascii="Times New Roman" w:hAnsi="Times New Roman"/>
          <w:sz w:val="24"/>
          <w:lang w:val="sr-Cyrl-CS"/>
        </w:rPr>
        <w:t>)</w:t>
      </w:r>
      <w:r w:rsidR="00DC374B" w:rsidRPr="005303F7">
        <w:rPr>
          <w:rFonts w:ascii="Times New Roman" w:hAnsi="Times New Roman"/>
          <w:sz w:val="24"/>
          <w:lang w:val="sr-Cyrl-CS"/>
        </w:rPr>
        <w:t>,</w:t>
      </w:r>
      <w:r w:rsidR="009C1CAA" w:rsidRPr="005303F7">
        <w:rPr>
          <w:rFonts w:ascii="Times New Roman" w:hAnsi="Times New Roman"/>
          <w:sz w:val="24"/>
          <w:lang w:val="sr-Cyrl-CS"/>
        </w:rPr>
        <w:t xml:space="preserve"> </w:t>
      </w:r>
      <w:r w:rsidR="003A5D08" w:rsidRPr="005303F7">
        <w:rPr>
          <w:rFonts w:ascii="Times New Roman" w:hAnsi="Times New Roman"/>
          <w:sz w:val="24"/>
          <w:lang w:val="sr-Cyrl-CS"/>
        </w:rPr>
        <w:t>постепено</w:t>
      </w:r>
      <w:r w:rsidR="00542A7D" w:rsidRPr="005303F7">
        <w:rPr>
          <w:rFonts w:ascii="Times New Roman" w:hAnsi="Times New Roman"/>
          <w:sz w:val="24"/>
          <w:lang w:val="sr-Cyrl-CS"/>
        </w:rPr>
        <w:t xml:space="preserve"> </w:t>
      </w:r>
      <w:r w:rsidR="003A5D08" w:rsidRPr="005303F7">
        <w:rPr>
          <w:rFonts w:ascii="Times New Roman" w:hAnsi="Times New Roman"/>
          <w:sz w:val="24"/>
          <w:lang w:val="sr-Cyrl-CS"/>
        </w:rPr>
        <w:t>повећавајући</w:t>
      </w:r>
      <w:r w:rsidR="00542A7D" w:rsidRPr="005303F7">
        <w:rPr>
          <w:rFonts w:ascii="Times New Roman" w:hAnsi="Times New Roman"/>
          <w:sz w:val="24"/>
          <w:lang w:val="sr-Cyrl-CS"/>
        </w:rPr>
        <w:t xml:space="preserve"> </w:t>
      </w:r>
      <w:r w:rsidR="003A5D08" w:rsidRPr="005303F7">
        <w:rPr>
          <w:rFonts w:ascii="Times New Roman" w:hAnsi="Times New Roman"/>
          <w:sz w:val="24"/>
          <w:lang w:val="sr-Cyrl-CS"/>
        </w:rPr>
        <w:t>своје</w:t>
      </w:r>
      <w:r w:rsidR="00542A7D" w:rsidRPr="005303F7">
        <w:rPr>
          <w:rFonts w:ascii="Times New Roman" w:hAnsi="Times New Roman"/>
          <w:sz w:val="24"/>
          <w:lang w:val="sr-Cyrl-CS"/>
        </w:rPr>
        <w:t xml:space="preserve"> </w:t>
      </w:r>
      <w:r w:rsidR="003A5D08" w:rsidRPr="005303F7">
        <w:rPr>
          <w:rFonts w:ascii="Times New Roman" w:hAnsi="Times New Roman"/>
          <w:sz w:val="24"/>
          <w:lang w:val="sr-Cyrl-CS"/>
        </w:rPr>
        <w:t>амбиције</w:t>
      </w:r>
      <w:r w:rsidR="00542A7D" w:rsidRPr="005303F7">
        <w:rPr>
          <w:rFonts w:ascii="Times New Roman" w:hAnsi="Times New Roman"/>
          <w:sz w:val="24"/>
          <w:lang w:val="sr-Cyrl-CS"/>
        </w:rPr>
        <w:t xml:space="preserve">, </w:t>
      </w:r>
      <w:r w:rsidR="003A5D08" w:rsidRPr="005303F7">
        <w:rPr>
          <w:rFonts w:ascii="Times New Roman" w:hAnsi="Times New Roman"/>
          <w:sz w:val="24"/>
          <w:lang w:val="sr-Cyrl-CS"/>
        </w:rPr>
        <w:t>односно</w:t>
      </w:r>
      <w:r w:rsidR="00F81DA8" w:rsidRPr="005303F7">
        <w:rPr>
          <w:rFonts w:ascii="Times New Roman" w:hAnsi="Times New Roman"/>
          <w:sz w:val="24"/>
          <w:lang w:val="sr-Cyrl-CS"/>
        </w:rPr>
        <w:t xml:space="preserve"> </w:t>
      </w:r>
      <w:r w:rsidR="003A5D08" w:rsidRPr="005303F7">
        <w:rPr>
          <w:rFonts w:ascii="Times New Roman" w:hAnsi="Times New Roman"/>
          <w:sz w:val="24"/>
          <w:lang w:val="sr-Cyrl-CS"/>
        </w:rPr>
        <w:t>обавезе</w:t>
      </w:r>
      <w:r w:rsidR="00F81DA8" w:rsidRPr="005303F7">
        <w:rPr>
          <w:rFonts w:ascii="Times New Roman" w:hAnsi="Times New Roman"/>
          <w:sz w:val="24"/>
          <w:lang w:val="sr-Cyrl-CS"/>
        </w:rPr>
        <w:t xml:space="preserve"> </w:t>
      </w:r>
      <w:r w:rsidR="003A5D08" w:rsidRPr="005303F7">
        <w:rPr>
          <w:rFonts w:ascii="Times New Roman" w:hAnsi="Times New Roman"/>
          <w:sz w:val="24"/>
          <w:lang w:val="sr-Cyrl-CS"/>
        </w:rPr>
        <w:t>у</w:t>
      </w:r>
      <w:r w:rsidR="00542A7D" w:rsidRPr="005303F7">
        <w:rPr>
          <w:rFonts w:ascii="Times New Roman" w:hAnsi="Times New Roman"/>
          <w:sz w:val="24"/>
          <w:lang w:val="sr-Cyrl-CS"/>
        </w:rPr>
        <w:t xml:space="preserve"> </w:t>
      </w:r>
      <w:r w:rsidR="003A5D08" w:rsidRPr="005303F7">
        <w:rPr>
          <w:rFonts w:ascii="Times New Roman" w:hAnsi="Times New Roman"/>
          <w:sz w:val="24"/>
          <w:lang w:val="sr-Cyrl-CS"/>
        </w:rPr>
        <w:t>погледу</w:t>
      </w:r>
      <w:r w:rsidR="00F81DA8" w:rsidRPr="005303F7">
        <w:rPr>
          <w:rFonts w:ascii="Times New Roman" w:hAnsi="Times New Roman"/>
          <w:sz w:val="24"/>
          <w:lang w:val="sr-Cyrl-CS"/>
        </w:rPr>
        <w:t xml:space="preserve"> </w:t>
      </w:r>
      <w:r w:rsidR="003A5D08" w:rsidRPr="005303F7">
        <w:rPr>
          <w:rFonts w:ascii="Times New Roman" w:hAnsi="Times New Roman"/>
          <w:sz w:val="24"/>
          <w:lang w:val="sr-Cyrl-CS"/>
        </w:rPr>
        <w:t>смањења</w:t>
      </w:r>
      <w:r w:rsidR="00F81DA8" w:rsidRPr="005303F7">
        <w:rPr>
          <w:rFonts w:ascii="Times New Roman" w:hAnsi="Times New Roman"/>
          <w:sz w:val="24"/>
          <w:lang w:val="sr-Cyrl-CS"/>
        </w:rPr>
        <w:t xml:space="preserve"> </w:t>
      </w:r>
      <w:r w:rsidR="003A5D08" w:rsidRPr="005303F7">
        <w:rPr>
          <w:rFonts w:ascii="Times New Roman" w:hAnsi="Times New Roman"/>
          <w:sz w:val="24"/>
          <w:lang w:val="sr-Cyrl-CS"/>
        </w:rPr>
        <w:t>емисија</w:t>
      </w:r>
      <w:r w:rsidR="00F81DA8" w:rsidRPr="005303F7">
        <w:rPr>
          <w:rFonts w:ascii="Times New Roman" w:hAnsi="Times New Roman"/>
          <w:sz w:val="24"/>
          <w:lang w:val="sr-Cyrl-CS"/>
        </w:rPr>
        <w:t xml:space="preserve"> </w:t>
      </w:r>
      <w:r w:rsidR="003A5D08" w:rsidRPr="005303F7">
        <w:rPr>
          <w:rFonts w:ascii="Times New Roman" w:hAnsi="Times New Roman"/>
          <w:sz w:val="24"/>
          <w:lang w:val="sr-Cyrl-CS"/>
        </w:rPr>
        <w:t>гасова</w:t>
      </w:r>
      <w:r w:rsidR="00542A7D" w:rsidRPr="005303F7">
        <w:rPr>
          <w:rFonts w:ascii="Times New Roman" w:hAnsi="Times New Roman"/>
          <w:sz w:val="24"/>
          <w:lang w:val="sr-Cyrl-CS"/>
        </w:rPr>
        <w:t xml:space="preserve"> </w:t>
      </w:r>
      <w:r w:rsidR="003A5D08" w:rsidRPr="005303F7">
        <w:rPr>
          <w:rFonts w:ascii="Times New Roman" w:hAnsi="Times New Roman"/>
          <w:sz w:val="24"/>
          <w:lang w:val="sr-Cyrl-CS"/>
        </w:rPr>
        <w:t>са</w:t>
      </w:r>
      <w:r w:rsidR="00542A7D" w:rsidRPr="005303F7">
        <w:rPr>
          <w:rFonts w:ascii="Times New Roman" w:hAnsi="Times New Roman"/>
          <w:sz w:val="24"/>
          <w:lang w:val="sr-Cyrl-CS"/>
        </w:rPr>
        <w:t xml:space="preserve"> </w:t>
      </w:r>
      <w:r w:rsidR="003A5D08" w:rsidRPr="005303F7">
        <w:rPr>
          <w:rFonts w:ascii="Times New Roman" w:hAnsi="Times New Roman"/>
          <w:sz w:val="24"/>
          <w:lang w:val="sr-Cyrl-CS"/>
        </w:rPr>
        <w:t>ефектом</w:t>
      </w:r>
      <w:r w:rsidR="00542A7D" w:rsidRPr="005303F7">
        <w:rPr>
          <w:rFonts w:ascii="Times New Roman" w:hAnsi="Times New Roman"/>
          <w:sz w:val="24"/>
          <w:lang w:val="sr-Cyrl-CS"/>
        </w:rPr>
        <w:t xml:space="preserve"> </w:t>
      </w:r>
      <w:r w:rsidR="003A5D08" w:rsidRPr="005303F7">
        <w:rPr>
          <w:rFonts w:ascii="Times New Roman" w:hAnsi="Times New Roman"/>
          <w:sz w:val="24"/>
          <w:lang w:val="sr-Cyrl-CS"/>
        </w:rPr>
        <w:t>стаклене</w:t>
      </w:r>
      <w:r w:rsidR="00542A7D" w:rsidRPr="005303F7">
        <w:rPr>
          <w:rFonts w:ascii="Times New Roman" w:hAnsi="Times New Roman"/>
          <w:sz w:val="24"/>
          <w:lang w:val="sr-Cyrl-CS"/>
        </w:rPr>
        <w:t xml:space="preserve"> </w:t>
      </w:r>
      <w:r w:rsidR="003A5D08" w:rsidRPr="005303F7">
        <w:rPr>
          <w:rFonts w:ascii="Times New Roman" w:hAnsi="Times New Roman"/>
          <w:sz w:val="24"/>
          <w:lang w:val="sr-Cyrl-CS"/>
        </w:rPr>
        <w:t>баште</w:t>
      </w:r>
      <w:r w:rsidR="00F81DA8" w:rsidRPr="005303F7">
        <w:rPr>
          <w:rFonts w:ascii="Times New Roman" w:hAnsi="Times New Roman"/>
          <w:sz w:val="24"/>
          <w:lang w:val="sr-Cyrl-CS"/>
        </w:rPr>
        <w:t xml:space="preserve">, </w:t>
      </w:r>
      <w:r w:rsidR="003A5D08" w:rsidRPr="005303F7">
        <w:rPr>
          <w:rFonts w:ascii="Times New Roman" w:hAnsi="Times New Roman"/>
          <w:sz w:val="24"/>
          <w:lang w:val="sr-Cyrl-CS"/>
        </w:rPr>
        <w:t>узимајући</w:t>
      </w:r>
      <w:r w:rsidR="00F81DA8" w:rsidRPr="005303F7">
        <w:rPr>
          <w:rFonts w:ascii="Times New Roman" w:hAnsi="Times New Roman"/>
          <w:sz w:val="24"/>
          <w:lang w:val="sr-Cyrl-CS"/>
        </w:rPr>
        <w:t xml:space="preserve"> </w:t>
      </w:r>
      <w:r w:rsidR="003A5D08" w:rsidRPr="005303F7">
        <w:rPr>
          <w:rFonts w:ascii="Times New Roman" w:hAnsi="Times New Roman"/>
          <w:sz w:val="24"/>
          <w:lang w:val="sr-Cyrl-CS"/>
        </w:rPr>
        <w:t>у</w:t>
      </w:r>
      <w:r w:rsidR="00F81DA8" w:rsidRPr="005303F7">
        <w:rPr>
          <w:rFonts w:ascii="Times New Roman" w:hAnsi="Times New Roman"/>
          <w:sz w:val="24"/>
          <w:lang w:val="sr-Cyrl-CS"/>
        </w:rPr>
        <w:t xml:space="preserve"> </w:t>
      </w:r>
      <w:r w:rsidR="003A5D08" w:rsidRPr="005303F7">
        <w:rPr>
          <w:rFonts w:ascii="Times New Roman" w:hAnsi="Times New Roman"/>
          <w:sz w:val="24"/>
          <w:lang w:val="sr-Cyrl-CS"/>
        </w:rPr>
        <w:t>обзир</w:t>
      </w:r>
      <w:r w:rsidR="00F81DA8" w:rsidRPr="005303F7">
        <w:rPr>
          <w:rFonts w:ascii="Times New Roman" w:hAnsi="Times New Roman"/>
          <w:sz w:val="24"/>
          <w:lang w:val="sr-Cyrl-CS"/>
        </w:rPr>
        <w:t xml:space="preserve"> </w:t>
      </w:r>
      <w:r w:rsidR="003A5D08" w:rsidRPr="005303F7">
        <w:rPr>
          <w:rFonts w:ascii="Times New Roman" w:hAnsi="Times New Roman"/>
          <w:sz w:val="24"/>
          <w:lang w:val="sr-Cyrl-CS"/>
        </w:rPr>
        <w:t>националне</w:t>
      </w:r>
      <w:r w:rsidR="00F81DA8" w:rsidRPr="005303F7">
        <w:rPr>
          <w:rFonts w:ascii="Times New Roman" w:hAnsi="Times New Roman"/>
          <w:sz w:val="24"/>
          <w:lang w:val="sr-Cyrl-CS"/>
        </w:rPr>
        <w:t xml:space="preserve"> </w:t>
      </w:r>
      <w:r w:rsidR="003A5D08" w:rsidRPr="005303F7">
        <w:rPr>
          <w:rFonts w:ascii="Times New Roman" w:hAnsi="Times New Roman"/>
          <w:sz w:val="24"/>
          <w:lang w:val="sr-Cyrl-CS"/>
        </w:rPr>
        <w:t>околности</w:t>
      </w:r>
      <w:r w:rsidR="00F81DA8" w:rsidRPr="005303F7">
        <w:rPr>
          <w:rFonts w:ascii="Times New Roman" w:hAnsi="Times New Roman"/>
          <w:sz w:val="24"/>
          <w:lang w:val="sr-Cyrl-CS"/>
        </w:rPr>
        <w:t xml:space="preserve"> </w:t>
      </w:r>
      <w:r w:rsidR="003A5D08" w:rsidRPr="005303F7">
        <w:rPr>
          <w:rFonts w:ascii="Times New Roman" w:hAnsi="Times New Roman"/>
          <w:sz w:val="24"/>
          <w:lang w:val="sr-Cyrl-CS"/>
        </w:rPr>
        <w:t>и</w:t>
      </w:r>
      <w:r w:rsidR="00F81DA8" w:rsidRPr="005303F7">
        <w:rPr>
          <w:rFonts w:ascii="Times New Roman" w:hAnsi="Times New Roman"/>
          <w:sz w:val="24"/>
          <w:lang w:val="sr-Cyrl-CS"/>
        </w:rPr>
        <w:t xml:space="preserve"> </w:t>
      </w:r>
      <w:r w:rsidR="003A5D08" w:rsidRPr="005303F7">
        <w:rPr>
          <w:rFonts w:ascii="Times New Roman" w:hAnsi="Times New Roman"/>
          <w:sz w:val="24"/>
          <w:lang w:val="sr-Cyrl-CS"/>
        </w:rPr>
        <w:t>капацитете</w:t>
      </w:r>
      <w:r w:rsidR="00F81DA8" w:rsidRPr="005303F7">
        <w:rPr>
          <w:rFonts w:ascii="Times New Roman" w:hAnsi="Times New Roman"/>
          <w:sz w:val="24"/>
          <w:lang w:val="sr-Cyrl-CS"/>
        </w:rPr>
        <w:t>.</w:t>
      </w:r>
    </w:p>
    <w:p w14:paraId="63D481BE" w14:textId="1FBB8090" w:rsidR="00DB6382" w:rsidRPr="005303F7" w:rsidRDefault="001A1A44" w:rsidP="00E27E71">
      <w:pPr>
        <w:tabs>
          <w:tab w:val="clear" w:pos="3825"/>
          <w:tab w:val="left" w:pos="720"/>
        </w:tabs>
        <w:rPr>
          <w:rFonts w:ascii="Times New Roman" w:hAnsi="Times New Roman"/>
          <w:sz w:val="24"/>
          <w:lang w:val="sr-Cyrl-CS"/>
        </w:rPr>
      </w:pPr>
      <w:r w:rsidRPr="005303F7">
        <w:rPr>
          <w:rFonts w:ascii="Times New Roman" w:hAnsi="Times New Roman"/>
          <w:sz w:val="24"/>
          <w:lang w:val="sr-Cyrl-CS"/>
        </w:rPr>
        <w:tab/>
      </w:r>
      <w:r w:rsidR="003A5D08" w:rsidRPr="005303F7">
        <w:rPr>
          <w:rFonts w:ascii="Times New Roman" w:hAnsi="Times New Roman"/>
          <w:sz w:val="24"/>
          <w:lang w:val="sr-Cyrl-CS"/>
        </w:rPr>
        <w:t>Стога</w:t>
      </w:r>
      <w:r w:rsidR="00DB6382" w:rsidRPr="005303F7">
        <w:rPr>
          <w:rFonts w:ascii="Times New Roman" w:hAnsi="Times New Roman"/>
          <w:sz w:val="24"/>
          <w:lang w:val="sr-Cyrl-CS"/>
        </w:rPr>
        <w:t xml:space="preserve"> </w:t>
      </w:r>
      <w:r w:rsidR="003A5D08" w:rsidRPr="005303F7">
        <w:rPr>
          <w:rFonts w:ascii="Times New Roman" w:hAnsi="Times New Roman"/>
          <w:sz w:val="24"/>
          <w:lang w:val="sr-Cyrl-CS"/>
        </w:rPr>
        <w:t>је</w:t>
      </w:r>
      <w:r w:rsidR="00DB6382" w:rsidRPr="005303F7">
        <w:rPr>
          <w:rFonts w:ascii="Times New Roman" w:hAnsi="Times New Roman"/>
          <w:sz w:val="24"/>
          <w:lang w:val="sr-Cyrl-CS"/>
        </w:rPr>
        <w:t xml:space="preserve"> </w:t>
      </w:r>
      <w:r w:rsidR="003A5D08" w:rsidRPr="005303F7">
        <w:rPr>
          <w:rFonts w:ascii="Times New Roman" w:hAnsi="Times New Roman"/>
          <w:sz w:val="24"/>
          <w:lang w:val="sr-Cyrl-CS"/>
        </w:rPr>
        <w:t>први</w:t>
      </w:r>
      <w:r w:rsidR="00DB6382" w:rsidRPr="005303F7">
        <w:rPr>
          <w:rFonts w:ascii="Times New Roman" w:hAnsi="Times New Roman"/>
          <w:sz w:val="24"/>
          <w:lang w:val="sr-Cyrl-CS"/>
        </w:rPr>
        <w:t xml:space="preserve"> </w:t>
      </w:r>
      <w:r w:rsidR="003A5D08" w:rsidRPr="005303F7">
        <w:rPr>
          <w:rFonts w:ascii="Times New Roman" w:hAnsi="Times New Roman"/>
          <w:sz w:val="24"/>
          <w:lang w:val="sr-Cyrl-CS"/>
        </w:rPr>
        <w:t>циљ</w:t>
      </w:r>
      <w:r w:rsidR="00DB6382" w:rsidRPr="005303F7">
        <w:rPr>
          <w:rFonts w:ascii="Times New Roman" w:hAnsi="Times New Roman"/>
          <w:sz w:val="24"/>
          <w:lang w:val="sr-Cyrl-CS"/>
        </w:rPr>
        <w:t xml:space="preserve"> </w:t>
      </w:r>
      <w:r w:rsidR="00CD54E0" w:rsidRPr="005303F7">
        <w:rPr>
          <w:rFonts w:ascii="Times New Roman" w:hAnsi="Times New Roman"/>
          <w:sz w:val="24"/>
          <w:lang w:val="sr-Cyrl-CS"/>
        </w:rPr>
        <w:t xml:space="preserve">Стратегије нискоугљеничног развоја </w:t>
      </w:r>
      <w:r w:rsidR="00F43A57" w:rsidRPr="005303F7">
        <w:rPr>
          <w:rFonts w:ascii="Times New Roman" w:hAnsi="Times New Roman"/>
          <w:sz w:val="24"/>
          <w:lang w:val="sr-Cyrl-CS"/>
        </w:rPr>
        <w:t xml:space="preserve">Републике Србије за период од 2023. до 2030. године са пројекцијама до 2050. године </w:t>
      </w:r>
      <w:r w:rsidR="00CD54E0" w:rsidRPr="005303F7">
        <w:rPr>
          <w:rFonts w:ascii="Times New Roman" w:hAnsi="Times New Roman"/>
          <w:sz w:val="24"/>
          <w:lang w:val="sr-Cyrl-CS"/>
        </w:rPr>
        <w:t xml:space="preserve">(у даљем тексту: </w:t>
      </w:r>
      <w:r w:rsidR="003A5D08" w:rsidRPr="005303F7">
        <w:rPr>
          <w:rFonts w:ascii="Times New Roman" w:hAnsi="Times New Roman"/>
          <w:sz w:val="24"/>
          <w:lang w:val="sr-Cyrl-CS"/>
        </w:rPr>
        <w:t>Стратегиј</w:t>
      </w:r>
      <w:r w:rsidR="00CD54E0" w:rsidRPr="005303F7">
        <w:rPr>
          <w:rFonts w:ascii="Times New Roman" w:hAnsi="Times New Roman"/>
          <w:sz w:val="24"/>
          <w:lang w:val="sr-Cyrl-CS"/>
        </w:rPr>
        <w:t>а)</w:t>
      </w:r>
      <w:r w:rsidR="00DB6382" w:rsidRPr="005303F7">
        <w:rPr>
          <w:rFonts w:ascii="Times New Roman" w:hAnsi="Times New Roman"/>
          <w:sz w:val="24"/>
          <w:lang w:val="sr-Cyrl-CS"/>
        </w:rPr>
        <w:t xml:space="preserve"> </w:t>
      </w:r>
      <w:r w:rsidR="003A5D08" w:rsidRPr="005303F7">
        <w:rPr>
          <w:rFonts w:ascii="Times New Roman" w:hAnsi="Times New Roman"/>
          <w:sz w:val="24"/>
          <w:lang w:val="sr-Cyrl-CS"/>
        </w:rPr>
        <w:t>подршка</w:t>
      </w:r>
      <w:r w:rsidR="00DB6382" w:rsidRPr="005303F7">
        <w:rPr>
          <w:rFonts w:ascii="Times New Roman" w:hAnsi="Times New Roman"/>
          <w:sz w:val="24"/>
          <w:lang w:val="sr-Cyrl-CS"/>
        </w:rPr>
        <w:t xml:space="preserve"> </w:t>
      </w:r>
      <w:r w:rsidR="00D73AAB" w:rsidRPr="005303F7">
        <w:rPr>
          <w:rFonts w:ascii="Times New Roman" w:hAnsi="Times New Roman"/>
          <w:sz w:val="24"/>
          <w:lang w:val="sr-Cyrl-CS"/>
        </w:rPr>
        <w:t>Републици Србији</w:t>
      </w:r>
      <w:r w:rsidR="008F0EFF" w:rsidRPr="005303F7">
        <w:rPr>
          <w:rFonts w:ascii="Times New Roman" w:hAnsi="Times New Roman"/>
          <w:sz w:val="24"/>
          <w:lang w:val="sr-Cyrl-CS"/>
        </w:rPr>
        <w:t xml:space="preserve"> </w:t>
      </w:r>
      <w:r w:rsidR="003A5D08" w:rsidRPr="005303F7">
        <w:rPr>
          <w:rFonts w:ascii="Times New Roman" w:hAnsi="Times New Roman"/>
          <w:sz w:val="24"/>
          <w:lang w:val="sr-Cyrl-CS"/>
        </w:rPr>
        <w:t>у</w:t>
      </w:r>
      <w:r w:rsidR="008F0EFF" w:rsidRPr="005303F7">
        <w:rPr>
          <w:rFonts w:ascii="Times New Roman" w:hAnsi="Times New Roman"/>
          <w:sz w:val="24"/>
          <w:lang w:val="sr-Cyrl-CS"/>
        </w:rPr>
        <w:t xml:space="preserve"> </w:t>
      </w:r>
      <w:r w:rsidR="003A5D08" w:rsidRPr="005303F7">
        <w:rPr>
          <w:rFonts w:ascii="Times New Roman" w:hAnsi="Times New Roman"/>
          <w:sz w:val="24"/>
          <w:lang w:val="sr-Cyrl-CS"/>
        </w:rPr>
        <w:t>испуњавању</w:t>
      </w:r>
      <w:r w:rsidR="008F0EFF" w:rsidRPr="005303F7">
        <w:rPr>
          <w:rFonts w:ascii="Times New Roman" w:hAnsi="Times New Roman"/>
          <w:sz w:val="24"/>
          <w:lang w:val="sr-Cyrl-CS"/>
        </w:rPr>
        <w:t xml:space="preserve"> </w:t>
      </w:r>
      <w:r w:rsidR="003A5D08" w:rsidRPr="005303F7">
        <w:rPr>
          <w:rFonts w:ascii="Times New Roman" w:hAnsi="Times New Roman"/>
          <w:sz w:val="24"/>
          <w:lang w:val="sr-Cyrl-CS"/>
        </w:rPr>
        <w:t>обавеза</w:t>
      </w:r>
      <w:r w:rsidR="008F0EFF" w:rsidRPr="005303F7">
        <w:rPr>
          <w:rFonts w:ascii="Times New Roman" w:hAnsi="Times New Roman"/>
          <w:sz w:val="24"/>
          <w:lang w:val="sr-Cyrl-CS"/>
        </w:rPr>
        <w:t xml:space="preserve"> </w:t>
      </w:r>
      <w:r w:rsidR="003A5D08" w:rsidRPr="005303F7">
        <w:rPr>
          <w:rFonts w:ascii="Times New Roman" w:hAnsi="Times New Roman"/>
          <w:sz w:val="24"/>
          <w:lang w:val="sr-Cyrl-CS"/>
        </w:rPr>
        <w:t>из</w:t>
      </w:r>
      <w:r w:rsidR="008F0EFF" w:rsidRPr="005303F7">
        <w:rPr>
          <w:rFonts w:ascii="Times New Roman" w:hAnsi="Times New Roman"/>
          <w:sz w:val="24"/>
          <w:lang w:val="sr-Cyrl-CS"/>
        </w:rPr>
        <w:t xml:space="preserve"> </w:t>
      </w:r>
      <w:r w:rsidR="003A5D08" w:rsidRPr="005303F7">
        <w:rPr>
          <w:rFonts w:ascii="Times New Roman" w:hAnsi="Times New Roman"/>
          <w:sz w:val="24"/>
          <w:lang w:val="sr-Cyrl-CS"/>
        </w:rPr>
        <w:t>Споразума</w:t>
      </w:r>
      <w:r w:rsidR="00D82610" w:rsidRPr="005303F7">
        <w:rPr>
          <w:rFonts w:ascii="Times New Roman" w:hAnsi="Times New Roman"/>
          <w:sz w:val="24"/>
          <w:lang w:val="sr-Cyrl-CS"/>
        </w:rPr>
        <w:t xml:space="preserve"> </w:t>
      </w:r>
      <w:r w:rsidR="003A5D08" w:rsidRPr="005303F7">
        <w:rPr>
          <w:rFonts w:ascii="Times New Roman" w:hAnsi="Times New Roman"/>
          <w:sz w:val="24"/>
          <w:lang w:val="sr-Cyrl-CS"/>
        </w:rPr>
        <w:t>из</w:t>
      </w:r>
      <w:r w:rsidR="00D82610" w:rsidRPr="005303F7">
        <w:rPr>
          <w:rFonts w:ascii="Times New Roman" w:hAnsi="Times New Roman"/>
          <w:sz w:val="24"/>
          <w:lang w:val="sr-Cyrl-CS"/>
        </w:rPr>
        <w:t xml:space="preserve"> </w:t>
      </w:r>
      <w:r w:rsidR="003A5D08" w:rsidRPr="005303F7">
        <w:rPr>
          <w:rFonts w:ascii="Times New Roman" w:hAnsi="Times New Roman"/>
          <w:sz w:val="24"/>
          <w:lang w:val="sr-Cyrl-CS"/>
        </w:rPr>
        <w:t>Париза</w:t>
      </w:r>
      <w:r w:rsidR="00DB6382" w:rsidRPr="005303F7">
        <w:rPr>
          <w:rFonts w:ascii="Times New Roman" w:hAnsi="Times New Roman"/>
          <w:sz w:val="24"/>
          <w:lang w:val="sr-Cyrl-CS"/>
        </w:rPr>
        <w:t>.</w:t>
      </w:r>
      <w:r w:rsidR="00D02CF2" w:rsidRPr="005303F7">
        <w:rPr>
          <w:rFonts w:ascii="Times New Roman" w:hAnsi="Times New Roman"/>
          <w:sz w:val="24"/>
          <w:lang w:val="sr-Cyrl-CS"/>
        </w:rPr>
        <w:t xml:space="preserve"> </w:t>
      </w:r>
      <w:r w:rsidR="006E3653" w:rsidRPr="005303F7">
        <w:rPr>
          <w:rFonts w:ascii="Times New Roman" w:hAnsi="Times New Roman"/>
          <w:sz w:val="24"/>
          <w:lang w:val="sr-Cyrl-CS"/>
        </w:rPr>
        <w:t xml:space="preserve">Резултати </w:t>
      </w:r>
      <w:r w:rsidR="00CC1514" w:rsidRPr="005303F7">
        <w:rPr>
          <w:rFonts w:ascii="Times New Roman" w:hAnsi="Times New Roman"/>
          <w:sz w:val="24"/>
          <w:lang w:val="sr-Cyrl-CS"/>
        </w:rPr>
        <w:t xml:space="preserve">Стратегије послужили су као основа за ревизију првог </w:t>
      </w:r>
      <w:r w:rsidR="0073514F" w:rsidRPr="005303F7">
        <w:rPr>
          <w:rFonts w:ascii="Times New Roman" w:hAnsi="Times New Roman"/>
          <w:sz w:val="24"/>
          <w:lang w:val="sr-Cyrl-CS"/>
        </w:rPr>
        <w:t>Национално утврђеног доприноса</w:t>
      </w:r>
      <w:r w:rsidR="00CC1514" w:rsidRPr="005303F7">
        <w:rPr>
          <w:rFonts w:ascii="Times New Roman" w:hAnsi="Times New Roman"/>
          <w:sz w:val="24"/>
          <w:lang w:val="sr-Cyrl-CS"/>
        </w:rPr>
        <w:t xml:space="preserve">, који је, </w:t>
      </w:r>
      <w:r w:rsidR="00BB0AA2" w:rsidRPr="005303F7">
        <w:rPr>
          <w:rFonts w:ascii="Times New Roman" w:hAnsi="Times New Roman"/>
          <w:sz w:val="24"/>
          <w:lang w:val="sr-Cyrl-CS"/>
        </w:rPr>
        <w:t>после</w:t>
      </w:r>
      <w:r w:rsidR="00CC1514" w:rsidRPr="005303F7">
        <w:rPr>
          <w:rFonts w:ascii="Times New Roman" w:hAnsi="Times New Roman"/>
          <w:sz w:val="24"/>
          <w:lang w:val="sr-Cyrl-CS"/>
        </w:rPr>
        <w:t xml:space="preserve"> што је усвојен од стране Владе, </w:t>
      </w:r>
      <w:r w:rsidR="0093398A" w:rsidRPr="005303F7">
        <w:rPr>
          <w:rFonts w:ascii="Times New Roman" w:hAnsi="Times New Roman"/>
          <w:sz w:val="24"/>
          <w:lang w:val="sr-Cyrl-CS"/>
        </w:rPr>
        <w:t>поднет</w:t>
      </w:r>
      <w:r w:rsidR="00CC1514" w:rsidRPr="005303F7">
        <w:rPr>
          <w:rFonts w:ascii="Times New Roman" w:hAnsi="Times New Roman"/>
          <w:sz w:val="24"/>
          <w:lang w:val="sr-Cyrl-CS"/>
        </w:rPr>
        <w:t xml:space="preserve"> Секретаријату Оквирне конвенције Уједињених нација о промени климе у августу 2022. године.</w:t>
      </w:r>
      <w:r w:rsidR="000644F2" w:rsidRPr="005303F7">
        <w:rPr>
          <w:rFonts w:ascii="Times New Roman" w:hAnsi="Times New Roman"/>
          <w:sz w:val="24"/>
          <w:lang w:val="sr-Cyrl-CS"/>
        </w:rPr>
        <w:t xml:space="preserve"> У складу са  </w:t>
      </w:r>
      <w:r w:rsidR="0073514F" w:rsidRPr="005303F7">
        <w:rPr>
          <w:rFonts w:ascii="Times New Roman" w:hAnsi="Times New Roman"/>
          <w:sz w:val="24"/>
          <w:lang w:val="sr-Cyrl-CS"/>
        </w:rPr>
        <w:t xml:space="preserve">ажурираним Национално утвђеним доприносом </w:t>
      </w:r>
      <w:r w:rsidR="000644F2" w:rsidRPr="005303F7">
        <w:rPr>
          <w:rFonts w:ascii="Times New Roman" w:hAnsi="Times New Roman"/>
          <w:sz w:val="24"/>
          <w:lang w:val="sr-Cyrl-CS"/>
        </w:rPr>
        <w:t xml:space="preserve">Република </w:t>
      </w:r>
      <w:r w:rsidR="00D73AAB" w:rsidRPr="005303F7">
        <w:rPr>
          <w:rFonts w:ascii="Times New Roman" w:hAnsi="Times New Roman"/>
          <w:sz w:val="24"/>
          <w:lang w:val="sr-Cyrl-CS"/>
        </w:rPr>
        <w:t>Србија</w:t>
      </w:r>
      <w:r w:rsidR="000644F2" w:rsidRPr="005303F7">
        <w:rPr>
          <w:rFonts w:ascii="Times New Roman" w:hAnsi="Times New Roman"/>
          <w:sz w:val="24"/>
          <w:lang w:val="sr-Cyrl-CS"/>
        </w:rPr>
        <w:t xml:space="preserve"> се обавезала да смањи емисије гасова са ефектом стаклене баште за 33,3% до 2030. године у односу на ниво из 1990. године.</w:t>
      </w:r>
    </w:p>
    <w:p w14:paraId="21561827" w14:textId="7908BCFA" w:rsidR="008F5432" w:rsidRPr="005303F7" w:rsidRDefault="001A1A44" w:rsidP="001A1A44">
      <w:pPr>
        <w:pStyle w:val="NoSpacing"/>
        <w:ind w:firstLine="720"/>
        <w:rPr>
          <w:szCs w:val="20"/>
          <w:lang w:val="sr-Cyrl-CS"/>
        </w:rPr>
      </w:pPr>
      <w:r w:rsidRPr="005303F7">
        <w:rPr>
          <w:szCs w:val="20"/>
          <w:lang w:val="sr-Cyrl-CS"/>
        </w:rPr>
        <w:t>Р</w:t>
      </w:r>
      <w:r w:rsidR="00D73AAB" w:rsidRPr="005303F7">
        <w:rPr>
          <w:szCs w:val="20"/>
          <w:lang w:val="sr-Cyrl-CS"/>
        </w:rPr>
        <w:t>епублика Србија</w:t>
      </w:r>
      <w:r w:rsidR="008F5432" w:rsidRPr="005303F7">
        <w:rPr>
          <w:szCs w:val="20"/>
          <w:lang w:val="sr-Cyrl-CS"/>
        </w:rPr>
        <w:t xml:space="preserve"> </w:t>
      </w:r>
      <w:r w:rsidR="003A5D08" w:rsidRPr="005303F7">
        <w:rPr>
          <w:szCs w:val="20"/>
          <w:lang w:val="sr-Cyrl-CS"/>
        </w:rPr>
        <w:t>као</w:t>
      </w:r>
      <w:r w:rsidR="008F5432" w:rsidRPr="005303F7">
        <w:rPr>
          <w:szCs w:val="20"/>
          <w:lang w:val="sr-Cyrl-CS"/>
        </w:rPr>
        <w:t xml:space="preserve"> </w:t>
      </w:r>
      <w:r w:rsidR="003A5D08" w:rsidRPr="005303F7">
        <w:rPr>
          <w:szCs w:val="20"/>
          <w:lang w:val="sr-Cyrl-CS"/>
        </w:rPr>
        <w:t>земља</w:t>
      </w:r>
      <w:r w:rsidR="008F5432" w:rsidRPr="005303F7">
        <w:rPr>
          <w:szCs w:val="20"/>
          <w:lang w:val="sr-Cyrl-CS"/>
        </w:rPr>
        <w:t xml:space="preserve"> </w:t>
      </w:r>
      <w:r w:rsidR="003A5D08" w:rsidRPr="005303F7">
        <w:rPr>
          <w:szCs w:val="20"/>
          <w:lang w:val="sr-Cyrl-CS"/>
        </w:rPr>
        <w:t>кандидат</w:t>
      </w:r>
      <w:r w:rsidR="008F5432" w:rsidRPr="005303F7">
        <w:rPr>
          <w:szCs w:val="20"/>
          <w:lang w:val="sr-Cyrl-CS"/>
        </w:rPr>
        <w:t xml:space="preserve"> </w:t>
      </w:r>
      <w:r w:rsidR="003A5D08" w:rsidRPr="005303F7">
        <w:rPr>
          <w:szCs w:val="20"/>
          <w:lang w:val="sr-Cyrl-CS"/>
        </w:rPr>
        <w:t>за</w:t>
      </w:r>
      <w:r w:rsidR="008F5432" w:rsidRPr="005303F7">
        <w:rPr>
          <w:szCs w:val="20"/>
          <w:lang w:val="sr-Cyrl-CS"/>
        </w:rPr>
        <w:t xml:space="preserve"> </w:t>
      </w:r>
      <w:r w:rsidR="003A5D08" w:rsidRPr="005303F7">
        <w:rPr>
          <w:szCs w:val="20"/>
          <w:lang w:val="sr-Cyrl-CS"/>
        </w:rPr>
        <w:t>чланство</w:t>
      </w:r>
      <w:r w:rsidR="008F5432" w:rsidRPr="005303F7">
        <w:rPr>
          <w:szCs w:val="20"/>
          <w:lang w:val="sr-Cyrl-CS"/>
        </w:rPr>
        <w:t xml:space="preserve"> </w:t>
      </w:r>
      <w:r w:rsidR="003A5D08" w:rsidRPr="005303F7">
        <w:rPr>
          <w:szCs w:val="20"/>
          <w:lang w:val="sr-Cyrl-CS"/>
        </w:rPr>
        <w:t>у</w:t>
      </w:r>
      <w:r w:rsidR="00D82610" w:rsidRPr="005303F7">
        <w:rPr>
          <w:szCs w:val="20"/>
          <w:lang w:val="sr-Cyrl-CS"/>
        </w:rPr>
        <w:t xml:space="preserve"> </w:t>
      </w:r>
      <w:r w:rsidR="003A5D08" w:rsidRPr="005303F7">
        <w:rPr>
          <w:szCs w:val="20"/>
          <w:lang w:val="sr-Cyrl-CS"/>
        </w:rPr>
        <w:t>Е</w:t>
      </w:r>
      <w:r w:rsidR="002C168F" w:rsidRPr="005303F7">
        <w:rPr>
          <w:szCs w:val="20"/>
          <w:lang w:val="sr-Cyrl-CS"/>
        </w:rPr>
        <w:t xml:space="preserve">вропској унији (у даљем тексту: ЕУ) </w:t>
      </w:r>
      <w:r w:rsidR="00D82610" w:rsidRPr="005303F7">
        <w:rPr>
          <w:szCs w:val="20"/>
          <w:lang w:val="sr-Cyrl-CS"/>
        </w:rPr>
        <w:t xml:space="preserve"> </w:t>
      </w:r>
      <w:r w:rsidR="003A5D08" w:rsidRPr="005303F7">
        <w:rPr>
          <w:szCs w:val="20"/>
          <w:lang w:val="sr-Cyrl-CS"/>
        </w:rPr>
        <w:t>већ</w:t>
      </w:r>
      <w:r w:rsidR="0095279C" w:rsidRPr="005303F7">
        <w:rPr>
          <w:szCs w:val="20"/>
          <w:lang w:val="sr-Cyrl-CS"/>
        </w:rPr>
        <w:t xml:space="preserve"> </w:t>
      </w:r>
      <w:r w:rsidR="003A5D08" w:rsidRPr="005303F7">
        <w:rPr>
          <w:szCs w:val="20"/>
          <w:lang w:val="sr-Cyrl-CS"/>
        </w:rPr>
        <w:t>улаже</w:t>
      </w:r>
      <w:r w:rsidR="008F5432" w:rsidRPr="005303F7">
        <w:rPr>
          <w:szCs w:val="20"/>
          <w:lang w:val="sr-Cyrl-CS"/>
        </w:rPr>
        <w:t xml:space="preserve"> </w:t>
      </w:r>
      <w:r w:rsidR="003A5D08" w:rsidRPr="005303F7">
        <w:rPr>
          <w:szCs w:val="20"/>
          <w:lang w:val="sr-Cyrl-CS"/>
        </w:rPr>
        <w:t>напоре</w:t>
      </w:r>
      <w:r w:rsidR="008F5432" w:rsidRPr="005303F7">
        <w:rPr>
          <w:szCs w:val="20"/>
          <w:lang w:val="sr-Cyrl-CS"/>
        </w:rPr>
        <w:t xml:space="preserve"> </w:t>
      </w:r>
      <w:r w:rsidR="003A5D08" w:rsidRPr="005303F7">
        <w:rPr>
          <w:szCs w:val="20"/>
          <w:lang w:val="sr-Cyrl-CS"/>
        </w:rPr>
        <w:t>да</w:t>
      </w:r>
      <w:r w:rsidR="008F5432" w:rsidRPr="005303F7">
        <w:rPr>
          <w:szCs w:val="20"/>
          <w:lang w:val="sr-Cyrl-CS"/>
        </w:rPr>
        <w:t xml:space="preserve"> </w:t>
      </w:r>
      <w:r w:rsidR="003A5D08" w:rsidRPr="005303F7">
        <w:rPr>
          <w:szCs w:val="20"/>
          <w:lang w:val="sr-Cyrl-CS"/>
        </w:rPr>
        <w:t>се</w:t>
      </w:r>
      <w:r w:rsidR="008F5432" w:rsidRPr="005303F7">
        <w:rPr>
          <w:szCs w:val="20"/>
          <w:lang w:val="sr-Cyrl-CS"/>
        </w:rPr>
        <w:t xml:space="preserve"> </w:t>
      </w:r>
      <w:r w:rsidR="003A5D08" w:rsidRPr="005303F7">
        <w:rPr>
          <w:szCs w:val="20"/>
          <w:lang w:val="sr-Cyrl-CS"/>
        </w:rPr>
        <w:t>усклади</w:t>
      </w:r>
      <w:r w:rsidR="008F5432" w:rsidRPr="005303F7">
        <w:rPr>
          <w:szCs w:val="20"/>
          <w:lang w:val="sr-Cyrl-CS"/>
        </w:rPr>
        <w:t xml:space="preserve"> </w:t>
      </w:r>
      <w:r w:rsidR="003A5D08" w:rsidRPr="005303F7">
        <w:rPr>
          <w:szCs w:val="20"/>
          <w:lang w:val="sr-Cyrl-CS"/>
        </w:rPr>
        <w:t>са</w:t>
      </w:r>
      <w:r w:rsidR="008F5432" w:rsidRPr="005303F7">
        <w:rPr>
          <w:szCs w:val="20"/>
          <w:lang w:val="sr-Cyrl-CS"/>
        </w:rPr>
        <w:t xml:space="preserve"> </w:t>
      </w:r>
      <w:r w:rsidR="003A5D08" w:rsidRPr="005303F7">
        <w:rPr>
          <w:szCs w:val="20"/>
          <w:lang w:val="sr-Cyrl-CS"/>
        </w:rPr>
        <w:t>политикама</w:t>
      </w:r>
      <w:r w:rsidR="008F5432" w:rsidRPr="005303F7">
        <w:rPr>
          <w:szCs w:val="20"/>
          <w:lang w:val="sr-Cyrl-CS"/>
        </w:rPr>
        <w:t xml:space="preserve"> </w:t>
      </w:r>
      <w:r w:rsidR="003A5D08" w:rsidRPr="005303F7">
        <w:rPr>
          <w:szCs w:val="20"/>
          <w:lang w:val="sr-Cyrl-CS"/>
        </w:rPr>
        <w:t>и</w:t>
      </w:r>
      <w:r w:rsidR="008F5432" w:rsidRPr="005303F7">
        <w:rPr>
          <w:szCs w:val="20"/>
          <w:lang w:val="sr-Cyrl-CS"/>
        </w:rPr>
        <w:t xml:space="preserve"> </w:t>
      </w:r>
      <w:r w:rsidR="003A5D08" w:rsidRPr="005303F7">
        <w:rPr>
          <w:szCs w:val="20"/>
          <w:lang w:val="sr-Cyrl-CS"/>
        </w:rPr>
        <w:t>акцијама</w:t>
      </w:r>
      <w:r w:rsidR="008F5432" w:rsidRPr="005303F7">
        <w:rPr>
          <w:szCs w:val="20"/>
          <w:lang w:val="sr-Cyrl-CS"/>
        </w:rPr>
        <w:t xml:space="preserve"> </w:t>
      </w:r>
      <w:r w:rsidR="003A5D08" w:rsidRPr="005303F7">
        <w:rPr>
          <w:szCs w:val="20"/>
          <w:lang w:val="sr-Cyrl-CS"/>
        </w:rPr>
        <w:t>ЕУ</w:t>
      </w:r>
      <w:r w:rsidR="008F5432" w:rsidRPr="005303F7">
        <w:rPr>
          <w:szCs w:val="20"/>
          <w:lang w:val="sr-Cyrl-CS"/>
        </w:rPr>
        <w:t xml:space="preserve">. </w:t>
      </w:r>
      <w:r w:rsidR="003A5D08" w:rsidRPr="005303F7">
        <w:rPr>
          <w:szCs w:val="20"/>
          <w:lang w:val="sr-Cyrl-CS"/>
        </w:rPr>
        <w:t>Оквир</w:t>
      </w:r>
      <w:r w:rsidR="008F5432" w:rsidRPr="005303F7">
        <w:rPr>
          <w:szCs w:val="20"/>
          <w:lang w:val="sr-Cyrl-CS"/>
        </w:rPr>
        <w:t xml:space="preserve"> </w:t>
      </w:r>
      <w:r w:rsidR="003A5D08" w:rsidRPr="005303F7">
        <w:rPr>
          <w:szCs w:val="20"/>
          <w:lang w:val="sr-Cyrl-CS"/>
        </w:rPr>
        <w:t>за</w:t>
      </w:r>
      <w:r w:rsidR="008F5432" w:rsidRPr="005303F7">
        <w:rPr>
          <w:szCs w:val="20"/>
          <w:lang w:val="sr-Cyrl-CS"/>
        </w:rPr>
        <w:t xml:space="preserve"> </w:t>
      </w:r>
      <w:r w:rsidR="003A5D08" w:rsidRPr="005303F7">
        <w:rPr>
          <w:szCs w:val="20"/>
          <w:lang w:val="sr-Cyrl-CS"/>
        </w:rPr>
        <w:t>климу</w:t>
      </w:r>
      <w:r w:rsidR="008F5432" w:rsidRPr="005303F7">
        <w:rPr>
          <w:szCs w:val="20"/>
          <w:lang w:val="sr-Cyrl-CS"/>
        </w:rPr>
        <w:t xml:space="preserve"> </w:t>
      </w:r>
      <w:r w:rsidR="003A5D08" w:rsidRPr="005303F7">
        <w:rPr>
          <w:szCs w:val="20"/>
          <w:lang w:val="sr-Cyrl-CS"/>
        </w:rPr>
        <w:t>и</w:t>
      </w:r>
      <w:r w:rsidR="008F5432" w:rsidRPr="005303F7">
        <w:rPr>
          <w:szCs w:val="20"/>
          <w:lang w:val="sr-Cyrl-CS"/>
        </w:rPr>
        <w:t xml:space="preserve"> </w:t>
      </w:r>
      <w:r w:rsidR="003A5D08" w:rsidRPr="005303F7">
        <w:rPr>
          <w:szCs w:val="20"/>
          <w:lang w:val="sr-Cyrl-CS"/>
        </w:rPr>
        <w:t>енергетику</w:t>
      </w:r>
      <w:r w:rsidR="008F5432" w:rsidRPr="005303F7">
        <w:rPr>
          <w:szCs w:val="20"/>
          <w:lang w:val="sr-Cyrl-CS"/>
        </w:rPr>
        <w:t xml:space="preserve"> </w:t>
      </w:r>
      <w:r w:rsidR="003A5D08" w:rsidRPr="005303F7">
        <w:rPr>
          <w:szCs w:val="20"/>
          <w:lang w:val="sr-Cyrl-CS"/>
        </w:rPr>
        <w:t>ЕУ</w:t>
      </w:r>
      <w:r w:rsidR="004C18B9" w:rsidRPr="005303F7">
        <w:rPr>
          <w:szCs w:val="20"/>
          <w:lang w:val="sr-Cyrl-CS"/>
        </w:rPr>
        <w:t xml:space="preserve"> </w:t>
      </w:r>
      <w:r w:rsidR="003A5D08" w:rsidRPr="005303F7">
        <w:rPr>
          <w:szCs w:val="20"/>
          <w:lang w:val="sr-Cyrl-CS"/>
        </w:rPr>
        <w:t>до</w:t>
      </w:r>
      <w:r w:rsidR="008F5432" w:rsidRPr="005303F7">
        <w:rPr>
          <w:szCs w:val="20"/>
          <w:lang w:val="sr-Cyrl-CS"/>
        </w:rPr>
        <w:t xml:space="preserve"> 2030. </w:t>
      </w:r>
      <w:r w:rsidR="003A5D08" w:rsidRPr="005303F7">
        <w:rPr>
          <w:szCs w:val="20"/>
          <w:lang w:val="sr-Cyrl-CS"/>
        </w:rPr>
        <w:t>године</w:t>
      </w:r>
      <w:r w:rsidR="008F5432" w:rsidRPr="005303F7">
        <w:rPr>
          <w:szCs w:val="20"/>
          <w:lang w:val="sr-Cyrl-CS"/>
        </w:rPr>
        <w:t xml:space="preserve"> </w:t>
      </w:r>
      <w:r w:rsidR="003A5D08" w:rsidRPr="005303F7">
        <w:rPr>
          <w:szCs w:val="20"/>
          <w:lang w:val="sr-Cyrl-CS"/>
        </w:rPr>
        <w:t>поставља</w:t>
      </w:r>
      <w:r w:rsidR="008F5432" w:rsidRPr="005303F7">
        <w:rPr>
          <w:szCs w:val="20"/>
          <w:lang w:val="sr-Cyrl-CS"/>
        </w:rPr>
        <w:t xml:space="preserve"> </w:t>
      </w:r>
      <w:r w:rsidR="003A5D08" w:rsidRPr="005303F7">
        <w:rPr>
          <w:szCs w:val="20"/>
          <w:lang w:val="sr-Cyrl-CS"/>
        </w:rPr>
        <w:t>три</w:t>
      </w:r>
      <w:r w:rsidR="008F5432" w:rsidRPr="005303F7">
        <w:rPr>
          <w:szCs w:val="20"/>
          <w:lang w:val="sr-Cyrl-CS"/>
        </w:rPr>
        <w:t xml:space="preserve"> </w:t>
      </w:r>
      <w:r w:rsidR="003A5D08" w:rsidRPr="005303F7">
        <w:rPr>
          <w:szCs w:val="20"/>
          <w:lang w:val="sr-Cyrl-CS"/>
        </w:rPr>
        <w:t>кључна</w:t>
      </w:r>
      <w:r w:rsidR="008F5432" w:rsidRPr="005303F7">
        <w:rPr>
          <w:szCs w:val="20"/>
          <w:lang w:val="sr-Cyrl-CS"/>
        </w:rPr>
        <w:t xml:space="preserve"> </w:t>
      </w:r>
      <w:r w:rsidR="003A5D08" w:rsidRPr="005303F7">
        <w:rPr>
          <w:szCs w:val="20"/>
          <w:lang w:val="sr-Cyrl-CS"/>
        </w:rPr>
        <w:t>циља</w:t>
      </w:r>
      <w:r w:rsidR="008F5432" w:rsidRPr="005303F7">
        <w:rPr>
          <w:szCs w:val="20"/>
          <w:lang w:val="sr-Cyrl-CS"/>
        </w:rPr>
        <w:t xml:space="preserve"> </w:t>
      </w:r>
      <w:r w:rsidR="003A5D08" w:rsidRPr="005303F7">
        <w:rPr>
          <w:szCs w:val="20"/>
          <w:lang w:val="sr-Cyrl-CS"/>
        </w:rPr>
        <w:t>која</w:t>
      </w:r>
      <w:r w:rsidR="008F5432" w:rsidRPr="005303F7">
        <w:rPr>
          <w:szCs w:val="20"/>
          <w:lang w:val="sr-Cyrl-CS"/>
        </w:rPr>
        <w:t xml:space="preserve"> </w:t>
      </w:r>
      <w:r w:rsidR="003A5D08" w:rsidRPr="005303F7">
        <w:rPr>
          <w:szCs w:val="20"/>
          <w:lang w:val="sr-Cyrl-CS"/>
        </w:rPr>
        <w:t>треба</w:t>
      </w:r>
      <w:r w:rsidR="008F5432" w:rsidRPr="005303F7">
        <w:rPr>
          <w:szCs w:val="20"/>
          <w:lang w:val="sr-Cyrl-CS"/>
        </w:rPr>
        <w:t xml:space="preserve"> </w:t>
      </w:r>
      <w:r w:rsidR="003A5D08" w:rsidRPr="005303F7">
        <w:rPr>
          <w:szCs w:val="20"/>
          <w:lang w:val="sr-Cyrl-CS"/>
        </w:rPr>
        <w:t>постићи</w:t>
      </w:r>
      <w:r w:rsidR="008F5432" w:rsidRPr="005303F7">
        <w:rPr>
          <w:szCs w:val="20"/>
          <w:lang w:val="sr-Cyrl-CS"/>
        </w:rPr>
        <w:t xml:space="preserve"> </w:t>
      </w:r>
      <w:r w:rsidR="003A5D08" w:rsidRPr="005303F7">
        <w:rPr>
          <w:szCs w:val="20"/>
          <w:lang w:val="sr-Cyrl-CS"/>
        </w:rPr>
        <w:t>до</w:t>
      </w:r>
      <w:r w:rsidR="008F5432" w:rsidRPr="005303F7">
        <w:rPr>
          <w:szCs w:val="20"/>
          <w:lang w:val="sr-Cyrl-CS"/>
        </w:rPr>
        <w:t xml:space="preserve"> 2030. </w:t>
      </w:r>
      <w:r w:rsidR="003A5D08" w:rsidRPr="005303F7">
        <w:rPr>
          <w:szCs w:val="20"/>
          <w:lang w:val="sr-Cyrl-CS"/>
        </w:rPr>
        <w:t>године</w:t>
      </w:r>
      <w:r w:rsidR="008F5432" w:rsidRPr="005303F7">
        <w:rPr>
          <w:szCs w:val="20"/>
          <w:lang w:val="sr-Cyrl-CS"/>
        </w:rPr>
        <w:t xml:space="preserve">: </w:t>
      </w:r>
      <w:r w:rsidR="003A5D08" w:rsidRPr="005303F7">
        <w:rPr>
          <w:szCs w:val="20"/>
          <w:lang w:val="sr-Cyrl-CS"/>
        </w:rPr>
        <w:t>најмање</w:t>
      </w:r>
      <w:r w:rsidR="008F5432" w:rsidRPr="005303F7">
        <w:rPr>
          <w:szCs w:val="20"/>
          <w:lang w:val="sr-Cyrl-CS"/>
        </w:rPr>
        <w:t xml:space="preserve"> 40% </w:t>
      </w:r>
      <w:r w:rsidR="003A5D08" w:rsidRPr="005303F7">
        <w:rPr>
          <w:szCs w:val="20"/>
          <w:lang w:val="sr-Cyrl-CS"/>
        </w:rPr>
        <w:t>смањења</w:t>
      </w:r>
      <w:r w:rsidR="008F5432" w:rsidRPr="005303F7">
        <w:rPr>
          <w:szCs w:val="20"/>
          <w:lang w:val="sr-Cyrl-CS"/>
        </w:rPr>
        <w:t xml:space="preserve"> </w:t>
      </w:r>
      <w:r w:rsidR="003A5D08" w:rsidRPr="005303F7">
        <w:rPr>
          <w:szCs w:val="20"/>
          <w:lang w:val="sr-Cyrl-CS"/>
        </w:rPr>
        <w:t>емисија</w:t>
      </w:r>
      <w:r w:rsidR="008F5432" w:rsidRPr="005303F7">
        <w:rPr>
          <w:szCs w:val="20"/>
          <w:lang w:val="sr-Cyrl-CS"/>
        </w:rPr>
        <w:t xml:space="preserve"> </w:t>
      </w:r>
      <w:r w:rsidR="003A5D08" w:rsidRPr="005303F7">
        <w:rPr>
          <w:szCs w:val="20"/>
          <w:lang w:val="sr-Cyrl-CS"/>
        </w:rPr>
        <w:t>гасова</w:t>
      </w:r>
      <w:r w:rsidR="008F5432" w:rsidRPr="005303F7">
        <w:rPr>
          <w:szCs w:val="20"/>
          <w:lang w:val="sr-Cyrl-CS"/>
        </w:rPr>
        <w:t xml:space="preserve"> </w:t>
      </w:r>
      <w:r w:rsidR="003A5D08" w:rsidRPr="005303F7">
        <w:rPr>
          <w:szCs w:val="20"/>
          <w:lang w:val="sr-Cyrl-CS"/>
        </w:rPr>
        <w:t>са</w:t>
      </w:r>
      <w:r w:rsidR="008F5432" w:rsidRPr="005303F7">
        <w:rPr>
          <w:szCs w:val="20"/>
          <w:lang w:val="sr-Cyrl-CS"/>
        </w:rPr>
        <w:t xml:space="preserve"> </w:t>
      </w:r>
      <w:r w:rsidR="003A5D08" w:rsidRPr="005303F7">
        <w:rPr>
          <w:szCs w:val="20"/>
          <w:lang w:val="sr-Cyrl-CS"/>
        </w:rPr>
        <w:t>ефектом</w:t>
      </w:r>
      <w:r w:rsidR="008F5432" w:rsidRPr="005303F7">
        <w:rPr>
          <w:szCs w:val="20"/>
          <w:lang w:val="sr-Cyrl-CS"/>
        </w:rPr>
        <w:t xml:space="preserve"> </w:t>
      </w:r>
      <w:r w:rsidR="003A5D08" w:rsidRPr="005303F7">
        <w:rPr>
          <w:szCs w:val="20"/>
          <w:lang w:val="sr-Cyrl-CS"/>
        </w:rPr>
        <w:t>стаклене</w:t>
      </w:r>
      <w:r w:rsidR="008F5432" w:rsidRPr="005303F7">
        <w:rPr>
          <w:szCs w:val="20"/>
          <w:lang w:val="sr-Cyrl-CS"/>
        </w:rPr>
        <w:t xml:space="preserve"> </w:t>
      </w:r>
      <w:r w:rsidR="003A5D08" w:rsidRPr="005303F7">
        <w:rPr>
          <w:szCs w:val="20"/>
          <w:lang w:val="sr-Cyrl-CS"/>
        </w:rPr>
        <w:t>баште</w:t>
      </w:r>
      <w:r w:rsidR="008F5432" w:rsidRPr="005303F7">
        <w:rPr>
          <w:szCs w:val="20"/>
          <w:lang w:val="sr-Cyrl-CS"/>
        </w:rPr>
        <w:t xml:space="preserve"> (</w:t>
      </w:r>
      <w:r w:rsidR="003A5D08" w:rsidRPr="005303F7">
        <w:rPr>
          <w:szCs w:val="20"/>
          <w:lang w:val="sr-Cyrl-CS"/>
        </w:rPr>
        <w:t>у</w:t>
      </w:r>
      <w:r w:rsidR="008F5432" w:rsidRPr="005303F7">
        <w:rPr>
          <w:szCs w:val="20"/>
          <w:lang w:val="sr-Cyrl-CS"/>
        </w:rPr>
        <w:t xml:space="preserve"> </w:t>
      </w:r>
      <w:r w:rsidR="003A5D08" w:rsidRPr="005303F7">
        <w:rPr>
          <w:szCs w:val="20"/>
          <w:lang w:val="sr-Cyrl-CS"/>
        </w:rPr>
        <w:t>односу</w:t>
      </w:r>
      <w:r w:rsidR="00605950" w:rsidRPr="005303F7">
        <w:rPr>
          <w:szCs w:val="20"/>
          <w:lang w:val="sr-Cyrl-CS"/>
        </w:rPr>
        <w:t xml:space="preserve"> </w:t>
      </w:r>
      <w:r w:rsidR="003A5D08" w:rsidRPr="005303F7">
        <w:rPr>
          <w:szCs w:val="20"/>
          <w:lang w:val="sr-Cyrl-CS"/>
        </w:rPr>
        <w:t>на</w:t>
      </w:r>
      <w:r w:rsidR="008F5432" w:rsidRPr="005303F7">
        <w:rPr>
          <w:szCs w:val="20"/>
          <w:lang w:val="sr-Cyrl-CS"/>
        </w:rPr>
        <w:t xml:space="preserve"> </w:t>
      </w:r>
      <w:r w:rsidR="003A5D08" w:rsidRPr="005303F7">
        <w:rPr>
          <w:szCs w:val="20"/>
          <w:lang w:val="sr-Cyrl-CS"/>
        </w:rPr>
        <w:t>ниво</w:t>
      </w:r>
      <w:r w:rsidR="008F5432" w:rsidRPr="005303F7">
        <w:rPr>
          <w:szCs w:val="20"/>
          <w:lang w:val="sr-Cyrl-CS"/>
        </w:rPr>
        <w:t xml:space="preserve"> </w:t>
      </w:r>
      <w:r w:rsidR="003A5D08" w:rsidRPr="005303F7">
        <w:rPr>
          <w:szCs w:val="20"/>
          <w:lang w:val="sr-Cyrl-CS"/>
        </w:rPr>
        <w:t>из</w:t>
      </w:r>
      <w:r w:rsidR="008F5432" w:rsidRPr="005303F7">
        <w:rPr>
          <w:szCs w:val="20"/>
          <w:lang w:val="sr-Cyrl-CS"/>
        </w:rPr>
        <w:t xml:space="preserve"> 1990. </w:t>
      </w:r>
      <w:r w:rsidR="003A5D08" w:rsidRPr="005303F7">
        <w:rPr>
          <w:szCs w:val="20"/>
          <w:lang w:val="sr-Cyrl-CS"/>
        </w:rPr>
        <w:t>године</w:t>
      </w:r>
      <w:r w:rsidR="008F5432" w:rsidRPr="005303F7">
        <w:rPr>
          <w:szCs w:val="20"/>
          <w:lang w:val="sr-Cyrl-CS"/>
        </w:rPr>
        <w:t xml:space="preserve">), </w:t>
      </w:r>
      <w:r w:rsidR="003A5D08" w:rsidRPr="005303F7">
        <w:rPr>
          <w:szCs w:val="20"/>
          <w:lang w:val="sr-Cyrl-CS"/>
        </w:rPr>
        <w:t>најмање</w:t>
      </w:r>
      <w:r w:rsidR="008F5432" w:rsidRPr="005303F7">
        <w:rPr>
          <w:szCs w:val="20"/>
          <w:lang w:val="sr-Cyrl-CS"/>
        </w:rPr>
        <w:t xml:space="preserve"> 32% </w:t>
      </w:r>
      <w:r w:rsidR="003A5D08" w:rsidRPr="005303F7">
        <w:rPr>
          <w:szCs w:val="20"/>
          <w:lang w:val="sr-Cyrl-CS"/>
        </w:rPr>
        <w:t>учешћа</w:t>
      </w:r>
      <w:r w:rsidR="008F5432" w:rsidRPr="005303F7">
        <w:rPr>
          <w:szCs w:val="20"/>
          <w:lang w:val="sr-Cyrl-CS"/>
        </w:rPr>
        <w:t xml:space="preserve"> </w:t>
      </w:r>
      <w:r w:rsidR="003A5D08" w:rsidRPr="005303F7">
        <w:rPr>
          <w:szCs w:val="20"/>
          <w:lang w:val="sr-Cyrl-CS"/>
        </w:rPr>
        <w:t>енергије</w:t>
      </w:r>
      <w:r w:rsidR="008F5432" w:rsidRPr="005303F7">
        <w:rPr>
          <w:szCs w:val="20"/>
          <w:lang w:val="sr-Cyrl-CS"/>
        </w:rPr>
        <w:t xml:space="preserve"> </w:t>
      </w:r>
      <w:r w:rsidR="003A5D08" w:rsidRPr="005303F7">
        <w:rPr>
          <w:szCs w:val="20"/>
          <w:lang w:val="sr-Cyrl-CS"/>
        </w:rPr>
        <w:t>из</w:t>
      </w:r>
      <w:r w:rsidR="008F5432" w:rsidRPr="005303F7">
        <w:rPr>
          <w:szCs w:val="20"/>
          <w:lang w:val="sr-Cyrl-CS"/>
        </w:rPr>
        <w:t xml:space="preserve"> </w:t>
      </w:r>
      <w:r w:rsidR="003A5D08" w:rsidRPr="005303F7">
        <w:rPr>
          <w:szCs w:val="20"/>
          <w:lang w:val="sr-Cyrl-CS"/>
        </w:rPr>
        <w:t>обновљивих</w:t>
      </w:r>
      <w:r w:rsidR="008F5432" w:rsidRPr="005303F7">
        <w:rPr>
          <w:szCs w:val="20"/>
          <w:lang w:val="sr-Cyrl-CS"/>
        </w:rPr>
        <w:t xml:space="preserve"> </w:t>
      </w:r>
      <w:r w:rsidR="003A5D08" w:rsidRPr="005303F7">
        <w:rPr>
          <w:szCs w:val="20"/>
          <w:lang w:val="sr-Cyrl-CS"/>
        </w:rPr>
        <w:t>извора</w:t>
      </w:r>
      <w:r w:rsidR="008F5432" w:rsidRPr="005303F7">
        <w:rPr>
          <w:szCs w:val="20"/>
          <w:lang w:val="sr-Cyrl-CS"/>
        </w:rPr>
        <w:t xml:space="preserve"> </w:t>
      </w:r>
      <w:r w:rsidR="003A5D08" w:rsidRPr="005303F7">
        <w:rPr>
          <w:szCs w:val="20"/>
          <w:lang w:val="sr-Cyrl-CS"/>
        </w:rPr>
        <w:t>и</w:t>
      </w:r>
      <w:r w:rsidR="008F5432" w:rsidRPr="005303F7">
        <w:rPr>
          <w:szCs w:val="20"/>
          <w:lang w:val="sr-Cyrl-CS"/>
        </w:rPr>
        <w:t xml:space="preserve"> </w:t>
      </w:r>
      <w:r w:rsidR="003A5D08" w:rsidRPr="005303F7">
        <w:rPr>
          <w:szCs w:val="20"/>
          <w:lang w:val="sr-Cyrl-CS"/>
        </w:rPr>
        <w:t>унапређење</w:t>
      </w:r>
      <w:r w:rsidR="008F5432" w:rsidRPr="005303F7">
        <w:rPr>
          <w:szCs w:val="20"/>
          <w:lang w:val="sr-Cyrl-CS"/>
        </w:rPr>
        <w:t xml:space="preserve"> </w:t>
      </w:r>
      <w:r w:rsidR="003A5D08" w:rsidRPr="005303F7">
        <w:rPr>
          <w:szCs w:val="20"/>
          <w:lang w:val="sr-Cyrl-CS"/>
        </w:rPr>
        <w:t>енергетске</w:t>
      </w:r>
      <w:r w:rsidR="008F5432" w:rsidRPr="005303F7">
        <w:rPr>
          <w:szCs w:val="20"/>
          <w:lang w:val="sr-Cyrl-CS"/>
        </w:rPr>
        <w:t xml:space="preserve"> </w:t>
      </w:r>
      <w:r w:rsidR="003A5D08" w:rsidRPr="005303F7">
        <w:rPr>
          <w:szCs w:val="20"/>
          <w:lang w:val="sr-Cyrl-CS"/>
        </w:rPr>
        <w:t>ефикасности</w:t>
      </w:r>
      <w:r w:rsidR="008F5432" w:rsidRPr="005303F7">
        <w:rPr>
          <w:szCs w:val="20"/>
          <w:lang w:val="sr-Cyrl-CS"/>
        </w:rPr>
        <w:t xml:space="preserve"> </w:t>
      </w:r>
      <w:r w:rsidR="003A5D08" w:rsidRPr="005303F7">
        <w:rPr>
          <w:szCs w:val="20"/>
          <w:lang w:val="sr-Cyrl-CS"/>
        </w:rPr>
        <w:t>од</w:t>
      </w:r>
      <w:r w:rsidR="008F5432" w:rsidRPr="005303F7">
        <w:rPr>
          <w:szCs w:val="20"/>
          <w:lang w:val="sr-Cyrl-CS"/>
        </w:rPr>
        <w:t xml:space="preserve"> </w:t>
      </w:r>
      <w:r w:rsidR="003A5D08" w:rsidRPr="005303F7">
        <w:rPr>
          <w:szCs w:val="20"/>
          <w:lang w:val="sr-Cyrl-CS"/>
        </w:rPr>
        <w:t>најмање</w:t>
      </w:r>
      <w:r w:rsidR="008F5432" w:rsidRPr="005303F7">
        <w:rPr>
          <w:szCs w:val="20"/>
          <w:lang w:val="sr-Cyrl-CS"/>
        </w:rPr>
        <w:t xml:space="preserve"> 32,5%.</w:t>
      </w:r>
    </w:p>
    <w:p w14:paraId="5A838CAF" w14:textId="77777777" w:rsidR="008F5432" w:rsidRPr="005303F7" w:rsidRDefault="008F5432" w:rsidP="00D55F2D">
      <w:pPr>
        <w:pStyle w:val="NoSpacing"/>
        <w:rPr>
          <w:szCs w:val="20"/>
          <w:lang w:val="sr-Cyrl-CS"/>
        </w:rPr>
      </w:pPr>
    </w:p>
    <w:p w14:paraId="7A53827E" w14:textId="40DD2FF0" w:rsidR="00EB5064" w:rsidRPr="005303F7" w:rsidRDefault="003A5D08" w:rsidP="001A1A44">
      <w:pPr>
        <w:pStyle w:val="NoSpacing"/>
        <w:ind w:firstLine="720"/>
        <w:rPr>
          <w:szCs w:val="20"/>
          <w:lang w:val="sr-Cyrl-CS"/>
        </w:rPr>
      </w:pPr>
      <w:r w:rsidRPr="005303F7">
        <w:rPr>
          <w:szCs w:val="20"/>
          <w:lang w:val="sr-Cyrl-CS"/>
        </w:rPr>
        <w:t>Слично</w:t>
      </w:r>
      <w:r w:rsidR="00EB5064" w:rsidRPr="005303F7">
        <w:rPr>
          <w:szCs w:val="20"/>
          <w:lang w:val="sr-Cyrl-CS"/>
        </w:rPr>
        <w:t xml:space="preserve"> </w:t>
      </w:r>
      <w:r w:rsidR="00AD0527" w:rsidRPr="005303F7">
        <w:rPr>
          <w:szCs w:val="20"/>
          <w:lang w:val="sr-Cyrl-CS"/>
        </w:rPr>
        <w:t>ЕУ</w:t>
      </w:r>
      <w:r w:rsidR="00EB5064" w:rsidRPr="005303F7">
        <w:rPr>
          <w:szCs w:val="20"/>
          <w:lang w:val="sr-Cyrl-CS"/>
        </w:rPr>
        <w:t xml:space="preserve">, </w:t>
      </w:r>
      <w:r w:rsidRPr="005303F7">
        <w:rPr>
          <w:szCs w:val="20"/>
          <w:lang w:val="sr-Cyrl-CS"/>
        </w:rPr>
        <w:t>уговорне</w:t>
      </w:r>
      <w:r w:rsidR="00EB5064" w:rsidRPr="005303F7">
        <w:rPr>
          <w:szCs w:val="20"/>
          <w:lang w:val="sr-Cyrl-CS"/>
        </w:rPr>
        <w:t xml:space="preserve"> </w:t>
      </w:r>
      <w:r w:rsidRPr="005303F7">
        <w:rPr>
          <w:szCs w:val="20"/>
          <w:lang w:val="sr-Cyrl-CS"/>
        </w:rPr>
        <w:t>стране</w:t>
      </w:r>
      <w:r w:rsidR="00EB5064" w:rsidRPr="005303F7">
        <w:rPr>
          <w:szCs w:val="20"/>
          <w:lang w:val="sr-Cyrl-CS"/>
        </w:rPr>
        <w:t xml:space="preserve"> </w:t>
      </w:r>
      <w:r w:rsidRPr="005303F7">
        <w:rPr>
          <w:szCs w:val="20"/>
          <w:lang w:val="sr-Cyrl-CS"/>
        </w:rPr>
        <w:t>Енергетске</w:t>
      </w:r>
      <w:r w:rsidR="00EB5064" w:rsidRPr="005303F7">
        <w:rPr>
          <w:szCs w:val="20"/>
          <w:lang w:val="sr-Cyrl-CS"/>
        </w:rPr>
        <w:t xml:space="preserve"> </w:t>
      </w:r>
      <w:r w:rsidRPr="005303F7">
        <w:rPr>
          <w:szCs w:val="20"/>
          <w:lang w:val="sr-Cyrl-CS"/>
        </w:rPr>
        <w:t>заједнице</w:t>
      </w:r>
      <w:r w:rsidR="00E94573" w:rsidRPr="005303F7">
        <w:rPr>
          <w:rStyle w:val="FootnoteReference"/>
          <w:szCs w:val="20"/>
          <w:lang w:val="sr-Cyrl-CS"/>
        </w:rPr>
        <w:footnoteReference w:id="3"/>
      </w:r>
      <w:r w:rsidR="00563CD9" w:rsidRPr="005303F7">
        <w:rPr>
          <w:szCs w:val="20"/>
          <w:lang w:val="sr-Cyrl-CS"/>
        </w:rPr>
        <w:t xml:space="preserve"> (енгл. Energy Community </w:t>
      </w:r>
      <w:r w:rsidR="00C64AC3" w:rsidRPr="005303F7">
        <w:rPr>
          <w:szCs w:val="20"/>
          <w:lang w:val="sr-Cyrl-CS"/>
        </w:rPr>
        <w:t>–</w:t>
      </w:r>
      <w:r w:rsidR="00563CD9" w:rsidRPr="005303F7">
        <w:rPr>
          <w:szCs w:val="20"/>
          <w:lang w:val="sr-Cyrl-CS"/>
        </w:rPr>
        <w:t xml:space="preserve"> </w:t>
      </w:r>
      <w:r w:rsidR="00C64AC3" w:rsidRPr="005303F7">
        <w:rPr>
          <w:szCs w:val="20"/>
          <w:lang w:val="sr-Cyrl-CS"/>
        </w:rPr>
        <w:t xml:space="preserve">у даљем тексту: </w:t>
      </w:r>
      <w:r w:rsidR="00563CD9" w:rsidRPr="005303F7">
        <w:rPr>
          <w:szCs w:val="20"/>
          <w:lang w:val="sr-Cyrl-CS"/>
        </w:rPr>
        <w:t>EnC)</w:t>
      </w:r>
      <w:r w:rsidR="00EB5064" w:rsidRPr="005303F7">
        <w:rPr>
          <w:szCs w:val="20"/>
          <w:lang w:val="sr-Cyrl-CS"/>
        </w:rPr>
        <w:t xml:space="preserve">, </w:t>
      </w:r>
      <w:r w:rsidRPr="005303F7">
        <w:rPr>
          <w:szCs w:val="20"/>
          <w:lang w:val="sr-Cyrl-CS"/>
        </w:rPr>
        <w:t>укључујући</w:t>
      </w:r>
      <w:r w:rsidR="00EB5064" w:rsidRPr="005303F7">
        <w:rPr>
          <w:szCs w:val="20"/>
          <w:lang w:val="sr-Cyrl-CS"/>
        </w:rPr>
        <w:t xml:space="preserve"> </w:t>
      </w:r>
      <w:r w:rsidRPr="005303F7">
        <w:rPr>
          <w:szCs w:val="20"/>
          <w:lang w:val="sr-Cyrl-CS"/>
        </w:rPr>
        <w:t>и</w:t>
      </w:r>
      <w:r w:rsidR="00234A02" w:rsidRPr="005303F7">
        <w:rPr>
          <w:szCs w:val="20"/>
          <w:lang w:val="sr-Cyrl-CS"/>
        </w:rPr>
        <w:t xml:space="preserve"> </w:t>
      </w:r>
      <w:r w:rsidR="00B0334E" w:rsidRPr="005303F7">
        <w:rPr>
          <w:szCs w:val="20"/>
          <w:lang w:val="sr-Cyrl-CS"/>
        </w:rPr>
        <w:t xml:space="preserve">Републику </w:t>
      </w:r>
      <w:r w:rsidRPr="005303F7">
        <w:rPr>
          <w:szCs w:val="20"/>
          <w:lang w:val="sr-Cyrl-CS"/>
        </w:rPr>
        <w:t>Србију</w:t>
      </w:r>
      <w:r w:rsidR="00EB5064" w:rsidRPr="005303F7">
        <w:rPr>
          <w:szCs w:val="20"/>
          <w:lang w:val="sr-Cyrl-CS"/>
        </w:rPr>
        <w:t xml:space="preserve">, </w:t>
      </w:r>
      <w:r w:rsidRPr="005303F7">
        <w:rPr>
          <w:szCs w:val="20"/>
          <w:lang w:val="sr-Cyrl-CS"/>
        </w:rPr>
        <w:t>посвећене</w:t>
      </w:r>
      <w:r w:rsidR="00EB5064" w:rsidRPr="005303F7">
        <w:rPr>
          <w:szCs w:val="20"/>
          <w:lang w:val="sr-Cyrl-CS"/>
        </w:rPr>
        <w:t xml:space="preserve"> </w:t>
      </w:r>
      <w:r w:rsidRPr="005303F7">
        <w:rPr>
          <w:szCs w:val="20"/>
          <w:lang w:val="sr-Cyrl-CS"/>
        </w:rPr>
        <w:t>су</w:t>
      </w:r>
      <w:r w:rsidR="00EB5064" w:rsidRPr="005303F7">
        <w:rPr>
          <w:szCs w:val="20"/>
          <w:lang w:val="sr-Cyrl-CS"/>
        </w:rPr>
        <w:t xml:space="preserve"> </w:t>
      </w:r>
      <w:r w:rsidRPr="005303F7">
        <w:rPr>
          <w:szCs w:val="20"/>
          <w:lang w:val="sr-Cyrl-CS"/>
        </w:rPr>
        <w:t>праћењу</w:t>
      </w:r>
      <w:r w:rsidR="00EB5064" w:rsidRPr="005303F7">
        <w:rPr>
          <w:szCs w:val="20"/>
          <w:lang w:val="sr-Cyrl-CS"/>
        </w:rPr>
        <w:t xml:space="preserve"> </w:t>
      </w:r>
      <w:r w:rsidRPr="005303F7">
        <w:rPr>
          <w:szCs w:val="20"/>
          <w:lang w:val="sr-Cyrl-CS"/>
        </w:rPr>
        <w:t>и</w:t>
      </w:r>
      <w:r w:rsidR="00EB5064" w:rsidRPr="005303F7">
        <w:rPr>
          <w:szCs w:val="20"/>
          <w:lang w:val="sr-Cyrl-CS"/>
        </w:rPr>
        <w:t xml:space="preserve"> </w:t>
      </w:r>
      <w:r w:rsidRPr="005303F7">
        <w:rPr>
          <w:szCs w:val="20"/>
          <w:lang w:val="sr-Cyrl-CS"/>
        </w:rPr>
        <w:t>извештавању</w:t>
      </w:r>
      <w:r w:rsidR="00EB5064" w:rsidRPr="005303F7">
        <w:rPr>
          <w:szCs w:val="20"/>
          <w:lang w:val="sr-Cyrl-CS"/>
        </w:rPr>
        <w:t xml:space="preserve"> </w:t>
      </w:r>
      <w:r w:rsidRPr="005303F7">
        <w:rPr>
          <w:szCs w:val="20"/>
          <w:lang w:val="sr-Cyrl-CS"/>
        </w:rPr>
        <w:t>у</w:t>
      </w:r>
      <w:r w:rsidR="00EB5064" w:rsidRPr="005303F7">
        <w:rPr>
          <w:szCs w:val="20"/>
          <w:lang w:val="sr-Cyrl-CS"/>
        </w:rPr>
        <w:t xml:space="preserve"> </w:t>
      </w:r>
      <w:r w:rsidRPr="005303F7">
        <w:rPr>
          <w:szCs w:val="20"/>
          <w:lang w:val="sr-Cyrl-CS"/>
        </w:rPr>
        <w:t>областима</w:t>
      </w:r>
      <w:r w:rsidR="00EB5064" w:rsidRPr="005303F7">
        <w:rPr>
          <w:szCs w:val="20"/>
          <w:lang w:val="sr-Cyrl-CS"/>
        </w:rPr>
        <w:t xml:space="preserve"> </w:t>
      </w:r>
      <w:r w:rsidRPr="005303F7">
        <w:rPr>
          <w:szCs w:val="20"/>
          <w:lang w:val="sr-Cyrl-CS"/>
        </w:rPr>
        <w:t>обновљивих</w:t>
      </w:r>
      <w:r w:rsidR="00EB5064" w:rsidRPr="005303F7">
        <w:rPr>
          <w:szCs w:val="20"/>
          <w:lang w:val="sr-Cyrl-CS"/>
        </w:rPr>
        <w:t xml:space="preserve"> </w:t>
      </w:r>
      <w:r w:rsidRPr="005303F7">
        <w:rPr>
          <w:szCs w:val="20"/>
          <w:lang w:val="sr-Cyrl-CS"/>
        </w:rPr>
        <w:t>извора</w:t>
      </w:r>
      <w:r w:rsidR="00EB5064" w:rsidRPr="005303F7">
        <w:rPr>
          <w:szCs w:val="20"/>
          <w:lang w:val="sr-Cyrl-CS"/>
        </w:rPr>
        <w:t xml:space="preserve"> </w:t>
      </w:r>
      <w:r w:rsidRPr="005303F7">
        <w:rPr>
          <w:szCs w:val="20"/>
          <w:lang w:val="sr-Cyrl-CS"/>
        </w:rPr>
        <w:t>енергије</w:t>
      </w:r>
      <w:r w:rsidR="00EB5064" w:rsidRPr="005303F7">
        <w:rPr>
          <w:szCs w:val="20"/>
          <w:lang w:val="sr-Cyrl-CS"/>
        </w:rPr>
        <w:t xml:space="preserve">, </w:t>
      </w:r>
      <w:r w:rsidRPr="005303F7">
        <w:rPr>
          <w:szCs w:val="20"/>
          <w:lang w:val="sr-Cyrl-CS"/>
        </w:rPr>
        <w:t>енергетске</w:t>
      </w:r>
      <w:r w:rsidR="00EB5064" w:rsidRPr="005303F7">
        <w:rPr>
          <w:szCs w:val="20"/>
          <w:lang w:val="sr-Cyrl-CS"/>
        </w:rPr>
        <w:t xml:space="preserve"> </w:t>
      </w:r>
      <w:r w:rsidRPr="005303F7">
        <w:rPr>
          <w:szCs w:val="20"/>
          <w:lang w:val="sr-Cyrl-CS"/>
        </w:rPr>
        <w:t>ефикасности</w:t>
      </w:r>
      <w:r w:rsidR="00EB5064" w:rsidRPr="005303F7">
        <w:rPr>
          <w:szCs w:val="20"/>
          <w:lang w:val="sr-Cyrl-CS"/>
        </w:rPr>
        <w:t xml:space="preserve"> </w:t>
      </w:r>
      <w:r w:rsidRPr="005303F7">
        <w:rPr>
          <w:szCs w:val="20"/>
          <w:lang w:val="sr-Cyrl-CS"/>
        </w:rPr>
        <w:t>и</w:t>
      </w:r>
      <w:r w:rsidR="00EB5064" w:rsidRPr="005303F7">
        <w:rPr>
          <w:szCs w:val="20"/>
          <w:lang w:val="sr-Cyrl-CS"/>
        </w:rPr>
        <w:t xml:space="preserve"> </w:t>
      </w:r>
      <w:r w:rsidRPr="005303F7">
        <w:rPr>
          <w:szCs w:val="20"/>
          <w:lang w:val="sr-Cyrl-CS"/>
        </w:rPr>
        <w:t>емисија</w:t>
      </w:r>
      <w:r w:rsidR="00EB5064" w:rsidRPr="005303F7">
        <w:rPr>
          <w:szCs w:val="20"/>
          <w:lang w:val="sr-Cyrl-CS"/>
        </w:rPr>
        <w:t xml:space="preserve"> </w:t>
      </w:r>
      <w:r w:rsidRPr="005303F7">
        <w:rPr>
          <w:szCs w:val="20"/>
          <w:lang w:val="sr-Cyrl-CS"/>
        </w:rPr>
        <w:t>гасова</w:t>
      </w:r>
      <w:r w:rsidR="00EB5064" w:rsidRPr="005303F7">
        <w:rPr>
          <w:szCs w:val="20"/>
          <w:lang w:val="sr-Cyrl-CS"/>
        </w:rPr>
        <w:t xml:space="preserve"> </w:t>
      </w:r>
      <w:r w:rsidRPr="005303F7">
        <w:rPr>
          <w:szCs w:val="20"/>
          <w:lang w:val="sr-Cyrl-CS"/>
        </w:rPr>
        <w:t>са</w:t>
      </w:r>
      <w:r w:rsidR="00EB5064" w:rsidRPr="005303F7">
        <w:rPr>
          <w:szCs w:val="20"/>
          <w:lang w:val="sr-Cyrl-CS"/>
        </w:rPr>
        <w:t xml:space="preserve"> </w:t>
      </w:r>
      <w:r w:rsidRPr="005303F7">
        <w:rPr>
          <w:szCs w:val="20"/>
          <w:lang w:val="sr-Cyrl-CS"/>
        </w:rPr>
        <w:t>ефектом</w:t>
      </w:r>
      <w:r w:rsidR="00EB5064" w:rsidRPr="005303F7">
        <w:rPr>
          <w:szCs w:val="20"/>
          <w:lang w:val="sr-Cyrl-CS"/>
        </w:rPr>
        <w:t xml:space="preserve"> </w:t>
      </w:r>
      <w:r w:rsidRPr="005303F7">
        <w:rPr>
          <w:szCs w:val="20"/>
          <w:lang w:val="sr-Cyrl-CS"/>
        </w:rPr>
        <w:t>стаклене</w:t>
      </w:r>
      <w:r w:rsidR="00EB5064" w:rsidRPr="005303F7">
        <w:rPr>
          <w:szCs w:val="20"/>
          <w:lang w:val="sr-Cyrl-CS"/>
        </w:rPr>
        <w:t xml:space="preserve"> </w:t>
      </w:r>
      <w:r w:rsidRPr="005303F7">
        <w:rPr>
          <w:szCs w:val="20"/>
          <w:lang w:val="sr-Cyrl-CS"/>
        </w:rPr>
        <w:t>баште</w:t>
      </w:r>
      <w:r w:rsidR="00EB5064" w:rsidRPr="005303F7">
        <w:rPr>
          <w:szCs w:val="20"/>
          <w:lang w:val="sr-Cyrl-CS"/>
        </w:rPr>
        <w:t xml:space="preserve">, </w:t>
      </w:r>
      <w:r w:rsidRPr="005303F7">
        <w:rPr>
          <w:szCs w:val="20"/>
          <w:lang w:val="sr-Cyrl-CS"/>
        </w:rPr>
        <w:t>као</w:t>
      </w:r>
      <w:r w:rsidR="00EB5064" w:rsidRPr="005303F7">
        <w:rPr>
          <w:szCs w:val="20"/>
          <w:lang w:val="sr-Cyrl-CS"/>
        </w:rPr>
        <w:t xml:space="preserve"> </w:t>
      </w:r>
      <w:r w:rsidRPr="005303F7">
        <w:rPr>
          <w:szCs w:val="20"/>
          <w:lang w:val="sr-Cyrl-CS"/>
        </w:rPr>
        <w:t>и</w:t>
      </w:r>
      <w:r w:rsidR="00EB5064" w:rsidRPr="005303F7">
        <w:rPr>
          <w:szCs w:val="20"/>
          <w:lang w:val="sr-Cyrl-CS"/>
        </w:rPr>
        <w:t xml:space="preserve"> </w:t>
      </w:r>
      <w:r w:rsidRPr="005303F7">
        <w:rPr>
          <w:szCs w:val="20"/>
          <w:lang w:val="sr-Cyrl-CS"/>
        </w:rPr>
        <w:t>других</w:t>
      </w:r>
      <w:r w:rsidR="00EB5064" w:rsidRPr="005303F7">
        <w:rPr>
          <w:szCs w:val="20"/>
          <w:lang w:val="sr-Cyrl-CS"/>
        </w:rPr>
        <w:t xml:space="preserve"> </w:t>
      </w:r>
      <w:r w:rsidRPr="005303F7">
        <w:rPr>
          <w:szCs w:val="20"/>
          <w:lang w:val="sr-Cyrl-CS"/>
        </w:rPr>
        <w:t>информација</w:t>
      </w:r>
      <w:r w:rsidR="00EB5064" w:rsidRPr="005303F7">
        <w:rPr>
          <w:szCs w:val="20"/>
          <w:lang w:val="sr-Cyrl-CS"/>
        </w:rPr>
        <w:t xml:space="preserve"> </w:t>
      </w:r>
      <w:r w:rsidRPr="005303F7">
        <w:rPr>
          <w:szCs w:val="20"/>
          <w:lang w:val="sr-Cyrl-CS"/>
        </w:rPr>
        <w:t>релевантних</w:t>
      </w:r>
      <w:r w:rsidR="00EB5064" w:rsidRPr="005303F7">
        <w:rPr>
          <w:szCs w:val="20"/>
          <w:lang w:val="sr-Cyrl-CS"/>
        </w:rPr>
        <w:t xml:space="preserve"> </w:t>
      </w:r>
      <w:r w:rsidRPr="005303F7">
        <w:rPr>
          <w:szCs w:val="20"/>
          <w:lang w:val="sr-Cyrl-CS"/>
        </w:rPr>
        <w:t>за</w:t>
      </w:r>
      <w:r w:rsidR="00EB5064" w:rsidRPr="005303F7">
        <w:rPr>
          <w:szCs w:val="20"/>
          <w:lang w:val="sr-Cyrl-CS"/>
        </w:rPr>
        <w:t xml:space="preserve"> </w:t>
      </w:r>
      <w:r w:rsidRPr="005303F7">
        <w:rPr>
          <w:szCs w:val="20"/>
          <w:lang w:val="sr-Cyrl-CS"/>
        </w:rPr>
        <w:t>климатске</w:t>
      </w:r>
      <w:r w:rsidR="00EB5064" w:rsidRPr="005303F7">
        <w:rPr>
          <w:szCs w:val="20"/>
          <w:lang w:val="sr-Cyrl-CS"/>
        </w:rPr>
        <w:t xml:space="preserve"> </w:t>
      </w:r>
      <w:r w:rsidRPr="005303F7">
        <w:rPr>
          <w:szCs w:val="20"/>
          <w:lang w:val="sr-Cyrl-CS"/>
        </w:rPr>
        <w:t>промене</w:t>
      </w:r>
      <w:r w:rsidR="00EB5064" w:rsidRPr="005303F7">
        <w:rPr>
          <w:szCs w:val="20"/>
          <w:lang w:val="sr-Cyrl-CS"/>
        </w:rPr>
        <w:t xml:space="preserve">. </w:t>
      </w:r>
      <w:r w:rsidRPr="005303F7">
        <w:rPr>
          <w:szCs w:val="20"/>
          <w:lang w:val="sr-Cyrl-CS"/>
        </w:rPr>
        <w:t>Споразум</w:t>
      </w:r>
      <w:r w:rsidR="006E0E90" w:rsidRPr="005303F7">
        <w:rPr>
          <w:szCs w:val="20"/>
          <w:lang w:val="sr-Cyrl-CS"/>
        </w:rPr>
        <w:t xml:space="preserve"> </w:t>
      </w:r>
      <w:r w:rsidRPr="005303F7">
        <w:rPr>
          <w:szCs w:val="20"/>
          <w:lang w:val="sr-Cyrl-CS"/>
        </w:rPr>
        <w:t>из</w:t>
      </w:r>
      <w:r w:rsidR="006E0E90" w:rsidRPr="005303F7">
        <w:rPr>
          <w:szCs w:val="20"/>
          <w:lang w:val="sr-Cyrl-CS"/>
        </w:rPr>
        <w:t xml:space="preserve"> </w:t>
      </w:r>
      <w:r w:rsidRPr="005303F7">
        <w:rPr>
          <w:szCs w:val="20"/>
          <w:lang w:val="sr-Cyrl-CS"/>
        </w:rPr>
        <w:t>Париза</w:t>
      </w:r>
      <w:r w:rsidR="00EB5064" w:rsidRPr="005303F7">
        <w:rPr>
          <w:szCs w:val="20"/>
          <w:lang w:val="sr-Cyrl-CS"/>
        </w:rPr>
        <w:t xml:space="preserve"> </w:t>
      </w:r>
      <w:r w:rsidRPr="005303F7">
        <w:rPr>
          <w:szCs w:val="20"/>
          <w:lang w:val="sr-Cyrl-CS"/>
        </w:rPr>
        <w:t>даље</w:t>
      </w:r>
      <w:r w:rsidR="00EB5064" w:rsidRPr="005303F7">
        <w:rPr>
          <w:szCs w:val="20"/>
          <w:lang w:val="sr-Cyrl-CS"/>
        </w:rPr>
        <w:t xml:space="preserve"> </w:t>
      </w:r>
      <w:r w:rsidRPr="005303F7">
        <w:rPr>
          <w:szCs w:val="20"/>
          <w:lang w:val="sr-Cyrl-CS"/>
        </w:rPr>
        <w:t>дефинише</w:t>
      </w:r>
      <w:r w:rsidR="00EB5064" w:rsidRPr="005303F7">
        <w:rPr>
          <w:szCs w:val="20"/>
          <w:lang w:val="sr-Cyrl-CS"/>
        </w:rPr>
        <w:t xml:space="preserve"> </w:t>
      </w:r>
      <w:r w:rsidRPr="005303F7">
        <w:rPr>
          <w:szCs w:val="20"/>
          <w:lang w:val="sr-Cyrl-CS"/>
        </w:rPr>
        <w:t>обавезе</w:t>
      </w:r>
      <w:r w:rsidR="00EB5064" w:rsidRPr="005303F7">
        <w:rPr>
          <w:szCs w:val="20"/>
          <w:lang w:val="sr-Cyrl-CS"/>
        </w:rPr>
        <w:t xml:space="preserve"> </w:t>
      </w:r>
      <w:r w:rsidRPr="005303F7">
        <w:rPr>
          <w:szCs w:val="20"/>
          <w:lang w:val="sr-Cyrl-CS"/>
        </w:rPr>
        <w:t>извештавања</w:t>
      </w:r>
      <w:r w:rsidR="00EB5064" w:rsidRPr="005303F7">
        <w:rPr>
          <w:szCs w:val="20"/>
          <w:lang w:val="sr-Cyrl-CS"/>
        </w:rPr>
        <w:t xml:space="preserve"> </w:t>
      </w:r>
      <w:r w:rsidRPr="005303F7">
        <w:rPr>
          <w:szCs w:val="20"/>
          <w:lang w:val="sr-Cyrl-CS"/>
        </w:rPr>
        <w:t>за</w:t>
      </w:r>
      <w:r w:rsidR="00EB5064" w:rsidRPr="005303F7">
        <w:rPr>
          <w:szCs w:val="20"/>
          <w:lang w:val="sr-Cyrl-CS"/>
        </w:rPr>
        <w:t xml:space="preserve"> </w:t>
      </w:r>
      <w:r w:rsidRPr="005303F7">
        <w:rPr>
          <w:szCs w:val="20"/>
          <w:lang w:val="sr-Cyrl-CS"/>
        </w:rPr>
        <w:t>период</w:t>
      </w:r>
      <w:r w:rsidR="00EB5064" w:rsidRPr="005303F7">
        <w:rPr>
          <w:szCs w:val="20"/>
          <w:lang w:val="sr-Cyrl-CS"/>
        </w:rPr>
        <w:t xml:space="preserve"> </w:t>
      </w:r>
      <w:r w:rsidR="002C168F" w:rsidRPr="005303F7">
        <w:rPr>
          <w:szCs w:val="20"/>
          <w:lang w:val="sr-Cyrl-CS"/>
        </w:rPr>
        <w:t xml:space="preserve">после </w:t>
      </w:r>
      <w:r w:rsidR="00EB5064" w:rsidRPr="005303F7">
        <w:rPr>
          <w:szCs w:val="20"/>
          <w:lang w:val="sr-Cyrl-CS"/>
        </w:rPr>
        <w:t xml:space="preserve">2020. </w:t>
      </w:r>
      <w:r w:rsidRPr="005303F7">
        <w:rPr>
          <w:szCs w:val="20"/>
          <w:lang w:val="sr-Cyrl-CS"/>
        </w:rPr>
        <w:t>године</w:t>
      </w:r>
      <w:r w:rsidR="00CB74D9" w:rsidRPr="005303F7">
        <w:rPr>
          <w:szCs w:val="20"/>
          <w:lang w:val="sr-Cyrl-CS"/>
        </w:rPr>
        <w:t>,</w:t>
      </w:r>
      <w:r w:rsidR="00EB5064" w:rsidRPr="005303F7">
        <w:rPr>
          <w:szCs w:val="20"/>
          <w:lang w:val="sr-Cyrl-CS"/>
        </w:rPr>
        <w:t xml:space="preserve"> </w:t>
      </w:r>
      <w:r w:rsidRPr="005303F7">
        <w:rPr>
          <w:szCs w:val="20"/>
          <w:lang w:val="sr-Cyrl-CS"/>
        </w:rPr>
        <w:t>успостављањем</w:t>
      </w:r>
      <w:r w:rsidR="00EB5064" w:rsidRPr="005303F7">
        <w:rPr>
          <w:szCs w:val="20"/>
          <w:lang w:val="sr-Cyrl-CS"/>
        </w:rPr>
        <w:t xml:space="preserve"> </w:t>
      </w:r>
      <w:r w:rsidRPr="005303F7">
        <w:rPr>
          <w:szCs w:val="20"/>
          <w:lang w:val="sr-Cyrl-CS"/>
        </w:rPr>
        <w:t>побољшаног</w:t>
      </w:r>
      <w:r w:rsidR="00EB5064" w:rsidRPr="005303F7">
        <w:rPr>
          <w:szCs w:val="20"/>
          <w:lang w:val="sr-Cyrl-CS"/>
        </w:rPr>
        <w:t xml:space="preserve"> </w:t>
      </w:r>
      <w:r w:rsidRPr="005303F7">
        <w:rPr>
          <w:szCs w:val="20"/>
          <w:lang w:val="sr-Cyrl-CS"/>
        </w:rPr>
        <w:t>оквира</w:t>
      </w:r>
      <w:r w:rsidR="00EB5064" w:rsidRPr="005303F7">
        <w:rPr>
          <w:szCs w:val="20"/>
          <w:lang w:val="sr-Cyrl-CS"/>
        </w:rPr>
        <w:t xml:space="preserve"> </w:t>
      </w:r>
      <w:r w:rsidRPr="005303F7">
        <w:rPr>
          <w:szCs w:val="20"/>
          <w:lang w:val="sr-Cyrl-CS"/>
        </w:rPr>
        <w:t>транспарентности</w:t>
      </w:r>
      <w:r w:rsidR="00EB5064" w:rsidRPr="005303F7">
        <w:rPr>
          <w:szCs w:val="20"/>
          <w:lang w:val="sr-Cyrl-CS"/>
        </w:rPr>
        <w:t xml:space="preserve"> </w:t>
      </w:r>
      <w:r w:rsidRPr="005303F7">
        <w:rPr>
          <w:szCs w:val="20"/>
          <w:lang w:val="sr-Cyrl-CS"/>
        </w:rPr>
        <w:t>за</w:t>
      </w:r>
      <w:r w:rsidR="00EB5064" w:rsidRPr="005303F7">
        <w:rPr>
          <w:szCs w:val="20"/>
          <w:lang w:val="sr-Cyrl-CS"/>
        </w:rPr>
        <w:t xml:space="preserve"> </w:t>
      </w:r>
      <w:r w:rsidRPr="005303F7">
        <w:rPr>
          <w:szCs w:val="20"/>
          <w:lang w:val="sr-Cyrl-CS"/>
        </w:rPr>
        <w:t>деловање</w:t>
      </w:r>
      <w:r w:rsidR="00EB5064" w:rsidRPr="005303F7">
        <w:rPr>
          <w:szCs w:val="20"/>
          <w:lang w:val="sr-Cyrl-CS"/>
        </w:rPr>
        <w:t xml:space="preserve"> </w:t>
      </w:r>
      <w:r w:rsidRPr="005303F7">
        <w:rPr>
          <w:szCs w:val="20"/>
          <w:lang w:val="sr-Cyrl-CS"/>
        </w:rPr>
        <w:t>и</w:t>
      </w:r>
      <w:r w:rsidR="00EB5064" w:rsidRPr="005303F7">
        <w:rPr>
          <w:szCs w:val="20"/>
          <w:lang w:val="sr-Cyrl-CS"/>
        </w:rPr>
        <w:t xml:space="preserve"> </w:t>
      </w:r>
      <w:r w:rsidRPr="005303F7">
        <w:rPr>
          <w:szCs w:val="20"/>
          <w:lang w:val="sr-Cyrl-CS"/>
        </w:rPr>
        <w:t>подршку</w:t>
      </w:r>
      <w:r w:rsidR="00EB5064" w:rsidRPr="005303F7">
        <w:rPr>
          <w:szCs w:val="20"/>
          <w:lang w:val="sr-Cyrl-CS"/>
        </w:rPr>
        <w:t xml:space="preserve">. </w:t>
      </w:r>
      <w:r w:rsidRPr="005303F7">
        <w:rPr>
          <w:szCs w:val="20"/>
          <w:lang w:val="sr-Cyrl-CS"/>
        </w:rPr>
        <w:t>У</w:t>
      </w:r>
      <w:r w:rsidR="00EB5064" w:rsidRPr="005303F7">
        <w:rPr>
          <w:szCs w:val="20"/>
          <w:lang w:val="sr-Cyrl-CS"/>
        </w:rPr>
        <w:t xml:space="preserve"> </w:t>
      </w:r>
      <w:r w:rsidRPr="005303F7">
        <w:rPr>
          <w:szCs w:val="20"/>
          <w:lang w:val="sr-Cyrl-CS"/>
        </w:rPr>
        <w:t>том</w:t>
      </w:r>
      <w:r w:rsidR="00EB5064" w:rsidRPr="005303F7">
        <w:rPr>
          <w:szCs w:val="20"/>
          <w:lang w:val="sr-Cyrl-CS"/>
        </w:rPr>
        <w:t xml:space="preserve"> </w:t>
      </w:r>
      <w:r w:rsidRPr="005303F7">
        <w:rPr>
          <w:szCs w:val="20"/>
          <w:lang w:val="sr-Cyrl-CS"/>
        </w:rPr>
        <w:t>контексту</w:t>
      </w:r>
      <w:r w:rsidR="00EB5064" w:rsidRPr="005303F7">
        <w:rPr>
          <w:szCs w:val="20"/>
          <w:lang w:val="sr-Cyrl-CS"/>
        </w:rPr>
        <w:t xml:space="preserve">, </w:t>
      </w:r>
      <w:r w:rsidRPr="005303F7">
        <w:rPr>
          <w:szCs w:val="20"/>
          <w:lang w:val="sr-Cyrl-CS"/>
        </w:rPr>
        <w:t>Енергетска</w:t>
      </w:r>
      <w:r w:rsidR="00EB5064" w:rsidRPr="005303F7">
        <w:rPr>
          <w:lang w:val="sr-Cyrl-CS"/>
        </w:rPr>
        <w:t xml:space="preserve"> </w:t>
      </w:r>
      <w:r w:rsidRPr="005303F7">
        <w:rPr>
          <w:szCs w:val="20"/>
          <w:lang w:val="sr-Cyrl-CS"/>
        </w:rPr>
        <w:t>заједница</w:t>
      </w:r>
      <w:r w:rsidR="00EB5064" w:rsidRPr="005303F7">
        <w:rPr>
          <w:szCs w:val="20"/>
          <w:lang w:val="sr-Cyrl-CS"/>
        </w:rPr>
        <w:t xml:space="preserve"> </w:t>
      </w:r>
      <w:r w:rsidRPr="005303F7">
        <w:rPr>
          <w:szCs w:val="20"/>
          <w:lang w:val="sr-Cyrl-CS"/>
        </w:rPr>
        <w:t>усвојила</w:t>
      </w:r>
      <w:r w:rsidR="00EB5064" w:rsidRPr="005303F7">
        <w:rPr>
          <w:szCs w:val="20"/>
          <w:lang w:val="sr-Cyrl-CS"/>
        </w:rPr>
        <w:t xml:space="preserve"> </w:t>
      </w:r>
      <w:r w:rsidRPr="005303F7">
        <w:rPr>
          <w:szCs w:val="20"/>
          <w:lang w:val="sr-Cyrl-CS"/>
        </w:rPr>
        <w:t>је</w:t>
      </w:r>
      <w:r w:rsidR="00EB5064" w:rsidRPr="005303F7">
        <w:rPr>
          <w:szCs w:val="20"/>
          <w:lang w:val="sr-Cyrl-CS"/>
        </w:rPr>
        <w:t xml:space="preserve"> </w:t>
      </w:r>
      <w:r w:rsidRPr="005303F7">
        <w:rPr>
          <w:szCs w:val="20"/>
          <w:lang w:val="sr-Cyrl-CS"/>
        </w:rPr>
        <w:t>Препоруку</w:t>
      </w:r>
      <w:r w:rsidR="00EB5064" w:rsidRPr="005303F7">
        <w:rPr>
          <w:szCs w:val="20"/>
          <w:lang w:val="sr-Cyrl-CS"/>
        </w:rPr>
        <w:t xml:space="preserve"> 2018/01/</w:t>
      </w:r>
      <w:r w:rsidR="00F543AF" w:rsidRPr="005303F7">
        <w:rPr>
          <w:szCs w:val="20"/>
          <w:lang w:val="sr-Cyrl-CS"/>
        </w:rPr>
        <w:t>MC</w:t>
      </w:r>
      <w:r w:rsidR="00EB5064" w:rsidRPr="005303F7">
        <w:rPr>
          <w:szCs w:val="20"/>
          <w:lang w:val="sr-Cyrl-CS"/>
        </w:rPr>
        <w:t>-</w:t>
      </w:r>
      <w:r w:rsidR="00F543AF" w:rsidRPr="005303F7">
        <w:rPr>
          <w:szCs w:val="20"/>
          <w:lang w:val="sr-Cyrl-CS"/>
        </w:rPr>
        <w:t>EnC</w:t>
      </w:r>
      <w:r w:rsidR="00EB5064" w:rsidRPr="005303F7">
        <w:rPr>
          <w:szCs w:val="20"/>
          <w:lang w:val="sr-Cyrl-CS"/>
        </w:rPr>
        <w:t xml:space="preserve"> </w:t>
      </w:r>
      <w:r w:rsidRPr="005303F7">
        <w:rPr>
          <w:szCs w:val="20"/>
          <w:lang w:val="sr-Cyrl-CS"/>
        </w:rPr>
        <w:t>о</w:t>
      </w:r>
      <w:r w:rsidR="00EB5064" w:rsidRPr="005303F7">
        <w:rPr>
          <w:szCs w:val="20"/>
          <w:lang w:val="sr-Cyrl-CS"/>
        </w:rPr>
        <w:t xml:space="preserve"> </w:t>
      </w:r>
      <w:r w:rsidRPr="005303F7">
        <w:rPr>
          <w:szCs w:val="20"/>
          <w:lang w:val="sr-Cyrl-CS"/>
        </w:rPr>
        <w:t>припреми</w:t>
      </w:r>
      <w:r w:rsidR="00EB5064" w:rsidRPr="005303F7">
        <w:rPr>
          <w:szCs w:val="20"/>
          <w:lang w:val="sr-Cyrl-CS"/>
        </w:rPr>
        <w:t xml:space="preserve"> </w:t>
      </w:r>
      <w:r w:rsidRPr="005303F7">
        <w:rPr>
          <w:szCs w:val="20"/>
          <w:lang w:val="sr-Cyrl-CS"/>
        </w:rPr>
        <w:t>за</w:t>
      </w:r>
      <w:r w:rsidR="00C11A7C" w:rsidRPr="005303F7">
        <w:rPr>
          <w:szCs w:val="20"/>
          <w:lang w:val="sr-Cyrl-CS"/>
        </w:rPr>
        <w:t xml:space="preserve"> </w:t>
      </w:r>
      <w:r w:rsidRPr="005303F7">
        <w:rPr>
          <w:szCs w:val="20"/>
          <w:lang w:val="sr-Cyrl-CS"/>
        </w:rPr>
        <w:t>израду</w:t>
      </w:r>
      <w:r w:rsidR="00C11A7C" w:rsidRPr="005303F7">
        <w:rPr>
          <w:szCs w:val="20"/>
          <w:lang w:val="sr-Cyrl-CS"/>
        </w:rPr>
        <w:t xml:space="preserve"> </w:t>
      </w:r>
      <w:r w:rsidR="00C64AC3" w:rsidRPr="005303F7">
        <w:rPr>
          <w:szCs w:val="20"/>
          <w:lang w:val="sr-Cyrl-CS"/>
        </w:rPr>
        <w:t>Интегрисаних н</w:t>
      </w:r>
      <w:r w:rsidRPr="005303F7">
        <w:rPr>
          <w:szCs w:val="20"/>
          <w:lang w:val="sr-Cyrl-CS"/>
        </w:rPr>
        <w:t>ационалних</w:t>
      </w:r>
      <w:r w:rsidR="00EB5064" w:rsidRPr="005303F7">
        <w:rPr>
          <w:szCs w:val="20"/>
          <w:lang w:val="sr-Cyrl-CS"/>
        </w:rPr>
        <w:t xml:space="preserve"> </w:t>
      </w:r>
      <w:r w:rsidRPr="005303F7">
        <w:rPr>
          <w:szCs w:val="20"/>
          <w:lang w:val="sr-Cyrl-CS"/>
        </w:rPr>
        <w:t>енергетских</w:t>
      </w:r>
      <w:r w:rsidR="00EB5064" w:rsidRPr="005303F7">
        <w:rPr>
          <w:szCs w:val="20"/>
          <w:lang w:val="sr-Cyrl-CS"/>
        </w:rPr>
        <w:t xml:space="preserve"> </w:t>
      </w:r>
      <w:r w:rsidRPr="005303F7">
        <w:rPr>
          <w:szCs w:val="20"/>
          <w:lang w:val="sr-Cyrl-CS"/>
        </w:rPr>
        <w:t>и</w:t>
      </w:r>
      <w:r w:rsidR="00EB5064" w:rsidRPr="005303F7">
        <w:rPr>
          <w:szCs w:val="20"/>
          <w:lang w:val="sr-Cyrl-CS"/>
        </w:rPr>
        <w:t xml:space="preserve"> </w:t>
      </w:r>
      <w:r w:rsidRPr="005303F7">
        <w:rPr>
          <w:szCs w:val="20"/>
          <w:lang w:val="sr-Cyrl-CS"/>
        </w:rPr>
        <w:t>климатских</w:t>
      </w:r>
      <w:r w:rsidR="00EB5064" w:rsidRPr="005303F7">
        <w:rPr>
          <w:szCs w:val="20"/>
          <w:lang w:val="sr-Cyrl-CS"/>
        </w:rPr>
        <w:t xml:space="preserve"> </w:t>
      </w:r>
      <w:r w:rsidRPr="005303F7">
        <w:rPr>
          <w:szCs w:val="20"/>
          <w:lang w:val="sr-Cyrl-CS"/>
        </w:rPr>
        <w:t>планова</w:t>
      </w:r>
      <w:r w:rsidR="00EB5064" w:rsidRPr="005303F7">
        <w:rPr>
          <w:szCs w:val="20"/>
          <w:lang w:val="sr-Cyrl-CS"/>
        </w:rPr>
        <w:t xml:space="preserve"> </w:t>
      </w:r>
      <w:r w:rsidR="00C40E34" w:rsidRPr="005303F7">
        <w:rPr>
          <w:sz w:val="28"/>
          <w:lang w:val="sr-Cyrl-CS"/>
        </w:rPr>
        <w:t xml:space="preserve"> </w:t>
      </w:r>
      <w:r w:rsidRPr="005303F7">
        <w:rPr>
          <w:szCs w:val="20"/>
          <w:lang w:val="sr-Cyrl-CS"/>
        </w:rPr>
        <w:t>од</w:t>
      </w:r>
      <w:r w:rsidR="00C40E34" w:rsidRPr="005303F7">
        <w:rPr>
          <w:szCs w:val="20"/>
          <w:lang w:val="sr-Cyrl-CS"/>
        </w:rPr>
        <w:t xml:space="preserve"> </w:t>
      </w:r>
      <w:r w:rsidRPr="005303F7">
        <w:rPr>
          <w:szCs w:val="20"/>
          <w:lang w:val="sr-Cyrl-CS"/>
        </w:rPr>
        <w:t>стране</w:t>
      </w:r>
      <w:r w:rsidR="00C40E34" w:rsidRPr="005303F7">
        <w:rPr>
          <w:szCs w:val="20"/>
          <w:lang w:val="sr-Cyrl-CS"/>
        </w:rPr>
        <w:t xml:space="preserve"> </w:t>
      </w:r>
      <w:r w:rsidRPr="005303F7">
        <w:rPr>
          <w:szCs w:val="20"/>
          <w:lang w:val="sr-Cyrl-CS"/>
        </w:rPr>
        <w:t>уговорних</w:t>
      </w:r>
      <w:r w:rsidR="00C40E34" w:rsidRPr="005303F7">
        <w:rPr>
          <w:szCs w:val="20"/>
          <w:lang w:val="sr-Cyrl-CS"/>
        </w:rPr>
        <w:t xml:space="preserve"> </w:t>
      </w:r>
      <w:r w:rsidRPr="005303F7">
        <w:rPr>
          <w:szCs w:val="20"/>
          <w:lang w:val="sr-Cyrl-CS"/>
        </w:rPr>
        <w:t>страна</w:t>
      </w:r>
      <w:r w:rsidR="00C40E34" w:rsidRPr="005303F7">
        <w:rPr>
          <w:szCs w:val="20"/>
          <w:lang w:val="sr-Cyrl-CS"/>
        </w:rPr>
        <w:t xml:space="preserve"> </w:t>
      </w:r>
      <w:r w:rsidRPr="005303F7">
        <w:rPr>
          <w:szCs w:val="20"/>
          <w:lang w:val="sr-Cyrl-CS"/>
        </w:rPr>
        <w:t>Енергетске</w:t>
      </w:r>
      <w:r w:rsidR="00C40E34" w:rsidRPr="005303F7">
        <w:rPr>
          <w:szCs w:val="20"/>
          <w:lang w:val="sr-Cyrl-CS"/>
        </w:rPr>
        <w:t xml:space="preserve"> </w:t>
      </w:r>
      <w:r w:rsidRPr="005303F7">
        <w:rPr>
          <w:szCs w:val="20"/>
          <w:lang w:val="sr-Cyrl-CS"/>
        </w:rPr>
        <w:t>заједнице</w:t>
      </w:r>
      <w:r w:rsidR="00C40E34" w:rsidRPr="005303F7">
        <w:rPr>
          <w:szCs w:val="20"/>
          <w:lang w:val="sr-Cyrl-CS"/>
        </w:rPr>
        <w:t>,</w:t>
      </w:r>
      <w:r w:rsidR="00EB5064" w:rsidRPr="005303F7">
        <w:rPr>
          <w:szCs w:val="20"/>
          <w:lang w:val="sr-Cyrl-CS"/>
        </w:rPr>
        <w:t xml:space="preserve"> </w:t>
      </w:r>
      <w:r w:rsidRPr="005303F7">
        <w:rPr>
          <w:szCs w:val="20"/>
          <w:lang w:val="sr-Cyrl-CS"/>
        </w:rPr>
        <w:t>који</w:t>
      </w:r>
      <w:r w:rsidR="00EB5064" w:rsidRPr="005303F7">
        <w:rPr>
          <w:szCs w:val="20"/>
          <w:lang w:val="sr-Cyrl-CS"/>
        </w:rPr>
        <w:t xml:space="preserve"> </w:t>
      </w:r>
      <w:r w:rsidRPr="005303F7">
        <w:rPr>
          <w:szCs w:val="20"/>
          <w:lang w:val="sr-Cyrl-CS"/>
        </w:rPr>
        <w:t>се</w:t>
      </w:r>
      <w:r w:rsidR="00EB5064" w:rsidRPr="005303F7">
        <w:rPr>
          <w:szCs w:val="20"/>
          <w:lang w:val="sr-Cyrl-CS"/>
        </w:rPr>
        <w:t xml:space="preserve"> </w:t>
      </w:r>
      <w:r w:rsidRPr="005303F7">
        <w:rPr>
          <w:szCs w:val="20"/>
          <w:lang w:val="sr-Cyrl-CS"/>
        </w:rPr>
        <w:t>односе</w:t>
      </w:r>
      <w:r w:rsidR="00EB5064" w:rsidRPr="005303F7">
        <w:rPr>
          <w:szCs w:val="20"/>
          <w:lang w:val="sr-Cyrl-CS"/>
        </w:rPr>
        <w:t xml:space="preserve"> </w:t>
      </w:r>
      <w:r w:rsidRPr="005303F7">
        <w:rPr>
          <w:szCs w:val="20"/>
          <w:lang w:val="sr-Cyrl-CS"/>
        </w:rPr>
        <w:t>на</w:t>
      </w:r>
      <w:r w:rsidR="00EB5064" w:rsidRPr="005303F7">
        <w:rPr>
          <w:szCs w:val="20"/>
          <w:lang w:val="sr-Cyrl-CS"/>
        </w:rPr>
        <w:t xml:space="preserve"> </w:t>
      </w:r>
      <w:r w:rsidRPr="005303F7">
        <w:rPr>
          <w:szCs w:val="20"/>
          <w:lang w:val="sr-Cyrl-CS"/>
        </w:rPr>
        <w:t>пет</w:t>
      </w:r>
      <w:r w:rsidR="00EB5064" w:rsidRPr="005303F7">
        <w:rPr>
          <w:szCs w:val="20"/>
          <w:lang w:val="sr-Cyrl-CS"/>
        </w:rPr>
        <w:t xml:space="preserve"> </w:t>
      </w:r>
      <w:r w:rsidRPr="005303F7">
        <w:rPr>
          <w:szCs w:val="20"/>
          <w:lang w:val="sr-Cyrl-CS"/>
        </w:rPr>
        <w:t>димензија</w:t>
      </w:r>
      <w:r w:rsidR="00EB5064" w:rsidRPr="005303F7">
        <w:rPr>
          <w:szCs w:val="20"/>
          <w:lang w:val="sr-Cyrl-CS"/>
        </w:rPr>
        <w:t xml:space="preserve"> </w:t>
      </w:r>
      <w:r w:rsidRPr="005303F7">
        <w:rPr>
          <w:szCs w:val="20"/>
          <w:lang w:val="sr-Cyrl-CS"/>
        </w:rPr>
        <w:t>Енергетске</w:t>
      </w:r>
      <w:r w:rsidR="00EB5064" w:rsidRPr="005303F7">
        <w:rPr>
          <w:szCs w:val="20"/>
          <w:lang w:val="sr-Cyrl-CS"/>
        </w:rPr>
        <w:t xml:space="preserve"> </w:t>
      </w:r>
      <w:r w:rsidR="004A5709" w:rsidRPr="005303F7">
        <w:rPr>
          <w:szCs w:val="20"/>
          <w:lang w:val="sr-Cyrl-CS"/>
        </w:rPr>
        <w:t>уније</w:t>
      </w:r>
      <w:r w:rsidR="00EB5064" w:rsidRPr="005303F7">
        <w:rPr>
          <w:szCs w:val="20"/>
          <w:lang w:val="sr-Cyrl-CS"/>
        </w:rPr>
        <w:t>.</w:t>
      </w:r>
      <w:r w:rsidR="00D1085B" w:rsidRPr="005303F7">
        <w:rPr>
          <w:szCs w:val="20"/>
          <w:lang w:val="sr-Cyrl-CS"/>
        </w:rPr>
        <w:t xml:space="preserve"> </w:t>
      </w:r>
      <w:r w:rsidR="0093398A" w:rsidRPr="005303F7">
        <w:rPr>
          <w:szCs w:val="20"/>
          <w:lang w:val="sr-Cyrl-CS"/>
        </w:rPr>
        <w:t>Уз то, Уговор</w:t>
      </w:r>
      <w:r w:rsidR="0002497A" w:rsidRPr="005303F7">
        <w:rPr>
          <w:szCs w:val="20"/>
          <w:lang w:val="sr-Cyrl-CS"/>
        </w:rPr>
        <w:t xml:space="preserve"> о оснивању</w:t>
      </w:r>
      <w:r w:rsidR="0093398A" w:rsidRPr="005303F7">
        <w:rPr>
          <w:szCs w:val="20"/>
          <w:lang w:val="sr-Cyrl-CS"/>
        </w:rPr>
        <w:t xml:space="preserve"> Енергетске заједнице је проширен тако да укључи Уредбу </w:t>
      </w:r>
      <w:r w:rsidR="00C64AC3" w:rsidRPr="005303F7">
        <w:rPr>
          <w:szCs w:val="20"/>
          <w:lang w:val="sr-Cyrl-CS"/>
        </w:rPr>
        <w:t xml:space="preserve">(ЕУ) </w:t>
      </w:r>
      <w:r w:rsidR="0093398A" w:rsidRPr="005303F7">
        <w:rPr>
          <w:szCs w:val="20"/>
          <w:lang w:val="sr-Cyrl-CS"/>
        </w:rPr>
        <w:t>2018/1999</w:t>
      </w:r>
      <w:r w:rsidR="00C64AC3" w:rsidRPr="005303F7">
        <w:rPr>
          <w:szCs w:val="20"/>
          <w:lang w:val="sr-Cyrl-CS"/>
        </w:rPr>
        <w:t xml:space="preserve"> о управљању енергетском унијом и </w:t>
      </w:r>
      <w:r w:rsidR="00B171A2" w:rsidRPr="005303F7">
        <w:rPr>
          <w:szCs w:val="20"/>
          <w:lang w:val="sr-Cyrl-CS"/>
        </w:rPr>
        <w:t>климатским акцијама.</w:t>
      </w:r>
    </w:p>
    <w:p w14:paraId="7213BC7B" w14:textId="3F56C4BA" w:rsidR="00E4499E" w:rsidRPr="005303F7" w:rsidRDefault="001A1A44" w:rsidP="00377CC1">
      <w:pPr>
        <w:rPr>
          <w:rFonts w:ascii="Times New Roman" w:hAnsi="Times New Roman"/>
          <w:sz w:val="24"/>
          <w:lang w:val="sr-Cyrl-CS"/>
        </w:rPr>
      </w:pPr>
      <w:r w:rsidRPr="005303F7">
        <w:rPr>
          <w:rFonts w:ascii="Times New Roman" w:hAnsi="Times New Roman"/>
          <w:sz w:val="24"/>
          <w:lang w:val="sr-Cyrl-CS"/>
        </w:rPr>
        <w:t xml:space="preserve">           </w:t>
      </w:r>
      <w:r w:rsidR="003A5D08" w:rsidRPr="005303F7">
        <w:rPr>
          <w:rFonts w:ascii="Times New Roman" w:hAnsi="Times New Roman"/>
          <w:sz w:val="24"/>
          <w:lang w:val="sr-Cyrl-CS"/>
        </w:rPr>
        <w:t>Дакле</w:t>
      </w:r>
      <w:r w:rsidR="003C2AED" w:rsidRPr="005303F7">
        <w:rPr>
          <w:rFonts w:ascii="Times New Roman" w:hAnsi="Times New Roman"/>
          <w:sz w:val="24"/>
          <w:lang w:val="sr-Cyrl-CS"/>
        </w:rPr>
        <w:t xml:space="preserve">, </w:t>
      </w:r>
      <w:r w:rsidR="003A5D08" w:rsidRPr="005303F7">
        <w:rPr>
          <w:rFonts w:ascii="Times New Roman" w:hAnsi="Times New Roman"/>
          <w:sz w:val="24"/>
          <w:lang w:val="sr-Cyrl-CS"/>
        </w:rPr>
        <w:t>други</w:t>
      </w:r>
      <w:r w:rsidR="003C2AED" w:rsidRPr="005303F7">
        <w:rPr>
          <w:rFonts w:ascii="Times New Roman" w:hAnsi="Times New Roman"/>
          <w:sz w:val="24"/>
          <w:lang w:val="sr-Cyrl-CS"/>
        </w:rPr>
        <w:t xml:space="preserve"> </w:t>
      </w:r>
      <w:r w:rsidR="003A5D08" w:rsidRPr="005303F7">
        <w:rPr>
          <w:rFonts w:ascii="Times New Roman" w:hAnsi="Times New Roman"/>
          <w:sz w:val="24"/>
          <w:lang w:val="sr-Cyrl-CS"/>
        </w:rPr>
        <w:t>циљ</w:t>
      </w:r>
      <w:r w:rsidR="003C2AED" w:rsidRPr="005303F7">
        <w:rPr>
          <w:rFonts w:ascii="Times New Roman" w:hAnsi="Times New Roman"/>
          <w:sz w:val="24"/>
          <w:lang w:val="sr-Cyrl-CS"/>
        </w:rPr>
        <w:t xml:space="preserve"> </w:t>
      </w:r>
      <w:r w:rsidR="003A5D08" w:rsidRPr="005303F7">
        <w:rPr>
          <w:rFonts w:ascii="Times New Roman" w:hAnsi="Times New Roman"/>
          <w:sz w:val="24"/>
          <w:lang w:val="sr-Cyrl-CS"/>
        </w:rPr>
        <w:t>Стратегије</w:t>
      </w:r>
      <w:r w:rsidR="00E4499E" w:rsidRPr="005303F7">
        <w:rPr>
          <w:rFonts w:ascii="Times New Roman" w:hAnsi="Times New Roman"/>
          <w:sz w:val="24"/>
          <w:lang w:val="sr-Cyrl-CS"/>
        </w:rPr>
        <w:t xml:space="preserve"> </w:t>
      </w:r>
      <w:r w:rsidR="003A5D08" w:rsidRPr="005303F7">
        <w:rPr>
          <w:rFonts w:ascii="Times New Roman" w:hAnsi="Times New Roman"/>
          <w:sz w:val="24"/>
          <w:lang w:val="sr-Cyrl-CS"/>
        </w:rPr>
        <w:t>је</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да</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представи</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могу</w:t>
      </w:r>
      <w:r w:rsidR="00F543AF" w:rsidRPr="005303F7">
        <w:rPr>
          <w:rFonts w:ascii="Times New Roman" w:hAnsi="Times New Roman"/>
          <w:sz w:val="24"/>
          <w:lang w:val="sr-Cyrl-CS"/>
        </w:rPr>
        <w:t>ћ</w:t>
      </w:r>
      <w:r w:rsidR="003A5D08" w:rsidRPr="005303F7">
        <w:rPr>
          <w:rFonts w:ascii="Times New Roman" w:hAnsi="Times New Roman"/>
          <w:sz w:val="24"/>
          <w:lang w:val="sr-Cyrl-CS"/>
        </w:rPr>
        <w:t>ности</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и</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препоручи</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пожељне</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опције</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за</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усклађивање</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путева</w:t>
      </w:r>
      <w:r w:rsidR="00441B2B" w:rsidRPr="005303F7">
        <w:rPr>
          <w:rFonts w:ascii="Times New Roman" w:hAnsi="Times New Roman"/>
          <w:sz w:val="24"/>
          <w:lang w:val="sr-Cyrl-CS"/>
        </w:rPr>
        <w:t xml:space="preserve"> </w:t>
      </w:r>
      <w:r w:rsidR="003A5D08" w:rsidRPr="005303F7">
        <w:rPr>
          <w:rFonts w:ascii="Times New Roman" w:hAnsi="Times New Roman"/>
          <w:sz w:val="24"/>
          <w:lang w:val="sr-Cyrl-CS"/>
        </w:rPr>
        <w:t>нивоа</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српских</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емисија</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гасова</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са</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ефектом</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стаклене</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баште</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са</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оним</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у</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ЕУ</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на</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економски</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прихватљив</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и</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друштвено</w:t>
      </w:r>
      <w:r w:rsidR="00AD4E7C" w:rsidRPr="005303F7">
        <w:rPr>
          <w:rFonts w:ascii="Times New Roman" w:hAnsi="Times New Roman"/>
          <w:sz w:val="24"/>
          <w:lang w:val="sr-Cyrl-CS"/>
        </w:rPr>
        <w:t xml:space="preserve"> </w:t>
      </w:r>
      <w:r w:rsidR="003A5D08" w:rsidRPr="005303F7">
        <w:rPr>
          <w:rFonts w:ascii="Times New Roman" w:hAnsi="Times New Roman"/>
          <w:sz w:val="24"/>
          <w:lang w:val="sr-Cyrl-CS"/>
        </w:rPr>
        <w:t>правичан</w:t>
      </w:r>
      <w:r w:rsidR="00441B2B" w:rsidRPr="005303F7">
        <w:rPr>
          <w:rFonts w:ascii="Times New Roman" w:hAnsi="Times New Roman"/>
          <w:sz w:val="24"/>
          <w:lang w:val="sr-Cyrl-CS"/>
        </w:rPr>
        <w:t xml:space="preserve"> </w:t>
      </w:r>
      <w:r w:rsidR="003A5D08" w:rsidRPr="005303F7">
        <w:rPr>
          <w:rFonts w:ascii="Times New Roman" w:hAnsi="Times New Roman"/>
          <w:sz w:val="24"/>
          <w:lang w:val="sr-Cyrl-CS"/>
        </w:rPr>
        <w:t>начин</w:t>
      </w:r>
      <w:r w:rsidR="00E4499E" w:rsidRPr="005303F7">
        <w:rPr>
          <w:rFonts w:ascii="Times New Roman" w:hAnsi="Times New Roman"/>
          <w:sz w:val="24"/>
          <w:lang w:val="sr-Cyrl-CS"/>
        </w:rPr>
        <w:t>.</w:t>
      </w:r>
      <w:r w:rsidR="00D02CF2" w:rsidRPr="005303F7">
        <w:rPr>
          <w:rFonts w:ascii="Times New Roman" w:hAnsi="Times New Roman"/>
          <w:sz w:val="24"/>
          <w:lang w:val="sr-Cyrl-CS"/>
        </w:rPr>
        <w:t xml:space="preserve"> </w:t>
      </w:r>
    </w:p>
    <w:p w14:paraId="45855984" w14:textId="19EC5473" w:rsidR="000231DE" w:rsidRPr="005303F7" w:rsidRDefault="001A1A44" w:rsidP="00377CC1">
      <w:pPr>
        <w:rPr>
          <w:rFonts w:ascii="Times New Roman" w:hAnsi="Times New Roman"/>
          <w:sz w:val="24"/>
          <w:lang w:val="sr-Cyrl-CS"/>
        </w:rPr>
      </w:pPr>
      <w:r w:rsidRPr="005303F7">
        <w:rPr>
          <w:rFonts w:ascii="Times New Roman" w:hAnsi="Times New Roman"/>
          <w:sz w:val="24"/>
          <w:lang w:val="sr-Cyrl-CS"/>
        </w:rPr>
        <w:t xml:space="preserve">          </w:t>
      </w:r>
      <w:r w:rsidR="003A5D08" w:rsidRPr="005303F7">
        <w:rPr>
          <w:rFonts w:ascii="Times New Roman" w:hAnsi="Times New Roman"/>
          <w:sz w:val="24"/>
          <w:lang w:val="sr-Cyrl-CS"/>
        </w:rPr>
        <w:t>У</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поменуте</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сврхе</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и</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у</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циљу</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процене</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различитих</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опција</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ублажавања</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развијено</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је</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шест</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сценарија</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емисија</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гасова</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са</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ефектом</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стаклене</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баште</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док</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Стратегија</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одређује</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пут</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до</w:t>
      </w:r>
      <w:r w:rsidR="00236B3E" w:rsidRPr="005303F7">
        <w:rPr>
          <w:rFonts w:ascii="Times New Roman" w:hAnsi="Times New Roman"/>
          <w:sz w:val="24"/>
          <w:lang w:val="sr-Cyrl-CS"/>
        </w:rPr>
        <w:t xml:space="preserve"> 2030. </w:t>
      </w:r>
      <w:r w:rsidR="003A5D08" w:rsidRPr="005303F7">
        <w:rPr>
          <w:rFonts w:ascii="Times New Roman" w:hAnsi="Times New Roman"/>
          <w:sz w:val="24"/>
          <w:lang w:val="sr-Cyrl-CS"/>
        </w:rPr>
        <w:t>године</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и</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предлаже</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распон</w:t>
      </w:r>
      <w:r w:rsidR="00DE4F9F" w:rsidRPr="005303F7">
        <w:rPr>
          <w:rFonts w:ascii="Times New Roman" w:hAnsi="Times New Roman"/>
          <w:sz w:val="24"/>
          <w:lang w:val="sr-Cyrl-CS"/>
        </w:rPr>
        <w:t xml:space="preserve"> </w:t>
      </w:r>
      <w:r w:rsidR="003A5D08" w:rsidRPr="005303F7">
        <w:rPr>
          <w:rFonts w:ascii="Times New Roman" w:hAnsi="Times New Roman"/>
          <w:sz w:val="24"/>
          <w:lang w:val="sr-Cyrl-CS"/>
        </w:rPr>
        <w:t>могућности</w:t>
      </w:r>
      <w:r w:rsidR="00236B3E" w:rsidRPr="005303F7">
        <w:rPr>
          <w:rFonts w:ascii="Times New Roman" w:hAnsi="Times New Roman"/>
          <w:sz w:val="24"/>
          <w:lang w:val="sr-Cyrl-CS"/>
        </w:rPr>
        <w:t xml:space="preserve"> </w:t>
      </w:r>
      <w:r w:rsidR="003A5D08" w:rsidRPr="005303F7">
        <w:rPr>
          <w:rFonts w:ascii="Times New Roman" w:hAnsi="Times New Roman"/>
          <w:sz w:val="24"/>
          <w:lang w:val="sr-Cyrl-CS"/>
        </w:rPr>
        <w:t>до</w:t>
      </w:r>
      <w:r w:rsidR="00236B3E" w:rsidRPr="005303F7">
        <w:rPr>
          <w:rFonts w:ascii="Times New Roman" w:hAnsi="Times New Roman"/>
          <w:sz w:val="24"/>
          <w:lang w:val="sr-Cyrl-CS"/>
        </w:rPr>
        <w:t xml:space="preserve"> 2050. </w:t>
      </w:r>
      <w:r w:rsidR="003A5D08" w:rsidRPr="005303F7">
        <w:rPr>
          <w:rFonts w:ascii="Times New Roman" w:hAnsi="Times New Roman"/>
          <w:sz w:val="24"/>
          <w:lang w:val="sr-Cyrl-CS"/>
        </w:rPr>
        <w:t>године</w:t>
      </w:r>
      <w:r w:rsidR="00F37DE8" w:rsidRPr="005303F7">
        <w:rPr>
          <w:rFonts w:ascii="Times New Roman" w:hAnsi="Times New Roman"/>
          <w:sz w:val="24"/>
          <w:lang w:val="sr-Cyrl-CS"/>
        </w:rPr>
        <w:t xml:space="preserve">. </w:t>
      </w:r>
    </w:p>
    <w:p w14:paraId="08721347" w14:textId="15DA3880" w:rsidR="00CD129C" w:rsidRPr="005303F7" w:rsidRDefault="003A5D08" w:rsidP="001A1A44">
      <w:pPr>
        <w:tabs>
          <w:tab w:val="clear" w:pos="3825"/>
        </w:tabs>
        <w:overflowPunct/>
        <w:autoSpaceDE/>
        <w:autoSpaceDN/>
        <w:adjustRightInd/>
        <w:spacing w:before="0" w:after="0"/>
        <w:ind w:firstLine="720"/>
        <w:textAlignment w:val="auto"/>
        <w:rPr>
          <w:rFonts w:ascii="Times New Roman" w:hAnsi="Times New Roman"/>
          <w:bCs/>
          <w:sz w:val="24"/>
          <w:szCs w:val="21"/>
          <w:lang w:val="sr-Cyrl-CS"/>
        </w:rPr>
      </w:pPr>
      <w:r w:rsidRPr="005303F7">
        <w:rPr>
          <w:rFonts w:ascii="Times New Roman" w:hAnsi="Times New Roman"/>
          <w:sz w:val="24"/>
          <w:lang w:val="sr-Cyrl-CS"/>
        </w:rPr>
        <w:t>Поред</w:t>
      </w:r>
      <w:r w:rsidR="006A4B61" w:rsidRPr="005303F7">
        <w:rPr>
          <w:rFonts w:ascii="Times New Roman" w:hAnsi="Times New Roman"/>
          <w:sz w:val="24"/>
          <w:lang w:val="sr-Cyrl-CS"/>
        </w:rPr>
        <w:t xml:space="preserve"> </w:t>
      </w:r>
      <w:r w:rsidRPr="005303F7">
        <w:rPr>
          <w:rFonts w:ascii="Times New Roman" w:hAnsi="Times New Roman"/>
          <w:sz w:val="24"/>
          <w:lang w:val="sr-Cyrl-CS"/>
        </w:rPr>
        <w:t>тога</w:t>
      </w:r>
      <w:r w:rsidR="006A4B61" w:rsidRPr="005303F7">
        <w:rPr>
          <w:rFonts w:ascii="Times New Roman" w:hAnsi="Times New Roman"/>
          <w:sz w:val="24"/>
          <w:lang w:val="sr-Cyrl-CS"/>
        </w:rPr>
        <w:t xml:space="preserve">, </w:t>
      </w:r>
      <w:r w:rsidRPr="005303F7">
        <w:rPr>
          <w:rFonts w:ascii="Times New Roman" w:hAnsi="Times New Roman"/>
          <w:sz w:val="24"/>
          <w:lang w:val="sr-Cyrl-CS"/>
        </w:rPr>
        <w:t>у</w:t>
      </w:r>
      <w:r w:rsidR="006A4B61" w:rsidRPr="005303F7">
        <w:rPr>
          <w:rFonts w:ascii="Times New Roman" w:hAnsi="Times New Roman"/>
          <w:sz w:val="24"/>
          <w:lang w:val="sr-Cyrl-CS"/>
        </w:rPr>
        <w:t xml:space="preserve"> </w:t>
      </w:r>
      <w:r w:rsidRPr="005303F7">
        <w:rPr>
          <w:rFonts w:ascii="Times New Roman" w:hAnsi="Times New Roman"/>
          <w:sz w:val="24"/>
          <w:lang w:val="sr-Cyrl-CS"/>
        </w:rPr>
        <w:t>првом</w:t>
      </w:r>
      <w:r w:rsidR="006A4B61" w:rsidRPr="005303F7">
        <w:rPr>
          <w:rFonts w:ascii="Times New Roman" w:hAnsi="Times New Roman"/>
          <w:sz w:val="24"/>
          <w:lang w:val="sr-Cyrl-CS"/>
        </w:rPr>
        <w:t xml:space="preserve"> NDC </w:t>
      </w:r>
      <w:r w:rsidR="00D73AAB" w:rsidRPr="005303F7">
        <w:rPr>
          <w:rFonts w:ascii="Times New Roman" w:hAnsi="Times New Roman"/>
          <w:sz w:val="24"/>
          <w:lang w:val="sr-Cyrl-CS"/>
        </w:rPr>
        <w:t>Република Србија</w:t>
      </w:r>
      <w:r w:rsidR="006A4B61" w:rsidRPr="005303F7">
        <w:rPr>
          <w:rFonts w:ascii="Times New Roman" w:hAnsi="Times New Roman"/>
          <w:sz w:val="24"/>
          <w:lang w:val="sr-Cyrl-CS"/>
        </w:rPr>
        <w:t xml:space="preserve"> </w:t>
      </w:r>
      <w:r w:rsidRPr="005303F7">
        <w:rPr>
          <w:rFonts w:ascii="Times New Roman" w:hAnsi="Times New Roman"/>
          <w:sz w:val="24"/>
          <w:lang w:val="sr-Cyrl-CS"/>
        </w:rPr>
        <w:t>наглашава</w:t>
      </w:r>
      <w:r w:rsidR="006A4B61" w:rsidRPr="005303F7">
        <w:rPr>
          <w:rFonts w:ascii="Times New Roman" w:hAnsi="Times New Roman"/>
          <w:sz w:val="24"/>
          <w:lang w:val="sr-Cyrl-CS"/>
        </w:rPr>
        <w:t xml:space="preserve"> </w:t>
      </w:r>
      <w:r w:rsidRPr="005303F7">
        <w:rPr>
          <w:rFonts w:ascii="Times New Roman" w:hAnsi="Times New Roman"/>
          <w:sz w:val="24"/>
          <w:lang w:val="sr-Cyrl-CS"/>
        </w:rPr>
        <w:t>своју</w:t>
      </w:r>
      <w:r w:rsidR="006A4B61" w:rsidRPr="005303F7">
        <w:rPr>
          <w:rFonts w:ascii="Times New Roman" w:hAnsi="Times New Roman"/>
          <w:sz w:val="24"/>
          <w:lang w:val="sr-Cyrl-CS"/>
        </w:rPr>
        <w:t xml:space="preserve"> </w:t>
      </w:r>
      <w:r w:rsidRPr="005303F7">
        <w:rPr>
          <w:rFonts w:ascii="Times New Roman" w:hAnsi="Times New Roman"/>
          <w:sz w:val="24"/>
          <w:lang w:val="sr-Cyrl-CS"/>
        </w:rPr>
        <w:t>рањивост</w:t>
      </w:r>
      <w:r w:rsidR="006A4B61" w:rsidRPr="005303F7">
        <w:rPr>
          <w:rFonts w:ascii="Times New Roman" w:hAnsi="Times New Roman"/>
          <w:sz w:val="24"/>
          <w:lang w:val="sr-Cyrl-CS"/>
        </w:rPr>
        <w:t xml:space="preserve">, </w:t>
      </w:r>
      <w:r w:rsidRPr="005303F7">
        <w:rPr>
          <w:rFonts w:ascii="Times New Roman" w:hAnsi="Times New Roman"/>
          <w:sz w:val="24"/>
          <w:lang w:val="sr-Cyrl-CS"/>
        </w:rPr>
        <w:t>губитке</w:t>
      </w:r>
      <w:r w:rsidR="006A4B61" w:rsidRPr="005303F7">
        <w:rPr>
          <w:rFonts w:ascii="Times New Roman" w:hAnsi="Times New Roman"/>
          <w:sz w:val="24"/>
          <w:lang w:val="sr-Cyrl-CS"/>
        </w:rPr>
        <w:t xml:space="preserve"> </w:t>
      </w:r>
      <w:r w:rsidRPr="005303F7">
        <w:rPr>
          <w:rFonts w:ascii="Times New Roman" w:hAnsi="Times New Roman"/>
          <w:sz w:val="24"/>
          <w:lang w:val="sr-Cyrl-CS"/>
        </w:rPr>
        <w:t>и</w:t>
      </w:r>
      <w:r w:rsidR="006A4B61" w:rsidRPr="005303F7">
        <w:rPr>
          <w:rFonts w:ascii="Times New Roman" w:hAnsi="Times New Roman"/>
          <w:sz w:val="24"/>
          <w:lang w:val="sr-Cyrl-CS"/>
        </w:rPr>
        <w:t xml:space="preserve"> </w:t>
      </w:r>
      <w:r w:rsidRPr="005303F7">
        <w:rPr>
          <w:rFonts w:ascii="Times New Roman" w:hAnsi="Times New Roman"/>
          <w:sz w:val="24"/>
          <w:lang w:val="sr-Cyrl-CS"/>
        </w:rPr>
        <w:t>штете</w:t>
      </w:r>
      <w:r w:rsidR="006A4B61" w:rsidRPr="005303F7">
        <w:rPr>
          <w:rFonts w:ascii="Times New Roman" w:hAnsi="Times New Roman"/>
          <w:sz w:val="24"/>
          <w:lang w:val="sr-Cyrl-CS"/>
        </w:rPr>
        <w:t xml:space="preserve"> </w:t>
      </w:r>
      <w:r w:rsidRPr="005303F7">
        <w:rPr>
          <w:rFonts w:ascii="Times New Roman" w:hAnsi="Times New Roman"/>
          <w:sz w:val="24"/>
          <w:lang w:val="sr-Cyrl-CS"/>
        </w:rPr>
        <w:t>повезане</w:t>
      </w:r>
      <w:r w:rsidR="006A4B61" w:rsidRPr="005303F7">
        <w:rPr>
          <w:rFonts w:ascii="Times New Roman" w:hAnsi="Times New Roman"/>
          <w:sz w:val="24"/>
          <w:lang w:val="sr-Cyrl-CS"/>
        </w:rPr>
        <w:t xml:space="preserve"> </w:t>
      </w:r>
      <w:r w:rsidRPr="005303F7">
        <w:rPr>
          <w:rFonts w:ascii="Times New Roman" w:hAnsi="Times New Roman"/>
          <w:sz w:val="24"/>
          <w:lang w:val="sr-Cyrl-CS"/>
        </w:rPr>
        <w:t>са</w:t>
      </w:r>
      <w:r w:rsidR="006A4B61" w:rsidRPr="005303F7">
        <w:rPr>
          <w:rFonts w:ascii="Times New Roman" w:hAnsi="Times New Roman"/>
          <w:sz w:val="24"/>
          <w:lang w:val="sr-Cyrl-CS"/>
        </w:rPr>
        <w:t xml:space="preserve"> </w:t>
      </w:r>
      <w:r w:rsidRPr="005303F7">
        <w:rPr>
          <w:rFonts w:ascii="Times New Roman" w:hAnsi="Times New Roman"/>
          <w:sz w:val="24"/>
          <w:lang w:val="sr-Cyrl-CS"/>
        </w:rPr>
        <w:t>екстремним</w:t>
      </w:r>
      <w:r w:rsidR="006A4B61" w:rsidRPr="005303F7">
        <w:rPr>
          <w:rFonts w:ascii="Times New Roman" w:hAnsi="Times New Roman"/>
          <w:sz w:val="24"/>
          <w:lang w:val="sr-Cyrl-CS"/>
        </w:rPr>
        <w:t xml:space="preserve"> </w:t>
      </w:r>
      <w:r w:rsidRPr="005303F7">
        <w:rPr>
          <w:rFonts w:ascii="Times New Roman" w:hAnsi="Times New Roman"/>
          <w:sz w:val="24"/>
          <w:lang w:val="sr-Cyrl-CS"/>
        </w:rPr>
        <w:t>временским</w:t>
      </w:r>
      <w:r w:rsidR="0037560B" w:rsidRPr="005303F7">
        <w:rPr>
          <w:rFonts w:ascii="Times New Roman" w:hAnsi="Times New Roman"/>
          <w:sz w:val="24"/>
          <w:lang w:val="sr-Cyrl-CS"/>
        </w:rPr>
        <w:t xml:space="preserve"> </w:t>
      </w:r>
      <w:r w:rsidRPr="005303F7">
        <w:rPr>
          <w:rFonts w:ascii="Times New Roman" w:hAnsi="Times New Roman"/>
          <w:sz w:val="24"/>
          <w:lang w:val="sr-Cyrl-CS"/>
        </w:rPr>
        <w:t>догађајима</w:t>
      </w:r>
      <w:r w:rsidR="006A4B61" w:rsidRPr="005303F7">
        <w:rPr>
          <w:rFonts w:ascii="Times New Roman" w:hAnsi="Times New Roman"/>
          <w:sz w:val="24"/>
          <w:lang w:val="sr-Cyrl-CS"/>
        </w:rPr>
        <w:t xml:space="preserve"> </w:t>
      </w:r>
      <w:r w:rsidRPr="005303F7">
        <w:rPr>
          <w:rFonts w:ascii="Times New Roman" w:hAnsi="Times New Roman"/>
          <w:sz w:val="24"/>
          <w:lang w:val="sr-Cyrl-CS"/>
        </w:rPr>
        <w:t>и</w:t>
      </w:r>
      <w:r w:rsidR="006A4B61" w:rsidRPr="005303F7">
        <w:rPr>
          <w:rFonts w:ascii="Times New Roman" w:hAnsi="Times New Roman"/>
          <w:sz w:val="24"/>
          <w:lang w:val="sr-Cyrl-CS"/>
        </w:rPr>
        <w:t xml:space="preserve"> </w:t>
      </w:r>
      <w:r w:rsidRPr="005303F7">
        <w:rPr>
          <w:rFonts w:ascii="Times New Roman" w:hAnsi="Times New Roman"/>
          <w:sz w:val="24"/>
          <w:lang w:val="sr-Cyrl-CS"/>
        </w:rPr>
        <w:t>потребе</w:t>
      </w:r>
      <w:r w:rsidR="006A4B61" w:rsidRPr="005303F7">
        <w:rPr>
          <w:rFonts w:ascii="Times New Roman" w:hAnsi="Times New Roman"/>
          <w:sz w:val="24"/>
          <w:lang w:val="sr-Cyrl-CS"/>
        </w:rPr>
        <w:t xml:space="preserve"> </w:t>
      </w:r>
      <w:r w:rsidRPr="005303F7">
        <w:rPr>
          <w:rFonts w:ascii="Times New Roman" w:hAnsi="Times New Roman"/>
          <w:sz w:val="24"/>
          <w:lang w:val="sr-Cyrl-CS"/>
        </w:rPr>
        <w:t>за</w:t>
      </w:r>
      <w:r w:rsidR="006A4B61" w:rsidRPr="005303F7">
        <w:rPr>
          <w:rFonts w:ascii="Times New Roman" w:hAnsi="Times New Roman"/>
          <w:sz w:val="24"/>
          <w:lang w:val="sr-Cyrl-CS"/>
        </w:rPr>
        <w:t xml:space="preserve"> </w:t>
      </w:r>
      <w:r w:rsidRPr="005303F7">
        <w:rPr>
          <w:rFonts w:ascii="Times New Roman" w:hAnsi="Times New Roman"/>
          <w:sz w:val="24"/>
          <w:lang w:val="sr-Cyrl-CS"/>
        </w:rPr>
        <w:t>прилагођавањем</w:t>
      </w:r>
      <w:r w:rsidR="006A4B61" w:rsidRPr="005303F7">
        <w:rPr>
          <w:rFonts w:ascii="Times New Roman" w:hAnsi="Times New Roman"/>
          <w:sz w:val="24"/>
          <w:lang w:val="sr-Cyrl-CS"/>
        </w:rPr>
        <w:t xml:space="preserve">. </w:t>
      </w:r>
      <w:r w:rsidRPr="005303F7">
        <w:rPr>
          <w:rFonts w:ascii="Times New Roman" w:hAnsi="Times New Roman"/>
          <w:bCs/>
          <w:sz w:val="24"/>
          <w:szCs w:val="21"/>
          <w:lang w:val="sr-Cyrl-CS"/>
        </w:rPr>
        <w:t>Стратегија</w:t>
      </w:r>
      <w:r w:rsidR="00416CB9" w:rsidRPr="005303F7">
        <w:rPr>
          <w:rFonts w:ascii="Times New Roman" w:hAnsi="Times New Roman"/>
          <w:bCs/>
          <w:sz w:val="24"/>
          <w:szCs w:val="21"/>
          <w:lang w:val="sr-Cyrl-CS"/>
        </w:rPr>
        <w:t xml:space="preserve"> </w:t>
      </w:r>
      <w:r w:rsidRPr="005303F7">
        <w:rPr>
          <w:rFonts w:ascii="Times New Roman" w:hAnsi="Times New Roman"/>
          <w:bCs/>
          <w:sz w:val="24"/>
          <w:szCs w:val="21"/>
          <w:lang w:val="sr-Cyrl-CS"/>
        </w:rPr>
        <w:t>идентификује</w:t>
      </w:r>
      <w:r w:rsidR="00416CB9" w:rsidRPr="005303F7">
        <w:rPr>
          <w:rFonts w:ascii="Times New Roman" w:hAnsi="Times New Roman"/>
          <w:bCs/>
          <w:sz w:val="24"/>
          <w:szCs w:val="21"/>
          <w:lang w:val="sr-Cyrl-CS"/>
        </w:rPr>
        <w:t xml:space="preserve"> </w:t>
      </w:r>
      <w:r w:rsidRPr="005303F7">
        <w:rPr>
          <w:rFonts w:ascii="Times New Roman" w:hAnsi="Times New Roman"/>
          <w:bCs/>
          <w:sz w:val="24"/>
          <w:szCs w:val="21"/>
          <w:lang w:val="sr-Cyrl-CS"/>
        </w:rPr>
        <w:t>и</w:t>
      </w:r>
      <w:r w:rsidR="00416CB9" w:rsidRPr="005303F7">
        <w:rPr>
          <w:rFonts w:ascii="Times New Roman" w:hAnsi="Times New Roman"/>
          <w:bCs/>
          <w:sz w:val="24"/>
          <w:szCs w:val="21"/>
          <w:lang w:val="sr-Cyrl-CS"/>
        </w:rPr>
        <w:t xml:space="preserve"> </w:t>
      </w:r>
      <w:r w:rsidRPr="005303F7">
        <w:rPr>
          <w:rFonts w:ascii="Times New Roman" w:hAnsi="Times New Roman"/>
          <w:bCs/>
          <w:sz w:val="24"/>
          <w:szCs w:val="21"/>
          <w:lang w:val="sr-Cyrl-CS"/>
        </w:rPr>
        <w:t>опције</w:t>
      </w:r>
      <w:r w:rsidR="00416CB9" w:rsidRPr="005303F7">
        <w:rPr>
          <w:rFonts w:ascii="Times New Roman" w:hAnsi="Times New Roman"/>
          <w:bCs/>
          <w:sz w:val="24"/>
          <w:szCs w:val="21"/>
          <w:lang w:val="sr-Cyrl-CS"/>
        </w:rPr>
        <w:t xml:space="preserve"> </w:t>
      </w:r>
      <w:r w:rsidRPr="005303F7">
        <w:rPr>
          <w:rFonts w:ascii="Times New Roman" w:hAnsi="Times New Roman"/>
          <w:bCs/>
          <w:sz w:val="24"/>
          <w:szCs w:val="21"/>
          <w:lang w:val="sr-Cyrl-CS"/>
        </w:rPr>
        <w:t>прилагођавања</w:t>
      </w:r>
      <w:r w:rsidR="00416CB9" w:rsidRPr="005303F7">
        <w:rPr>
          <w:rFonts w:ascii="Times New Roman" w:hAnsi="Times New Roman"/>
          <w:bCs/>
          <w:sz w:val="24"/>
          <w:szCs w:val="21"/>
          <w:lang w:val="sr-Cyrl-CS"/>
        </w:rPr>
        <w:t xml:space="preserve"> </w:t>
      </w:r>
      <w:r w:rsidRPr="005303F7">
        <w:rPr>
          <w:rFonts w:ascii="Times New Roman" w:hAnsi="Times New Roman"/>
          <w:bCs/>
          <w:sz w:val="24"/>
          <w:szCs w:val="21"/>
          <w:lang w:val="sr-Cyrl-CS"/>
        </w:rPr>
        <w:t>релевантне</w:t>
      </w:r>
      <w:r w:rsidR="00416CB9" w:rsidRPr="005303F7">
        <w:rPr>
          <w:rFonts w:ascii="Times New Roman" w:hAnsi="Times New Roman"/>
          <w:bCs/>
          <w:sz w:val="24"/>
          <w:szCs w:val="21"/>
          <w:lang w:val="sr-Cyrl-CS"/>
        </w:rPr>
        <w:t xml:space="preserve"> </w:t>
      </w:r>
      <w:r w:rsidRPr="005303F7">
        <w:rPr>
          <w:rFonts w:ascii="Times New Roman" w:hAnsi="Times New Roman"/>
          <w:bCs/>
          <w:sz w:val="24"/>
          <w:szCs w:val="21"/>
          <w:lang w:val="sr-Cyrl-CS"/>
        </w:rPr>
        <w:t>за</w:t>
      </w:r>
      <w:r w:rsidR="00416CB9" w:rsidRPr="005303F7">
        <w:rPr>
          <w:rFonts w:ascii="Times New Roman" w:hAnsi="Times New Roman"/>
          <w:bCs/>
          <w:sz w:val="24"/>
          <w:szCs w:val="21"/>
          <w:lang w:val="sr-Cyrl-CS"/>
        </w:rPr>
        <w:t xml:space="preserve"> </w:t>
      </w:r>
      <w:r w:rsidRPr="005303F7">
        <w:rPr>
          <w:rFonts w:ascii="Times New Roman" w:hAnsi="Times New Roman"/>
          <w:bCs/>
          <w:sz w:val="24"/>
          <w:szCs w:val="21"/>
          <w:lang w:val="sr-Cyrl-CS"/>
        </w:rPr>
        <w:t>смањење</w:t>
      </w:r>
      <w:r w:rsidR="00416CB9" w:rsidRPr="005303F7">
        <w:rPr>
          <w:rFonts w:ascii="Times New Roman" w:hAnsi="Times New Roman"/>
          <w:bCs/>
          <w:sz w:val="24"/>
          <w:szCs w:val="21"/>
          <w:lang w:val="sr-Cyrl-CS"/>
        </w:rPr>
        <w:t xml:space="preserve"> </w:t>
      </w:r>
      <w:r w:rsidRPr="005303F7">
        <w:rPr>
          <w:rFonts w:ascii="Times New Roman" w:hAnsi="Times New Roman"/>
          <w:bCs/>
          <w:sz w:val="24"/>
          <w:szCs w:val="21"/>
          <w:lang w:val="sr-Cyrl-CS"/>
        </w:rPr>
        <w:t>емисија</w:t>
      </w:r>
      <w:r w:rsidR="00416CB9" w:rsidRPr="005303F7">
        <w:rPr>
          <w:rFonts w:ascii="Times New Roman" w:hAnsi="Times New Roman"/>
          <w:bCs/>
          <w:sz w:val="24"/>
          <w:szCs w:val="21"/>
          <w:lang w:val="sr-Cyrl-CS"/>
        </w:rPr>
        <w:t xml:space="preserve"> GHG</w:t>
      </w:r>
      <w:r w:rsidR="00317305" w:rsidRPr="005303F7">
        <w:rPr>
          <w:rFonts w:ascii="Times New Roman" w:hAnsi="Times New Roman"/>
          <w:bCs/>
          <w:sz w:val="24"/>
          <w:szCs w:val="21"/>
          <w:lang w:val="sr-Cyrl-CS"/>
        </w:rPr>
        <w:t xml:space="preserve"> </w:t>
      </w:r>
      <w:r w:rsidRPr="005303F7">
        <w:rPr>
          <w:rFonts w:ascii="Times New Roman" w:hAnsi="Times New Roman"/>
          <w:bCs/>
          <w:sz w:val="24"/>
          <w:szCs w:val="21"/>
          <w:lang w:val="sr-Cyrl-CS"/>
        </w:rPr>
        <w:t>и</w:t>
      </w:r>
      <w:r w:rsidR="00416CB9" w:rsidRPr="005303F7">
        <w:rPr>
          <w:rFonts w:ascii="Times New Roman" w:hAnsi="Times New Roman"/>
          <w:bCs/>
          <w:sz w:val="24"/>
          <w:szCs w:val="21"/>
          <w:lang w:val="sr-Cyrl-CS"/>
        </w:rPr>
        <w:t xml:space="preserve"> </w:t>
      </w:r>
      <w:r w:rsidRPr="005303F7">
        <w:rPr>
          <w:rFonts w:ascii="Times New Roman" w:hAnsi="Times New Roman"/>
          <w:bCs/>
          <w:sz w:val="24"/>
          <w:szCs w:val="21"/>
          <w:lang w:val="sr-Cyrl-CS"/>
        </w:rPr>
        <w:t>мере</w:t>
      </w:r>
      <w:r w:rsidR="0037560B" w:rsidRPr="005303F7">
        <w:rPr>
          <w:rFonts w:ascii="Times New Roman" w:hAnsi="Times New Roman"/>
          <w:bCs/>
          <w:sz w:val="24"/>
          <w:szCs w:val="21"/>
          <w:lang w:val="sr-Cyrl-CS"/>
        </w:rPr>
        <w:t xml:space="preserve"> </w:t>
      </w:r>
      <w:r w:rsidRPr="005303F7">
        <w:rPr>
          <w:rFonts w:ascii="Times New Roman" w:hAnsi="Times New Roman"/>
          <w:bCs/>
          <w:sz w:val="24"/>
          <w:szCs w:val="21"/>
          <w:lang w:val="sr-Cyrl-CS"/>
        </w:rPr>
        <w:t>ублажавања</w:t>
      </w:r>
      <w:r w:rsidR="00CD129C" w:rsidRPr="005303F7">
        <w:rPr>
          <w:rFonts w:ascii="Times New Roman" w:hAnsi="Times New Roman"/>
          <w:bCs/>
          <w:sz w:val="24"/>
          <w:szCs w:val="21"/>
          <w:lang w:val="sr-Cyrl-CS"/>
        </w:rPr>
        <w:t xml:space="preserve">. </w:t>
      </w:r>
    </w:p>
    <w:p w14:paraId="194BD43F" w14:textId="7AB3525D" w:rsidR="004818E6" w:rsidRPr="005303F7" w:rsidRDefault="001A1A44" w:rsidP="004818E6">
      <w:pPr>
        <w:rPr>
          <w:rFonts w:ascii="Times New Roman" w:hAnsi="Times New Roman"/>
          <w:sz w:val="24"/>
          <w:lang w:val="sr-Cyrl-CS"/>
        </w:rPr>
      </w:pPr>
      <w:bookmarkStart w:id="2" w:name="_Hlk10273778"/>
      <w:r w:rsidRPr="005303F7">
        <w:rPr>
          <w:rFonts w:ascii="Times New Roman" w:hAnsi="Times New Roman"/>
          <w:sz w:val="24"/>
          <w:lang w:val="sr-Cyrl-CS"/>
        </w:rPr>
        <w:lastRenderedPageBreak/>
        <w:t xml:space="preserve">             </w:t>
      </w:r>
      <w:r w:rsidR="003A5D08" w:rsidRPr="005303F7">
        <w:rPr>
          <w:rFonts w:ascii="Times New Roman" w:hAnsi="Times New Roman"/>
          <w:sz w:val="24"/>
          <w:lang w:val="sr-Cyrl-CS"/>
        </w:rPr>
        <w:t>Израду</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Стратегије</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водило</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је</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Министарство</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заштите</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животне</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средине</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као</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надлежна</w:t>
      </w:r>
      <w:r w:rsidR="0037560B" w:rsidRPr="005303F7">
        <w:rPr>
          <w:rFonts w:ascii="Times New Roman" w:hAnsi="Times New Roman"/>
          <w:sz w:val="24"/>
          <w:lang w:val="sr-Cyrl-CS"/>
        </w:rPr>
        <w:t xml:space="preserve"> </w:t>
      </w:r>
      <w:r w:rsidR="003A5D08" w:rsidRPr="005303F7">
        <w:rPr>
          <w:rFonts w:ascii="Times New Roman" w:hAnsi="Times New Roman"/>
          <w:sz w:val="24"/>
          <w:lang w:val="sr-Cyrl-CS"/>
        </w:rPr>
        <w:t>институција</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Израђена</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је</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уз</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финансијску</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и</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техничку</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подршку</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ЕУ</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током</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ИПА</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пројекта</w:t>
      </w:r>
      <w:r w:rsidR="00303428" w:rsidRPr="005303F7">
        <w:rPr>
          <w:rFonts w:ascii="Times New Roman" w:hAnsi="Times New Roman"/>
          <w:sz w:val="24"/>
          <w:lang w:val="sr-Cyrl-CS"/>
        </w:rPr>
        <w:t>:</w:t>
      </w:r>
      <w:r w:rsidR="00FA6B26" w:rsidRPr="005303F7">
        <w:rPr>
          <w:rFonts w:ascii="Times New Roman" w:hAnsi="Times New Roman"/>
          <w:sz w:val="24"/>
          <w:lang w:val="sr-Cyrl-CS"/>
        </w:rPr>
        <w:t xml:space="preserve"> „</w:t>
      </w:r>
      <w:r w:rsidR="003A5D08" w:rsidRPr="005303F7">
        <w:rPr>
          <w:rFonts w:ascii="Times New Roman" w:hAnsi="Times New Roman"/>
          <w:sz w:val="24"/>
          <w:lang w:val="sr-Cyrl-CS"/>
        </w:rPr>
        <w:t>Стратегија</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климатских</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промена</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са</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Акционим</w:t>
      </w:r>
      <w:r w:rsidR="0037560B" w:rsidRPr="005303F7">
        <w:rPr>
          <w:rFonts w:ascii="Times New Roman" w:hAnsi="Times New Roman"/>
          <w:sz w:val="24"/>
          <w:lang w:val="sr-Cyrl-CS"/>
        </w:rPr>
        <w:t xml:space="preserve"> </w:t>
      </w:r>
      <w:r w:rsidR="003A5D08" w:rsidRPr="005303F7">
        <w:rPr>
          <w:rFonts w:ascii="Times New Roman" w:hAnsi="Times New Roman"/>
          <w:sz w:val="24"/>
          <w:lang w:val="sr-Cyrl-CS"/>
        </w:rPr>
        <w:t>планом</w:t>
      </w:r>
      <w:r w:rsidR="0035174D" w:rsidRPr="005303F7">
        <w:rPr>
          <w:rFonts w:ascii="Times New Roman" w:hAnsi="Times New Roman"/>
          <w:sz w:val="24"/>
          <w:lang w:val="sr-Cyrl-CS"/>
        </w:rPr>
        <w:t>”</w:t>
      </w:r>
      <w:r w:rsidR="0099164C" w:rsidRPr="005303F7">
        <w:rPr>
          <w:rFonts w:ascii="Times New Roman" w:hAnsi="Times New Roman"/>
          <w:sz w:val="24"/>
          <w:lang w:val="sr-Cyrl-CS"/>
        </w:rPr>
        <w:t xml:space="preserve">, </w:t>
      </w:r>
      <w:r w:rsidR="003A5D08" w:rsidRPr="005303F7">
        <w:rPr>
          <w:rFonts w:ascii="Times New Roman" w:hAnsi="Times New Roman"/>
          <w:sz w:val="24"/>
          <w:lang w:val="sr-Cyrl-CS"/>
        </w:rPr>
        <w:t>док</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је</w:t>
      </w:r>
      <w:r w:rsidR="00FA6B26" w:rsidRPr="005303F7">
        <w:rPr>
          <w:rFonts w:ascii="Times New Roman" w:hAnsi="Times New Roman"/>
          <w:sz w:val="24"/>
          <w:lang w:val="sr-Cyrl-CS"/>
        </w:rPr>
        <w:t xml:space="preserve"> </w:t>
      </w:r>
      <w:r w:rsidR="003A5D08" w:rsidRPr="005303F7">
        <w:rPr>
          <w:rFonts w:ascii="Times New Roman" w:hAnsi="Times New Roman"/>
          <w:sz w:val="24"/>
          <w:lang w:val="sr-Cyrl-CS"/>
        </w:rPr>
        <w:t>Стратегија</w:t>
      </w:r>
      <w:r w:rsidR="00FA6B26" w:rsidRPr="005303F7">
        <w:rPr>
          <w:rFonts w:ascii="Times New Roman" w:hAnsi="Times New Roman"/>
          <w:sz w:val="24"/>
          <w:lang w:val="sr-Cyrl-CS"/>
        </w:rPr>
        <w:t xml:space="preserve"> </w:t>
      </w:r>
      <w:r w:rsidR="003A5D08" w:rsidRPr="005303F7">
        <w:rPr>
          <w:rFonts w:ascii="Times New Roman" w:hAnsi="Times New Roman"/>
          <w:sz w:val="24"/>
          <w:lang w:val="sr-Cyrl-CS"/>
        </w:rPr>
        <w:t>углавном</w:t>
      </w:r>
      <w:r w:rsidR="00FA6B26" w:rsidRPr="005303F7">
        <w:rPr>
          <w:rFonts w:ascii="Times New Roman" w:hAnsi="Times New Roman"/>
          <w:sz w:val="24"/>
          <w:lang w:val="sr-Cyrl-CS"/>
        </w:rPr>
        <w:t xml:space="preserve"> </w:t>
      </w:r>
      <w:r w:rsidR="003A5D08" w:rsidRPr="005303F7">
        <w:rPr>
          <w:rFonts w:ascii="Times New Roman" w:hAnsi="Times New Roman"/>
          <w:sz w:val="24"/>
          <w:lang w:val="sr-Cyrl-CS"/>
        </w:rPr>
        <w:t>резултат</w:t>
      </w:r>
      <w:r w:rsidR="00FD415E" w:rsidRPr="005303F7">
        <w:rPr>
          <w:rFonts w:ascii="Times New Roman" w:hAnsi="Times New Roman"/>
          <w:sz w:val="24"/>
          <w:lang w:val="sr-Cyrl-CS"/>
        </w:rPr>
        <w:t xml:space="preserve"> </w:t>
      </w:r>
      <w:r w:rsidR="003A5D08" w:rsidRPr="005303F7">
        <w:rPr>
          <w:rFonts w:ascii="Times New Roman" w:hAnsi="Times New Roman"/>
          <w:sz w:val="24"/>
          <w:lang w:val="sr-Cyrl-CS"/>
        </w:rPr>
        <w:t>блиске</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сарадње</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и</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сталних</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консултација</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са</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релевантним</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заинтересованим</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странама</w:t>
      </w:r>
      <w:r w:rsidR="00303428" w:rsidRPr="005303F7">
        <w:rPr>
          <w:rFonts w:ascii="Times New Roman" w:hAnsi="Times New Roman"/>
          <w:sz w:val="24"/>
          <w:lang w:val="sr-Cyrl-CS"/>
        </w:rPr>
        <w:t xml:space="preserve"> </w:t>
      </w:r>
      <w:r w:rsidR="0099164C" w:rsidRPr="005303F7">
        <w:rPr>
          <w:rFonts w:ascii="Times New Roman" w:hAnsi="Times New Roman"/>
          <w:sz w:val="24"/>
          <w:lang w:val="sr-Cyrl-CS"/>
        </w:rPr>
        <w:t>(</w:t>
      </w:r>
      <w:r w:rsidR="002A7253" w:rsidRPr="005303F7">
        <w:rPr>
          <w:rFonts w:ascii="Times New Roman" w:hAnsi="Times New Roman"/>
          <w:sz w:val="24"/>
          <w:lang w:val="sr-Cyrl-CS"/>
        </w:rPr>
        <w:t>органима државне управе</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јавним</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и</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приватним</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сектором</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и</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организацијама</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цивилног</w:t>
      </w:r>
      <w:r w:rsidR="00303428" w:rsidRPr="005303F7">
        <w:rPr>
          <w:rFonts w:ascii="Times New Roman" w:hAnsi="Times New Roman"/>
          <w:sz w:val="24"/>
          <w:lang w:val="sr-Cyrl-CS"/>
        </w:rPr>
        <w:t xml:space="preserve"> </w:t>
      </w:r>
      <w:r w:rsidR="003A5D08" w:rsidRPr="005303F7">
        <w:rPr>
          <w:rFonts w:ascii="Times New Roman" w:hAnsi="Times New Roman"/>
          <w:sz w:val="24"/>
          <w:lang w:val="sr-Cyrl-CS"/>
        </w:rPr>
        <w:t>друштва</w:t>
      </w:r>
      <w:r w:rsidR="00377CC1" w:rsidRPr="005303F7">
        <w:rPr>
          <w:rStyle w:val="FootnoteReference"/>
          <w:rFonts w:ascii="Times New Roman" w:hAnsi="Times New Roman"/>
          <w:sz w:val="18"/>
          <w:lang w:val="sr-Cyrl-CS"/>
        </w:rPr>
        <w:footnoteReference w:id="4"/>
      </w:r>
      <w:r w:rsidR="000B4A5C" w:rsidRPr="005303F7">
        <w:rPr>
          <w:rFonts w:ascii="Times New Roman" w:hAnsi="Times New Roman"/>
          <w:sz w:val="24"/>
          <w:lang w:val="sr-Cyrl-CS"/>
        </w:rPr>
        <w:t>)</w:t>
      </w:r>
      <w:r w:rsidR="00377CC1" w:rsidRPr="005303F7">
        <w:rPr>
          <w:rFonts w:ascii="Times New Roman" w:hAnsi="Times New Roman"/>
          <w:sz w:val="24"/>
          <w:lang w:val="sr-Cyrl-CS"/>
        </w:rPr>
        <w:t xml:space="preserve">. </w:t>
      </w:r>
    </w:p>
    <w:p w14:paraId="27674004" w14:textId="73CDF929" w:rsidR="004818E6" w:rsidRPr="005303F7" w:rsidRDefault="001A1A44" w:rsidP="004818E6">
      <w:pPr>
        <w:rPr>
          <w:rFonts w:ascii="Times New Roman" w:hAnsi="Times New Roman"/>
          <w:sz w:val="24"/>
          <w:lang w:val="sr-Cyrl-CS"/>
        </w:rPr>
      </w:pPr>
      <w:r w:rsidRPr="005303F7">
        <w:rPr>
          <w:rFonts w:ascii="Times New Roman" w:hAnsi="Times New Roman"/>
          <w:sz w:val="24"/>
          <w:lang w:val="sr-Cyrl-CS"/>
        </w:rPr>
        <w:t xml:space="preserve">             </w:t>
      </w:r>
      <w:r w:rsidR="004818E6" w:rsidRPr="005303F7">
        <w:rPr>
          <w:rFonts w:ascii="Times New Roman" w:hAnsi="Times New Roman"/>
          <w:sz w:val="24"/>
          <w:lang w:val="sr-Cyrl-CS"/>
        </w:rPr>
        <w:t>Акционим планом</w:t>
      </w:r>
      <w:r w:rsidR="00612B7A" w:rsidRPr="005303F7">
        <w:rPr>
          <w:rFonts w:ascii="Times New Roman" w:hAnsi="Times New Roman"/>
          <w:sz w:val="24"/>
          <w:lang w:val="sr-Cyrl-CS"/>
        </w:rPr>
        <w:t xml:space="preserve"> </w:t>
      </w:r>
      <w:bookmarkStart w:id="3" w:name="_Hlk135214195"/>
      <w:r w:rsidR="00612B7A" w:rsidRPr="005303F7">
        <w:rPr>
          <w:rFonts w:ascii="Times New Roman" w:hAnsi="Times New Roman"/>
          <w:sz w:val="24"/>
          <w:lang w:val="sr-Cyrl-CS"/>
        </w:rPr>
        <w:t>за спровођење Стратегије нискоугљеничног развоја за период 2024-2030. године</w:t>
      </w:r>
      <w:bookmarkEnd w:id="3"/>
      <w:r w:rsidR="004979F5" w:rsidRPr="005303F7">
        <w:rPr>
          <w:rFonts w:ascii="Times New Roman" w:hAnsi="Times New Roman"/>
          <w:sz w:val="24"/>
          <w:lang w:val="sr-Cyrl-CS"/>
        </w:rPr>
        <w:t>, као и Интегрисаним националним енергетским и климатским планом</w:t>
      </w:r>
      <w:r w:rsidR="00D316AE" w:rsidRPr="005303F7">
        <w:rPr>
          <w:rFonts w:ascii="Times New Roman" w:hAnsi="Times New Roman"/>
          <w:sz w:val="24"/>
          <w:lang w:val="sr-Cyrl-CS"/>
        </w:rPr>
        <w:t>, који ће бити усвојени у року од годину дана,</w:t>
      </w:r>
      <w:r w:rsidR="004818E6" w:rsidRPr="005303F7">
        <w:rPr>
          <w:rFonts w:ascii="Times New Roman" w:hAnsi="Times New Roman"/>
          <w:sz w:val="24"/>
          <w:lang w:val="sr-Cyrl-CS"/>
        </w:rPr>
        <w:t xml:space="preserve"> ће бити дефинисане активности за спровођење мера и  постизање циљева из Стратегије.</w:t>
      </w:r>
    </w:p>
    <w:p w14:paraId="490030B6" w14:textId="51D5FC45" w:rsidR="00EF0353" w:rsidRPr="005303F7" w:rsidRDefault="00EF0353" w:rsidP="00EF0353">
      <w:pPr>
        <w:rPr>
          <w:rFonts w:ascii="Times New Roman" w:hAnsi="Times New Roman"/>
          <w:sz w:val="24"/>
          <w:szCs w:val="24"/>
          <w:lang w:val="sr-Cyrl-CS"/>
        </w:rPr>
      </w:pPr>
      <w:r w:rsidRPr="005303F7">
        <w:rPr>
          <w:rFonts w:ascii="Times New Roman" w:hAnsi="Times New Roman"/>
          <w:sz w:val="24"/>
          <w:szCs w:val="24"/>
          <w:lang w:val="sr-Cyrl-CS"/>
        </w:rPr>
        <w:t xml:space="preserve">              </w:t>
      </w:r>
      <w:r w:rsidR="00B2418F" w:rsidRPr="005303F7">
        <w:rPr>
          <w:rFonts w:ascii="Times New Roman" w:hAnsi="Times New Roman"/>
          <w:sz w:val="24"/>
          <w:szCs w:val="24"/>
          <w:lang w:val="sr-Cyrl-CS"/>
        </w:rPr>
        <w:t>Прилог</w:t>
      </w:r>
      <w:r w:rsidRPr="005303F7">
        <w:rPr>
          <w:rFonts w:ascii="Times New Roman" w:hAnsi="Times New Roman"/>
          <w:sz w:val="24"/>
          <w:szCs w:val="24"/>
          <w:lang w:val="sr-Cyrl-CS"/>
        </w:rPr>
        <w:t xml:space="preserve"> </w:t>
      </w:r>
      <w:r w:rsidR="00B2418F" w:rsidRPr="005303F7">
        <w:rPr>
          <w:rFonts w:ascii="Times New Roman" w:hAnsi="Times New Roman"/>
          <w:sz w:val="24"/>
          <w:szCs w:val="24"/>
          <w:lang w:val="sr-Cyrl-CS"/>
        </w:rPr>
        <w:t>1</w:t>
      </w:r>
      <w:r w:rsidRPr="005303F7">
        <w:rPr>
          <w:rFonts w:ascii="Times New Roman" w:hAnsi="Times New Roman"/>
          <w:sz w:val="24"/>
          <w:szCs w:val="24"/>
          <w:lang w:val="sr-Cyrl-CS"/>
        </w:rPr>
        <w:t xml:space="preserve"> </w:t>
      </w:r>
      <w:r w:rsidR="00B2418F" w:rsidRPr="005303F7">
        <w:rPr>
          <w:rFonts w:ascii="Times New Roman" w:hAnsi="Times New Roman"/>
          <w:sz w:val="24"/>
          <w:szCs w:val="24"/>
          <w:lang w:val="sr-Cyrl-CS"/>
        </w:rPr>
        <w:t xml:space="preserve">- </w:t>
      </w:r>
      <w:r w:rsidRPr="005303F7">
        <w:rPr>
          <w:rFonts w:ascii="Times New Roman" w:hAnsi="Times New Roman"/>
          <w:sz w:val="24"/>
          <w:szCs w:val="24"/>
          <w:lang w:val="sr-Cyrl-CS"/>
        </w:rPr>
        <w:t xml:space="preserve">Осмотрене промене климе и пројекције будуће климе у Републици Србији, </w:t>
      </w:r>
      <w:r w:rsidR="00B2418F" w:rsidRPr="005303F7">
        <w:rPr>
          <w:rFonts w:ascii="Times New Roman" w:hAnsi="Times New Roman"/>
          <w:sz w:val="24"/>
          <w:szCs w:val="24"/>
          <w:lang w:val="sr-Cyrl-CS"/>
        </w:rPr>
        <w:t>Прилог 2</w:t>
      </w:r>
      <w:r w:rsidRPr="005303F7">
        <w:rPr>
          <w:rFonts w:ascii="Times New Roman" w:hAnsi="Times New Roman"/>
          <w:sz w:val="24"/>
          <w:szCs w:val="24"/>
          <w:lang w:val="sr-Cyrl-CS"/>
        </w:rPr>
        <w:t xml:space="preserve"> </w:t>
      </w:r>
      <w:r w:rsidR="00B2418F" w:rsidRPr="005303F7">
        <w:rPr>
          <w:rFonts w:ascii="Times New Roman" w:hAnsi="Times New Roman"/>
          <w:sz w:val="24"/>
          <w:szCs w:val="24"/>
          <w:lang w:val="sr-Cyrl-CS"/>
        </w:rPr>
        <w:t xml:space="preserve">- </w:t>
      </w:r>
      <w:r w:rsidRPr="005303F7">
        <w:rPr>
          <w:rFonts w:ascii="Times New Roman" w:hAnsi="Times New Roman"/>
          <w:sz w:val="24"/>
          <w:szCs w:val="24"/>
          <w:lang w:val="sr-Cyrl-CS"/>
        </w:rPr>
        <w:t xml:space="preserve">Информација о поступку консултација приликом израде Стратегије, </w:t>
      </w:r>
      <w:r w:rsidR="00B2418F" w:rsidRPr="005303F7">
        <w:rPr>
          <w:rFonts w:ascii="Times New Roman" w:hAnsi="Times New Roman"/>
          <w:sz w:val="24"/>
          <w:szCs w:val="24"/>
          <w:lang w:val="sr-Cyrl-CS"/>
        </w:rPr>
        <w:t xml:space="preserve">Прилог 3 - </w:t>
      </w:r>
      <w:r w:rsidRPr="005303F7">
        <w:rPr>
          <w:rFonts w:ascii="Times New Roman" w:hAnsi="Times New Roman"/>
          <w:sz w:val="24"/>
          <w:szCs w:val="24"/>
          <w:lang w:val="sr-Cyrl-CS"/>
        </w:rPr>
        <w:t xml:space="preserve">Информације о прописима које треба усвојити или изменити и </w:t>
      </w:r>
      <w:r w:rsidR="00B2418F" w:rsidRPr="005303F7">
        <w:rPr>
          <w:rFonts w:ascii="Times New Roman" w:hAnsi="Times New Roman"/>
          <w:sz w:val="24"/>
          <w:szCs w:val="24"/>
          <w:lang w:val="sr-Cyrl-CS"/>
        </w:rPr>
        <w:t xml:space="preserve">Прилог 4 - </w:t>
      </w:r>
      <w:r w:rsidRPr="005303F7">
        <w:rPr>
          <w:rFonts w:ascii="Times New Roman" w:hAnsi="Times New Roman"/>
          <w:sz w:val="24"/>
          <w:szCs w:val="24"/>
          <w:lang w:val="sr-Cyrl-CS"/>
        </w:rPr>
        <w:t>Секторска структура сценарија емисија</w:t>
      </w:r>
      <w:r w:rsidR="00456197" w:rsidRPr="005303F7">
        <w:rPr>
          <w:rFonts w:ascii="Times New Roman" w:hAnsi="Times New Roman"/>
          <w:sz w:val="24"/>
          <w:szCs w:val="24"/>
          <w:lang w:val="sr-Cyrl-CS"/>
        </w:rPr>
        <w:t>,</w:t>
      </w:r>
      <w:r w:rsidRPr="005303F7">
        <w:rPr>
          <w:rFonts w:ascii="Times New Roman" w:hAnsi="Times New Roman"/>
          <w:sz w:val="24"/>
          <w:szCs w:val="24"/>
          <w:lang w:val="sr-Cyrl-CS"/>
        </w:rPr>
        <w:t xml:space="preserve"> </w:t>
      </w:r>
      <w:r w:rsidR="00DA2595" w:rsidRPr="005303F7">
        <w:rPr>
          <w:rFonts w:ascii="Times New Roman" w:hAnsi="Times New Roman"/>
          <w:sz w:val="24"/>
          <w:szCs w:val="24"/>
          <w:lang w:val="sr-Cyrl-CS"/>
        </w:rPr>
        <w:t xml:space="preserve">који су </w:t>
      </w:r>
      <w:r w:rsidRPr="005303F7">
        <w:rPr>
          <w:rFonts w:ascii="Times New Roman" w:hAnsi="Times New Roman"/>
          <w:sz w:val="24"/>
          <w:szCs w:val="24"/>
          <w:lang w:val="sr-Cyrl-CS"/>
        </w:rPr>
        <w:t>одштампани уз ову стратегију</w:t>
      </w:r>
      <w:r w:rsidR="00DA2595" w:rsidRPr="005303F7">
        <w:rPr>
          <w:rFonts w:ascii="Times New Roman" w:hAnsi="Times New Roman"/>
          <w:sz w:val="24"/>
          <w:szCs w:val="24"/>
          <w:lang w:val="sr-Cyrl-CS"/>
        </w:rPr>
        <w:t xml:space="preserve"> и</w:t>
      </w:r>
      <w:r w:rsidRPr="005303F7">
        <w:rPr>
          <w:rFonts w:ascii="Times New Roman" w:hAnsi="Times New Roman"/>
          <w:sz w:val="24"/>
          <w:szCs w:val="24"/>
          <w:lang w:val="sr-Cyrl-CS"/>
        </w:rPr>
        <w:t xml:space="preserve"> чине њен саставни део. </w:t>
      </w:r>
    </w:p>
    <w:p w14:paraId="54EC1F2C" w14:textId="77777777" w:rsidR="00EF0353" w:rsidRPr="005303F7" w:rsidRDefault="00EF0353" w:rsidP="004818E6">
      <w:pPr>
        <w:rPr>
          <w:rFonts w:ascii="Times New Roman" w:hAnsi="Times New Roman"/>
          <w:sz w:val="24"/>
          <w:lang w:val="sr-Cyrl-CS"/>
        </w:rPr>
      </w:pPr>
    </w:p>
    <w:p w14:paraId="00E074EA" w14:textId="5C0712A7" w:rsidR="00377CC1" w:rsidRPr="005303F7" w:rsidRDefault="003A5D08" w:rsidP="00682F18">
      <w:pPr>
        <w:pStyle w:val="Einzug1"/>
        <w:rPr>
          <w:rFonts w:ascii="Times New Roman" w:hAnsi="Times New Roman" w:cs="Times New Roman"/>
          <w:sz w:val="24"/>
          <w:szCs w:val="20"/>
          <w:lang w:val="sr-Cyrl-CS"/>
        </w:rPr>
      </w:pPr>
      <w:bookmarkStart w:id="4" w:name="_Toc26686092"/>
      <w:bookmarkEnd w:id="2"/>
      <w:r w:rsidRPr="005303F7">
        <w:rPr>
          <w:rFonts w:ascii="Times New Roman" w:hAnsi="Times New Roman" w:cs="Times New Roman"/>
          <w:lang w:val="sr-Cyrl-CS"/>
        </w:rPr>
        <w:t>ТРЕНУТНА</w:t>
      </w:r>
      <w:r w:rsidR="00B117B6" w:rsidRPr="005303F7">
        <w:rPr>
          <w:rFonts w:ascii="Times New Roman" w:hAnsi="Times New Roman" w:cs="Times New Roman"/>
          <w:lang w:val="sr-Cyrl-CS"/>
        </w:rPr>
        <w:t xml:space="preserve"> </w:t>
      </w:r>
      <w:r w:rsidRPr="005303F7">
        <w:rPr>
          <w:rFonts w:ascii="Times New Roman" w:hAnsi="Times New Roman" w:cs="Times New Roman"/>
          <w:lang w:val="sr-Cyrl-CS"/>
        </w:rPr>
        <w:t>СИТУАЦИЈА</w:t>
      </w:r>
      <w:r w:rsidR="00B117B6" w:rsidRPr="005303F7">
        <w:rPr>
          <w:rFonts w:ascii="Times New Roman" w:hAnsi="Times New Roman" w:cs="Times New Roman"/>
          <w:lang w:val="sr-Cyrl-CS"/>
        </w:rPr>
        <w:t xml:space="preserve"> </w:t>
      </w:r>
      <w:r w:rsidRPr="005303F7">
        <w:rPr>
          <w:rFonts w:ascii="Times New Roman" w:hAnsi="Times New Roman" w:cs="Times New Roman"/>
          <w:lang w:val="sr-Cyrl-CS"/>
        </w:rPr>
        <w:t>И</w:t>
      </w:r>
      <w:r w:rsidR="00B117B6" w:rsidRPr="005303F7">
        <w:rPr>
          <w:rFonts w:ascii="Times New Roman" w:hAnsi="Times New Roman" w:cs="Times New Roman"/>
          <w:lang w:val="sr-Cyrl-CS"/>
        </w:rPr>
        <w:t xml:space="preserve"> </w:t>
      </w:r>
      <w:r w:rsidRPr="005303F7">
        <w:rPr>
          <w:rFonts w:ascii="Times New Roman" w:hAnsi="Times New Roman" w:cs="Times New Roman"/>
          <w:lang w:val="sr-Cyrl-CS"/>
        </w:rPr>
        <w:t>ВИЗИЈА</w:t>
      </w:r>
      <w:r w:rsidR="00B117B6" w:rsidRPr="005303F7">
        <w:rPr>
          <w:rFonts w:ascii="Times New Roman" w:hAnsi="Times New Roman" w:cs="Times New Roman"/>
          <w:lang w:val="sr-Cyrl-CS"/>
        </w:rPr>
        <w:t xml:space="preserve"> </w:t>
      </w:r>
      <w:r w:rsidRPr="005303F7">
        <w:rPr>
          <w:rFonts w:ascii="Times New Roman" w:hAnsi="Times New Roman" w:cs="Times New Roman"/>
          <w:lang w:val="sr-Cyrl-CS"/>
        </w:rPr>
        <w:t>СТРАТЕГИЈ</w:t>
      </w:r>
      <w:bookmarkEnd w:id="4"/>
      <w:r w:rsidRPr="005303F7">
        <w:rPr>
          <w:rFonts w:ascii="Times New Roman" w:hAnsi="Times New Roman" w:cs="Times New Roman"/>
          <w:lang w:val="sr-Cyrl-CS"/>
        </w:rPr>
        <w:t>Е</w:t>
      </w:r>
    </w:p>
    <w:p w14:paraId="3DF1DCCC" w14:textId="7211BD92" w:rsidR="00377CC1" w:rsidRPr="005303F7" w:rsidRDefault="003A5D08" w:rsidP="00D93231">
      <w:pPr>
        <w:pStyle w:val="Heading2"/>
        <w:numPr>
          <w:ilvl w:val="1"/>
          <w:numId w:val="40"/>
        </w:numPr>
        <w:tabs>
          <w:tab w:val="clear" w:pos="3825"/>
          <w:tab w:val="left" w:pos="1134"/>
        </w:tabs>
        <w:spacing w:before="240" w:after="120"/>
        <w:rPr>
          <w:rFonts w:ascii="Times New Roman" w:hAnsi="Times New Roman" w:cs="Times New Roman"/>
          <w:lang w:val="sr-Cyrl-CS"/>
        </w:rPr>
      </w:pPr>
      <w:r w:rsidRPr="005303F7">
        <w:rPr>
          <w:rFonts w:ascii="Times New Roman" w:hAnsi="Times New Roman" w:cs="Times New Roman"/>
          <w:lang w:val="sr-Cyrl-CS"/>
        </w:rPr>
        <w:t>Оквир</w:t>
      </w:r>
      <w:r w:rsidR="00141836" w:rsidRPr="005303F7">
        <w:rPr>
          <w:rFonts w:ascii="Times New Roman" w:hAnsi="Times New Roman" w:cs="Times New Roman"/>
          <w:lang w:val="sr-Cyrl-CS"/>
        </w:rPr>
        <w:t xml:space="preserve"> </w:t>
      </w:r>
      <w:r w:rsidRPr="005303F7">
        <w:rPr>
          <w:rFonts w:ascii="Times New Roman" w:hAnsi="Times New Roman" w:cs="Times New Roman"/>
          <w:lang w:val="sr-Cyrl-CS"/>
        </w:rPr>
        <w:t>политика</w:t>
      </w:r>
    </w:p>
    <w:p w14:paraId="02B042E6" w14:textId="4DF30339" w:rsidR="00377CC1" w:rsidRPr="005303F7" w:rsidRDefault="001A1A44" w:rsidP="00C2290A">
      <w:pPr>
        <w:spacing w:before="0" w:after="0"/>
        <w:rPr>
          <w:rFonts w:ascii="Times New Roman" w:hAnsi="Times New Roman"/>
          <w:sz w:val="24"/>
          <w:lang w:val="sr-Cyrl-CS"/>
        </w:rPr>
      </w:pPr>
      <w:r w:rsidRPr="005303F7">
        <w:rPr>
          <w:rFonts w:ascii="Times New Roman" w:hAnsi="Times New Roman"/>
          <w:sz w:val="24"/>
          <w:lang w:val="sr-Cyrl-CS"/>
        </w:rPr>
        <w:t xml:space="preserve">             </w:t>
      </w:r>
      <w:r w:rsidR="00D73AAB" w:rsidRPr="005303F7">
        <w:rPr>
          <w:rFonts w:ascii="Times New Roman" w:hAnsi="Times New Roman"/>
          <w:sz w:val="24"/>
          <w:lang w:val="sr-Cyrl-CS"/>
        </w:rPr>
        <w:t>Република Србија</w:t>
      </w:r>
      <w:r w:rsidR="009740F0" w:rsidRPr="005303F7">
        <w:rPr>
          <w:rFonts w:ascii="Times New Roman" w:hAnsi="Times New Roman"/>
          <w:sz w:val="24"/>
          <w:lang w:val="sr-Cyrl-CS"/>
        </w:rPr>
        <w:t xml:space="preserve"> </w:t>
      </w:r>
      <w:r w:rsidR="003A5D08" w:rsidRPr="005303F7">
        <w:rPr>
          <w:rFonts w:ascii="Times New Roman" w:hAnsi="Times New Roman"/>
          <w:sz w:val="24"/>
          <w:lang w:val="sr-Cyrl-CS"/>
        </w:rPr>
        <w:t>је</w:t>
      </w:r>
      <w:r w:rsidR="009740F0" w:rsidRPr="005303F7">
        <w:rPr>
          <w:rFonts w:ascii="Times New Roman" w:hAnsi="Times New Roman"/>
          <w:sz w:val="24"/>
          <w:lang w:val="sr-Cyrl-CS"/>
        </w:rPr>
        <w:t xml:space="preserve"> </w:t>
      </w:r>
      <w:r w:rsidR="003A5D08" w:rsidRPr="005303F7">
        <w:rPr>
          <w:rFonts w:ascii="Times New Roman" w:hAnsi="Times New Roman"/>
          <w:sz w:val="24"/>
          <w:lang w:val="sr-Cyrl-CS"/>
        </w:rPr>
        <w:t>ратификовала</w:t>
      </w:r>
      <w:r w:rsidR="009740F0" w:rsidRPr="005303F7">
        <w:rPr>
          <w:rFonts w:ascii="Times New Roman" w:hAnsi="Times New Roman"/>
          <w:sz w:val="24"/>
          <w:lang w:val="sr-Cyrl-CS"/>
        </w:rPr>
        <w:t xml:space="preserve"> </w:t>
      </w:r>
      <w:r w:rsidR="003A5D08" w:rsidRPr="005303F7">
        <w:rPr>
          <w:rFonts w:ascii="Times New Roman" w:hAnsi="Times New Roman"/>
          <w:sz w:val="24"/>
          <w:lang w:val="sr-Cyrl-CS"/>
        </w:rPr>
        <w:t>Оквирну</w:t>
      </w:r>
      <w:r w:rsidR="009740F0" w:rsidRPr="005303F7">
        <w:rPr>
          <w:rFonts w:ascii="Times New Roman" w:hAnsi="Times New Roman"/>
          <w:sz w:val="24"/>
          <w:lang w:val="sr-Cyrl-CS"/>
        </w:rPr>
        <w:t xml:space="preserve"> </w:t>
      </w:r>
      <w:r w:rsidR="003A5D08" w:rsidRPr="005303F7">
        <w:rPr>
          <w:rFonts w:ascii="Times New Roman" w:hAnsi="Times New Roman"/>
          <w:sz w:val="24"/>
          <w:lang w:val="sr-Cyrl-CS"/>
        </w:rPr>
        <w:t>конвенцију</w:t>
      </w:r>
      <w:r w:rsidR="009740F0" w:rsidRPr="005303F7">
        <w:rPr>
          <w:rFonts w:ascii="Times New Roman" w:hAnsi="Times New Roman"/>
          <w:sz w:val="24"/>
          <w:lang w:val="sr-Cyrl-CS"/>
        </w:rPr>
        <w:t xml:space="preserve"> </w:t>
      </w:r>
      <w:r w:rsidR="003A5D08" w:rsidRPr="005303F7">
        <w:rPr>
          <w:rFonts w:ascii="Times New Roman" w:hAnsi="Times New Roman"/>
          <w:sz w:val="24"/>
          <w:lang w:val="sr-Cyrl-CS"/>
        </w:rPr>
        <w:t>Уједињених</w:t>
      </w:r>
      <w:r w:rsidR="009740F0" w:rsidRPr="005303F7">
        <w:rPr>
          <w:rFonts w:ascii="Times New Roman" w:hAnsi="Times New Roman"/>
          <w:sz w:val="24"/>
          <w:lang w:val="sr-Cyrl-CS"/>
        </w:rPr>
        <w:t xml:space="preserve"> </w:t>
      </w:r>
      <w:r w:rsidR="003A5D08" w:rsidRPr="005303F7">
        <w:rPr>
          <w:rFonts w:ascii="Times New Roman" w:hAnsi="Times New Roman"/>
          <w:sz w:val="24"/>
          <w:lang w:val="sr-Cyrl-CS"/>
        </w:rPr>
        <w:t>нација</w:t>
      </w:r>
      <w:r w:rsidR="009740F0" w:rsidRPr="005303F7">
        <w:rPr>
          <w:rFonts w:ascii="Times New Roman" w:hAnsi="Times New Roman"/>
          <w:sz w:val="24"/>
          <w:lang w:val="sr-Cyrl-CS"/>
        </w:rPr>
        <w:t xml:space="preserve"> </w:t>
      </w:r>
      <w:r w:rsidR="003A5D08" w:rsidRPr="005303F7">
        <w:rPr>
          <w:rFonts w:ascii="Times New Roman" w:hAnsi="Times New Roman"/>
          <w:sz w:val="24"/>
          <w:lang w:val="sr-Cyrl-CS"/>
        </w:rPr>
        <w:t>о</w:t>
      </w:r>
      <w:r w:rsidR="009740F0" w:rsidRPr="005303F7">
        <w:rPr>
          <w:rFonts w:ascii="Times New Roman" w:hAnsi="Times New Roman"/>
          <w:sz w:val="24"/>
          <w:lang w:val="sr-Cyrl-CS"/>
        </w:rPr>
        <w:t xml:space="preserve"> </w:t>
      </w:r>
      <w:r w:rsidR="003A5D08" w:rsidRPr="005303F7">
        <w:rPr>
          <w:rFonts w:ascii="Times New Roman" w:hAnsi="Times New Roman"/>
          <w:sz w:val="24"/>
          <w:lang w:val="sr-Cyrl-CS"/>
        </w:rPr>
        <w:t>промени</w:t>
      </w:r>
      <w:r w:rsidR="009740F0" w:rsidRPr="005303F7">
        <w:rPr>
          <w:rFonts w:ascii="Times New Roman" w:hAnsi="Times New Roman"/>
          <w:sz w:val="24"/>
          <w:lang w:val="sr-Cyrl-CS"/>
        </w:rPr>
        <w:t xml:space="preserve"> </w:t>
      </w:r>
      <w:r w:rsidR="003A5D08" w:rsidRPr="005303F7">
        <w:rPr>
          <w:rFonts w:ascii="Times New Roman" w:hAnsi="Times New Roman"/>
          <w:sz w:val="24"/>
          <w:lang w:val="sr-Cyrl-CS"/>
        </w:rPr>
        <w:t>климе</w:t>
      </w:r>
      <w:r w:rsidR="009740F0" w:rsidRPr="005303F7">
        <w:rPr>
          <w:rFonts w:ascii="Times New Roman" w:hAnsi="Times New Roman"/>
          <w:sz w:val="24"/>
          <w:lang w:val="sr-Cyrl-CS"/>
        </w:rPr>
        <w:t xml:space="preserve"> 12. </w:t>
      </w:r>
      <w:r w:rsidR="002A7253" w:rsidRPr="005303F7">
        <w:rPr>
          <w:rFonts w:ascii="Times New Roman" w:hAnsi="Times New Roman"/>
          <w:sz w:val="24"/>
          <w:lang w:val="sr-Cyrl-CS"/>
        </w:rPr>
        <w:t>марта</w:t>
      </w:r>
      <w:r w:rsidR="009740F0" w:rsidRPr="005303F7">
        <w:rPr>
          <w:rFonts w:ascii="Times New Roman" w:hAnsi="Times New Roman"/>
          <w:sz w:val="24"/>
          <w:lang w:val="sr-Cyrl-CS"/>
        </w:rPr>
        <w:t xml:space="preserve"> 2001. </w:t>
      </w:r>
      <w:r w:rsidR="002A7253" w:rsidRPr="005303F7">
        <w:rPr>
          <w:rFonts w:ascii="Times New Roman" w:hAnsi="Times New Roman"/>
          <w:sz w:val="24"/>
          <w:lang w:val="sr-Cyrl-CS"/>
        </w:rPr>
        <w:t>године</w:t>
      </w:r>
      <w:r w:rsidR="00377CC1" w:rsidRPr="005303F7">
        <w:rPr>
          <w:rFonts w:ascii="Times New Roman" w:hAnsi="Times New Roman"/>
          <w:sz w:val="24"/>
          <w:lang w:val="sr-Cyrl-CS"/>
        </w:rPr>
        <w:t xml:space="preserve">, </w:t>
      </w:r>
      <w:r w:rsidR="002A7253" w:rsidRPr="005303F7">
        <w:rPr>
          <w:rFonts w:ascii="Times New Roman" w:hAnsi="Times New Roman"/>
          <w:sz w:val="24"/>
          <w:lang w:val="sr-Cyrl-CS"/>
        </w:rPr>
        <w:t>а</w:t>
      </w:r>
      <w:r w:rsidR="009740F0" w:rsidRPr="005303F7">
        <w:rPr>
          <w:rFonts w:ascii="Times New Roman" w:hAnsi="Times New Roman"/>
          <w:sz w:val="24"/>
          <w:lang w:val="sr-Cyrl-CS"/>
        </w:rPr>
        <w:t xml:space="preserve"> </w:t>
      </w:r>
      <w:r w:rsidR="002A7253" w:rsidRPr="005303F7">
        <w:rPr>
          <w:rFonts w:ascii="Times New Roman" w:hAnsi="Times New Roman"/>
          <w:sz w:val="24"/>
          <w:lang w:val="sr-Cyrl-CS"/>
        </w:rPr>
        <w:t>Споразум</w:t>
      </w:r>
      <w:r w:rsidR="006E0E90" w:rsidRPr="005303F7">
        <w:rPr>
          <w:rFonts w:ascii="Times New Roman" w:hAnsi="Times New Roman"/>
          <w:sz w:val="24"/>
          <w:lang w:val="sr-Cyrl-CS"/>
        </w:rPr>
        <w:t xml:space="preserve"> </w:t>
      </w:r>
      <w:r w:rsidR="002A7253" w:rsidRPr="005303F7">
        <w:rPr>
          <w:rFonts w:ascii="Times New Roman" w:hAnsi="Times New Roman"/>
          <w:sz w:val="24"/>
          <w:lang w:val="sr-Cyrl-CS"/>
        </w:rPr>
        <w:t>из</w:t>
      </w:r>
      <w:r w:rsidR="006E0E90" w:rsidRPr="005303F7">
        <w:rPr>
          <w:rFonts w:ascii="Times New Roman" w:hAnsi="Times New Roman"/>
          <w:sz w:val="24"/>
          <w:lang w:val="sr-Cyrl-CS"/>
        </w:rPr>
        <w:t xml:space="preserve"> </w:t>
      </w:r>
      <w:r w:rsidR="002A7253" w:rsidRPr="005303F7">
        <w:rPr>
          <w:rFonts w:ascii="Times New Roman" w:hAnsi="Times New Roman"/>
          <w:sz w:val="24"/>
          <w:lang w:val="sr-Cyrl-CS"/>
        </w:rPr>
        <w:t>Париза</w:t>
      </w:r>
      <w:r w:rsidR="009740F0" w:rsidRPr="005303F7">
        <w:rPr>
          <w:rFonts w:ascii="Times New Roman" w:hAnsi="Times New Roman"/>
          <w:sz w:val="24"/>
          <w:lang w:val="sr-Cyrl-CS"/>
        </w:rPr>
        <w:t xml:space="preserve"> 25. </w:t>
      </w:r>
      <w:r w:rsidR="002A7253" w:rsidRPr="005303F7">
        <w:rPr>
          <w:rFonts w:ascii="Times New Roman" w:hAnsi="Times New Roman"/>
          <w:sz w:val="24"/>
          <w:lang w:val="sr-Cyrl-CS"/>
        </w:rPr>
        <w:t>јула</w:t>
      </w:r>
      <w:r w:rsidR="009740F0" w:rsidRPr="005303F7">
        <w:rPr>
          <w:rFonts w:ascii="Times New Roman" w:hAnsi="Times New Roman"/>
          <w:sz w:val="24"/>
          <w:lang w:val="sr-Cyrl-CS"/>
        </w:rPr>
        <w:t xml:space="preserve"> 2017. </w:t>
      </w:r>
      <w:r w:rsidR="002A7253" w:rsidRPr="005303F7">
        <w:rPr>
          <w:rFonts w:ascii="Times New Roman" w:hAnsi="Times New Roman"/>
          <w:sz w:val="24"/>
          <w:lang w:val="sr-Cyrl-CS"/>
        </w:rPr>
        <w:t>године</w:t>
      </w:r>
      <w:r w:rsidR="00377CC1" w:rsidRPr="005303F7">
        <w:rPr>
          <w:rFonts w:ascii="Times New Roman" w:hAnsi="Times New Roman"/>
          <w:sz w:val="24"/>
          <w:lang w:val="sr-Cyrl-CS"/>
        </w:rPr>
        <w:t>.</w:t>
      </w:r>
      <w:r w:rsidR="00226499" w:rsidRPr="005303F7">
        <w:rPr>
          <w:rFonts w:ascii="Times New Roman" w:hAnsi="Times New Roman"/>
          <w:sz w:val="24"/>
          <w:lang w:val="sr-Cyrl-CS"/>
        </w:rPr>
        <w:t xml:space="preserve"> </w:t>
      </w:r>
      <w:r w:rsidR="002A7253" w:rsidRPr="005303F7">
        <w:rPr>
          <w:rFonts w:ascii="Times New Roman" w:hAnsi="Times New Roman"/>
          <w:sz w:val="24"/>
          <w:lang w:val="sr-Cyrl-CS"/>
        </w:rPr>
        <w:t>Према</w:t>
      </w:r>
      <w:r w:rsidR="00C84EA3" w:rsidRPr="005303F7">
        <w:rPr>
          <w:rFonts w:ascii="Times New Roman" w:hAnsi="Times New Roman"/>
          <w:sz w:val="24"/>
          <w:lang w:val="sr-Cyrl-CS"/>
        </w:rPr>
        <w:t xml:space="preserve"> </w:t>
      </w:r>
      <w:r w:rsidR="00436A6C" w:rsidRPr="005303F7">
        <w:rPr>
          <w:rFonts w:ascii="Times New Roman" w:hAnsi="Times New Roman"/>
          <w:sz w:val="24"/>
          <w:lang w:val="sr-Cyrl-CS"/>
        </w:rPr>
        <w:t>С</w:t>
      </w:r>
      <w:r w:rsidR="002A7253" w:rsidRPr="005303F7">
        <w:rPr>
          <w:rFonts w:ascii="Times New Roman" w:hAnsi="Times New Roman"/>
          <w:sz w:val="24"/>
          <w:lang w:val="sr-Cyrl-CS"/>
        </w:rPr>
        <w:t>поразуму</w:t>
      </w:r>
      <w:r w:rsidR="00436A6C" w:rsidRPr="005303F7">
        <w:rPr>
          <w:rFonts w:ascii="Times New Roman" w:hAnsi="Times New Roman"/>
          <w:sz w:val="24"/>
          <w:lang w:val="sr-Cyrl-CS"/>
        </w:rPr>
        <w:t xml:space="preserve"> из Париза</w:t>
      </w:r>
      <w:r w:rsidR="00C84EA3" w:rsidRPr="005303F7">
        <w:rPr>
          <w:rFonts w:ascii="Times New Roman" w:hAnsi="Times New Roman"/>
          <w:sz w:val="24"/>
          <w:lang w:val="sr-Cyrl-CS"/>
        </w:rPr>
        <w:t xml:space="preserve">, </w:t>
      </w:r>
      <w:r w:rsidR="00436A6C" w:rsidRPr="005303F7">
        <w:rPr>
          <w:rFonts w:ascii="Times New Roman" w:hAnsi="Times New Roman"/>
          <w:sz w:val="24"/>
          <w:lang w:val="sr-Cyrl-CS"/>
        </w:rPr>
        <w:t xml:space="preserve">у оквиру </w:t>
      </w:r>
      <w:r w:rsidR="002A7253" w:rsidRPr="005303F7">
        <w:rPr>
          <w:rFonts w:ascii="Times New Roman" w:hAnsi="Times New Roman"/>
          <w:sz w:val="24"/>
          <w:lang w:val="sr-Cyrl-CS"/>
        </w:rPr>
        <w:t>свог</w:t>
      </w:r>
      <w:r w:rsidR="00C84EA3" w:rsidRPr="005303F7">
        <w:rPr>
          <w:rFonts w:ascii="Times New Roman" w:hAnsi="Times New Roman"/>
          <w:sz w:val="24"/>
          <w:lang w:val="sr-Cyrl-CS"/>
        </w:rPr>
        <w:t xml:space="preserve"> </w:t>
      </w:r>
      <w:r w:rsidR="002A7253" w:rsidRPr="005303F7">
        <w:rPr>
          <w:rFonts w:ascii="Times New Roman" w:hAnsi="Times New Roman"/>
          <w:sz w:val="24"/>
          <w:lang w:val="sr-Cyrl-CS"/>
        </w:rPr>
        <w:t>првог</w:t>
      </w:r>
      <w:r w:rsidR="00C84EA3" w:rsidRPr="005303F7">
        <w:rPr>
          <w:rFonts w:ascii="Times New Roman" w:hAnsi="Times New Roman"/>
          <w:sz w:val="24"/>
          <w:lang w:val="sr-Cyrl-CS"/>
        </w:rPr>
        <w:t xml:space="preserve"> </w:t>
      </w:r>
      <w:r w:rsidR="0093398A" w:rsidRPr="005303F7">
        <w:rPr>
          <w:rFonts w:ascii="Times New Roman" w:hAnsi="Times New Roman"/>
          <w:sz w:val="24"/>
          <w:lang w:val="sr-Cyrl-CS"/>
        </w:rPr>
        <w:t>Н</w:t>
      </w:r>
      <w:r w:rsidR="002A7253" w:rsidRPr="005303F7">
        <w:rPr>
          <w:rFonts w:ascii="Times New Roman" w:hAnsi="Times New Roman"/>
          <w:sz w:val="24"/>
          <w:lang w:val="sr-Cyrl-CS"/>
        </w:rPr>
        <w:t>ационално</w:t>
      </w:r>
      <w:r w:rsidR="00C84EA3" w:rsidRPr="005303F7">
        <w:rPr>
          <w:rFonts w:ascii="Times New Roman" w:hAnsi="Times New Roman"/>
          <w:sz w:val="24"/>
          <w:lang w:val="sr-Cyrl-CS"/>
        </w:rPr>
        <w:t xml:space="preserve"> </w:t>
      </w:r>
      <w:r w:rsidR="002A7253" w:rsidRPr="005303F7">
        <w:rPr>
          <w:rFonts w:ascii="Times New Roman" w:hAnsi="Times New Roman"/>
          <w:sz w:val="24"/>
          <w:lang w:val="sr-Cyrl-CS"/>
        </w:rPr>
        <w:t>утврђеног</w:t>
      </w:r>
      <w:r w:rsidR="00C84EA3" w:rsidRPr="005303F7">
        <w:rPr>
          <w:rFonts w:ascii="Times New Roman" w:hAnsi="Times New Roman"/>
          <w:sz w:val="24"/>
          <w:lang w:val="sr-Cyrl-CS"/>
        </w:rPr>
        <w:t xml:space="preserve"> </w:t>
      </w:r>
      <w:r w:rsidR="002A7253" w:rsidRPr="005303F7">
        <w:rPr>
          <w:rFonts w:ascii="Times New Roman" w:hAnsi="Times New Roman"/>
          <w:sz w:val="24"/>
          <w:lang w:val="sr-Cyrl-CS"/>
        </w:rPr>
        <w:t>доприноса</w:t>
      </w:r>
      <w:r w:rsidR="00E751BC" w:rsidRPr="005303F7">
        <w:rPr>
          <w:rFonts w:ascii="Times New Roman" w:hAnsi="Times New Roman"/>
          <w:sz w:val="24"/>
          <w:lang w:val="sr-Cyrl-CS"/>
        </w:rPr>
        <w:t xml:space="preserve"> </w:t>
      </w:r>
      <w:r w:rsidR="002A7253" w:rsidRPr="005303F7">
        <w:rPr>
          <w:rFonts w:ascii="Times New Roman" w:hAnsi="Times New Roman"/>
          <w:sz w:val="24"/>
          <w:lang w:val="sr-Cyrl-CS"/>
        </w:rPr>
        <w:t>смањењу</w:t>
      </w:r>
      <w:r w:rsidR="00E751BC" w:rsidRPr="005303F7">
        <w:rPr>
          <w:rFonts w:ascii="Times New Roman" w:hAnsi="Times New Roman"/>
          <w:sz w:val="24"/>
          <w:lang w:val="sr-Cyrl-CS"/>
        </w:rPr>
        <w:t xml:space="preserve"> </w:t>
      </w:r>
      <w:r w:rsidR="002A7253" w:rsidRPr="005303F7">
        <w:rPr>
          <w:rFonts w:ascii="Times New Roman" w:hAnsi="Times New Roman"/>
          <w:sz w:val="24"/>
          <w:lang w:val="sr-Cyrl-CS"/>
        </w:rPr>
        <w:t>емисија</w:t>
      </w:r>
      <w:r w:rsidR="00E751BC" w:rsidRPr="005303F7">
        <w:rPr>
          <w:rFonts w:ascii="Times New Roman" w:hAnsi="Times New Roman"/>
          <w:sz w:val="24"/>
          <w:lang w:val="sr-Cyrl-CS"/>
        </w:rPr>
        <w:t xml:space="preserve"> GHG</w:t>
      </w:r>
      <w:r w:rsidR="00C84EA3" w:rsidRPr="005303F7">
        <w:rPr>
          <w:rFonts w:ascii="Times New Roman" w:hAnsi="Times New Roman"/>
          <w:sz w:val="24"/>
          <w:lang w:val="sr-Cyrl-CS"/>
        </w:rPr>
        <w:t xml:space="preserve">, </w:t>
      </w:r>
      <w:r w:rsidR="002A7253" w:rsidRPr="005303F7">
        <w:rPr>
          <w:rFonts w:ascii="Times New Roman" w:hAnsi="Times New Roman"/>
          <w:sz w:val="24"/>
          <w:lang w:val="sr-Cyrl-CS"/>
        </w:rPr>
        <w:t>поднесеног</w:t>
      </w:r>
      <w:r w:rsidR="00C84EA3" w:rsidRPr="005303F7">
        <w:rPr>
          <w:rFonts w:ascii="Times New Roman" w:hAnsi="Times New Roman"/>
          <w:sz w:val="24"/>
          <w:lang w:val="sr-Cyrl-CS"/>
        </w:rPr>
        <w:t xml:space="preserve"> 30. </w:t>
      </w:r>
      <w:r w:rsidR="002A7253" w:rsidRPr="005303F7">
        <w:rPr>
          <w:rFonts w:ascii="Times New Roman" w:hAnsi="Times New Roman"/>
          <w:sz w:val="24"/>
          <w:lang w:val="sr-Cyrl-CS"/>
        </w:rPr>
        <w:t>јуна</w:t>
      </w:r>
      <w:r w:rsidR="00C84EA3" w:rsidRPr="005303F7">
        <w:rPr>
          <w:rFonts w:ascii="Times New Roman" w:hAnsi="Times New Roman"/>
          <w:sz w:val="24"/>
          <w:lang w:val="sr-Cyrl-CS"/>
        </w:rPr>
        <w:t xml:space="preserve"> 2015.</w:t>
      </w:r>
      <w:r w:rsidR="00436A6C" w:rsidRPr="005303F7">
        <w:rPr>
          <w:rFonts w:ascii="Times New Roman" w:hAnsi="Times New Roman"/>
          <w:sz w:val="24"/>
          <w:lang w:val="sr-Cyrl-CS"/>
        </w:rPr>
        <w:t xml:space="preserve"> године</w:t>
      </w:r>
      <w:r w:rsidR="00C84EA3" w:rsidRPr="005303F7">
        <w:rPr>
          <w:rFonts w:ascii="Times New Roman" w:hAnsi="Times New Roman"/>
          <w:sz w:val="24"/>
          <w:lang w:val="sr-Cyrl-CS"/>
        </w:rPr>
        <w:t xml:space="preserve">, </w:t>
      </w:r>
      <w:r w:rsidR="00D73AAB" w:rsidRPr="005303F7">
        <w:rPr>
          <w:rFonts w:ascii="Times New Roman" w:hAnsi="Times New Roman"/>
          <w:sz w:val="24"/>
          <w:lang w:val="sr-Cyrl-CS"/>
        </w:rPr>
        <w:t>Република Србија</w:t>
      </w:r>
      <w:r w:rsidR="00C84EA3" w:rsidRPr="005303F7">
        <w:rPr>
          <w:rFonts w:ascii="Times New Roman" w:hAnsi="Times New Roman"/>
          <w:sz w:val="24"/>
          <w:lang w:val="sr-Cyrl-CS"/>
        </w:rPr>
        <w:t xml:space="preserve"> </w:t>
      </w:r>
      <w:r w:rsidR="002A7253" w:rsidRPr="005303F7">
        <w:rPr>
          <w:rFonts w:ascii="Times New Roman" w:hAnsi="Times New Roman"/>
          <w:sz w:val="24"/>
          <w:lang w:val="sr-Cyrl-CS"/>
        </w:rPr>
        <w:t>се</w:t>
      </w:r>
      <w:r w:rsidR="00C84EA3" w:rsidRPr="005303F7">
        <w:rPr>
          <w:rFonts w:ascii="Times New Roman" w:hAnsi="Times New Roman"/>
          <w:sz w:val="24"/>
          <w:lang w:val="sr-Cyrl-CS"/>
        </w:rPr>
        <w:t xml:space="preserve"> </w:t>
      </w:r>
      <w:r w:rsidR="002A7253" w:rsidRPr="005303F7">
        <w:rPr>
          <w:rFonts w:ascii="Times New Roman" w:hAnsi="Times New Roman"/>
          <w:sz w:val="24"/>
          <w:lang w:val="sr-Cyrl-CS"/>
        </w:rPr>
        <w:t>обавезала</w:t>
      </w:r>
      <w:r w:rsidR="00C84EA3" w:rsidRPr="005303F7">
        <w:rPr>
          <w:rFonts w:ascii="Times New Roman" w:hAnsi="Times New Roman"/>
          <w:sz w:val="24"/>
          <w:lang w:val="sr-Cyrl-CS"/>
        </w:rPr>
        <w:t xml:space="preserve"> </w:t>
      </w:r>
      <w:r w:rsidR="002A7253" w:rsidRPr="005303F7">
        <w:rPr>
          <w:rFonts w:ascii="Times New Roman" w:hAnsi="Times New Roman"/>
          <w:sz w:val="24"/>
          <w:lang w:val="sr-Cyrl-CS"/>
        </w:rPr>
        <w:t>да</w:t>
      </w:r>
      <w:r w:rsidR="00C84EA3" w:rsidRPr="005303F7">
        <w:rPr>
          <w:rFonts w:ascii="Times New Roman" w:hAnsi="Times New Roman"/>
          <w:sz w:val="24"/>
          <w:lang w:val="sr-Cyrl-CS"/>
        </w:rPr>
        <w:t xml:space="preserve"> </w:t>
      </w:r>
      <w:r w:rsidR="002A7253" w:rsidRPr="005303F7">
        <w:rPr>
          <w:rFonts w:ascii="Times New Roman" w:hAnsi="Times New Roman"/>
          <w:sz w:val="24"/>
          <w:lang w:val="sr-Cyrl-CS"/>
        </w:rPr>
        <w:t>ће</w:t>
      </w:r>
      <w:r w:rsidR="00C84EA3" w:rsidRPr="005303F7">
        <w:rPr>
          <w:rFonts w:ascii="Times New Roman" w:hAnsi="Times New Roman"/>
          <w:sz w:val="24"/>
          <w:lang w:val="sr-Cyrl-CS"/>
        </w:rPr>
        <w:t xml:space="preserve"> „</w:t>
      </w:r>
      <w:r w:rsidR="002A7253" w:rsidRPr="005303F7">
        <w:rPr>
          <w:rFonts w:ascii="Times New Roman" w:hAnsi="Times New Roman"/>
          <w:sz w:val="24"/>
          <w:lang w:val="sr-Cyrl-CS"/>
        </w:rPr>
        <w:t>смањити</w:t>
      </w:r>
      <w:r w:rsidR="00C84EA3" w:rsidRPr="005303F7">
        <w:rPr>
          <w:rFonts w:ascii="Times New Roman" w:hAnsi="Times New Roman"/>
          <w:sz w:val="24"/>
          <w:lang w:val="sr-Cyrl-CS"/>
        </w:rPr>
        <w:t xml:space="preserve"> </w:t>
      </w:r>
      <w:r w:rsidR="002A7253" w:rsidRPr="005303F7">
        <w:rPr>
          <w:rFonts w:ascii="Times New Roman" w:hAnsi="Times New Roman"/>
          <w:sz w:val="24"/>
          <w:lang w:val="sr-Cyrl-CS"/>
        </w:rPr>
        <w:t>емисије</w:t>
      </w:r>
      <w:r w:rsidR="00C84EA3" w:rsidRPr="005303F7">
        <w:rPr>
          <w:rFonts w:ascii="Times New Roman" w:hAnsi="Times New Roman"/>
          <w:sz w:val="24"/>
          <w:lang w:val="sr-Cyrl-CS"/>
        </w:rPr>
        <w:t xml:space="preserve"> </w:t>
      </w:r>
      <w:r w:rsidR="002A7253" w:rsidRPr="005303F7">
        <w:rPr>
          <w:rFonts w:ascii="Times New Roman" w:hAnsi="Times New Roman"/>
          <w:sz w:val="24"/>
          <w:lang w:val="sr-Cyrl-CS"/>
        </w:rPr>
        <w:t>гасова</w:t>
      </w:r>
      <w:r w:rsidR="00C84EA3" w:rsidRPr="005303F7">
        <w:rPr>
          <w:rFonts w:ascii="Times New Roman" w:hAnsi="Times New Roman"/>
          <w:sz w:val="24"/>
          <w:lang w:val="sr-Cyrl-CS"/>
        </w:rPr>
        <w:t xml:space="preserve"> </w:t>
      </w:r>
      <w:r w:rsidR="002A7253" w:rsidRPr="005303F7">
        <w:rPr>
          <w:rFonts w:ascii="Times New Roman" w:hAnsi="Times New Roman"/>
          <w:sz w:val="24"/>
          <w:lang w:val="sr-Cyrl-CS"/>
        </w:rPr>
        <w:t>са</w:t>
      </w:r>
      <w:r w:rsidR="00C84EA3" w:rsidRPr="005303F7">
        <w:rPr>
          <w:rFonts w:ascii="Times New Roman" w:hAnsi="Times New Roman"/>
          <w:sz w:val="24"/>
          <w:lang w:val="sr-Cyrl-CS"/>
        </w:rPr>
        <w:t xml:space="preserve"> </w:t>
      </w:r>
      <w:r w:rsidR="002A7253" w:rsidRPr="005303F7">
        <w:rPr>
          <w:rFonts w:ascii="Times New Roman" w:hAnsi="Times New Roman"/>
          <w:sz w:val="24"/>
          <w:lang w:val="sr-Cyrl-CS"/>
        </w:rPr>
        <w:t>ефектом</w:t>
      </w:r>
      <w:r w:rsidR="00C84EA3" w:rsidRPr="005303F7">
        <w:rPr>
          <w:rFonts w:ascii="Times New Roman" w:hAnsi="Times New Roman"/>
          <w:sz w:val="24"/>
          <w:lang w:val="sr-Cyrl-CS"/>
        </w:rPr>
        <w:t xml:space="preserve"> </w:t>
      </w:r>
      <w:r w:rsidR="002A7253" w:rsidRPr="005303F7">
        <w:rPr>
          <w:rFonts w:ascii="Times New Roman" w:hAnsi="Times New Roman"/>
          <w:sz w:val="24"/>
          <w:lang w:val="sr-Cyrl-CS"/>
        </w:rPr>
        <w:t>стаклене</w:t>
      </w:r>
      <w:r w:rsidR="00C84EA3" w:rsidRPr="005303F7">
        <w:rPr>
          <w:rFonts w:ascii="Times New Roman" w:hAnsi="Times New Roman"/>
          <w:sz w:val="24"/>
          <w:lang w:val="sr-Cyrl-CS"/>
        </w:rPr>
        <w:t xml:space="preserve"> </w:t>
      </w:r>
      <w:r w:rsidR="002A7253" w:rsidRPr="005303F7">
        <w:rPr>
          <w:rFonts w:ascii="Times New Roman" w:hAnsi="Times New Roman"/>
          <w:sz w:val="24"/>
          <w:lang w:val="sr-Cyrl-CS"/>
        </w:rPr>
        <w:t>баште</w:t>
      </w:r>
      <w:r w:rsidR="00C84EA3" w:rsidRPr="005303F7">
        <w:rPr>
          <w:rFonts w:ascii="Times New Roman" w:hAnsi="Times New Roman"/>
          <w:sz w:val="24"/>
          <w:lang w:val="sr-Cyrl-CS"/>
        </w:rPr>
        <w:t xml:space="preserve"> </w:t>
      </w:r>
      <w:r w:rsidR="002A7253" w:rsidRPr="005303F7">
        <w:rPr>
          <w:rFonts w:ascii="Times New Roman" w:hAnsi="Times New Roman"/>
          <w:sz w:val="24"/>
          <w:lang w:val="sr-Cyrl-CS"/>
        </w:rPr>
        <w:t>за</w:t>
      </w:r>
      <w:r w:rsidR="00C84EA3" w:rsidRPr="005303F7">
        <w:rPr>
          <w:rFonts w:ascii="Times New Roman" w:hAnsi="Times New Roman"/>
          <w:sz w:val="24"/>
          <w:lang w:val="sr-Cyrl-CS"/>
        </w:rPr>
        <w:t xml:space="preserve"> 9,8%</w:t>
      </w:r>
      <w:r w:rsidR="00EA7389" w:rsidRPr="005303F7">
        <w:rPr>
          <w:rStyle w:val="FootnoteReference"/>
          <w:rFonts w:ascii="Times New Roman" w:hAnsi="Times New Roman"/>
          <w:sz w:val="18"/>
          <w:lang w:val="sr-Cyrl-CS"/>
        </w:rPr>
        <w:footnoteReference w:id="5"/>
      </w:r>
      <w:r w:rsidR="00C84EA3" w:rsidRPr="005303F7">
        <w:rPr>
          <w:rFonts w:ascii="Times New Roman" w:hAnsi="Times New Roman"/>
          <w:sz w:val="24"/>
          <w:lang w:val="sr-Cyrl-CS"/>
        </w:rPr>
        <w:t xml:space="preserve"> </w:t>
      </w:r>
      <w:r w:rsidR="002A7253" w:rsidRPr="005303F7">
        <w:rPr>
          <w:rFonts w:ascii="Times New Roman" w:hAnsi="Times New Roman"/>
          <w:sz w:val="24"/>
          <w:lang w:val="sr-Cyrl-CS"/>
        </w:rPr>
        <w:t>до</w:t>
      </w:r>
      <w:r w:rsidR="00C84EA3" w:rsidRPr="005303F7">
        <w:rPr>
          <w:rFonts w:ascii="Times New Roman" w:hAnsi="Times New Roman"/>
          <w:sz w:val="24"/>
          <w:lang w:val="sr-Cyrl-CS"/>
        </w:rPr>
        <w:t xml:space="preserve"> 2030. </w:t>
      </w:r>
      <w:r w:rsidR="002A7253" w:rsidRPr="005303F7">
        <w:rPr>
          <w:rFonts w:ascii="Times New Roman" w:hAnsi="Times New Roman"/>
          <w:sz w:val="24"/>
          <w:lang w:val="sr-Cyrl-CS"/>
        </w:rPr>
        <w:t>године</w:t>
      </w:r>
      <w:r w:rsidR="00C84EA3" w:rsidRPr="005303F7">
        <w:rPr>
          <w:rFonts w:ascii="Times New Roman" w:hAnsi="Times New Roman"/>
          <w:sz w:val="24"/>
          <w:lang w:val="sr-Cyrl-CS"/>
        </w:rPr>
        <w:t xml:space="preserve"> </w:t>
      </w:r>
      <w:r w:rsidR="002A7253" w:rsidRPr="005303F7">
        <w:rPr>
          <w:rFonts w:ascii="Times New Roman" w:hAnsi="Times New Roman"/>
          <w:sz w:val="24"/>
          <w:lang w:val="sr-Cyrl-CS"/>
        </w:rPr>
        <w:t>у</w:t>
      </w:r>
      <w:r w:rsidR="00C84EA3" w:rsidRPr="005303F7">
        <w:rPr>
          <w:rFonts w:ascii="Times New Roman" w:hAnsi="Times New Roman"/>
          <w:sz w:val="24"/>
          <w:lang w:val="sr-Cyrl-CS"/>
        </w:rPr>
        <w:t xml:space="preserve"> </w:t>
      </w:r>
      <w:r w:rsidR="002A7253" w:rsidRPr="005303F7">
        <w:rPr>
          <w:rFonts w:ascii="Times New Roman" w:hAnsi="Times New Roman"/>
          <w:sz w:val="24"/>
          <w:lang w:val="sr-Cyrl-CS"/>
        </w:rPr>
        <w:t>поређењу</w:t>
      </w:r>
      <w:r w:rsidR="00C84EA3" w:rsidRPr="005303F7">
        <w:rPr>
          <w:rFonts w:ascii="Times New Roman" w:hAnsi="Times New Roman"/>
          <w:sz w:val="24"/>
          <w:lang w:val="sr-Cyrl-CS"/>
        </w:rPr>
        <w:t xml:space="preserve"> </w:t>
      </w:r>
      <w:r w:rsidR="002A7253" w:rsidRPr="005303F7">
        <w:rPr>
          <w:rFonts w:ascii="Times New Roman" w:hAnsi="Times New Roman"/>
          <w:sz w:val="24"/>
          <w:lang w:val="sr-Cyrl-CS"/>
        </w:rPr>
        <w:t>са</w:t>
      </w:r>
      <w:r w:rsidR="00C84EA3" w:rsidRPr="005303F7">
        <w:rPr>
          <w:rFonts w:ascii="Times New Roman" w:hAnsi="Times New Roman"/>
          <w:sz w:val="24"/>
          <w:lang w:val="sr-Cyrl-CS"/>
        </w:rPr>
        <w:t xml:space="preserve"> </w:t>
      </w:r>
      <w:r w:rsidR="002A7253" w:rsidRPr="005303F7">
        <w:rPr>
          <w:rFonts w:ascii="Times New Roman" w:hAnsi="Times New Roman"/>
          <w:sz w:val="24"/>
          <w:lang w:val="sr-Cyrl-CS"/>
        </w:rPr>
        <w:t>нивоом</w:t>
      </w:r>
      <w:r w:rsidR="001469E9" w:rsidRPr="005303F7">
        <w:rPr>
          <w:rFonts w:ascii="Times New Roman" w:hAnsi="Times New Roman"/>
          <w:sz w:val="24"/>
          <w:lang w:val="sr-Cyrl-CS"/>
        </w:rPr>
        <w:t xml:space="preserve"> </w:t>
      </w:r>
      <w:r w:rsidR="002A7253" w:rsidRPr="005303F7">
        <w:rPr>
          <w:rFonts w:ascii="Times New Roman" w:hAnsi="Times New Roman"/>
          <w:sz w:val="24"/>
          <w:lang w:val="sr-Cyrl-CS"/>
        </w:rPr>
        <w:t>емисија</w:t>
      </w:r>
      <w:r w:rsidR="00C84EA3" w:rsidRPr="005303F7">
        <w:rPr>
          <w:rFonts w:ascii="Times New Roman" w:hAnsi="Times New Roman"/>
          <w:sz w:val="24"/>
          <w:lang w:val="sr-Cyrl-CS"/>
        </w:rPr>
        <w:t xml:space="preserve"> </w:t>
      </w:r>
      <w:r w:rsidR="002A7253" w:rsidRPr="005303F7">
        <w:rPr>
          <w:rFonts w:ascii="Times New Roman" w:hAnsi="Times New Roman"/>
          <w:sz w:val="24"/>
          <w:lang w:val="sr-Cyrl-CS"/>
        </w:rPr>
        <w:t>из</w:t>
      </w:r>
      <w:r w:rsidR="00C84EA3" w:rsidRPr="005303F7">
        <w:rPr>
          <w:rFonts w:ascii="Times New Roman" w:hAnsi="Times New Roman"/>
          <w:sz w:val="24"/>
          <w:lang w:val="sr-Cyrl-CS"/>
        </w:rPr>
        <w:t xml:space="preserve"> 1990. </w:t>
      </w:r>
      <w:r w:rsidR="002A7253" w:rsidRPr="005303F7">
        <w:rPr>
          <w:rFonts w:ascii="Times New Roman" w:hAnsi="Times New Roman"/>
          <w:sz w:val="24"/>
          <w:lang w:val="sr-Cyrl-CS"/>
        </w:rPr>
        <w:t>године</w:t>
      </w:r>
      <w:r w:rsidR="0035174D" w:rsidRPr="005303F7">
        <w:rPr>
          <w:rFonts w:ascii="Times New Roman" w:hAnsi="Times New Roman"/>
          <w:sz w:val="24"/>
          <w:lang w:val="sr-Cyrl-CS"/>
        </w:rPr>
        <w:t>”</w:t>
      </w:r>
      <w:r w:rsidR="0093398A" w:rsidRPr="005303F7">
        <w:rPr>
          <w:rFonts w:ascii="Times New Roman" w:hAnsi="Times New Roman"/>
          <w:sz w:val="24"/>
          <w:lang w:val="sr-Cyrl-CS"/>
        </w:rPr>
        <w:t>, док је ажурирани Национално утврђени допринос, који је поднет 28. августа 2022. године, утврдио циљ од 33.3% у поређењу са нивоом емисија из 1990. године</w:t>
      </w:r>
      <w:r w:rsidR="0088357E" w:rsidRPr="005303F7">
        <w:rPr>
          <w:rFonts w:ascii="Times New Roman" w:hAnsi="Times New Roman"/>
          <w:sz w:val="24"/>
          <w:lang w:val="sr-Cyrl-CS"/>
        </w:rPr>
        <w:t>.</w:t>
      </w:r>
      <w:r w:rsidR="00C84EA3" w:rsidRPr="005303F7">
        <w:rPr>
          <w:rFonts w:ascii="Times New Roman" w:hAnsi="Times New Roman"/>
          <w:sz w:val="24"/>
          <w:lang w:val="sr-Cyrl-CS"/>
        </w:rPr>
        <w:t xml:space="preserve"> </w:t>
      </w:r>
      <w:r w:rsidR="0093398A" w:rsidRPr="005303F7">
        <w:rPr>
          <w:rFonts w:ascii="Times New Roman" w:hAnsi="Times New Roman"/>
          <w:sz w:val="24"/>
          <w:lang w:val="sr-Cyrl-CS"/>
        </w:rPr>
        <w:t>Нето циљеви смањења емисија GHG</w:t>
      </w:r>
      <w:r w:rsidR="00E87F70" w:rsidRPr="005303F7">
        <w:rPr>
          <w:rFonts w:ascii="Times New Roman" w:hAnsi="Times New Roman"/>
          <w:sz w:val="24"/>
          <w:lang w:val="sr-Cyrl-CS"/>
        </w:rPr>
        <w:t xml:space="preserve"> за Републику Србију, укључујући смањење и уклањање емисија у оквиру сектора </w:t>
      </w:r>
      <w:r w:rsidR="00101A22" w:rsidRPr="005303F7">
        <w:rPr>
          <w:rFonts w:ascii="Times New Roman" w:hAnsi="Times New Roman"/>
          <w:sz w:val="24"/>
          <w:lang w:val="sr-Cyrl-CS"/>
        </w:rPr>
        <w:t>коришћења земљишта, промене намене земљишта и шумарства (енгл. Land Use, Land Use Change and Forestry</w:t>
      </w:r>
      <w:r w:rsidR="00C64AC3" w:rsidRPr="005303F7">
        <w:rPr>
          <w:rFonts w:ascii="Times New Roman" w:hAnsi="Times New Roman"/>
          <w:sz w:val="24"/>
          <w:lang w:val="sr-Cyrl-CS"/>
        </w:rPr>
        <w:t xml:space="preserve"> -</w:t>
      </w:r>
      <w:r w:rsidR="002C168F" w:rsidRPr="005303F7">
        <w:rPr>
          <w:rFonts w:ascii="Times New Roman" w:hAnsi="Times New Roman"/>
          <w:sz w:val="24"/>
          <w:lang w:val="sr-Cyrl-CS"/>
        </w:rPr>
        <w:t xml:space="preserve"> у даљем тексту:</w:t>
      </w:r>
      <w:r w:rsidR="00101A22" w:rsidRPr="005303F7">
        <w:rPr>
          <w:rFonts w:ascii="Times New Roman" w:hAnsi="Times New Roman"/>
          <w:sz w:val="24"/>
          <w:lang w:val="sr-Cyrl-CS"/>
        </w:rPr>
        <w:t xml:space="preserve"> LULUCF)</w:t>
      </w:r>
      <w:r w:rsidR="00E87F70" w:rsidRPr="005303F7">
        <w:rPr>
          <w:rFonts w:ascii="Times New Roman" w:hAnsi="Times New Roman"/>
          <w:sz w:val="24"/>
          <w:lang w:val="sr-Cyrl-CS"/>
        </w:rPr>
        <w:t xml:space="preserve">, су усвојени у децембру 2022. године, под Уговором </w:t>
      </w:r>
      <w:r w:rsidR="0002497A" w:rsidRPr="005303F7">
        <w:rPr>
          <w:rFonts w:ascii="Times New Roman" w:hAnsi="Times New Roman"/>
          <w:sz w:val="24"/>
          <w:lang w:val="sr-Cyrl-CS"/>
        </w:rPr>
        <w:t xml:space="preserve">о оснивању </w:t>
      </w:r>
      <w:r w:rsidR="00E87F70" w:rsidRPr="005303F7">
        <w:rPr>
          <w:rFonts w:ascii="Times New Roman" w:hAnsi="Times New Roman"/>
          <w:sz w:val="24"/>
          <w:lang w:val="sr-Cyrl-CS"/>
        </w:rPr>
        <w:t>Енергетске заједнице.</w:t>
      </w:r>
    </w:p>
    <w:p w14:paraId="2739B449" w14:textId="1D1F45CE" w:rsidR="00DA0E64" w:rsidRPr="005303F7" w:rsidRDefault="001A1A44" w:rsidP="00377CC1">
      <w:pPr>
        <w:rPr>
          <w:rFonts w:ascii="Times New Roman" w:hAnsi="Times New Roman"/>
          <w:sz w:val="24"/>
          <w:lang w:val="sr-Cyrl-CS"/>
        </w:rPr>
      </w:pPr>
      <w:r w:rsidRPr="005303F7">
        <w:rPr>
          <w:rFonts w:ascii="Times New Roman" w:hAnsi="Times New Roman"/>
          <w:sz w:val="24"/>
          <w:lang w:val="sr-Cyrl-CS"/>
        </w:rPr>
        <w:t xml:space="preserve">            </w:t>
      </w:r>
      <w:r w:rsidR="002A7253" w:rsidRPr="005303F7">
        <w:rPr>
          <w:rFonts w:ascii="Times New Roman" w:hAnsi="Times New Roman"/>
          <w:sz w:val="24"/>
          <w:lang w:val="sr-Cyrl-CS"/>
        </w:rPr>
        <w:t>До</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сада</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су</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активности</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у</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вези</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са</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климатским</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променама</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у</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земљи</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углавном</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анализиране</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описане</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у</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националним</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извештајима</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двогодишњим</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ажурираним</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извештајима</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као</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обавезе</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извештавања</w:t>
      </w:r>
      <w:r w:rsidR="00DA0E64" w:rsidRPr="005303F7">
        <w:rPr>
          <w:rFonts w:ascii="Times New Roman" w:hAnsi="Times New Roman"/>
          <w:sz w:val="24"/>
          <w:lang w:val="sr-Cyrl-CS"/>
        </w:rPr>
        <w:t xml:space="preserve"> </w:t>
      </w:r>
      <w:r w:rsidR="002A7253" w:rsidRPr="005303F7">
        <w:rPr>
          <w:rFonts w:ascii="Times New Roman" w:hAnsi="Times New Roman"/>
          <w:sz w:val="24"/>
          <w:lang w:val="sr-Cyrl-CS"/>
        </w:rPr>
        <w:t>према</w:t>
      </w:r>
      <w:r w:rsidR="00DA0E64" w:rsidRPr="005303F7">
        <w:rPr>
          <w:rFonts w:ascii="Times New Roman" w:hAnsi="Times New Roman"/>
          <w:sz w:val="24"/>
          <w:lang w:val="sr-Cyrl-CS"/>
        </w:rPr>
        <w:t xml:space="preserve"> UNFCCC.</w:t>
      </w:r>
    </w:p>
    <w:p w14:paraId="596ADEAB" w14:textId="78701F47" w:rsidR="005D39A0" w:rsidRPr="005303F7" w:rsidRDefault="001A1A44" w:rsidP="00377CC1">
      <w:pPr>
        <w:rPr>
          <w:rFonts w:ascii="Times New Roman" w:hAnsi="Times New Roman"/>
          <w:sz w:val="24"/>
          <w:lang w:val="sr-Cyrl-CS"/>
        </w:rPr>
      </w:pPr>
      <w:r w:rsidRPr="005303F7">
        <w:rPr>
          <w:rFonts w:ascii="Times New Roman" w:hAnsi="Times New Roman"/>
          <w:sz w:val="24"/>
          <w:lang w:val="sr-Cyrl-CS"/>
        </w:rPr>
        <w:t xml:space="preserve">            </w:t>
      </w:r>
      <w:r w:rsidR="002A7253" w:rsidRPr="005303F7">
        <w:rPr>
          <w:rFonts w:ascii="Times New Roman" w:hAnsi="Times New Roman"/>
          <w:sz w:val="24"/>
          <w:lang w:val="sr-Cyrl-CS"/>
        </w:rPr>
        <w:t>Процес</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европских</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интеграција</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убрзао</w:t>
      </w:r>
      <w:r w:rsidR="001F22F9" w:rsidRPr="005303F7">
        <w:rPr>
          <w:rFonts w:ascii="Times New Roman" w:hAnsi="Times New Roman"/>
          <w:sz w:val="24"/>
          <w:lang w:val="sr-Cyrl-CS"/>
        </w:rPr>
        <w:t xml:space="preserve"> </w:t>
      </w:r>
      <w:r w:rsidR="002A7253" w:rsidRPr="005303F7">
        <w:rPr>
          <w:rFonts w:ascii="Times New Roman" w:hAnsi="Times New Roman"/>
          <w:sz w:val="24"/>
          <w:lang w:val="sr-Cyrl-CS"/>
        </w:rPr>
        <w:t>је</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израду</w:t>
      </w:r>
      <w:r w:rsidR="005D39A0" w:rsidRPr="005303F7">
        <w:rPr>
          <w:rFonts w:ascii="Times New Roman" w:hAnsi="Times New Roman"/>
          <w:sz w:val="24"/>
          <w:lang w:val="sr-Cyrl-CS"/>
        </w:rPr>
        <w:t xml:space="preserve"> </w:t>
      </w:r>
      <w:r w:rsidR="00A650CF" w:rsidRPr="005303F7">
        <w:rPr>
          <w:rFonts w:ascii="Times New Roman" w:hAnsi="Times New Roman"/>
          <w:sz w:val="24"/>
          <w:lang w:val="sr-Cyrl-CS"/>
        </w:rPr>
        <w:t>З</w:t>
      </w:r>
      <w:r w:rsidR="002A7253" w:rsidRPr="005303F7">
        <w:rPr>
          <w:rFonts w:ascii="Times New Roman" w:hAnsi="Times New Roman"/>
          <w:sz w:val="24"/>
          <w:lang w:val="sr-Cyrl-CS"/>
        </w:rPr>
        <w:t>акона</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о</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климатским</w:t>
      </w:r>
      <w:r w:rsidR="0057532A" w:rsidRPr="005303F7">
        <w:rPr>
          <w:rFonts w:ascii="Times New Roman" w:hAnsi="Times New Roman"/>
          <w:sz w:val="24"/>
          <w:lang w:val="sr-Cyrl-CS"/>
        </w:rPr>
        <w:t xml:space="preserve"> </w:t>
      </w:r>
      <w:r w:rsidR="002A7253" w:rsidRPr="005303F7">
        <w:rPr>
          <w:rFonts w:ascii="Times New Roman" w:hAnsi="Times New Roman"/>
          <w:sz w:val="24"/>
          <w:lang w:val="sr-Cyrl-CS"/>
        </w:rPr>
        <w:t>променама</w:t>
      </w:r>
      <w:r w:rsidR="0057532A" w:rsidRPr="005303F7">
        <w:rPr>
          <w:rFonts w:ascii="Times New Roman" w:hAnsi="Times New Roman"/>
          <w:sz w:val="24"/>
          <w:lang w:val="sr-Cyrl-CS"/>
        </w:rPr>
        <w:t>,</w:t>
      </w:r>
      <w:r w:rsidR="00210ACA" w:rsidRPr="005303F7">
        <w:rPr>
          <w:rFonts w:ascii="Times New Roman" w:hAnsi="Times New Roman"/>
          <w:sz w:val="24"/>
          <w:lang w:val="sr-Cyrl-CS"/>
        </w:rPr>
        <w:t xml:space="preserve"> </w:t>
      </w:r>
      <w:r w:rsidR="001D1F81" w:rsidRPr="005303F7">
        <w:rPr>
          <w:rFonts w:ascii="Times New Roman" w:hAnsi="Times New Roman"/>
          <w:sz w:val="24"/>
          <w:lang w:val="sr-Cyrl-CS"/>
        </w:rPr>
        <w:t>који је усвојен у марту 2021. године. Овај закон</w:t>
      </w:r>
      <w:r w:rsidR="008E422B" w:rsidRPr="005303F7">
        <w:rPr>
          <w:rFonts w:ascii="Times New Roman" w:hAnsi="Times New Roman"/>
          <w:sz w:val="24"/>
          <w:lang w:val="sr-Cyrl-CS"/>
        </w:rPr>
        <w:t xml:space="preserve"> </w:t>
      </w:r>
      <w:r w:rsidR="002A7253" w:rsidRPr="005303F7">
        <w:rPr>
          <w:rFonts w:ascii="Times New Roman" w:hAnsi="Times New Roman"/>
          <w:sz w:val="24"/>
          <w:lang w:val="sr-Cyrl-CS"/>
        </w:rPr>
        <w:t>транспонује</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релевантно</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законодавство</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ЕУ</w:t>
      </w:r>
      <w:r w:rsidR="00DB2ABF" w:rsidRPr="005303F7">
        <w:rPr>
          <w:rStyle w:val="FootnoteReference"/>
          <w:rFonts w:ascii="Times New Roman" w:hAnsi="Times New Roman"/>
          <w:sz w:val="18"/>
          <w:lang w:val="sr-Cyrl-CS"/>
        </w:rPr>
        <w:footnoteReference w:id="6"/>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пружајући</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између</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осталог</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правни</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основ</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за</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израду</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ажурирање</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стратегија</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lastRenderedPageBreak/>
        <w:t>нискоугљеничног</w:t>
      </w:r>
      <w:r w:rsidR="00D01395" w:rsidRPr="005303F7">
        <w:rPr>
          <w:rFonts w:ascii="Times New Roman" w:hAnsi="Times New Roman"/>
          <w:sz w:val="24"/>
          <w:lang w:val="sr-Cyrl-CS"/>
        </w:rPr>
        <w:t xml:space="preserve"> </w:t>
      </w:r>
      <w:r w:rsidR="002A7253" w:rsidRPr="005303F7">
        <w:rPr>
          <w:rFonts w:ascii="Times New Roman" w:hAnsi="Times New Roman"/>
          <w:sz w:val="24"/>
          <w:lang w:val="sr-Cyrl-CS"/>
        </w:rPr>
        <w:t>развоја</w:t>
      </w:r>
      <w:r w:rsidR="00D01395"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D01395" w:rsidRPr="005303F7">
        <w:rPr>
          <w:rFonts w:ascii="Times New Roman" w:hAnsi="Times New Roman"/>
          <w:sz w:val="24"/>
          <w:lang w:val="sr-Cyrl-CS"/>
        </w:rPr>
        <w:t xml:space="preserve"> </w:t>
      </w:r>
      <w:r w:rsidR="00397C64" w:rsidRPr="005303F7">
        <w:rPr>
          <w:rFonts w:ascii="Times New Roman" w:hAnsi="Times New Roman"/>
          <w:sz w:val="24"/>
          <w:lang w:val="sr-Cyrl-CS"/>
        </w:rPr>
        <w:t xml:space="preserve">програма </w:t>
      </w:r>
      <w:r w:rsidR="002A7253" w:rsidRPr="005303F7">
        <w:rPr>
          <w:rFonts w:ascii="Times New Roman" w:hAnsi="Times New Roman"/>
          <w:sz w:val="24"/>
          <w:lang w:val="sr-Cyrl-CS"/>
        </w:rPr>
        <w:t>прилагођавања</w:t>
      </w:r>
      <w:r w:rsidR="00D01395" w:rsidRPr="005303F7">
        <w:rPr>
          <w:rFonts w:ascii="Times New Roman" w:hAnsi="Times New Roman"/>
          <w:sz w:val="24"/>
          <w:lang w:val="sr-Cyrl-CS"/>
        </w:rPr>
        <w:t xml:space="preserve"> </w:t>
      </w:r>
      <w:r w:rsidR="002A7253" w:rsidRPr="005303F7">
        <w:rPr>
          <w:rFonts w:ascii="Times New Roman" w:hAnsi="Times New Roman"/>
          <w:sz w:val="24"/>
          <w:lang w:val="sr-Cyrl-CS"/>
        </w:rPr>
        <w:t>на</w:t>
      </w:r>
      <w:r w:rsidR="00D01395" w:rsidRPr="005303F7">
        <w:rPr>
          <w:rFonts w:ascii="Times New Roman" w:hAnsi="Times New Roman"/>
          <w:sz w:val="24"/>
          <w:lang w:val="sr-Cyrl-CS"/>
        </w:rPr>
        <w:t xml:space="preserve"> </w:t>
      </w:r>
      <w:r w:rsidR="002A7253" w:rsidRPr="005303F7">
        <w:rPr>
          <w:rFonts w:ascii="Times New Roman" w:hAnsi="Times New Roman"/>
          <w:sz w:val="24"/>
          <w:lang w:val="sr-Cyrl-CS"/>
        </w:rPr>
        <w:t>измењене</w:t>
      </w:r>
      <w:r w:rsidR="00D01395" w:rsidRPr="005303F7">
        <w:rPr>
          <w:rFonts w:ascii="Times New Roman" w:hAnsi="Times New Roman"/>
          <w:sz w:val="24"/>
          <w:lang w:val="sr-Cyrl-CS"/>
        </w:rPr>
        <w:t xml:space="preserve"> </w:t>
      </w:r>
      <w:r w:rsidR="002A7253" w:rsidRPr="005303F7">
        <w:rPr>
          <w:rFonts w:ascii="Times New Roman" w:hAnsi="Times New Roman"/>
          <w:sz w:val="24"/>
          <w:lang w:val="sr-Cyrl-CS"/>
        </w:rPr>
        <w:t>климатске</w:t>
      </w:r>
      <w:r w:rsidR="00D01395" w:rsidRPr="005303F7">
        <w:rPr>
          <w:rFonts w:ascii="Times New Roman" w:hAnsi="Times New Roman"/>
          <w:sz w:val="24"/>
          <w:lang w:val="sr-Cyrl-CS"/>
        </w:rPr>
        <w:t xml:space="preserve"> </w:t>
      </w:r>
      <w:r w:rsidR="002A7253" w:rsidRPr="005303F7">
        <w:rPr>
          <w:rFonts w:ascii="Times New Roman" w:hAnsi="Times New Roman"/>
          <w:sz w:val="24"/>
          <w:lang w:val="sr-Cyrl-CS"/>
        </w:rPr>
        <w:t>услове</w:t>
      </w:r>
      <w:r w:rsidR="00D01395" w:rsidRPr="005303F7">
        <w:rPr>
          <w:rFonts w:ascii="Times New Roman" w:hAnsi="Times New Roman"/>
          <w:sz w:val="24"/>
          <w:lang w:val="sr-Cyrl-CS"/>
        </w:rPr>
        <w:t xml:space="preserve">, </w:t>
      </w:r>
      <w:r w:rsidR="00DB1721" w:rsidRPr="005303F7">
        <w:rPr>
          <w:rFonts w:ascii="Times New Roman" w:hAnsi="Times New Roman"/>
          <w:sz w:val="24"/>
          <w:lang w:val="sr-Cyrl-CS"/>
        </w:rPr>
        <w:t xml:space="preserve"> </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мониторинг</w:t>
      </w:r>
      <w:r w:rsidR="00FD415E" w:rsidRPr="005303F7">
        <w:rPr>
          <w:rFonts w:ascii="Times New Roman" w:hAnsi="Times New Roman"/>
          <w:sz w:val="24"/>
          <w:lang w:val="sr-Cyrl-CS"/>
        </w:rPr>
        <w:t xml:space="preserve">, </w:t>
      </w:r>
      <w:r w:rsidR="002A7253" w:rsidRPr="005303F7">
        <w:rPr>
          <w:rFonts w:ascii="Times New Roman" w:hAnsi="Times New Roman"/>
          <w:sz w:val="24"/>
          <w:lang w:val="sr-Cyrl-CS"/>
        </w:rPr>
        <w:t>извештавање</w:t>
      </w:r>
      <w:r w:rsidR="00FD415E"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FD415E" w:rsidRPr="005303F7">
        <w:rPr>
          <w:rFonts w:ascii="Times New Roman" w:hAnsi="Times New Roman"/>
          <w:sz w:val="24"/>
          <w:lang w:val="sr-Cyrl-CS"/>
        </w:rPr>
        <w:t xml:space="preserve"> </w:t>
      </w:r>
      <w:r w:rsidR="002A7253" w:rsidRPr="005303F7">
        <w:rPr>
          <w:rFonts w:ascii="Times New Roman" w:hAnsi="Times New Roman"/>
          <w:sz w:val="24"/>
          <w:lang w:val="sr-Cyrl-CS"/>
        </w:rPr>
        <w:t>верификацију</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емисија</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гасова</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са</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ефектом</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стаклене</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баште</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примену</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климатских</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политика</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5D39A0" w:rsidRPr="005303F7">
        <w:rPr>
          <w:rFonts w:ascii="Times New Roman" w:hAnsi="Times New Roman"/>
          <w:sz w:val="24"/>
          <w:lang w:val="sr-Cyrl-CS"/>
        </w:rPr>
        <w:t xml:space="preserve"> </w:t>
      </w:r>
      <w:r w:rsidR="002A7253" w:rsidRPr="005303F7">
        <w:rPr>
          <w:rFonts w:ascii="Times New Roman" w:hAnsi="Times New Roman"/>
          <w:sz w:val="24"/>
          <w:lang w:val="sr-Cyrl-CS"/>
        </w:rPr>
        <w:t>мера</w:t>
      </w:r>
      <w:r w:rsidR="005D39A0" w:rsidRPr="005303F7">
        <w:rPr>
          <w:rFonts w:ascii="Times New Roman" w:hAnsi="Times New Roman"/>
          <w:sz w:val="24"/>
          <w:lang w:val="sr-Cyrl-CS"/>
        </w:rPr>
        <w:t>.</w:t>
      </w:r>
    </w:p>
    <w:p w14:paraId="3446417E" w14:textId="006CEB0C" w:rsidR="00265691" w:rsidRPr="005303F7" w:rsidRDefault="001A1A44" w:rsidP="001A2A8D">
      <w:pPr>
        <w:rPr>
          <w:rFonts w:ascii="Times New Roman" w:hAnsi="Times New Roman"/>
          <w:sz w:val="24"/>
          <w:lang w:val="sr-Cyrl-CS"/>
        </w:rPr>
      </w:pPr>
      <w:r w:rsidRPr="005303F7">
        <w:rPr>
          <w:rFonts w:ascii="Times New Roman" w:hAnsi="Times New Roman"/>
          <w:sz w:val="24"/>
          <w:lang w:val="sr-Cyrl-CS"/>
        </w:rPr>
        <w:t xml:space="preserve">           </w:t>
      </w:r>
      <w:r w:rsidR="002A7253" w:rsidRPr="005303F7">
        <w:rPr>
          <w:rFonts w:ascii="Times New Roman" w:hAnsi="Times New Roman"/>
          <w:sz w:val="24"/>
          <w:lang w:val="sr-Cyrl-CS"/>
        </w:rPr>
        <w:t>Поред</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овог</w:t>
      </w:r>
      <w:r w:rsidR="00265691" w:rsidRPr="005303F7">
        <w:rPr>
          <w:rFonts w:ascii="Times New Roman" w:hAnsi="Times New Roman"/>
          <w:sz w:val="24"/>
          <w:lang w:val="sr-Cyrl-CS"/>
        </w:rPr>
        <w:t xml:space="preserve"> </w:t>
      </w:r>
      <w:r w:rsidR="002C168F" w:rsidRPr="005303F7">
        <w:rPr>
          <w:rFonts w:ascii="Times New Roman" w:hAnsi="Times New Roman"/>
          <w:sz w:val="24"/>
          <w:lang w:val="sr-Cyrl-CS"/>
        </w:rPr>
        <w:t>з</w:t>
      </w:r>
      <w:r w:rsidR="002A7253" w:rsidRPr="005303F7">
        <w:rPr>
          <w:rFonts w:ascii="Times New Roman" w:hAnsi="Times New Roman"/>
          <w:sz w:val="24"/>
          <w:lang w:val="sr-Cyrl-CS"/>
        </w:rPr>
        <w:t>акона</w:t>
      </w:r>
      <w:r w:rsidR="00265691" w:rsidRPr="005303F7">
        <w:rPr>
          <w:rFonts w:ascii="Times New Roman" w:hAnsi="Times New Roman"/>
          <w:sz w:val="24"/>
          <w:lang w:val="sr-Cyrl-CS"/>
        </w:rPr>
        <w:t xml:space="preserve">, </w:t>
      </w:r>
      <w:r w:rsidR="00D73AAB" w:rsidRPr="005303F7">
        <w:rPr>
          <w:rFonts w:ascii="Times New Roman" w:hAnsi="Times New Roman"/>
          <w:sz w:val="24"/>
          <w:lang w:val="sr-Cyrl-CS"/>
        </w:rPr>
        <w:t>Република Србија</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је</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увела</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одређене</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секторске</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политике</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мере</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које</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доприносе</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смањењу</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емисија</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гасова</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са</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ефектом</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стаклене</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баште</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ефикасном</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прилагођавању</w:t>
      </w:r>
      <w:r w:rsidR="00265691" w:rsidRPr="005303F7">
        <w:rPr>
          <w:rFonts w:ascii="Times New Roman" w:hAnsi="Times New Roman"/>
          <w:sz w:val="24"/>
          <w:lang w:val="sr-Cyrl-CS"/>
        </w:rPr>
        <w:t>.</w:t>
      </w:r>
    </w:p>
    <w:p w14:paraId="1561DD65" w14:textId="6D81CF66" w:rsidR="001A2A8D" w:rsidRPr="005303F7" w:rsidRDefault="009E59EE" w:rsidP="001A2A8D">
      <w:pPr>
        <w:rPr>
          <w:rFonts w:ascii="Times New Roman" w:hAnsi="Times New Roman"/>
          <w:sz w:val="24"/>
          <w:lang w:val="sr-Cyrl-CS"/>
        </w:rPr>
      </w:pPr>
      <w:r w:rsidRPr="005303F7">
        <w:rPr>
          <w:rFonts w:ascii="Times New Roman" w:hAnsi="Times New Roman"/>
          <w:sz w:val="24"/>
          <w:lang w:val="sr-Cyrl-CS"/>
        </w:rPr>
        <w:t xml:space="preserve">             </w:t>
      </w:r>
      <w:r w:rsidR="002A7253" w:rsidRPr="005303F7">
        <w:rPr>
          <w:rFonts w:ascii="Times New Roman" w:hAnsi="Times New Roman"/>
          <w:sz w:val="24"/>
          <w:lang w:val="sr-Cyrl-CS"/>
        </w:rPr>
        <w:t>Међутим</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како</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је</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утврђено</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приликом</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израде</w:t>
      </w:r>
      <w:r w:rsidR="00265691" w:rsidRPr="005303F7">
        <w:rPr>
          <w:rFonts w:ascii="Times New Roman" w:hAnsi="Times New Roman"/>
          <w:sz w:val="24"/>
          <w:lang w:val="sr-Cyrl-CS"/>
        </w:rPr>
        <w:t xml:space="preserve"> </w:t>
      </w:r>
      <w:r w:rsidR="00397C64" w:rsidRPr="005303F7">
        <w:rPr>
          <w:rFonts w:ascii="Times New Roman" w:hAnsi="Times New Roman"/>
          <w:sz w:val="24"/>
          <w:lang w:val="sr-Cyrl-CS"/>
        </w:rPr>
        <w:t>ове с</w:t>
      </w:r>
      <w:r w:rsidR="002A7253" w:rsidRPr="005303F7">
        <w:rPr>
          <w:rFonts w:ascii="Times New Roman" w:hAnsi="Times New Roman"/>
          <w:sz w:val="24"/>
          <w:lang w:val="sr-Cyrl-CS"/>
        </w:rPr>
        <w:t>тратегије</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још</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увек</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недостају</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адекватни</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механизми</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инструменти</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посебно</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финансијски</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као</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капацитети</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за</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подстицање</w:t>
      </w:r>
      <w:r w:rsidR="00265691" w:rsidRPr="005303F7">
        <w:rPr>
          <w:rFonts w:ascii="Times New Roman" w:hAnsi="Times New Roman"/>
          <w:sz w:val="24"/>
          <w:lang w:val="sr-Cyrl-CS"/>
        </w:rPr>
        <w:t xml:space="preserve"> </w:t>
      </w:r>
      <w:r w:rsidR="002A7253" w:rsidRPr="005303F7">
        <w:rPr>
          <w:rFonts w:ascii="Times New Roman" w:hAnsi="Times New Roman"/>
          <w:sz w:val="24"/>
          <w:lang w:val="sr-Cyrl-CS"/>
        </w:rPr>
        <w:t>нискоугљеничног</w:t>
      </w:r>
      <w:r w:rsidR="00D01395"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D01395" w:rsidRPr="005303F7">
        <w:rPr>
          <w:rFonts w:ascii="Times New Roman" w:hAnsi="Times New Roman"/>
          <w:sz w:val="24"/>
          <w:lang w:val="sr-Cyrl-CS"/>
        </w:rPr>
        <w:t xml:space="preserve"> </w:t>
      </w:r>
      <w:r w:rsidR="002A7253" w:rsidRPr="005303F7">
        <w:rPr>
          <w:rFonts w:ascii="Times New Roman" w:hAnsi="Times New Roman"/>
          <w:sz w:val="24"/>
          <w:lang w:val="sr-Cyrl-CS"/>
        </w:rPr>
        <w:t>климатски</w:t>
      </w:r>
      <w:r w:rsidR="00D01395" w:rsidRPr="005303F7">
        <w:rPr>
          <w:rFonts w:ascii="Times New Roman" w:hAnsi="Times New Roman"/>
          <w:sz w:val="24"/>
          <w:lang w:val="sr-Cyrl-CS"/>
        </w:rPr>
        <w:t xml:space="preserve"> </w:t>
      </w:r>
      <w:r w:rsidR="002A7253" w:rsidRPr="005303F7">
        <w:rPr>
          <w:rFonts w:ascii="Times New Roman" w:hAnsi="Times New Roman"/>
          <w:sz w:val="24"/>
          <w:lang w:val="sr-Cyrl-CS"/>
        </w:rPr>
        <w:t>отпорног</w:t>
      </w:r>
      <w:r w:rsidR="00D01395" w:rsidRPr="005303F7">
        <w:rPr>
          <w:rFonts w:ascii="Times New Roman" w:hAnsi="Times New Roman"/>
          <w:sz w:val="24"/>
          <w:lang w:val="sr-Cyrl-CS"/>
        </w:rPr>
        <w:t xml:space="preserve"> </w:t>
      </w:r>
      <w:r w:rsidR="002A7253" w:rsidRPr="005303F7">
        <w:rPr>
          <w:rFonts w:ascii="Times New Roman" w:hAnsi="Times New Roman"/>
          <w:sz w:val="24"/>
          <w:lang w:val="sr-Cyrl-CS"/>
        </w:rPr>
        <w:t>развоја</w:t>
      </w:r>
      <w:r w:rsidR="00265691" w:rsidRPr="005303F7">
        <w:rPr>
          <w:rFonts w:ascii="Times New Roman" w:hAnsi="Times New Roman"/>
          <w:sz w:val="24"/>
          <w:lang w:val="sr-Cyrl-CS"/>
        </w:rPr>
        <w:t>.</w:t>
      </w:r>
      <w:r w:rsidR="0045564B" w:rsidRPr="005303F7">
        <w:rPr>
          <w:rFonts w:ascii="Times New Roman" w:hAnsi="Times New Roman"/>
          <w:sz w:val="24"/>
          <w:lang w:val="sr-Cyrl-CS"/>
        </w:rPr>
        <w:t xml:space="preserve"> </w:t>
      </w:r>
    </w:p>
    <w:p w14:paraId="04C96F8F" w14:textId="3E9D521B" w:rsidR="00377CC1" w:rsidRPr="005303F7" w:rsidRDefault="002A7253" w:rsidP="00D93231">
      <w:pPr>
        <w:pStyle w:val="Heading2"/>
        <w:numPr>
          <w:ilvl w:val="2"/>
          <w:numId w:val="40"/>
        </w:numPr>
        <w:tabs>
          <w:tab w:val="clear" w:pos="3825"/>
          <w:tab w:val="left" w:pos="1134"/>
        </w:tabs>
        <w:spacing w:before="240" w:after="120"/>
        <w:rPr>
          <w:rFonts w:ascii="Times New Roman" w:hAnsi="Times New Roman" w:cs="Times New Roman"/>
          <w:lang w:val="sr-Cyrl-CS"/>
        </w:rPr>
      </w:pPr>
      <w:bookmarkStart w:id="6" w:name="_Toc26686094"/>
      <w:r w:rsidRPr="005303F7">
        <w:rPr>
          <w:rFonts w:ascii="Times New Roman" w:hAnsi="Times New Roman" w:cs="Times New Roman"/>
          <w:lang w:val="sr-Cyrl-CS"/>
        </w:rPr>
        <w:t>Секторске</w:t>
      </w:r>
      <w:r w:rsidR="00B46ED6" w:rsidRPr="005303F7">
        <w:rPr>
          <w:rFonts w:ascii="Times New Roman" w:hAnsi="Times New Roman" w:cs="Times New Roman"/>
          <w:lang w:val="sr-Cyrl-CS"/>
        </w:rPr>
        <w:t xml:space="preserve"> </w:t>
      </w:r>
      <w:r w:rsidRPr="005303F7">
        <w:rPr>
          <w:rFonts w:ascii="Times New Roman" w:hAnsi="Times New Roman" w:cs="Times New Roman"/>
          <w:lang w:val="sr-Cyrl-CS"/>
        </w:rPr>
        <w:t>политик</w:t>
      </w:r>
      <w:bookmarkEnd w:id="6"/>
      <w:r w:rsidRPr="005303F7">
        <w:rPr>
          <w:rFonts w:ascii="Times New Roman" w:hAnsi="Times New Roman" w:cs="Times New Roman"/>
          <w:lang w:val="sr-Cyrl-CS"/>
        </w:rPr>
        <w:t>е</w:t>
      </w:r>
    </w:p>
    <w:p w14:paraId="52B25B9B" w14:textId="6F6D00A3" w:rsidR="003E06FC" w:rsidRPr="005303F7" w:rsidRDefault="009E59EE" w:rsidP="009E59EE">
      <w:pPr>
        <w:tabs>
          <w:tab w:val="clear" w:pos="3825"/>
          <w:tab w:val="left" w:pos="720"/>
        </w:tabs>
        <w:rPr>
          <w:rFonts w:ascii="Times New Roman" w:hAnsi="Times New Roman"/>
          <w:sz w:val="24"/>
          <w:lang w:val="sr-Cyrl-CS"/>
        </w:rPr>
      </w:pPr>
      <w:r w:rsidRPr="005303F7">
        <w:rPr>
          <w:rFonts w:ascii="Times New Roman" w:hAnsi="Times New Roman"/>
          <w:sz w:val="24"/>
          <w:lang w:val="sr-Cyrl-CS"/>
        </w:rPr>
        <w:tab/>
      </w:r>
      <w:r w:rsidR="002A7253" w:rsidRPr="005303F7">
        <w:rPr>
          <w:rFonts w:ascii="Times New Roman" w:hAnsi="Times New Roman"/>
          <w:sz w:val="24"/>
          <w:lang w:val="sr-Cyrl-CS"/>
        </w:rPr>
        <w:t>Међувладин</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панел</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о</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климатским</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променама</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енгл</w:t>
      </w:r>
      <w:r w:rsidR="00CB4973" w:rsidRPr="005303F7">
        <w:rPr>
          <w:rFonts w:ascii="Times New Roman" w:hAnsi="Times New Roman"/>
          <w:sz w:val="24"/>
          <w:lang w:val="sr-Cyrl-CS"/>
        </w:rPr>
        <w:t xml:space="preserve">. </w:t>
      </w:r>
      <w:r w:rsidR="00317305" w:rsidRPr="005303F7">
        <w:rPr>
          <w:rFonts w:ascii="Times New Roman" w:hAnsi="Times New Roman"/>
          <w:sz w:val="24"/>
          <w:lang w:val="sr-Cyrl-CS"/>
        </w:rPr>
        <w:t xml:space="preserve">Intergovernmental Panel on </w:t>
      </w:r>
      <w:r w:rsidR="003C4813" w:rsidRPr="005303F7">
        <w:rPr>
          <w:rFonts w:ascii="Times New Roman" w:hAnsi="Times New Roman"/>
          <w:sz w:val="24"/>
          <w:lang w:val="sr-Cyrl-CS"/>
        </w:rPr>
        <w:t>C</w:t>
      </w:r>
      <w:r w:rsidR="00317305" w:rsidRPr="005303F7">
        <w:rPr>
          <w:rFonts w:ascii="Times New Roman" w:hAnsi="Times New Roman"/>
          <w:sz w:val="24"/>
          <w:lang w:val="sr-Cyrl-CS"/>
        </w:rPr>
        <w:t xml:space="preserve">limate </w:t>
      </w:r>
      <w:r w:rsidR="003C4813" w:rsidRPr="005303F7">
        <w:rPr>
          <w:rFonts w:ascii="Times New Roman" w:hAnsi="Times New Roman"/>
          <w:sz w:val="24"/>
          <w:lang w:val="sr-Cyrl-CS"/>
        </w:rPr>
        <w:t>C</w:t>
      </w:r>
      <w:r w:rsidR="00317305" w:rsidRPr="005303F7">
        <w:rPr>
          <w:rFonts w:ascii="Times New Roman" w:hAnsi="Times New Roman"/>
          <w:sz w:val="24"/>
          <w:lang w:val="sr-Cyrl-CS"/>
        </w:rPr>
        <w:t xml:space="preserve">hange - </w:t>
      </w:r>
      <w:r w:rsidR="0059172D" w:rsidRPr="005303F7">
        <w:rPr>
          <w:rFonts w:ascii="Times New Roman" w:hAnsi="Times New Roman"/>
          <w:sz w:val="24"/>
          <w:lang w:val="sr-Cyrl-CS"/>
        </w:rPr>
        <w:t>IPCC</w:t>
      </w:r>
      <w:r w:rsidR="00F275CD" w:rsidRPr="005303F7">
        <w:rPr>
          <w:rFonts w:ascii="Times New Roman" w:hAnsi="Times New Roman"/>
          <w:sz w:val="24"/>
          <w:lang w:val="sr-Cyrl-CS"/>
        </w:rPr>
        <w:t>)</w:t>
      </w:r>
      <w:r w:rsidR="009B485C" w:rsidRPr="005303F7">
        <w:rPr>
          <w:rFonts w:ascii="Times New Roman" w:hAnsi="Times New Roman"/>
          <w:sz w:val="24"/>
          <w:lang w:val="sr-Cyrl-CS"/>
        </w:rPr>
        <w:t xml:space="preserve"> </w:t>
      </w:r>
      <w:r w:rsidR="002A7253" w:rsidRPr="005303F7">
        <w:rPr>
          <w:rFonts w:ascii="Times New Roman" w:hAnsi="Times New Roman"/>
          <w:sz w:val="24"/>
          <w:lang w:val="sr-Cyrl-CS"/>
        </w:rPr>
        <w:t>класификовао</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је</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секторе</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привреде</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значајне</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у</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погледу</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емисија</w:t>
      </w:r>
      <w:r w:rsidR="00F275CD" w:rsidRPr="005303F7">
        <w:rPr>
          <w:rFonts w:ascii="Times New Roman" w:hAnsi="Times New Roman"/>
          <w:sz w:val="24"/>
          <w:lang w:val="sr-Cyrl-CS"/>
        </w:rPr>
        <w:t xml:space="preserve"> </w:t>
      </w:r>
      <w:r w:rsidR="00C61A1C" w:rsidRPr="005303F7">
        <w:rPr>
          <w:rFonts w:ascii="Times New Roman" w:hAnsi="Times New Roman"/>
          <w:sz w:val="24"/>
          <w:lang w:val="sr-Cyrl-CS"/>
        </w:rPr>
        <w:t>GHG</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попут</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енергетике</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укључујући</w:t>
      </w:r>
      <w:r w:rsidR="00415473" w:rsidRPr="005303F7">
        <w:rPr>
          <w:rFonts w:ascii="Times New Roman" w:hAnsi="Times New Roman"/>
          <w:sz w:val="24"/>
          <w:lang w:val="sr-Cyrl-CS"/>
        </w:rPr>
        <w:t xml:space="preserve"> </w:t>
      </w:r>
      <w:r w:rsidR="002A7253" w:rsidRPr="005303F7">
        <w:rPr>
          <w:rFonts w:ascii="Times New Roman" w:hAnsi="Times New Roman"/>
          <w:sz w:val="24"/>
          <w:lang w:val="sr-Cyrl-CS"/>
        </w:rPr>
        <w:t>енергетску</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индустрију</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саобраћај</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сектор</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стамбених</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услужних</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зграда</w:t>
      </w:r>
      <w:r w:rsidR="009B485C" w:rsidRPr="005303F7">
        <w:rPr>
          <w:rFonts w:ascii="Times New Roman" w:hAnsi="Times New Roman"/>
          <w:sz w:val="24"/>
          <w:lang w:val="sr-Cyrl-CS"/>
        </w:rPr>
        <w:t>)</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индустријске</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процесе</w:t>
      </w:r>
      <w:r w:rsidR="00F275CD" w:rsidRPr="005303F7">
        <w:rPr>
          <w:rFonts w:ascii="Times New Roman" w:hAnsi="Times New Roman"/>
          <w:sz w:val="24"/>
          <w:lang w:val="sr-Cyrl-CS"/>
        </w:rPr>
        <w:t xml:space="preserve"> </w:t>
      </w:r>
      <w:r w:rsidR="009B485C" w:rsidRPr="005303F7">
        <w:rPr>
          <w:rFonts w:ascii="Times New Roman" w:hAnsi="Times New Roman"/>
          <w:sz w:val="24"/>
          <w:lang w:val="sr-Cyrl-CS"/>
        </w:rPr>
        <w:t>(</w:t>
      </w:r>
      <w:r w:rsidR="002A7253" w:rsidRPr="005303F7">
        <w:rPr>
          <w:rFonts w:ascii="Times New Roman" w:hAnsi="Times New Roman"/>
          <w:sz w:val="24"/>
          <w:lang w:val="sr-Cyrl-CS"/>
        </w:rPr>
        <w:t>укључујући</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између</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осталог</w:t>
      </w:r>
      <w:r w:rsidR="00F275CD" w:rsidRPr="005303F7">
        <w:rPr>
          <w:rFonts w:ascii="Times New Roman" w:hAnsi="Times New Roman"/>
          <w:sz w:val="24"/>
          <w:lang w:val="sr-Cyrl-CS"/>
        </w:rPr>
        <w:t xml:space="preserve">, </w:t>
      </w:r>
      <w:r w:rsidR="002A7253" w:rsidRPr="005303F7">
        <w:rPr>
          <w:rFonts w:ascii="Times New Roman" w:hAnsi="Times New Roman"/>
          <w:sz w:val="24"/>
          <w:lang w:val="sr-Cyrl-CS"/>
        </w:rPr>
        <w:t>минералну</w:t>
      </w:r>
      <w:r w:rsidR="00256DD5" w:rsidRPr="005303F7">
        <w:rPr>
          <w:rFonts w:ascii="Times New Roman" w:hAnsi="Times New Roman"/>
          <w:sz w:val="24"/>
          <w:lang w:val="sr-Cyrl-CS"/>
        </w:rPr>
        <w:t xml:space="preserve">, </w:t>
      </w:r>
      <w:r w:rsidR="002A7253" w:rsidRPr="005303F7">
        <w:rPr>
          <w:rFonts w:ascii="Times New Roman" w:hAnsi="Times New Roman"/>
          <w:sz w:val="24"/>
          <w:lang w:val="sr-Cyrl-CS"/>
        </w:rPr>
        <w:t>хемијску</w:t>
      </w:r>
      <w:r w:rsidR="00256DD5"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256DD5" w:rsidRPr="005303F7">
        <w:rPr>
          <w:rFonts w:ascii="Times New Roman" w:hAnsi="Times New Roman"/>
          <w:sz w:val="24"/>
          <w:lang w:val="sr-Cyrl-CS"/>
        </w:rPr>
        <w:t xml:space="preserve"> </w:t>
      </w:r>
      <w:r w:rsidR="002A7253" w:rsidRPr="005303F7">
        <w:rPr>
          <w:rFonts w:ascii="Times New Roman" w:hAnsi="Times New Roman"/>
          <w:sz w:val="24"/>
          <w:lang w:val="sr-Cyrl-CS"/>
        </w:rPr>
        <w:t>металну</w:t>
      </w:r>
      <w:r w:rsidR="00256DD5" w:rsidRPr="005303F7">
        <w:rPr>
          <w:rFonts w:ascii="Times New Roman" w:hAnsi="Times New Roman"/>
          <w:sz w:val="24"/>
          <w:lang w:val="sr-Cyrl-CS"/>
        </w:rPr>
        <w:t xml:space="preserve"> </w:t>
      </w:r>
      <w:r w:rsidR="002A7253" w:rsidRPr="005303F7">
        <w:rPr>
          <w:rFonts w:ascii="Times New Roman" w:hAnsi="Times New Roman"/>
          <w:sz w:val="24"/>
          <w:lang w:val="sr-Cyrl-CS"/>
        </w:rPr>
        <w:t>индустрију</w:t>
      </w:r>
      <w:r w:rsidR="00254A8B" w:rsidRPr="005303F7">
        <w:rPr>
          <w:rFonts w:ascii="Times New Roman" w:hAnsi="Times New Roman"/>
          <w:sz w:val="24"/>
          <w:lang w:val="sr-Cyrl-CS"/>
        </w:rPr>
        <w:t>),</w:t>
      </w:r>
      <w:r w:rsidR="00256DD5" w:rsidRPr="005303F7">
        <w:rPr>
          <w:rFonts w:ascii="Times New Roman" w:hAnsi="Times New Roman"/>
          <w:sz w:val="24"/>
          <w:lang w:val="sr-Cyrl-CS"/>
        </w:rPr>
        <w:t xml:space="preserve"> </w:t>
      </w:r>
      <w:r w:rsidR="002A7253" w:rsidRPr="005303F7">
        <w:rPr>
          <w:rFonts w:ascii="Times New Roman" w:hAnsi="Times New Roman"/>
          <w:sz w:val="24"/>
          <w:lang w:val="sr-Cyrl-CS"/>
        </w:rPr>
        <w:t>употребу</w:t>
      </w:r>
      <w:r w:rsidR="00256DD5" w:rsidRPr="005303F7">
        <w:rPr>
          <w:rFonts w:ascii="Times New Roman" w:hAnsi="Times New Roman"/>
          <w:sz w:val="24"/>
          <w:lang w:val="sr-Cyrl-CS"/>
        </w:rPr>
        <w:t xml:space="preserve"> </w:t>
      </w:r>
      <w:r w:rsidR="002A7253" w:rsidRPr="005303F7">
        <w:rPr>
          <w:rFonts w:ascii="Times New Roman" w:hAnsi="Times New Roman"/>
          <w:sz w:val="24"/>
          <w:lang w:val="sr-Cyrl-CS"/>
        </w:rPr>
        <w:t>производа</w:t>
      </w:r>
      <w:r w:rsidR="000C7013" w:rsidRPr="005303F7">
        <w:rPr>
          <w:rFonts w:ascii="Times New Roman" w:hAnsi="Times New Roman"/>
          <w:sz w:val="24"/>
          <w:lang w:val="sr-Cyrl-CS"/>
        </w:rPr>
        <w:t xml:space="preserve"> (</w:t>
      </w:r>
      <w:r w:rsidR="002A7253" w:rsidRPr="005303F7">
        <w:rPr>
          <w:rFonts w:ascii="Times New Roman" w:hAnsi="Times New Roman"/>
          <w:sz w:val="24"/>
          <w:lang w:val="sr-Cyrl-CS"/>
        </w:rPr>
        <w:t>енгл</w:t>
      </w:r>
      <w:r w:rsidR="00CB4973" w:rsidRPr="005303F7">
        <w:rPr>
          <w:rFonts w:ascii="Times New Roman" w:hAnsi="Times New Roman"/>
          <w:sz w:val="24"/>
          <w:lang w:val="sr-Cyrl-CS"/>
        </w:rPr>
        <w:t xml:space="preserve">. </w:t>
      </w:r>
      <w:r w:rsidR="00317305" w:rsidRPr="005303F7">
        <w:rPr>
          <w:rFonts w:ascii="Times New Roman" w:hAnsi="Times New Roman"/>
          <w:sz w:val="24"/>
          <w:lang w:val="sr-Cyrl-CS"/>
        </w:rPr>
        <w:t xml:space="preserve">Industrial </w:t>
      </w:r>
      <w:r w:rsidR="003C4813" w:rsidRPr="005303F7">
        <w:rPr>
          <w:rFonts w:ascii="Times New Roman" w:hAnsi="Times New Roman"/>
          <w:sz w:val="24"/>
          <w:lang w:val="sr-Cyrl-CS"/>
        </w:rPr>
        <w:t>P</w:t>
      </w:r>
      <w:r w:rsidR="00317305" w:rsidRPr="005303F7">
        <w:rPr>
          <w:rFonts w:ascii="Times New Roman" w:hAnsi="Times New Roman"/>
          <w:sz w:val="24"/>
          <w:lang w:val="sr-Cyrl-CS"/>
        </w:rPr>
        <w:t xml:space="preserve">rocesses and </w:t>
      </w:r>
      <w:r w:rsidR="003C4813" w:rsidRPr="005303F7">
        <w:rPr>
          <w:rFonts w:ascii="Times New Roman" w:hAnsi="Times New Roman"/>
          <w:sz w:val="24"/>
          <w:lang w:val="sr-Cyrl-CS"/>
        </w:rPr>
        <w:t>P</w:t>
      </w:r>
      <w:r w:rsidR="00317305" w:rsidRPr="005303F7">
        <w:rPr>
          <w:rFonts w:ascii="Times New Roman" w:hAnsi="Times New Roman"/>
          <w:sz w:val="24"/>
          <w:lang w:val="sr-Cyrl-CS"/>
        </w:rPr>
        <w:t xml:space="preserve">roduct </w:t>
      </w:r>
      <w:r w:rsidR="003C4813" w:rsidRPr="005303F7">
        <w:rPr>
          <w:rFonts w:ascii="Times New Roman" w:hAnsi="Times New Roman"/>
          <w:sz w:val="24"/>
          <w:lang w:val="sr-Cyrl-CS"/>
        </w:rPr>
        <w:t>U</w:t>
      </w:r>
      <w:r w:rsidR="00317305" w:rsidRPr="005303F7">
        <w:rPr>
          <w:rFonts w:ascii="Times New Roman" w:hAnsi="Times New Roman"/>
          <w:sz w:val="24"/>
          <w:lang w:val="sr-Cyrl-CS"/>
        </w:rPr>
        <w:t xml:space="preserve">se </w:t>
      </w:r>
      <w:r w:rsidR="002756D9" w:rsidRPr="005303F7">
        <w:rPr>
          <w:rFonts w:ascii="Times New Roman" w:hAnsi="Times New Roman"/>
          <w:sz w:val="24"/>
          <w:lang w:val="sr-Cyrl-CS"/>
        </w:rPr>
        <w:t>–</w:t>
      </w:r>
      <w:r w:rsidR="00317305" w:rsidRPr="005303F7">
        <w:rPr>
          <w:rFonts w:ascii="Times New Roman" w:hAnsi="Times New Roman"/>
          <w:sz w:val="24"/>
          <w:lang w:val="sr-Cyrl-CS"/>
        </w:rPr>
        <w:t xml:space="preserve"> </w:t>
      </w:r>
      <w:r w:rsidR="002756D9" w:rsidRPr="005303F7">
        <w:rPr>
          <w:rFonts w:ascii="Times New Roman" w:hAnsi="Times New Roman"/>
          <w:sz w:val="24"/>
          <w:lang w:val="sr-Cyrl-CS"/>
        </w:rPr>
        <w:t xml:space="preserve">у даљем тексту: </w:t>
      </w:r>
      <w:r w:rsidR="000C7013" w:rsidRPr="005303F7">
        <w:rPr>
          <w:rFonts w:ascii="Times New Roman" w:hAnsi="Times New Roman"/>
          <w:sz w:val="24"/>
          <w:lang w:val="sr-Cyrl-CS"/>
        </w:rPr>
        <w:t>IPPU)</w:t>
      </w:r>
      <w:r w:rsidR="00256DD5" w:rsidRPr="005303F7">
        <w:rPr>
          <w:rFonts w:ascii="Times New Roman" w:hAnsi="Times New Roman"/>
          <w:sz w:val="24"/>
          <w:lang w:val="sr-Cyrl-CS"/>
        </w:rPr>
        <w:t xml:space="preserve">, </w:t>
      </w:r>
      <w:r w:rsidR="002A7253" w:rsidRPr="005303F7">
        <w:rPr>
          <w:rFonts w:ascii="Times New Roman" w:hAnsi="Times New Roman"/>
          <w:sz w:val="24"/>
          <w:lang w:val="sr-Cyrl-CS"/>
        </w:rPr>
        <w:t>пољопривреду</w:t>
      </w:r>
      <w:r w:rsidR="00256DD5" w:rsidRPr="005303F7">
        <w:rPr>
          <w:rFonts w:ascii="Times New Roman" w:hAnsi="Times New Roman"/>
          <w:sz w:val="24"/>
          <w:lang w:val="sr-Cyrl-CS"/>
        </w:rPr>
        <w:t xml:space="preserve">, </w:t>
      </w:r>
      <w:r w:rsidR="002A7253" w:rsidRPr="005303F7">
        <w:rPr>
          <w:rFonts w:ascii="Times New Roman" w:hAnsi="Times New Roman"/>
          <w:sz w:val="24"/>
          <w:lang w:val="sr-Cyrl-CS"/>
        </w:rPr>
        <w:t>шумарство</w:t>
      </w:r>
      <w:r w:rsidR="00256DD5"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256DD5" w:rsidRPr="005303F7">
        <w:rPr>
          <w:rFonts w:ascii="Times New Roman" w:hAnsi="Times New Roman"/>
          <w:sz w:val="24"/>
          <w:lang w:val="sr-Cyrl-CS"/>
        </w:rPr>
        <w:t xml:space="preserve"> </w:t>
      </w:r>
      <w:r w:rsidR="002A7253" w:rsidRPr="005303F7">
        <w:rPr>
          <w:rFonts w:ascii="Times New Roman" w:hAnsi="Times New Roman"/>
          <w:sz w:val="24"/>
          <w:lang w:val="sr-Cyrl-CS"/>
        </w:rPr>
        <w:t>другу</w:t>
      </w:r>
      <w:r w:rsidR="00254A8B" w:rsidRPr="005303F7">
        <w:rPr>
          <w:rFonts w:ascii="Times New Roman" w:hAnsi="Times New Roman"/>
          <w:sz w:val="24"/>
          <w:lang w:val="sr-Cyrl-CS"/>
        </w:rPr>
        <w:t xml:space="preserve"> </w:t>
      </w:r>
      <w:r w:rsidR="002A7253" w:rsidRPr="005303F7">
        <w:rPr>
          <w:rFonts w:ascii="Times New Roman" w:hAnsi="Times New Roman"/>
          <w:sz w:val="24"/>
          <w:lang w:val="sr-Cyrl-CS"/>
        </w:rPr>
        <w:t>употребу</w:t>
      </w:r>
      <w:r w:rsidR="00254A8B" w:rsidRPr="005303F7">
        <w:rPr>
          <w:rFonts w:ascii="Times New Roman" w:hAnsi="Times New Roman"/>
          <w:sz w:val="24"/>
          <w:lang w:val="sr-Cyrl-CS"/>
        </w:rPr>
        <w:t xml:space="preserve"> </w:t>
      </w:r>
      <w:r w:rsidR="002A7253" w:rsidRPr="005303F7">
        <w:rPr>
          <w:rFonts w:ascii="Times New Roman" w:hAnsi="Times New Roman"/>
          <w:sz w:val="24"/>
          <w:lang w:val="sr-Cyrl-CS"/>
        </w:rPr>
        <w:t>земљишта</w:t>
      </w:r>
      <w:r w:rsidR="00254A8B" w:rsidRPr="005303F7">
        <w:rPr>
          <w:rFonts w:ascii="Times New Roman" w:hAnsi="Times New Roman"/>
          <w:sz w:val="24"/>
          <w:lang w:val="sr-Cyrl-CS"/>
        </w:rPr>
        <w:t xml:space="preserve">, </w:t>
      </w:r>
      <w:r w:rsidR="002A7253" w:rsidRPr="005303F7">
        <w:rPr>
          <w:rFonts w:ascii="Times New Roman" w:hAnsi="Times New Roman"/>
          <w:sz w:val="24"/>
          <w:lang w:val="sr-Cyrl-CS"/>
        </w:rPr>
        <w:t>сектор</w:t>
      </w:r>
      <w:r w:rsidR="00254A8B" w:rsidRPr="005303F7">
        <w:rPr>
          <w:rFonts w:ascii="Times New Roman" w:hAnsi="Times New Roman"/>
          <w:sz w:val="24"/>
          <w:lang w:val="sr-Cyrl-CS"/>
        </w:rPr>
        <w:t xml:space="preserve"> </w:t>
      </w:r>
      <w:r w:rsidR="002A7253" w:rsidRPr="005303F7">
        <w:rPr>
          <w:rFonts w:ascii="Times New Roman" w:hAnsi="Times New Roman"/>
          <w:sz w:val="24"/>
          <w:lang w:val="sr-Cyrl-CS"/>
        </w:rPr>
        <w:t>отпада</w:t>
      </w:r>
      <w:r w:rsidR="00254A8B" w:rsidRPr="005303F7">
        <w:rPr>
          <w:rFonts w:ascii="Times New Roman" w:hAnsi="Times New Roman"/>
          <w:sz w:val="24"/>
          <w:lang w:val="sr-Cyrl-CS"/>
        </w:rPr>
        <w:t xml:space="preserve"> </w:t>
      </w:r>
      <w:r w:rsidR="00C61A1C" w:rsidRPr="005303F7">
        <w:rPr>
          <w:rFonts w:ascii="Times New Roman" w:hAnsi="Times New Roman"/>
          <w:sz w:val="24"/>
          <w:lang w:val="sr-Cyrl-CS"/>
        </w:rPr>
        <w:t>(</w:t>
      </w:r>
      <w:r w:rsidR="002A7253" w:rsidRPr="005303F7">
        <w:rPr>
          <w:rFonts w:ascii="Times New Roman" w:hAnsi="Times New Roman"/>
          <w:sz w:val="24"/>
          <w:lang w:val="sr-Cyrl-CS"/>
        </w:rPr>
        <w:t>укључујући</w:t>
      </w:r>
      <w:r w:rsidR="00254A8B" w:rsidRPr="005303F7">
        <w:rPr>
          <w:rFonts w:ascii="Times New Roman" w:hAnsi="Times New Roman"/>
          <w:sz w:val="24"/>
          <w:lang w:val="sr-Cyrl-CS"/>
        </w:rPr>
        <w:t xml:space="preserve"> </w:t>
      </w:r>
      <w:r w:rsidR="002A7253" w:rsidRPr="005303F7">
        <w:rPr>
          <w:rFonts w:ascii="Times New Roman" w:hAnsi="Times New Roman"/>
          <w:sz w:val="24"/>
          <w:lang w:val="sr-Cyrl-CS"/>
        </w:rPr>
        <w:t>одлагање</w:t>
      </w:r>
      <w:r w:rsidR="00254A8B" w:rsidRPr="005303F7">
        <w:rPr>
          <w:rFonts w:ascii="Times New Roman" w:hAnsi="Times New Roman"/>
          <w:sz w:val="24"/>
          <w:lang w:val="sr-Cyrl-CS"/>
        </w:rPr>
        <w:t xml:space="preserve"> </w:t>
      </w:r>
      <w:r w:rsidR="002A7253" w:rsidRPr="005303F7">
        <w:rPr>
          <w:rFonts w:ascii="Times New Roman" w:hAnsi="Times New Roman"/>
          <w:sz w:val="24"/>
          <w:lang w:val="sr-Cyrl-CS"/>
        </w:rPr>
        <w:t>чврстог</w:t>
      </w:r>
      <w:r w:rsidR="00254A8B" w:rsidRPr="005303F7">
        <w:rPr>
          <w:rFonts w:ascii="Times New Roman" w:hAnsi="Times New Roman"/>
          <w:sz w:val="24"/>
          <w:lang w:val="sr-Cyrl-CS"/>
        </w:rPr>
        <w:t xml:space="preserve"> </w:t>
      </w:r>
      <w:r w:rsidR="002A7253" w:rsidRPr="005303F7">
        <w:rPr>
          <w:rFonts w:ascii="Times New Roman" w:hAnsi="Times New Roman"/>
          <w:sz w:val="24"/>
          <w:lang w:val="sr-Cyrl-CS"/>
        </w:rPr>
        <w:t>отпада</w:t>
      </w:r>
      <w:r w:rsidR="00254A8B"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254A8B" w:rsidRPr="005303F7">
        <w:rPr>
          <w:rFonts w:ascii="Times New Roman" w:hAnsi="Times New Roman"/>
          <w:sz w:val="24"/>
          <w:lang w:val="sr-Cyrl-CS"/>
        </w:rPr>
        <w:t xml:space="preserve"> </w:t>
      </w:r>
      <w:r w:rsidR="002A7253" w:rsidRPr="005303F7">
        <w:rPr>
          <w:rFonts w:ascii="Times New Roman" w:hAnsi="Times New Roman"/>
          <w:sz w:val="24"/>
          <w:lang w:val="sr-Cyrl-CS"/>
        </w:rPr>
        <w:t>пречишћавање</w:t>
      </w:r>
      <w:r w:rsidR="00254A8B" w:rsidRPr="005303F7">
        <w:rPr>
          <w:rFonts w:ascii="Times New Roman" w:hAnsi="Times New Roman"/>
          <w:sz w:val="24"/>
          <w:lang w:val="sr-Cyrl-CS"/>
        </w:rPr>
        <w:t xml:space="preserve"> </w:t>
      </w:r>
      <w:r w:rsidR="002A7253" w:rsidRPr="005303F7">
        <w:rPr>
          <w:rFonts w:ascii="Times New Roman" w:hAnsi="Times New Roman"/>
          <w:sz w:val="24"/>
          <w:lang w:val="sr-Cyrl-CS"/>
        </w:rPr>
        <w:t>отпадних</w:t>
      </w:r>
      <w:r w:rsidR="00254A8B" w:rsidRPr="005303F7">
        <w:rPr>
          <w:rFonts w:ascii="Times New Roman" w:hAnsi="Times New Roman"/>
          <w:sz w:val="24"/>
          <w:lang w:val="sr-Cyrl-CS"/>
        </w:rPr>
        <w:t xml:space="preserve"> </w:t>
      </w:r>
      <w:r w:rsidR="002A7253" w:rsidRPr="005303F7">
        <w:rPr>
          <w:rFonts w:ascii="Times New Roman" w:hAnsi="Times New Roman"/>
          <w:sz w:val="24"/>
          <w:lang w:val="sr-Cyrl-CS"/>
        </w:rPr>
        <w:t>вода</w:t>
      </w:r>
      <w:r w:rsidR="009B485C" w:rsidRPr="005303F7">
        <w:rPr>
          <w:rFonts w:ascii="Times New Roman" w:hAnsi="Times New Roman"/>
          <w:sz w:val="24"/>
          <w:lang w:val="sr-Cyrl-CS"/>
        </w:rPr>
        <w:t>).</w:t>
      </w:r>
      <w:r w:rsidR="00FC726E" w:rsidRPr="005303F7">
        <w:rPr>
          <w:rFonts w:ascii="Times New Roman" w:hAnsi="Times New Roman"/>
          <w:sz w:val="24"/>
          <w:lang w:val="sr-Cyrl-CS"/>
        </w:rPr>
        <w:t xml:space="preserve"> </w:t>
      </w:r>
      <w:r w:rsidR="002A7253" w:rsidRPr="005303F7">
        <w:rPr>
          <w:rFonts w:ascii="Times New Roman" w:hAnsi="Times New Roman"/>
          <w:sz w:val="24"/>
          <w:lang w:val="sr-Cyrl-CS"/>
        </w:rPr>
        <w:t>ЕУ</w:t>
      </w:r>
      <w:r w:rsidR="004865CB" w:rsidRPr="005303F7">
        <w:rPr>
          <w:rFonts w:ascii="Times New Roman" w:hAnsi="Times New Roman"/>
          <w:sz w:val="24"/>
          <w:lang w:val="sr-Cyrl-CS"/>
        </w:rPr>
        <w:t xml:space="preserve"> </w:t>
      </w:r>
      <w:r w:rsidR="002A7253" w:rsidRPr="005303F7">
        <w:rPr>
          <w:rFonts w:ascii="Times New Roman" w:hAnsi="Times New Roman"/>
          <w:sz w:val="24"/>
          <w:lang w:val="sr-Cyrl-CS"/>
        </w:rPr>
        <w:t>извештава</w:t>
      </w:r>
      <w:r w:rsidR="004865CB" w:rsidRPr="005303F7">
        <w:rPr>
          <w:rFonts w:ascii="Times New Roman" w:hAnsi="Times New Roman"/>
          <w:sz w:val="24"/>
          <w:lang w:val="sr-Cyrl-CS"/>
        </w:rPr>
        <w:t xml:space="preserve"> </w:t>
      </w:r>
      <w:r w:rsidR="002A7253" w:rsidRPr="005303F7">
        <w:rPr>
          <w:rFonts w:ascii="Times New Roman" w:hAnsi="Times New Roman"/>
          <w:sz w:val="24"/>
          <w:lang w:val="sr-Cyrl-CS"/>
        </w:rPr>
        <w:t>о</w:t>
      </w:r>
      <w:r w:rsidR="004865CB" w:rsidRPr="005303F7">
        <w:rPr>
          <w:rFonts w:ascii="Times New Roman" w:hAnsi="Times New Roman"/>
          <w:sz w:val="24"/>
          <w:lang w:val="sr-Cyrl-CS"/>
        </w:rPr>
        <w:t xml:space="preserve"> </w:t>
      </w:r>
      <w:r w:rsidR="002A7253" w:rsidRPr="005303F7">
        <w:rPr>
          <w:rFonts w:ascii="Times New Roman" w:hAnsi="Times New Roman"/>
          <w:sz w:val="24"/>
          <w:lang w:val="sr-Cyrl-CS"/>
        </w:rPr>
        <w:t>емисијама</w:t>
      </w:r>
      <w:r w:rsidR="004865CB" w:rsidRPr="005303F7">
        <w:rPr>
          <w:rFonts w:ascii="Times New Roman" w:hAnsi="Times New Roman"/>
          <w:sz w:val="24"/>
          <w:lang w:val="sr-Cyrl-CS"/>
        </w:rPr>
        <w:t xml:space="preserve"> </w:t>
      </w:r>
      <w:r w:rsidR="002A7253" w:rsidRPr="005303F7">
        <w:rPr>
          <w:rFonts w:ascii="Times New Roman" w:hAnsi="Times New Roman"/>
          <w:sz w:val="24"/>
          <w:lang w:val="sr-Cyrl-CS"/>
        </w:rPr>
        <w:t>из</w:t>
      </w:r>
      <w:r w:rsidR="004865CB" w:rsidRPr="005303F7">
        <w:rPr>
          <w:rFonts w:ascii="Times New Roman" w:hAnsi="Times New Roman"/>
          <w:sz w:val="24"/>
          <w:lang w:val="sr-Cyrl-CS"/>
        </w:rPr>
        <w:t xml:space="preserve"> </w:t>
      </w:r>
      <w:r w:rsidR="002A7253" w:rsidRPr="005303F7">
        <w:rPr>
          <w:rFonts w:ascii="Times New Roman" w:hAnsi="Times New Roman"/>
          <w:sz w:val="24"/>
          <w:lang w:val="sr-Cyrl-CS"/>
        </w:rPr>
        <w:t>ових</w:t>
      </w:r>
      <w:r w:rsidR="00784D71" w:rsidRPr="005303F7">
        <w:rPr>
          <w:rFonts w:ascii="Times New Roman" w:hAnsi="Times New Roman"/>
          <w:sz w:val="24"/>
          <w:lang w:val="sr-Cyrl-CS"/>
        </w:rPr>
        <w:t xml:space="preserve"> </w:t>
      </w:r>
      <w:r w:rsidR="002A7253" w:rsidRPr="005303F7">
        <w:rPr>
          <w:rFonts w:ascii="Times New Roman" w:hAnsi="Times New Roman"/>
          <w:sz w:val="24"/>
          <w:lang w:val="sr-Cyrl-CS"/>
        </w:rPr>
        <w:t>сектора</w:t>
      </w:r>
      <w:r w:rsidR="004865CB" w:rsidRPr="005303F7">
        <w:rPr>
          <w:rFonts w:ascii="Times New Roman" w:hAnsi="Times New Roman"/>
          <w:sz w:val="24"/>
          <w:lang w:val="sr-Cyrl-CS"/>
        </w:rPr>
        <w:t xml:space="preserve"> </w:t>
      </w:r>
      <w:r w:rsidR="002A7253" w:rsidRPr="005303F7">
        <w:rPr>
          <w:rFonts w:ascii="Times New Roman" w:hAnsi="Times New Roman"/>
          <w:sz w:val="24"/>
          <w:lang w:val="sr-Cyrl-CS"/>
        </w:rPr>
        <w:t>као</w:t>
      </w:r>
      <w:r w:rsidR="004865CB" w:rsidRPr="005303F7">
        <w:rPr>
          <w:rFonts w:ascii="Times New Roman" w:hAnsi="Times New Roman"/>
          <w:sz w:val="24"/>
          <w:lang w:val="sr-Cyrl-CS"/>
        </w:rPr>
        <w:t xml:space="preserve"> </w:t>
      </w:r>
      <w:r w:rsidR="002A7253" w:rsidRPr="005303F7">
        <w:rPr>
          <w:rFonts w:ascii="Times New Roman" w:hAnsi="Times New Roman"/>
          <w:sz w:val="24"/>
          <w:lang w:val="sr-Cyrl-CS"/>
        </w:rPr>
        <w:t>сектора</w:t>
      </w:r>
      <w:r w:rsidR="00317305" w:rsidRPr="005303F7">
        <w:rPr>
          <w:rFonts w:ascii="Times New Roman" w:hAnsi="Times New Roman"/>
          <w:sz w:val="24"/>
          <w:lang w:val="sr-Cyrl-CS"/>
        </w:rPr>
        <w:t xml:space="preserve"> </w:t>
      </w:r>
      <w:r w:rsidR="002A7253" w:rsidRPr="005303F7">
        <w:rPr>
          <w:rFonts w:ascii="Times New Roman" w:hAnsi="Times New Roman"/>
          <w:sz w:val="24"/>
          <w:lang w:val="sr-Cyrl-CS"/>
        </w:rPr>
        <w:t>који</w:t>
      </w:r>
      <w:r w:rsidR="00317305" w:rsidRPr="005303F7">
        <w:rPr>
          <w:rFonts w:ascii="Times New Roman" w:hAnsi="Times New Roman"/>
          <w:sz w:val="24"/>
          <w:lang w:val="sr-Cyrl-CS"/>
        </w:rPr>
        <w:t xml:space="preserve"> </w:t>
      </w:r>
      <w:r w:rsidR="002A7253" w:rsidRPr="005303F7">
        <w:rPr>
          <w:rFonts w:ascii="Times New Roman" w:hAnsi="Times New Roman"/>
          <w:sz w:val="24"/>
          <w:lang w:val="sr-Cyrl-CS"/>
        </w:rPr>
        <w:t>су</w:t>
      </w:r>
      <w:r w:rsidR="00317305" w:rsidRPr="005303F7">
        <w:rPr>
          <w:rFonts w:ascii="Times New Roman" w:hAnsi="Times New Roman"/>
          <w:sz w:val="24"/>
          <w:lang w:val="sr-Cyrl-CS"/>
        </w:rPr>
        <w:t xml:space="preserve"> </w:t>
      </w:r>
      <w:r w:rsidR="002A7253" w:rsidRPr="005303F7">
        <w:rPr>
          <w:rFonts w:ascii="Times New Roman" w:hAnsi="Times New Roman"/>
          <w:sz w:val="24"/>
          <w:lang w:val="sr-Cyrl-CS"/>
        </w:rPr>
        <w:t>укључени</w:t>
      </w:r>
      <w:r w:rsidR="00317305" w:rsidRPr="005303F7">
        <w:rPr>
          <w:rFonts w:ascii="Times New Roman" w:hAnsi="Times New Roman"/>
          <w:sz w:val="24"/>
          <w:lang w:val="sr-Cyrl-CS"/>
        </w:rPr>
        <w:t xml:space="preserve"> </w:t>
      </w:r>
      <w:r w:rsidR="002A7253" w:rsidRPr="005303F7">
        <w:rPr>
          <w:rFonts w:ascii="Times New Roman" w:hAnsi="Times New Roman"/>
          <w:sz w:val="24"/>
          <w:lang w:val="sr-Cyrl-CS"/>
        </w:rPr>
        <w:t>у</w:t>
      </w:r>
      <w:r w:rsidR="00317305" w:rsidRPr="005303F7">
        <w:rPr>
          <w:rFonts w:ascii="Times New Roman" w:hAnsi="Times New Roman"/>
          <w:sz w:val="24"/>
          <w:lang w:val="sr-Cyrl-CS"/>
        </w:rPr>
        <w:t xml:space="preserve"> </w:t>
      </w:r>
      <w:r w:rsidR="002A7253" w:rsidRPr="005303F7">
        <w:rPr>
          <w:rFonts w:ascii="Times New Roman" w:hAnsi="Times New Roman"/>
          <w:sz w:val="24"/>
          <w:lang w:val="sr-Cyrl-CS"/>
        </w:rPr>
        <w:t>трговину</w:t>
      </w:r>
      <w:r w:rsidR="00317305" w:rsidRPr="005303F7">
        <w:rPr>
          <w:rFonts w:ascii="Times New Roman" w:hAnsi="Times New Roman"/>
          <w:sz w:val="24"/>
          <w:lang w:val="sr-Cyrl-CS"/>
        </w:rPr>
        <w:t xml:space="preserve"> </w:t>
      </w:r>
      <w:r w:rsidR="002A7253" w:rsidRPr="005303F7">
        <w:rPr>
          <w:rFonts w:ascii="Times New Roman" w:hAnsi="Times New Roman"/>
          <w:sz w:val="24"/>
          <w:lang w:val="sr-Cyrl-CS"/>
        </w:rPr>
        <w:t>емисијама</w:t>
      </w:r>
      <w:r w:rsidR="00317305" w:rsidRPr="005303F7">
        <w:rPr>
          <w:rFonts w:ascii="Times New Roman" w:hAnsi="Times New Roman"/>
          <w:sz w:val="24"/>
          <w:lang w:val="sr-Cyrl-CS"/>
        </w:rPr>
        <w:t xml:space="preserve"> GHG (</w:t>
      </w:r>
      <w:r w:rsidR="00CB4973" w:rsidRPr="005303F7">
        <w:rPr>
          <w:rFonts w:ascii="Times New Roman" w:hAnsi="Times New Roman"/>
          <w:sz w:val="24"/>
          <w:lang w:val="sr-Cyrl-CS"/>
        </w:rPr>
        <w:t xml:space="preserve">engl. </w:t>
      </w:r>
      <w:r w:rsidR="00317305" w:rsidRPr="005303F7">
        <w:rPr>
          <w:rFonts w:ascii="Times New Roman" w:hAnsi="Times New Roman"/>
          <w:sz w:val="24"/>
          <w:lang w:val="sr-Cyrl-CS"/>
        </w:rPr>
        <w:t>Emission Trading System –</w:t>
      </w:r>
      <w:r w:rsidR="0035174D" w:rsidRPr="005303F7">
        <w:rPr>
          <w:rFonts w:ascii="Times New Roman" w:hAnsi="Times New Roman"/>
          <w:sz w:val="24"/>
          <w:lang w:val="sr-Cyrl-CS"/>
        </w:rPr>
        <w:t xml:space="preserve"> у даљем тексту</w:t>
      </w:r>
      <w:r w:rsidR="007B4CF1" w:rsidRPr="005303F7">
        <w:rPr>
          <w:rFonts w:ascii="Times New Roman" w:hAnsi="Times New Roman"/>
          <w:sz w:val="24"/>
          <w:lang w:val="sr-Cyrl-CS"/>
        </w:rPr>
        <w:t>:</w:t>
      </w:r>
      <w:r w:rsidR="0035174D" w:rsidRPr="005303F7">
        <w:rPr>
          <w:rFonts w:ascii="Times New Roman" w:hAnsi="Times New Roman"/>
          <w:sz w:val="24"/>
          <w:lang w:val="sr-Cyrl-CS"/>
        </w:rPr>
        <w:t xml:space="preserve"> ЕU</w:t>
      </w:r>
      <w:r w:rsidR="00317305" w:rsidRPr="005303F7">
        <w:rPr>
          <w:rFonts w:ascii="Times New Roman" w:hAnsi="Times New Roman"/>
          <w:sz w:val="24"/>
          <w:lang w:val="sr-Cyrl-CS"/>
        </w:rPr>
        <w:t xml:space="preserve"> </w:t>
      </w:r>
      <w:r w:rsidR="0059172D" w:rsidRPr="005303F7">
        <w:rPr>
          <w:rFonts w:ascii="Times New Roman" w:hAnsi="Times New Roman"/>
          <w:sz w:val="24"/>
          <w:lang w:val="sr-Cyrl-CS"/>
        </w:rPr>
        <w:t>ETS</w:t>
      </w:r>
      <w:r w:rsidR="00317305" w:rsidRPr="005303F7">
        <w:rPr>
          <w:rFonts w:ascii="Times New Roman" w:hAnsi="Times New Roman"/>
          <w:sz w:val="24"/>
          <w:lang w:val="sr-Cyrl-CS"/>
        </w:rPr>
        <w:t>)</w:t>
      </w:r>
      <w:r w:rsidR="004865CB"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4865CB" w:rsidRPr="005303F7">
        <w:rPr>
          <w:rFonts w:ascii="Times New Roman" w:hAnsi="Times New Roman"/>
          <w:sz w:val="24"/>
          <w:lang w:val="sr-Cyrl-CS"/>
        </w:rPr>
        <w:t xml:space="preserve"> </w:t>
      </w:r>
      <w:r w:rsidR="002A7253" w:rsidRPr="005303F7">
        <w:rPr>
          <w:rFonts w:ascii="Times New Roman" w:hAnsi="Times New Roman"/>
          <w:sz w:val="24"/>
          <w:lang w:val="sr-Cyrl-CS"/>
        </w:rPr>
        <w:t>емисија</w:t>
      </w:r>
      <w:r w:rsidR="00027573" w:rsidRPr="005303F7">
        <w:rPr>
          <w:rFonts w:ascii="Times New Roman" w:hAnsi="Times New Roman"/>
          <w:sz w:val="24"/>
          <w:lang w:val="sr-Cyrl-CS"/>
        </w:rPr>
        <w:t xml:space="preserve"> </w:t>
      </w:r>
      <w:r w:rsidR="002A7253" w:rsidRPr="005303F7">
        <w:rPr>
          <w:rFonts w:ascii="Times New Roman" w:hAnsi="Times New Roman"/>
          <w:sz w:val="24"/>
          <w:lang w:val="sr-Cyrl-CS"/>
        </w:rPr>
        <w:t>које</w:t>
      </w:r>
      <w:r w:rsidR="00027573" w:rsidRPr="005303F7">
        <w:rPr>
          <w:rFonts w:ascii="Times New Roman" w:hAnsi="Times New Roman"/>
          <w:sz w:val="24"/>
          <w:lang w:val="sr-Cyrl-CS"/>
        </w:rPr>
        <w:t xml:space="preserve"> </w:t>
      </w:r>
      <w:r w:rsidR="002A7253" w:rsidRPr="005303F7">
        <w:rPr>
          <w:rFonts w:ascii="Times New Roman" w:hAnsi="Times New Roman"/>
          <w:sz w:val="24"/>
          <w:lang w:val="sr-Cyrl-CS"/>
        </w:rPr>
        <w:t>нису</w:t>
      </w:r>
      <w:r w:rsidR="00027573" w:rsidRPr="005303F7">
        <w:rPr>
          <w:rFonts w:ascii="Times New Roman" w:hAnsi="Times New Roman"/>
          <w:sz w:val="24"/>
          <w:lang w:val="sr-Cyrl-CS"/>
        </w:rPr>
        <w:t xml:space="preserve"> </w:t>
      </w:r>
      <w:r w:rsidR="00F543AF" w:rsidRPr="005303F7">
        <w:rPr>
          <w:rFonts w:ascii="Times New Roman" w:hAnsi="Times New Roman"/>
          <w:sz w:val="24"/>
          <w:lang w:val="sr-Cyrl-CS"/>
        </w:rPr>
        <w:t>укључ</w:t>
      </w:r>
      <w:r w:rsidR="002A7253" w:rsidRPr="005303F7">
        <w:rPr>
          <w:rFonts w:ascii="Times New Roman" w:hAnsi="Times New Roman"/>
          <w:sz w:val="24"/>
          <w:lang w:val="sr-Cyrl-CS"/>
        </w:rPr>
        <w:t>ене</w:t>
      </w:r>
      <w:r w:rsidR="00027573" w:rsidRPr="005303F7">
        <w:rPr>
          <w:rFonts w:ascii="Times New Roman" w:hAnsi="Times New Roman"/>
          <w:sz w:val="24"/>
          <w:lang w:val="sr-Cyrl-CS"/>
        </w:rPr>
        <w:t xml:space="preserve"> </w:t>
      </w:r>
      <w:r w:rsidR="002A7253" w:rsidRPr="005303F7">
        <w:rPr>
          <w:rFonts w:ascii="Times New Roman" w:hAnsi="Times New Roman"/>
          <w:sz w:val="24"/>
          <w:lang w:val="sr-Cyrl-CS"/>
        </w:rPr>
        <w:t>у</w:t>
      </w:r>
      <w:r w:rsidR="00027573" w:rsidRPr="005303F7">
        <w:rPr>
          <w:rFonts w:ascii="Times New Roman" w:hAnsi="Times New Roman"/>
          <w:sz w:val="24"/>
          <w:lang w:val="sr-Cyrl-CS"/>
        </w:rPr>
        <w:t xml:space="preserve"> </w:t>
      </w:r>
      <w:r w:rsidR="0059172D" w:rsidRPr="005303F7">
        <w:rPr>
          <w:rFonts w:ascii="Times New Roman" w:hAnsi="Times New Roman"/>
          <w:sz w:val="24"/>
          <w:lang w:val="sr-Cyrl-CS"/>
        </w:rPr>
        <w:t>ETS</w:t>
      </w:r>
      <w:r w:rsidR="00027573" w:rsidRPr="005303F7">
        <w:rPr>
          <w:rFonts w:ascii="Times New Roman" w:hAnsi="Times New Roman"/>
          <w:sz w:val="24"/>
          <w:lang w:val="sr-Cyrl-CS"/>
        </w:rPr>
        <w:t xml:space="preserve"> (</w:t>
      </w:r>
      <w:r w:rsidR="00663BD0" w:rsidRPr="005303F7">
        <w:rPr>
          <w:rFonts w:ascii="Times New Roman" w:hAnsi="Times New Roman"/>
          <w:sz w:val="24"/>
          <w:lang w:val="sr-Cyrl-CS"/>
        </w:rPr>
        <w:t>у даљем тексту: н</w:t>
      </w:r>
      <w:r w:rsidR="004865CB" w:rsidRPr="005303F7">
        <w:rPr>
          <w:rFonts w:ascii="Times New Roman" w:hAnsi="Times New Roman"/>
          <w:sz w:val="24"/>
          <w:lang w:val="sr-Cyrl-CS"/>
        </w:rPr>
        <w:t>e-</w:t>
      </w:r>
      <w:r w:rsidR="0059172D" w:rsidRPr="005303F7">
        <w:rPr>
          <w:rFonts w:ascii="Times New Roman" w:hAnsi="Times New Roman"/>
          <w:sz w:val="24"/>
          <w:lang w:val="sr-Cyrl-CS"/>
        </w:rPr>
        <w:t>ETS</w:t>
      </w:r>
      <w:r w:rsidR="00027573" w:rsidRPr="005303F7">
        <w:rPr>
          <w:rFonts w:ascii="Times New Roman" w:hAnsi="Times New Roman"/>
          <w:sz w:val="24"/>
          <w:lang w:val="sr-Cyrl-CS"/>
        </w:rPr>
        <w:t>)</w:t>
      </w:r>
      <w:r w:rsidR="004865CB" w:rsidRPr="005303F7">
        <w:rPr>
          <w:rFonts w:ascii="Times New Roman" w:hAnsi="Times New Roman"/>
          <w:sz w:val="24"/>
          <w:lang w:val="sr-Cyrl-CS"/>
        </w:rPr>
        <w:t>.</w:t>
      </w:r>
      <w:r w:rsidR="003E06FC" w:rsidRPr="005303F7">
        <w:rPr>
          <w:rFonts w:ascii="Times New Roman" w:hAnsi="Times New Roman"/>
          <w:sz w:val="24"/>
          <w:lang w:val="sr-Cyrl-CS"/>
        </w:rPr>
        <w:t xml:space="preserve"> </w:t>
      </w:r>
    </w:p>
    <w:p w14:paraId="669AA1E8" w14:textId="7FD4A1D9" w:rsidR="00FC726E" w:rsidRPr="005303F7" w:rsidRDefault="009E59EE" w:rsidP="007C43BD">
      <w:pPr>
        <w:rPr>
          <w:rFonts w:ascii="Times New Roman" w:hAnsi="Times New Roman"/>
          <w:sz w:val="24"/>
          <w:lang w:val="sr-Cyrl-CS"/>
        </w:rPr>
      </w:pPr>
      <w:r w:rsidRPr="005303F7">
        <w:rPr>
          <w:rFonts w:ascii="Times New Roman" w:hAnsi="Times New Roman"/>
          <w:sz w:val="24"/>
          <w:lang w:val="sr-Cyrl-CS"/>
        </w:rPr>
        <w:t xml:space="preserve">            </w:t>
      </w:r>
      <w:r w:rsidR="002A7253" w:rsidRPr="005303F7">
        <w:rPr>
          <w:rFonts w:ascii="Times New Roman" w:hAnsi="Times New Roman"/>
          <w:sz w:val="24"/>
          <w:lang w:val="sr-Cyrl-CS"/>
        </w:rPr>
        <w:t>Истовремено</w:t>
      </w:r>
      <w:r w:rsidR="003E06FC" w:rsidRPr="005303F7">
        <w:rPr>
          <w:rFonts w:ascii="Times New Roman" w:hAnsi="Times New Roman"/>
          <w:sz w:val="24"/>
          <w:lang w:val="sr-Cyrl-CS"/>
        </w:rPr>
        <w:t xml:space="preserve">, </w:t>
      </w:r>
      <w:r w:rsidR="002A7253" w:rsidRPr="005303F7">
        <w:rPr>
          <w:rFonts w:ascii="Times New Roman" w:hAnsi="Times New Roman"/>
          <w:sz w:val="24"/>
          <w:lang w:val="sr-Cyrl-CS"/>
        </w:rPr>
        <w:t>секторске</w:t>
      </w:r>
      <w:r w:rsidR="003E06FC" w:rsidRPr="005303F7">
        <w:rPr>
          <w:rFonts w:ascii="Times New Roman" w:hAnsi="Times New Roman"/>
          <w:sz w:val="24"/>
          <w:lang w:val="sr-Cyrl-CS"/>
        </w:rPr>
        <w:t xml:space="preserve"> </w:t>
      </w:r>
      <w:r w:rsidR="002A7253" w:rsidRPr="005303F7">
        <w:rPr>
          <w:rFonts w:ascii="Times New Roman" w:hAnsi="Times New Roman"/>
          <w:sz w:val="24"/>
          <w:lang w:val="sr-Cyrl-CS"/>
        </w:rPr>
        <w:t>политике</w:t>
      </w:r>
      <w:r w:rsidR="00CE4A0B" w:rsidRPr="005303F7">
        <w:rPr>
          <w:rFonts w:ascii="Times New Roman" w:hAnsi="Times New Roman"/>
          <w:sz w:val="24"/>
          <w:lang w:val="sr-Cyrl-CS"/>
        </w:rPr>
        <w:t>,</w:t>
      </w:r>
      <w:r w:rsidR="003E06FC" w:rsidRPr="005303F7">
        <w:rPr>
          <w:rFonts w:ascii="Times New Roman" w:hAnsi="Times New Roman"/>
          <w:sz w:val="24"/>
          <w:lang w:val="sr-Cyrl-CS"/>
        </w:rPr>
        <w:t xml:space="preserve"> </w:t>
      </w:r>
      <w:r w:rsidR="002A7253" w:rsidRPr="005303F7">
        <w:rPr>
          <w:rFonts w:ascii="Times New Roman" w:hAnsi="Times New Roman"/>
          <w:sz w:val="24"/>
          <w:lang w:val="sr-Cyrl-CS"/>
        </w:rPr>
        <w:t>релевантне</w:t>
      </w:r>
      <w:r w:rsidR="003E06FC" w:rsidRPr="005303F7">
        <w:rPr>
          <w:rFonts w:ascii="Times New Roman" w:hAnsi="Times New Roman"/>
          <w:sz w:val="24"/>
          <w:lang w:val="sr-Cyrl-CS"/>
        </w:rPr>
        <w:t xml:space="preserve"> </w:t>
      </w:r>
      <w:r w:rsidR="002A7253" w:rsidRPr="005303F7">
        <w:rPr>
          <w:rFonts w:ascii="Times New Roman" w:hAnsi="Times New Roman"/>
          <w:sz w:val="24"/>
          <w:lang w:val="sr-Cyrl-CS"/>
        </w:rPr>
        <w:t>за</w:t>
      </w:r>
      <w:r w:rsidR="003E06FC" w:rsidRPr="005303F7">
        <w:rPr>
          <w:rFonts w:ascii="Times New Roman" w:hAnsi="Times New Roman"/>
          <w:sz w:val="24"/>
          <w:lang w:val="sr-Cyrl-CS"/>
        </w:rPr>
        <w:t xml:space="preserve"> </w:t>
      </w:r>
      <w:r w:rsidR="002A7253" w:rsidRPr="005303F7">
        <w:rPr>
          <w:rFonts w:ascii="Times New Roman" w:hAnsi="Times New Roman"/>
          <w:sz w:val="24"/>
          <w:lang w:val="sr-Cyrl-CS"/>
        </w:rPr>
        <w:t>смањење</w:t>
      </w:r>
      <w:r w:rsidR="003E06FC" w:rsidRPr="005303F7">
        <w:rPr>
          <w:rFonts w:ascii="Times New Roman" w:hAnsi="Times New Roman"/>
          <w:sz w:val="24"/>
          <w:lang w:val="sr-Cyrl-CS"/>
        </w:rPr>
        <w:t xml:space="preserve"> </w:t>
      </w:r>
      <w:r w:rsidR="002A7253" w:rsidRPr="005303F7">
        <w:rPr>
          <w:rFonts w:ascii="Times New Roman" w:hAnsi="Times New Roman"/>
          <w:sz w:val="24"/>
          <w:lang w:val="sr-Cyrl-CS"/>
        </w:rPr>
        <w:t>емисије</w:t>
      </w:r>
      <w:r w:rsidR="003E06FC" w:rsidRPr="005303F7">
        <w:rPr>
          <w:rFonts w:ascii="Times New Roman" w:hAnsi="Times New Roman"/>
          <w:sz w:val="24"/>
          <w:lang w:val="sr-Cyrl-CS"/>
        </w:rPr>
        <w:t xml:space="preserve"> </w:t>
      </w:r>
      <w:r w:rsidR="00DD55E9" w:rsidRPr="005303F7">
        <w:rPr>
          <w:rFonts w:ascii="Times New Roman" w:hAnsi="Times New Roman"/>
          <w:sz w:val="24"/>
          <w:lang w:val="sr-Cyrl-CS"/>
        </w:rPr>
        <w:t>GHG</w:t>
      </w:r>
      <w:r w:rsidR="003E06FC" w:rsidRPr="005303F7">
        <w:rPr>
          <w:rFonts w:ascii="Times New Roman" w:hAnsi="Times New Roman"/>
          <w:sz w:val="24"/>
          <w:lang w:val="sr-Cyrl-CS"/>
        </w:rPr>
        <w:t xml:space="preserve">, </w:t>
      </w:r>
      <w:r w:rsidR="002A7253" w:rsidRPr="005303F7">
        <w:rPr>
          <w:rFonts w:ascii="Times New Roman" w:hAnsi="Times New Roman"/>
          <w:sz w:val="24"/>
          <w:lang w:val="sr-Cyrl-CS"/>
        </w:rPr>
        <w:t>те</w:t>
      </w:r>
      <w:r w:rsidR="003E06FC" w:rsidRPr="005303F7">
        <w:rPr>
          <w:rFonts w:ascii="Times New Roman" w:hAnsi="Times New Roman"/>
          <w:sz w:val="24"/>
          <w:lang w:val="sr-Cyrl-CS"/>
        </w:rPr>
        <w:t xml:space="preserve"> </w:t>
      </w:r>
      <w:r w:rsidR="002A7253" w:rsidRPr="005303F7">
        <w:rPr>
          <w:rFonts w:ascii="Times New Roman" w:hAnsi="Times New Roman"/>
          <w:sz w:val="24"/>
          <w:lang w:val="sr-Cyrl-CS"/>
        </w:rPr>
        <w:t>у</w:t>
      </w:r>
      <w:r w:rsidR="003E06FC" w:rsidRPr="005303F7">
        <w:rPr>
          <w:rFonts w:ascii="Times New Roman" w:hAnsi="Times New Roman"/>
          <w:sz w:val="24"/>
          <w:lang w:val="sr-Cyrl-CS"/>
        </w:rPr>
        <w:t xml:space="preserve"> </w:t>
      </w:r>
      <w:r w:rsidR="002A7253" w:rsidRPr="005303F7">
        <w:rPr>
          <w:rFonts w:ascii="Times New Roman" w:hAnsi="Times New Roman"/>
          <w:sz w:val="24"/>
          <w:lang w:val="sr-Cyrl-CS"/>
        </w:rPr>
        <w:t>том</w:t>
      </w:r>
      <w:r w:rsidR="003E06FC" w:rsidRPr="005303F7">
        <w:rPr>
          <w:rFonts w:ascii="Times New Roman" w:hAnsi="Times New Roman"/>
          <w:sz w:val="24"/>
          <w:lang w:val="sr-Cyrl-CS"/>
        </w:rPr>
        <w:t xml:space="preserve"> </w:t>
      </w:r>
      <w:r w:rsidR="002A7253" w:rsidRPr="005303F7">
        <w:rPr>
          <w:rFonts w:ascii="Times New Roman" w:hAnsi="Times New Roman"/>
          <w:sz w:val="24"/>
          <w:lang w:val="sr-Cyrl-CS"/>
        </w:rPr>
        <w:t>смислу</w:t>
      </w:r>
      <w:r w:rsidR="003E06FC"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3E06FC" w:rsidRPr="005303F7">
        <w:rPr>
          <w:rFonts w:ascii="Times New Roman" w:hAnsi="Times New Roman"/>
          <w:sz w:val="24"/>
          <w:lang w:val="sr-Cyrl-CS"/>
        </w:rPr>
        <w:t xml:space="preserve"> </w:t>
      </w:r>
      <w:r w:rsidR="002A7253" w:rsidRPr="005303F7">
        <w:rPr>
          <w:rFonts w:ascii="Times New Roman" w:hAnsi="Times New Roman"/>
          <w:sz w:val="24"/>
          <w:lang w:val="sr-Cyrl-CS"/>
        </w:rPr>
        <w:t>за</w:t>
      </w:r>
      <w:r w:rsidR="003E06FC" w:rsidRPr="005303F7">
        <w:rPr>
          <w:rFonts w:ascii="Times New Roman" w:hAnsi="Times New Roman"/>
          <w:sz w:val="24"/>
          <w:lang w:val="sr-Cyrl-CS"/>
        </w:rPr>
        <w:t xml:space="preserve"> </w:t>
      </w:r>
      <w:r w:rsidR="002A7253" w:rsidRPr="005303F7">
        <w:rPr>
          <w:rFonts w:ascii="Times New Roman" w:hAnsi="Times New Roman"/>
          <w:sz w:val="24"/>
          <w:lang w:val="sr-Cyrl-CS"/>
        </w:rPr>
        <w:t>Стратегију</w:t>
      </w:r>
      <w:r w:rsidR="003E06FC" w:rsidRPr="005303F7">
        <w:rPr>
          <w:rFonts w:ascii="Times New Roman" w:hAnsi="Times New Roman"/>
          <w:sz w:val="24"/>
          <w:lang w:val="sr-Cyrl-CS"/>
        </w:rPr>
        <w:t xml:space="preserve">, </w:t>
      </w:r>
      <w:r w:rsidR="002A7253" w:rsidRPr="005303F7">
        <w:rPr>
          <w:rFonts w:ascii="Times New Roman" w:hAnsi="Times New Roman"/>
          <w:sz w:val="24"/>
          <w:lang w:val="sr-Cyrl-CS"/>
        </w:rPr>
        <w:t>се</w:t>
      </w:r>
      <w:r w:rsidR="00CE4A0B" w:rsidRPr="005303F7">
        <w:rPr>
          <w:rFonts w:ascii="Times New Roman" w:hAnsi="Times New Roman"/>
          <w:sz w:val="24"/>
          <w:lang w:val="sr-Cyrl-CS"/>
        </w:rPr>
        <w:t xml:space="preserve"> </w:t>
      </w:r>
      <w:r w:rsidR="002A7253" w:rsidRPr="005303F7">
        <w:rPr>
          <w:rFonts w:ascii="Times New Roman" w:hAnsi="Times New Roman"/>
          <w:sz w:val="24"/>
          <w:lang w:val="sr-Cyrl-CS"/>
        </w:rPr>
        <w:t>односе</w:t>
      </w:r>
      <w:r w:rsidR="00CE4A0B" w:rsidRPr="005303F7">
        <w:rPr>
          <w:rFonts w:ascii="Times New Roman" w:hAnsi="Times New Roman"/>
          <w:sz w:val="24"/>
          <w:lang w:val="sr-Cyrl-CS"/>
        </w:rPr>
        <w:t xml:space="preserve"> </w:t>
      </w:r>
      <w:r w:rsidR="002A7253" w:rsidRPr="005303F7">
        <w:rPr>
          <w:rFonts w:ascii="Times New Roman" w:hAnsi="Times New Roman"/>
          <w:sz w:val="24"/>
          <w:lang w:val="sr-Cyrl-CS"/>
        </w:rPr>
        <w:t>на</w:t>
      </w:r>
      <w:r w:rsidR="00CE4A0B" w:rsidRPr="005303F7">
        <w:rPr>
          <w:rFonts w:ascii="Times New Roman" w:hAnsi="Times New Roman"/>
          <w:sz w:val="24"/>
          <w:lang w:val="sr-Cyrl-CS"/>
        </w:rPr>
        <w:t xml:space="preserve"> </w:t>
      </w:r>
      <w:r w:rsidR="002A7253" w:rsidRPr="005303F7">
        <w:rPr>
          <w:rFonts w:ascii="Times New Roman" w:hAnsi="Times New Roman"/>
          <w:sz w:val="24"/>
          <w:lang w:val="sr-Cyrl-CS"/>
        </w:rPr>
        <w:t>оне</w:t>
      </w:r>
      <w:r w:rsidR="00CE4A0B" w:rsidRPr="005303F7">
        <w:rPr>
          <w:rFonts w:ascii="Times New Roman" w:hAnsi="Times New Roman"/>
          <w:sz w:val="24"/>
          <w:lang w:val="sr-Cyrl-CS"/>
        </w:rPr>
        <w:t xml:space="preserve"> </w:t>
      </w:r>
      <w:r w:rsidR="002A7253" w:rsidRPr="005303F7">
        <w:rPr>
          <w:rFonts w:ascii="Times New Roman" w:hAnsi="Times New Roman"/>
          <w:sz w:val="24"/>
          <w:lang w:val="sr-Cyrl-CS"/>
        </w:rPr>
        <w:t>секторе</w:t>
      </w:r>
      <w:r w:rsidR="003E06FC" w:rsidRPr="005303F7">
        <w:rPr>
          <w:rFonts w:ascii="Times New Roman" w:hAnsi="Times New Roman"/>
          <w:sz w:val="24"/>
          <w:lang w:val="sr-Cyrl-CS"/>
        </w:rPr>
        <w:t xml:space="preserve"> </w:t>
      </w:r>
      <w:r w:rsidR="002A7253" w:rsidRPr="005303F7">
        <w:rPr>
          <w:rFonts w:ascii="Times New Roman" w:hAnsi="Times New Roman"/>
          <w:sz w:val="24"/>
          <w:lang w:val="sr-Cyrl-CS"/>
        </w:rPr>
        <w:t>привреде</w:t>
      </w:r>
      <w:r w:rsidR="003E06FC" w:rsidRPr="005303F7">
        <w:rPr>
          <w:rFonts w:ascii="Times New Roman" w:hAnsi="Times New Roman"/>
          <w:sz w:val="24"/>
          <w:lang w:val="sr-Cyrl-CS"/>
        </w:rPr>
        <w:t xml:space="preserve"> </w:t>
      </w:r>
      <w:r w:rsidR="002A7253" w:rsidRPr="005303F7">
        <w:rPr>
          <w:rFonts w:ascii="Times New Roman" w:hAnsi="Times New Roman"/>
          <w:sz w:val="24"/>
          <w:lang w:val="sr-Cyrl-CS"/>
        </w:rPr>
        <w:t>где</w:t>
      </w:r>
      <w:r w:rsidR="00CE4A0B" w:rsidRPr="005303F7">
        <w:rPr>
          <w:rFonts w:ascii="Times New Roman" w:hAnsi="Times New Roman"/>
          <w:sz w:val="24"/>
          <w:lang w:val="sr-Cyrl-CS"/>
        </w:rPr>
        <w:t xml:space="preserve"> </w:t>
      </w:r>
      <w:r w:rsidR="002A7253" w:rsidRPr="005303F7">
        <w:rPr>
          <w:rFonts w:ascii="Times New Roman" w:hAnsi="Times New Roman"/>
          <w:sz w:val="24"/>
          <w:lang w:val="sr-Cyrl-CS"/>
        </w:rPr>
        <w:t>су</w:t>
      </w:r>
      <w:r w:rsidR="003E06FC" w:rsidRPr="005303F7">
        <w:rPr>
          <w:rFonts w:ascii="Times New Roman" w:hAnsi="Times New Roman"/>
          <w:sz w:val="24"/>
          <w:lang w:val="sr-Cyrl-CS"/>
        </w:rPr>
        <w:t xml:space="preserve"> </w:t>
      </w:r>
      <w:r w:rsidR="002A7253" w:rsidRPr="005303F7">
        <w:rPr>
          <w:rFonts w:ascii="Times New Roman" w:hAnsi="Times New Roman"/>
          <w:sz w:val="24"/>
          <w:lang w:val="sr-Cyrl-CS"/>
        </w:rPr>
        <w:t>емисије</w:t>
      </w:r>
      <w:r w:rsidR="003E06FC" w:rsidRPr="005303F7">
        <w:rPr>
          <w:rFonts w:ascii="Times New Roman" w:hAnsi="Times New Roman"/>
          <w:sz w:val="24"/>
          <w:lang w:val="sr-Cyrl-CS"/>
        </w:rPr>
        <w:t xml:space="preserve"> </w:t>
      </w:r>
      <w:r w:rsidR="00DD55E9" w:rsidRPr="005303F7">
        <w:rPr>
          <w:rFonts w:ascii="Times New Roman" w:hAnsi="Times New Roman"/>
          <w:sz w:val="24"/>
          <w:lang w:val="sr-Cyrl-CS"/>
        </w:rPr>
        <w:t>GHG</w:t>
      </w:r>
      <w:r w:rsidR="003E06FC" w:rsidRPr="005303F7">
        <w:rPr>
          <w:rFonts w:ascii="Times New Roman" w:hAnsi="Times New Roman"/>
          <w:sz w:val="24"/>
          <w:lang w:val="sr-Cyrl-CS"/>
        </w:rPr>
        <w:t xml:space="preserve"> </w:t>
      </w:r>
      <w:r w:rsidR="002A7253" w:rsidRPr="005303F7">
        <w:rPr>
          <w:rFonts w:ascii="Times New Roman" w:hAnsi="Times New Roman"/>
          <w:sz w:val="24"/>
          <w:lang w:val="sr-Cyrl-CS"/>
        </w:rPr>
        <w:t>највеће</w:t>
      </w:r>
      <w:r w:rsidR="002B7873" w:rsidRPr="005303F7">
        <w:rPr>
          <w:rFonts w:ascii="Times New Roman" w:hAnsi="Times New Roman"/>
          <w:sz w:val="24"/>
          <w:lang w:val="sr-Cyrl-CS"/>
        </w:rPr>
        <w:t xml:space="preserve"> </w:t>
      </w:r>
      <w:r w:rsidR="003E06FC" w:rsidRPr="005303F7">
        <w:rPr>
          <w:rFonts w:ascii="Times New Roman" w:hAnsi="Times New Roman"/>
          <w:sz w:val="24"/>
          <w:lang w:val="sr-Cyrl-CS"/>
        </w:rPr>
        <w:t>(</w:t>
      </w:r>
      <w:r w:rsidR="002A7253" w:rsidRPr="005303F7">
        <w:rPr>
          <w:rFonts w:ascii="Times New Roman" w:hAnsi="Times New Roman"/>
          <w:sz w:val="24"/>
          <w:lang w:val="sr-Cyrl-CS"/>
        </w:rPr>
        <w:t>на</w:t>
      </w:r>
      <w:r w:rsidR="003E06FC" w:rsidRPr="005303F7">
        <w:rPr>
          <w:rFonts w:ascii="Times New Roman" w:hAnsi="Times New Roman"/>
          <w:sz w:val="24"/>
          <w:lang w:val="sr-Cyrl-CS"/>
        </w:rPr>
        <w:t xml:space="preserve"> </w:t>
      </w:r>
      <w:r w:rsidR="002A7253" w:rsidRPr="005303F7">
        <w:rPr>
          <w:rFonts w:ascii="Times New Roman" w:hAnsi="Times New Roman"/>
          <w:sz w:val="24"/>
          <w:lang w:val="sr-Cyrl-CS"/>
        </w:rPr>
        <w:t>основу</w:t>
      </w:r>
      <w:r w:rsidR="003E06FC" w:rsidRPr="005303F7">
        <w:rPr>
          <w:rFonts w:ascii="Times New Roman" w:hAnsi="Times New Roman"/>
          <w:sz w:val="24"/>
          <w:lang w:val="sr-Cyrl-CS"/>
        </w:rPr>
        <w:t xml:space="preserve"> </w:t>
      </w:r>
      <w:r w:rsidR="002A7253" w:rsidRPr="005303F7">
        <w:rPr>
          <w:rFonts w:ascii="Times New Roman" w:hAnsi="Times New Roman"/>
          <w:sz w:val="24"/>
          <w:lang w:val="sr-Cyrl-CS"/>
        </w:rPr>
        <w:t>података</w:t>
      </w:r>
      <w:r w:rsidR="00CE4A0B" w:rsidRPr="005303F7">
        <w:rPr>
          <w:rFonts w:ascii="Times New Roman" w:hAnsi="Times New Roman"/>
          <w:sz w:val="24"/>
          <w:lang w:val="sr-Cyrl-CS"/>
        </w:rPr>
        <w:t xml:space="preserve"> </w:t>
      </w:r>
      <w:r w:rsidR="002A7253" w:rsidRPr="005303F7">
        <w:rPr>
          <w:rFonts w:ascii="Times New Roman" w:hAnsi="Times New Roman"/>
          <w:sz w:val="24"/>
          <w:lang w:val="sr-Cyrl-CS"/>
        </w:rPr>
        <w:t>о</w:t>
      </w:r>
      <w:r w:rsidR="00CE4A0B" w:rsidRPr="005303F7">
        <w:rPr>
          <w:rFonts w:ascii="Times New Roman" w:hAnsi="Times New Roman"/>
          <w:sz w:val="24"/>
          <w:lang w:val="sr-Cyrl-CS"/>
        </w:rPr>
        <w:t xml:space="preserve"> </w:t>
      </w:r>
      <w:r w:rsidR="002A7253" w:rsidRPr="005303F7">
        <w:rPr>
          <w:rFonts w:ascii="Times New Roman" w:hAnsi="Times New Roman"/>
          <w:sz w:val="24"/>
          <w:lang w:val="sr-Cyrl-CS"/>
        </w:rPr>
        <w:t>историјским</w:t>
      </w:r>
      <w:r w:rsidR="003E06FC" w:rsidRPr="005303F7">
        <w:rPr>
          <w:rFonts w:ascii="Times New Roman" w:hAnsi="Times New Roman"/>
          <w:sz w:val="24"/>
          <w:lang w:val="sr-Cyrl-CS"/>
        </w:rPr>
        <w:t xml:space="preserve"> </w:t>
      </w:r>
      <w:r w:rsidR="002A7253" w:rsidRPr="005303F7">
        <w:rPr>
          <w:rFonts w:ascii="Times New Roman" w:hAnsi="Times New Roman"/>
          <w:sz w:val="24"/>
          <w:lang w:val="sr-Cyrl-CS"/>
        </w:rPr>
        <w:t>емисијама</w:t>
      </w:r>
      <w:r w:rsidR="003E06FC" w:rsidRPr="005303F7">
        <w:rPr>
          <w:rFonts w:ascii="Times New Roman" w:hAnsi="Times New Roman"/>
          <w:sz w:val="24"/>
          <w:lang w:val="sr-Cyrl-CS"/>
        </w:rPr>
        <w:t xml:space="preserve"> </w:t>
      </w:r>
      <w:r w:rsidR="0059172D" w:rsidRPr="005303F7">
        <w:rPr>
          <w:rFonts w:ascii="Times New Roman" w:hAnsi="Times New Roman"/>
          <w:sz w:val="24"/>
          <w:lang w:val="sr-Cyrl-CS"/>
        </w:rPr>
        <w:t>GHG</w:t>
      </w:r>
      <w:r w:rsidR="003E06FC" w:rsidRPr="005303F7">
        <w:rPr>
          <w:rFonts w:ascii="Times New Roman" w:hAnsi="Times New Roman"/>
          <w:sz w:val="24"/>
          <w:lang w:val="sr-Cyrl-CS"/>
        </w:rPr>
        <w:t>).</w:t>
      </w:r>
    </w:p>
    <w:p w14:paraId="24A1E021" w14:textId="77777777" w:rsidR="00303AC3" w:rsidRPr="005303F7" w:rsidRDefault="00303AC3" w:rsidP="00775826">
      <w:pPr>
        <w:rPr>
          <w:rFonts w:ascii="Times New Roman" w:hAnsi="Times New Roman"/>
          <w:sz w:val="4"/>
          <w:szCs w:val="2"/>
          <w:lang w:val="sr-Cyrl-CS"/>
        </w:rPr>
      </w:pPr>
    </w:p>
    <w:p w14:paraId="1AD16847" w14:textId="2CFB8DDD" w:rsidR="00BF20EF" w:rsidRPr="005303F7" w:rsidRDefault="00646D44" w:rsidP="00775826">
      <w:pPr>
        <w:rPr>
          <w:rFonts w:ascii="Times New Roman" w:hAnsi="Times New Roman"/>
          <w:sz w:val="24"/>
          <w:lang w:val="sr-Cyrl-CS"/>
        </w:rPr>
      </w:pPr>
      <w:r w:rsidRPr="005303F7">
        <w:rPr>
          <w:rFonts w:ascii="Times New Roman" w:hAnsi="Times New Roman"/>
          <w:sz w:val="24"/>
          <w:lang w:val="sr-Cyrl-CS"/>
        </w:rPr>
        <w:t xml:space="preserve">            </w:t>
      </w:r>
      <w:r w:rsidR="002A7253" w:rsidRPr="005303F7">
        <w:rPr>
          <w:rFonts w:ascii="Times New Roman" w:hAnsi="Times New Roman"/>
          <w:sz w:val="24"/>
          <w:lang w:val="sr-Cyrl-CS"/>
        </w:rPr>
        <w:t>Као</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у</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скоро</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свим</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земљама</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света</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у</w:t>
      </w:r>
      <w:r w:rsidR="00BF20EF" w:rsidRPr="005303F7">
        <w:rPr>
          <w:rFonts w:ascii="Times New Roman" w:hAnsi="Times New Roman"/>
          <w:sz w:val="24"/>
          <w:lang w:val="sr-Cyrl-CS"/>
        </w:rPr>
        <w:t xml:space="preserve"> </w:t>
      </w:r>
      <w:r w:rsidR="00D73AAB" w:rsidRPr="005303F7">
        <w:rPr>
          <w:rFonts w:ascii="Times New Roman" w:hAnsi="Times New Roman"/>
          <w:sz w:val="24"/>
          <w:lang w:val="sr-Cyrl-CS"/>
        </w:rPr>
        <w:t>Републици Србији</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је</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енергетски</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сектор</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укључујући</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саобраћај</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најважнији</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сектор</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у</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погледу</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емисија</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гасова</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са</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ефектом</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стаклене</w:t>
      </w:r>
      <w:r w:rsidR="00BF20EF" w:rsidRPr="005303F7">
        <w:rPr>
          <w:rFonts w:ascii="Times New Roman" w:hAnsi="Times New Roman"/>
          <w:sz w:val="24"/>
          <w:lang w:val="sr-Cyrl-CS"/>
        </w:rPr>
        <w:t xml:space="preserve"> </w:t>
      </w:r>
      <w:r w:rsidR="002A7253" w:rsidRPr="005303F7">
        <w:rPr>
          <w:rFonts w:ascii="Times New Roman" w:hAnsi="Times New Roman"/>
          <w:sz w:val="24"/>
          <w:lang w:val="sr-Cyrl-CS"/>
        </w:rPr>
        <w:t>баште</w:t>
      </w:r>
      <w:r w:rsidR="00DF30D7" w:rsidRPr="005303F7">
        <w:rPr>
          <w:rFonts w:ascii="Times New Roman" w:hAnsi="Times New Roman"/>
          <w:sz w:val="24"/>
          <w:lang w:val="sr-Cyrl-CS"/>
        </w:rPr>
        <w:t xml:space="preserve"> </w:t>
      </w:r>
      <w:r w:rsidR="002A7253" w:rsidRPr="005303F7">
        <w:rPr>
          <w:rFonts w:ascii="Times New Roman" w:hAnsi="Times New Roman"/>
          <w:sz w:val="24"/>
          <w:lang w:val="sr-Cyrl-CS"/>
        </w:rPr>
        <w:t>који</w:t>
      </w:r>
      <w:r w:rsidR="00DF30D7" w:rsidRPr="005303F7">
        <w:rPr>
          <w:rFonts w:ascii="Times New Roman" w:hAnsi="Times New Roman"/>
          <w:sz w:val="24"/>
          <w:lang w:val="sr-Cyrl-CS"/>
        </w:rPr>
        <w:t xml:space="preserve"> </w:t>
      </w:r>
      <w:r w:rsidR="002A7253" w:rsidRPr="005303F7">
        <w:rPr>
          <w:rFonts w:ascii="Times New Roman" w:hAnsi="Times New Roman"/>
          <w:sz w:val="24"/>
          <w:lang w:val="sr-Cyrl-CS"/>
        </w:rPr>
        <w:t>представља</w:t>
      </w:r>
      <w:r w:rsidR="00B660C4" w:rsidRPr="005303F7">
        <w:rPr>
          <w:rFonts w:ascii="Times New Roman" w:hAnsi="Times New Roman"/>
          <w:sz w:val="24"/>
          <w:lang w:val="sr-Cyrl-CS"/>
        </w:rPr>
        <w:t xml:space="preserve"> 80,6% </w:t>
      </w:r>
      <w:r w:rsidR="002A7253" w:rsidRPr="005303F7">
        <w:rPr>
          <w:rFonts w:ascii="Times New Roman" w:hAnsi="Times New Roman"/>
          <w:sz w:val="24"/>
          <w:lang w:val="sr-Cyrl-CS"/>
        </w:rPr>
        <w:t>укупних</w:t>
      </w:r>
      <w:r w:rsidR="00B660C4" w:rsidRPr="005303F7">
        <w:rPr>
          <w:rFonts w:ascii="Times New Roman" w:hAnsi="Times New Roman"/>
          <w:sz w:val="24"/>
          <w:lang w:val="sr-Cyrl-CS"/>
        </w:rPr>
        <w:t xml:space="preserve"> </w:t>
      </w:r>
      <w:r w:rsidR="002A7253" w:rsidRPr="005303F7">
        <w:rPr>
          <w:rFonts w:ascii="Times New Roman" w:hAnsi="Times New Roman"/>
          <w:sz w:val="24"/>
          <w:lang w:val="sr-Cyrl-CS"/>
        </w:rPr>
        <w:t>емисија</w:t>
      </w:r>
      <w:r w:rsidR="00B660C4" w:rsidRPr="005303F7">
        <w:rPr>
          <w:rFonts w:ascii="Times New Roman" w:hAnsi="Times New Roman"/>
          <w:sz w:val="24"/>
          <w:lang w:val="sr-Cyrl-CS"/>
        </w:rPr>
        <w:t xml:space="preserve"> </w:t>
      </w:r>
      <w:r w:rsidR="002A7253" w:rsidRPr="005303F7">
        <w:rPr>
          <w:rFonts w:ascii="Times New Roman" w:hAnsi="Times New Roman"/>
          <w:sz w:val="24"/>
          <w:lang w:val="sr-Cyrl-CS"/>
        </w:rPr>
        <w:t>у</w:t>
      </w:r>
      <w:r w:rsidR="00B660C4" w:rsidRPr="005303F7">
        <w:rPr>
          <w:rFonts w:ascii="Times New Roman" w:hAnsi="Times New Roman"/>
          <w:sz w:val="24"/>
          <w:lang w:val="sr-Cyrl-CS"/>
        </w:rPr>
        <w:t xml:space="preserve"> 2015. </w:t>
      </w:r>
      <w:r w:rsidR="002A7253" w:rsidRPr="005303F7">
        <w:rPr>
          <w:rFonts w:ascii="Times New Roman" w:hAnsi="Times New Roman"/>
          <w:sz w:val="24"/>
          <w:lang w:val="sr-Cyrl-CS"/>
        </w:rPr>
        <w:t>години</w:t>
      </w:r>
      <w:r w:rsidR="00DF30D7" w:rsidRPr="005303F7">
        <w:rPr>
          <w:rStyle w:val="FootnoteReference"/>
          <w:rFonts w:ascii="Times New Roman" w:hAnsi="Times New Roman"/>
          <w:sz w:val="18"/>
          <w:lang w:val="sr-Cyrl-CS"/>
        </w:rPr>
        <w:footnoteReference w:id="7"/>
      </w:r>
      <w:r w:rsidR="00B66158" w:rsidRPr="005303F7">
        <w:rPr>
          <w:rFonts w:ascii="Times New Roman" w:hAnsi="Times New Roman"/>
          <w:sz w:val="24"/>
          <w:lang w:val="sr-Cyrl-CS"/>
        </w:rPr>
        <w:t>.</w:t>
      </w:r>
    </w:p>
    <w:p w14:paraId="3F2E7F78" w14:textId="1571C6EF" w:rsidR="00701B42" w:rsidRPr="005303F7" w:rsidRDefault="00646D44" w:rsidP="00701B42">
      <w:pPr>
        <w:rPr>
          <w:rFonts w:ascii="Times New Roman" w:hAnsi="Times New Roman"/>
          <w:bCs/>
          <w:sz w:val="24"/>
          <w:lang w:val="sr-Cyrl-CS"/>
        </w:rPr>
      </w:pPr>
      <w:r w:rsidRPr="005303F7">
        <w:rPr>
          <w:rFonts w:ascii="Times New Roman" w:hAnsi="Times New Roman"/>
          <w:bCs/>
          <w:sz w:val="24"/>
          <w:lang w:val="sr-Cyrl-CS"/>
        </w:rPr>
        <w:t xml:space="preserve">            </w:t>
      </w:r>
      <w:r w:rsidR="00701B42" w:rsidRPr="005303F7">
        <w:rPr>
          <w:rFonts w:ascii="Times New Roman" w:hAnsi="Times New Roman"/>
          <w:bCs/>
          <w:sz w:val="24"/>
          <w:lang w:val="sr-Cyrl-CS"/>
        </w:rPr>
        <w:t>Правни и стратешки оквир у области енергетике препознаје важност обезбеђења сигурног снабдевања енергијом и доступности енергије и у том оквиру ефикасног коришћења енергије и промене структуре производње ка нискоугљеничним технологијама  повећањем удела обновљивих извора енергије (</w:t>
      </w:r>
      <w:r w:rsidR="00171166" w:rsidRPr="005303F7">
        <w:rPr>
          <w:rFonts w:ascii="Times New Roman" w:hAnsi="Times New Roman"/>
          <w:bCs/>
          <w:sz w:val="24"/>
          <w:lang w:val="sr-Cyrl-CS"/>
        </w:rPr>
        <w:t xml:space="preserve">у даљем тексту: </w:t>
      </w:r>
      <w:r w:rsidR="00701B42" w:rsidRPr="005303F7">
        <w:rPr>
          <w:rFonts w:ascii="Times New Roman" w:hAnsi="Times New Roman"/>
          <w:bCs/>
          <w:sz w:val="24"/>
          <w:lang w:val="sr-Cyrl-CS"/>
        </w:rPr>
        <w:t xml:space="preserve">ОИЕ) у финалној потрошњи. </w:t>
      </w:r>
    </w:p>
    <w:p w14:paraId="75DCF270" w14:textId="0FB97124" w:rsidR="00701B42" w:rsidRPr="005303F7" w:rsidRDefault="006C5198" w:rsidP="00701B42">
      <w:pPr>
        <w:rPr>
          <w:rFonts w:ascii="Times New Roman" w:hAnsi="Times New Roman"/>
          <w:bCs/>
          <w:sz w:val="24"/>
          <w:lang w:val="sr-Cyrl-CS"/>
        </w:rPr>
      </w:pPr>
      <w:r w:rsidRPr="005303F7">
        <w:rPr>
          <w:rFonts w:ascii="Times New Roman" w:hAnsi="Times New Roman"/>
          <w:bCs/>
          <w:sz w:val="24"/>
          <w:lang w:val="sr-Cyrl-CS"/>
        </w:rPr>
        <w:t xml:space="preserve">           </w:t>
      </w:r>
      <w:r w:rsidR="00701B42" w:rsidRPr="005303F7">
        <w:rPr>
          <w:rFonts w:ascii="Times New Roman" w:hAnsi="Times New Roman"/>
          <w:bCs/>
          <w:sz w:val="24"/>
          <w:lang w:val="sr-Cyrl-CS"/>
        </w:rPr>
        <w:t>Законски оквир чине:</w:t>
      </w:r>
    </w:p>
    <w:p w14:paraId="384D9658" w14:textId="4FDE815B" w:rsidR="00701B42" w:rsidRPr="005303F7" w:rsidRDefault="00171166" w:rsidP="006E724F">
      <w:pPr>
        <w:ind w:firstLine="720"/>
        <w:rPr>
          <w:rFonts w:ascii="Times New Roman" w:hAnsi="Times New Roman"/>
          <w:bCs/>
          <w:sz w:val="24"/>
          <w:lang w:val="sr-Cyrl-CS"/>
        </w:rPr>
      </w:pPr>
      <w:r w:rsidRPr="005303F7">
        <w:rPr>
          <w:rFonts w:ascii="Times New Roman" w:hAnsi="Times New Roman"/>
          <w:bCs/>
          <w:sz w:val="24"/>
          <w:lang w:val="sr-Cyrl-CS"/>
        </w:rPr>
        <w:t>1)</w:t>
      </w:r>
      <w:r w:rsidR="00646D44" w:rsidRPr="005303F7">
        <w:rPr>
          <w:rFonts w:ascii="Times New Roman" w:hAnsi="Times New Roman"/>
          <w:bCs/>
          <w:sz w:val="24"/>
          <w:lang w:val="sr-Cyrl-CS"/>
        </w:rPr>
        <w:t xml:space="preserve"> </w:t>
      </w:r>
      <w:r w:rsidR="00701B42" w:rsidRPr="005303F7">
        <w:rPr>
          <w:rFonts w:ascii="Times New Roman" w:hAnsi="Times New Roman"/>
          <w:bCs/>
          <w:sz w:val="24"/>
          <w:lang w:val="sr-Cyrl-CS"/>
        </w:rPr>
        <w:t>Закон о енергетици</w:t>
      </w:r>
      <w:r w:rsidRPr="005303F7">
        <w:rPr>
          <w:rFonts w:ascii="Times New Roman" w:hAnsi="Times New Roman"/>
          <w:bCs/>
          <w:sz w:val="24"/>
          <w:lang w:val="sr-Cyrl-CS"/>
        </w:rPr>
        <w:t xml:space="preserve"> („Сл</w:t>
      </w:r>
      <w:r w:rsidR="00646D44" w:rsidRPr="005303F7">
        <w:rPr>
          <w:rFonts w:ascii="Times New Roman" w:hAnsi="Times New Roman"/>
          <w:bCs/>
          <w:sz w:val="24"/>
          <w:lang w:val="sr-Cyrl-CS"/>
        </w:rPr>
        <w:t>ужбени</w:t>
      </w:r>
      <w:r w:rsidRPr="005303F7">
        <w:rPr>
          <w:rFonts w:ascii="Times New Roman" w:hAnsi="Times New Roman"/>
          <w:bCs/>
          <w:sz w:val="24"/>
          <w:lang w:val="sr-Cyrl-CS"/>
        </w:rPr>
        <w:t xml:space="preserve"> </w:t>
      </w:r>
      <w:r w:rsidR="00646D44" w:rsidRPr="005303F7">
        <w:rPr>
          <w:rFonts w:ascii="Times New Roman" w:hAnsi="Times New Roman"/>
          <w:bCs/>
          <w:sz w:val="24"/>
          <w:lang w:val="sr-Cyrl-CS"/>
        </w:rPr>
        <w:t>г</w:t>
      </w:r>
      <w:r w:rsidRPr="005303F7">
        <w:rPr>
          <w:rFonts w:ascii="Times New Roman" w:hAnsi="Times New Roman"/>
          <w:bCs/>
          <w:sz w:val="24"/>
          <w:lang w:val="sr-Cyrl-CS"/>
        </w:rPr>
        <w:t>ласник РС</w:t>
      </w:r>
      <w:r w:rsidR="0035174D" w:rsidRPr="005303F7">
        <w:rPr>
          <w:rFonts w:ascii="Times New Roman" w:hAnsi="Times New Roman"/>
          <w:bCs/>
          <w:sz w:val="24"/>
          <w:lang w:val="sr-Cyrl-CS"/>
        </w:rPr>
        <w:t>”</w:t>
      </w:r>
      <w:r w:rsidR="008B73DA" w:rsidRPr="005303F7">
        <w:rPr>
          <w:rFonts w:ascii="Times New Roman" w:hAnsi="Times New Roman"/>
          <w:bCs/>
          <w:sz w:val="24"/>
          <w:lang w:val="sr-Cyrl-CS"/>
        </w:rPr>
        <w:t>,</w:t>
      </w:r>
      <w:r w:rsidRPr="005303F7">
        <w:rPr>
          <w:rFonts w:ascii="Times New Roman" w:hAnsi="Times New Roman"/>
          <w:bCs/>
          <w:sz w:val="24"/>
          <w:lang w:val="sr-Cyrl-CS"/>
        </w:rPr>
        <w:t xml:space="preserve"> </w:t>
      </w:r>
      <w:r w:rsidR="00C539DA" w:rsidRPr="005303F7">
        <w:rPr>
          <w:rFonts w:ascii="Times New Roman" w:hAnsi="Times New Roman"/>
          <w:bCs/>
          <w:sz w:val="24"/>
          <w:lang w:val="sr-Cyrl-CS"/>
        </w:rPr>
        <w:t xml:space="preserve">бр. </w:t>
      </w:r>
      <w:r w:rsidRPr="005303F7">
        <w:rPr>
          <w:rFonts w:ascii="Times New Roman" w:hAnsi="Times New Roman"/>
          <w:bCs/>
          <w:sz w:val="24"/>
          <w:lang w:val="sr-Cyrl-CS"/>
        </w:rPr>
        <w:t>145/14, 95/18 - др.закон, 40/21 и 35/23 - др.</w:t>
      </w:r>
      <w:r w:rsidR="00646D44" w:rsidRPr="005303F7">
        <w:rPr>
          <w:rFonts w:ascii="Times New Roman" w:hAnsi="Times New Roman"/>
          <w:bCs/>
          <w:sz w:val="24"/>
          <w:lang w:val="sr-Cyrl-CS"/>
        </w:rPr>
        <w:t xml:space="preserve"> з</w:t>
      </w:r>
      <w:r w:rsidRPr="005303F7">
        <w:rPr>
          <w:rFonts w:ascii="Times New Roman" w:hAnsi="Times New Roman"/>
          <w:bCs/>
          <w:sz w:val="24"/>
          <w:lang w:val="sr-Cyrl-CS"/>
        </w:rPr>
        <w:t>акон)</w:t>
      </w:r>
      <w:r w:rsidR="00701B42" w:rsidRPr="005303F7">
        <w:rPr>
          <w:rFonts w:ascii="Times New Roman" w:hAnsi="Times New Roman"/>
          <w:bCs/>
          <w:sz w:val="24"/>
          <w:lang w:val="sr-Cyrl-CS"/>
        </w:rPr>
        <w:t>, којим се дефинишу главни дугорочни циљеви енергетске политике и Стратегија развоја енергетике, као главни документ који дефинише енергетску политику, као и обавеза израде Интегрисаног националног енергетског и климатског плана, којим се утврђују национални енергетско-климатски циљеви, као и политике и мере за њихово остваривање</w:t>
      </w:r>
      <w:r w:rsidRPr="005303F7">
        <w:rPr>
          <w:rFonts w:ascii="Times New Roman" w:hAnsi="Times New Roman"/>
          <w:bCs/>
          <w:sz w:val="24"/>
          <w:lang w:val="sr-Cyrl-CS"/>
        </w:rPr>
        <w:t>;</w:t>
      </w:r>
    </w:p>
    <w:p w14:paraId="138D77ED" w14:textId="43DC4AA5" w:rsidR="00701B42" w:rsidRPr="005303F7" w:rsidRDefault="00602283" w:rsidP="00C539DA">
      <w:pPr>
        <w:tabs>
          <w:tab w:val="left" w:pos="993"/>
        </w:tabs>
        <w:rPr>
          <w:rFonts w:ascii="Times New Roman" w:hAnsi="Times New Roman"/>
          <w:bCs/>
          <w:sz w:val="24"/>
          <w:lang w:val="sr-Cyrl-CS"/>
        </w:rPr>
      </w:pPr>
      <w:r w:rsidRPr="005303F7">
        <w:rPr>
          <w:rFonts w:ascii="Times New Roman" w:hAnsi="Times New Roman"/>
          <w:bCs/>
          <w:sz w:val="24"/>
          <w:lang w:val="sr-Cyrl-CS"/>
        </w:rPr>
        <w:lastRenderedPageBreak/>
        <w:tab/>
      </w:r>
      <w:r w:rsidR="00171166" w:rsidRPr="005303F7">
        <w:rPr>
          <w:rFonts w:ascii="Times New Roman" w:hAnsi="Times New Roman"/>
          <w:bCs/>
          <w:sz w:val="24"/>
          <w:lang w:val="sr-Cyrl-CS"/>
        </w:rPr>
        <w:t xml:space="preserve">2) </w:t>
      </w:r>
      <w:r w:rsidR="00701B42" w:rsidRPr="005303F7">
        <w:rPr>
          <w:rFonts w:ascii="Times New Roman" w:hAnsi="Times New Roman"/>
          <w:bCs/>
          <w:sz w:val="24"/>
          <w:lang w:val="sr-Cyrl-CS"/>
        </w:rPr>
        <w:t xml:space="preserve">Закон о енергетској ефикасности и рационалној употреби енергије </w:t>
      </w:r>
      <w:r w:rsidR="00171166" w:rsidRPr="005303F7">
        <w:rPr>
          <w:rFonts w:ascii="Times New Roman" w:hAnsi="Times New Roman"/>
          <w:bCs/>
          <w:sz w:val="24"/>
          <w:lang w:val="sr-Cyrl-CS"/>
        </w:rPr>
        <w:t>(„Сл</w:t>
      </w:r>
      <w:r w:rsidR="00646D44" w:rsidRPr="005303F7">
        <w:rPr>
          <w:rFonts w:ascii="Times New Roman" w:hAnsi="Times New Roman"/>
          <w:bCs/>
          <w:sz w:val="24"/>
          <w:lang w:val="sr-Cyrl-CS"/>
        </w:rPr>
        <w:t>ужбени г</w:t>
      </w:r>
      <w:r w:rsidR="00171166" w:rsidRPr="005303F7">
        <w:rPr>
          <w:rFonts w:ascii="Times New Roman" w:hAnsi="Times New Roman"/>
          <w:bCs/>
          <w:sz w:val="24"/>
          <w:lang w:val="sr-Cyrl-CS"/>
        </w:rPr>
        <w:t>ласник РС</w:t>
      </w:r>
      <w:r w:rsidR="0035174D" w:rsidRPr="005303F7">
        <w:rPr>
          <w:rFonts w:ascii="Times New Roman" w:hAnsi="Times New Roman"/>
          <w:bCs/>
          <w:sz w:val="24"/>
          <w:lang w:val="sr-Cyrl-CS"/>
        </w:rPr>
        <w:t>”</w:t>
      </w:r>
      <w:r w:rsidR="00C539DA" w:rsidRPr="005303F7">
        <w:rPr>
          <w:rFonts w:ascii="Times New Roman" w:hAnsi="Times New Roman"/>
          <w:bCs/>
          <w:sz w:val="24"/>
          <w:lang w:val="sr-Cyrl-CS"/>
        </w:rPr>
        <w:t>, број</w:t>
      </w:r>
      <w:r w:rsidR="00171166" w:rsidRPr="005303F7">
        <w:rPr>
          <w:rFonts w:ascii="Times New Roman" w:hAnsi="Times New Roman"/>
          <w:bCs/>
          <w:sz w:val="24"/>
          <w:lang w:val="sr-Cyrl-CS"/>
        </w:rPr>
        <w:t xml:space="preserve"> 40/21);</w:t>
      </w:r>
    </w:p>
    <w:p w14:paraId="353E7D4A" w14:textId="248E4297" w:rsidR="00701B42" w:rsidRPr="005303F7" w:rsidRDefault="00602283" w:rsidP="003C0FA5">
      <w:pPr>
        <w:ind w:firstLine="720"/>
        <w:rPr>
          <w:rFonts w:ascii="Times New Roman" w:hAnsi="Times New Roman"/>
          <w:bCs/>
          <w:sz w:val="24"/>
          <w:lang w:val="sr-Cyrl-CS"/>
        </w:rPr>
      </w:pPr>
      <w:r w:rsidRPr="005303F7">
        <w:rPr>
          <w:rFonts w:ascii="Times New Roman" w:hAnsi="Times New Roman"/>
          <w:bCs/>
          <w:sz w:val="24"/>
          <w:lang w:val="sr-Cyrl-CS"/>
        </w:rPr>
        <w:t xml:space="preserve">    </w:t>
      </w:r>
      <w:r w:rsidR="00171166" w:rsidRPr="005303F7">
        <w:rPr>
          <w:rFonts w:ascii="Times New Roman" w:hAnsi="Times New Roman"/>
          <w:bCs/>
          <w:sz w:val="24"/>
          <w:lang w:val="sr-Cyrl-CS"/>
        </w:rPr>
        <w:t>3)</w:t>
      </w:r>
      <w:r w:rsidR="0035174D" w:rsidRPr="005303F7">
        <w:rPr>
          <w:rFonts w:ascii="Times New Roman" w:hAnsi="Times New Roman"/>
          <w:bCs/>
          <w:sz w:val="24"/>
          <w:lang w:val="sr-Cyrl-CS"/>
        </w:rPr>
        <w:t xml:space="preserve"> </w:t>
      </w:r>
      <w:r w:rsidR="00701B42" w:rsidRPr="005303F7">
        <w:rPr>
          <w:rFonts w:ascii="Times New Roman" w:hAnsi="Times New Roman"/>
          <w:bCs/>
          <w:sz w:val="24"/>
          <w:lang w:val="sr-Cyrl-CS"/>
        </w:rPr>
        <w:t>Закон о коришћењу обновљивих извора енергије</w:t>
      </w:r>
      <w:r w:rsidR="00171166" w:rsidRPr="005303F7">
        <w:rPr>
          <w:rFonts w:ascii="Times New Roman" w:hAnsi="Times New Roman"/>
          <w:bCs/>
          <w:sz w:val="24"/>
          <w:lang w:val="sr-Cyrl-CS"/>
        </w:rPr>
        <w:t xml:space="preserve"> </w:t>
      </w:r>
      <w:r w:rsidR="003C0FA5" w:rsidRPr="005303F7">
        <w:rPr>
          <w:rFonts w:ascii="Times New Roman" w:hAnsi="Times New Roman"/>
          <w:bCs/>
          <w:sz w:val="24"/>
          <w:lang w:val="sr-Cyrl-CS"/>
        </w:rPr>
        <w:t>(„Службени г</w:t>
      </w:r>
      <w:r w:rsidR="00171166" w:rsidRPr="005303F7">
        <w:rPr>
          <w:rFonts w:ascii="Times New Roman" w:hAnsi="Times New Roman"/>
          <w:bCs/>
          <w:sz w:val="24"/>
          <w:lang w:val="sr-Cyrl-CS"/>
        </w:rPr>
        <w:t>ласник РС</w:t>
      </w:r>
      <w:r w:rsidR="0035174D" w:rsidRPr="005303F7">
        <w:rPr>
          <w:rFonts w:ascii="Times New Roman" w:hAnsi="Times New Roman"/>
          <w:bCs/>
          <w:sz w:val="24"/>
          <w:lang w:val="sr-Cyrl-CS"/>
        </w:rPr>
        <w:t>”</w:t>
      </w:r>
      <w:r w:rsidR="003C0FA5" w:rsidRPr="005303F7">
        <w:rPr>
          <w:rFonts w:ascii="Times New Roman" w:hAnsi="Times New Roman"/>
          <w:bCs/>
          <w:sz w:val="24"/>
          <w:lang w:val="sr-Cyrl-CS"/>
        </w:rPr>
        <w:t>, бр.</w:t>
      </w:r>
      <w:r w:rsidR="00171166" w:rsidRPr="005303F7">
        <w:rPr>
          <w:rFonts w:ascii="Times New Roman" w:hAnsi="Times New Roman"/>
          <w:bCs/>
          <w:sz w:val="24"/>
          <w:lang w:val="sr-Cyrl-CS"/>
        </w:rPr>
        <w:t xml:space="preserve"> 45/21 и 35/23)</w:t>
      </w:r>
      <w:r w:rsidR="00701B42" w:rsidRPr="005303F7">
        <w:rPr>
          <w:rFonts w:ascii="Times New Roman" w:hAnsi="Times New Roman"/>
          <w:bCs/>
          <w:sz w:val="24"/>
          <w:lang w:val="sr-Cyrl-CS"/>
        </w:rPr>
        <w:t>.</w:t>
      </w:r>
    </w:p>
    <w:p w14:paraId="11D3573C" w14:textId="2B368CFF" w:rsidR="00E94573" w:rsidRPr="005303F7" w:rsidRDefault="0035174D" w:rsidP="00074A2D">
      <w:pPr>
        <w:rPr>
          <w:rFonts w:ascii="Times New Roman" w:hAnsi="Times New Roman"/>
          <w:lang w:val="sr-Cyrl-CS"/>
        </w:rPr>
      </w:pPr>
      <w:r w:rsidRPr="005303F7">
        <w:rPr>
          <w:rFonts w:ascii="Times New Roman" w:hAnsi="Times New Roman"/>
          <w:bCs/>
          <w:sz w:val="24"/>
          <w:lang w:val="sr-Cyrl-CS"/>
        </w:rPr>
        <w:t xml:space="preserve">             </w:t>
      </w:r>
      <w:r w:rsidR="00701B42" w:rsidRPr="005303F7">
        <w:rPr>
          <w:rFonts w:ascii="Times New Roman" w:hAnsi="Times New Roman"/>
          <w:bCs/>
          <w:sz w:val="24"/>
          <w:lang w:val="sr-Cyrl-CS"/>
        </w:rPr>
        <w:t>Ови закони су усклађени са ЕУ регулативом, а према обавезама преузетим у оквиру Уговора о оснивању Енергетске заједнице.</w:t>
      </w:r>
      <w:r w:rsidR="00701B42" w:rsidRPr="005303F7">
        <w:rPr>
          <w:rFonts w:ascii="Times New Roman" w:hAnsi="Times New Roman"/>
          <w:lang w:val="sr-Cyrl-CS"/>
        </w:rPr>
        <w:tab/>
      </w:r>
    </w:p>
    <w:p w14:paraId="3A837E74" w14:textId="2322842C" w:rsidR="00701B42" w:rsidRPr="005303F7" w:rsidRDefault="00701B42" w:rsidP="00FE004C">
      <w:pPr>
        <w:ind w:left="360"/>
        <w:rPr>
          <w:rFonts w:ascii="Times New Roman" w:hAnsi="Times New Roman"/>
          <w:sz w:val="24"/>
          <w:lang w:val="sr-Cyrl-CS"/>
        </w:rPr>
      </w:pPr>
      <w:r w:rsidRPr="005303F7">
        <w:rPr>
          <w:rFonts w:ascii="Times New Roman" w:hAnsi="Times New Roman"/>
          <w:sz w:val="24"/>
          <w:lang w:val="sr-Cyrl-CS"/>
        </w:rPr>
        <w:t>У</w:t>
      </w:r>
      <w:r w:rsidR="008C1A61" w:rsidRPr="005303F7">
        <w:rPr>
          <w:rFonts w:ascii="Times New Roman" w:hAnsi="Times New Roman"/>
          <w:sz w:val="24"/>
          <w:lang w:val="sr-Cyrl-CS"/>
        </w:rPr>
        <w:t xml:space="preserve"> складу са Законом о енергетици</w:t>
      </w:r>
      <w:r w:rsidRPr="005303F7">
        <w:rPr>
          <w:rFonts w:ascii="Times New Roman" w:hAnsi="Times New Roman"/>
          <w:sz w:val="24"/>
          <w:lang w:val="sr-Cyrl-CS"/>
        </w:rPr>
        <w:t xml:space="preserve"> донети су:</w:t>
      </w:r>
    </w:p>
    <w:p w14:paraId="77350A1A" w14:textId="29062D06" w:rsidR="00BF20EF" w:rsidRPr="005303F7" w:rsidRDefault="002A7253" w:rsidP="008C1A61">
      <w:pPr>
        <w:pStyle w:val="ListParagraph"/>
        <w:numPr>
          <w:ilvl w:val="0"/>
          <w:numId w:val="52"/>
        </w:numPr>
        <w:tabs>
          <w:tab w:val="clear" w:pos="3825"/>
        </w:tabs>
        <w:ind w:left="0" w:firstLine="360"/>
        <w:rPr>
          <w:rFonts w:ascii="Times New Roman" w:hAnsi="Times New Roman"/>
          <w:sz w:val="24"/>
          <w:lang w:val="sr-Cyrl-CS"/>
        </w:rPr>
      </w:pPr>
      <w:r w:rsidRPr="005303F7">
        <w:rPr>
          <w:rFonts w:ascii="Times New Roman" w:hAnsi="Times New Roman"/>
          <w:sz w:val="24"/>
          <w:lang w:val="sr-Cyrl-CS"/>
        </w:rPr>
        <w:t>Стратегија</w:t>
      </w:r>
      <w:r w:rsidR="00BF20EF" w:rsidRPr="005303F7">
        <w:rPr>
          <w:rFonts w:ascii="Times New Roman" w:hAnsi="Times New Roman"/>
          <w:sz w:val="24"/>
          <w:lang w:val="sr-Cyrl-CS"/>
        </w:rPr>
        <w:t xml:space="preserve"> </w:t>
      </w:r>
      <w:r w:rsidRPr="005303F7">
        <w:rPr>
          <w:rFonts w:ascii="Times New Roman" w:hAnsi="Times New Roman"/>
          <w:sz w:val="24"/>
          <w:lang w:val="sr-Cyrl-CS"/>
        </w:rPr>
        <w:t>развоја</w:t>
      </w:r>
      <w:r w:rsidR="00322192" w:rsidRPr="005303F7">
        <w:rPr>
          <w:rFonts w:ascii="Times New Roman" w:hAnsi="Times New Roman"/>
          <w:sz w:val="24"/>
          <w:lang w:val="sr-Cyrl-CS"/>
        </w:rPr>
        <w:t xml:space="preserve"> </w:t>
      </w:r>
      <w:r w:rsidRPr="005303F7">
        <w:rPr>
          <w:rFonts w:ascii="Times New Roman" w:hAnsi="Times New Roman"/>
          <w:sz w:val="24"/>
          <w:lang w:val="sr-Cyrl-CS"/>
        </w:rPr>
        <w:t>енергетике</w:t>
      </w:r>
      <w:r w:rsidR="00322192" w:rsidRPr="005303F7">
        <w:rPr>
          <w:rFonts w:ascii="Times New Roman" w:hAnsi="Times New Roman"/>
          <w:sz w:val="24"/>
          <w:lang w:val="sr-Cyrl-CS"/>
        </w:rPr>
        <w:t xml:space="preserve"> </w:t>
      </w:r>
      <w:r w:rsidR="00D73AAB" w:rsidRPr="005303F7">
        <w:rPr>
          <w:rFonts w:ascii="Times New Roman" w:hAnsi="Times New Roman"/>
          <w:sz w:val="24"/>
          <w:lang w:val="sr-Cyrl-CS"/>
        </w:rPr>
        <w:t>Републике Србије</w:t>
      </w:r>
      <w:r w:rsidR="00322192" w:rsidRPr="005303F7">
        <w:rPr>
          <w:rFonts w:ascii="Times New Roman" w:hAnsi="Times New Roman"/>
          <w:sz w:val="24"/>
          <w:lang w:val="sr-Cyrl-CS"/>
        </w:rPr>
        <w:t xml:space="preserve"> </w:t>
      </w:r>
      <w:r w:rsidRPr="005303F7">
        <w:rPr>
          <w:rFonts w:ascii="Times New Roman" w:hAnsi="Times New Roman"/>
          <w:sz w:val="24"/>
          <w:lang w:val="sr-Cyrl-CS"/>
        </w:rPr>
        <w:t>до</w:t>
      </w:r>
      <w:r w:rsidR="00322192" w:rsidRPr="005303F7">
        <w:rPr>
          <w:rFonts w:ascii="Times New Roman" w:hAnsi="Times New Roman"/>
          <w:sz w:val="24"/>
          <w:lang w:val="sr-Cyrl-CS"/>
        </w:rPr>
        <w:t xml:space="preserve"> 2025. </w:t>
      </w:r>
      <w:r w:rsidRPr="005303F7">
        <w:rPr>
          <w:rFonts w:ascii="Times New Roman" w:hAnsi="Times New Roman"/>
          <w:sz w:val="24"/>
          <w:lang w:val="sr-Cyrl-CS"/>
        </w:rPr>
        <w:t>године</w:t>
      </w:r>
      <w:r w:rsidR="00BF20EF" w:rsidRPr="005303F7">
        <w:rPr>
          <w:rFonts w:ascii="Times New Roman" w:hAnsi="Times New Roman"/>
          <w:sz w:val="24"/>
          <w:lang w:val="sr-Cyrl-CS"/>
        </w:rPr>
        <w:t xml:space="preserve"> </w:t>
      </w:r>
      <w:r w:rsidRPr="005303F7">
        <w:rPr>
          <w:rFonts w:ascii="Times New Roman" w:hAnsi="Times New Roman"/>
          <w:sz w:val="24"/>
          <w:lang w:val="sr-Cyrl-CS"/>
        </w:rPr>
        <w:t>са</w:t>
      </w:r>
      <w:r w:rsidR="00BF20EF" w:rsidRPr="005303F7">
        <w:rPr>
          <w:rFonts w:ascii="Times New Roman" w:hAnsi="Times New Roman"/>
          <w:sz w:val="24"/>
          <w:lang w:val="sr-Cyrl-CS"/>
        </w:rPr>
        <w:t xml:space="preserve"> </w:t>
      </w:r>
      <w:r w:rsidRPr="005303F7">
        <w:rPr>
          <w:rFonts w:ascii="Times New Roman" w:hAnsi="Times New Roman"/>
          <w:sz w:val="24"/>
          <w:lang w:val="sr-Cyrl-CS"/>
        </w:rPr>
        <w:t>пројекцијама</w:t>
      </w:r>
      <w:r w:rsidR="00BF20EF" w:rsidRPr="005303F7">
        <w:rPr>
          <w:rFonts w:ascii="Times New Roman" w:hAnsi="Times New Roman"/>
          <w:sz w:val="24"/>
          <w:lang w:val="sr-Cyrl-CS"/>
        </w:rPr>
        <w:t xml:space="preserve"> </w:t>
      </w:r>
      <w:r w:rsidRPr="005303F7">
        <w:rPr>
          <w:rFonts w:ascii="Times New Roman" w:hAnsi="Times New Roman"/>
          <w:sz w:val="24"/>
          <w:lang w:val="sr-Cyrl-CS"/>
        </w:rPr>
        <w:t>до</w:t>
      </w:r>
      <w:r w:rsidR="00BF20EF" w:rsidRPr="005303F7">
        <w:rPr>
          <w:rFonts w:ascii="Times New Roman" w:hAnsi="Times New Roman"/>
          <w:sz w:val="24"/>
          <w:lang w:val="sr-Cyrl-CS"/>
        </w:rPr>
        <w:t xml:space="preserve"> 2030. </w:t>
      </w:r>
      <w:r w:rsidRPr="005303F7">
        <w:rPr>
          <w:rFonts w:ascii="Times New Roman" w:hAnsi="Times New Roman"/>
          <w:sz w:val="24"/>
          <w:lang w:val="sr-Cyrl-CS"/>
        </w:rPr>
        <w:t>године</w:t>
      </w:r>
      <w:r w:rsidR="00BF20EF" w:rsidRPr="005303F7">
        <w:rPr>
          <w:rFonts w:ascii="Times New Roman" w:hAnsi="Times New Roman"/>
          <w:sz w:val="24"/>
          <w:lang w:val="sr-Cyrl-CS"/>
        </w:rPr>
        <w:t xml:space="preserve">, </w:t>
      </w:r>
      <w:r w:rsidRPr="005303F7">
        <w:rPr>
          <w:rFonts w:ascii="Times New Roman" w:hAnsi="Times New Roman"/>
          <w:sz w:val="24"/>
          <w:lang w:val="sr-Cyrl-CS"/>
        </w:rPr>
        <w:t>која</w:t>
      </w:r>
      <w:r w:rsidR="00BF20EF" w:rsidRPr="005303F7">
        <w:rPr>
          <w:rFonts w:ascii="Times New Roman" w:hAnsi="Times New Roman"/>
          <w:sz w:val="24"/>
          <w:lang w:val="sr-Cyrl-CS"/>
        </w:rPr>
        <w:t xml:space="preserve"> </w:t>
      </w:r>
      <w:r w:rsidRPr="005303F7">
        <w:rPr>
          <w:rFonts w:ascii="Times New Roman" w:hAnsi="Times New Roman"/>
          <w:sz w:val="24"/>
          <w:lang w:val="sr-Cyrl-CS"/>
        </w:rPr>
        <w:t>дефинише</w:t>
      </w:r>
      <w:r w:rsidR="00BF20EF" w:rsidRPr="005303F7">
        <w:rPr>
          <w:rFonts w:ascii="Times New Roman" w:hAnsi="Times New Roman"/>
          <w:sz w:val="24"/>
          <w:lang w:val="sr-Cyrl-CS"/>
        </w:rPr>
        <w:t xml:space="preserve"> </w:t>
      </w:r>
      <w:r w:rsidRPr="005303F7">
        <w:rPr>
          <w:rFonts w:ascii="Times New Roman" w:hAnsi="Times New Roman"/>
          <w:sz w:val="24"/>
          <w:lang w:val="sr-Cyrl-CS"/>
        </w:rPr>
        <w:t>три</w:t>
      </w:r>
      <w:r w:rsidR="00BF20EF" w:rsidRPr="005303F7">
        <w:rPr>
          <w:rFonts w:ascii="Times New Roman" w:hAnsi="Times New Roman"/>
          <w:sz w:val="24"/>
          <w:lang w:val="sr-Cyrl-CS"/>
        </w:rPr>
        <w:t xml:space="preserve"> </w:t>
      </w:r>
      <w:r w:rsidRPr="005303F7">
        <w:rPr>
          <w:rFonts w:ascii="Times New Roman" w:hAnsi="Times New Roman"/>
          <w:sz w:val="24"/>
          <w:lang w:val="sr-Cyrl-CS"/>
        </w:rPr>
        <w:t>главна</w:t>
      </w:r>
      <w:r w:rsidR="00BF20EF" w:rsidRPr="005303F7">
        <w:rPr>
          <w:rFonts w:ascii="Times New Roman" w:hAnsi="Times New Roman"/>
          <w:sz w:val="24"/>
          <w:lang w:val="sr-Cyrl-CS"/>
        </w:rPr>
        <w:t xml:space="preserve"> </w:t>
      </w:r>
      <w:r w:rsidRPr="005303F7">
        <w:rPr>
          <w:rFonts w:ascii="Times New Roman" w:hAnsi="Times New Roman"/>
          <w:sz w:val="24"/>
          <w:lang w:val="sr-Cyrl-CS"/>
        </w:rPr>
        <w:t>приоритета</w:t>
      </w:r>
      <w:r w:rsidR="00BF20EF" w:rsidRPr="005303F7">
        <w:rPr>
          <w:rFonts w:ascii="Times New Roman" w:hAnsi="Times New Roman"/>
          <w:sz w:val="24"/>
          <w:lang w:val="sr-Cyrl-CS"/>
        </w:rPr>
        <w:t xml:space="preserve">: </w:t>
      </w:r>
      <w:r w:rsidRPr="005303F7">
        <w:rPr>
          <w:rFonts w:ascii="Times New Roman" w:hAnsi="Times New Roman"/>
          <w:sz w:val="24"/>
          <w:lang w:val="sr-Cyrl-CS"/>
        </w:rPr>
        <w:t>побољшање</w:t>
      </w:r>
      <w:r w:rsidR="00BF20EF" w:rsidRPr="005303F7">
        <w:rPr>
          <w:rFonts w:ascii="Times New Roman" w:hAnsi="Times New Roman"/>
          <w:sz w:val="24"/>
          <w:lang w:val="sr-Cyrl-CS"/>
        </w:rPr>
        <w:t xml:space="preserve"> </w:t>
      </w:r>
      <w:r w:rsidRPr="005303F7">
        <w:rPr>
          <w:rFonts w:ascii="Times New Roman" w:hAnsi="Times New Roman"/>
          <w:sz w:val="24"/>
          <w:lang w:val="sr-Cyrl-CS"/>
        </w:rPr>
        <w:t>енергетске</w:t>
      </w:r>
      <w:r w:rsidR="00BF20EF" w:rsidRPr="005303F7">
        <w:rPr>
          <w:rFonts w:ascii="Times New Roman" w:hAnsi="Times New Roman"/>
          <w:sz w:val="24"/>
          <w:lang w:val="sr-Cyrl-CS"/>
        </w:rPr>
        <w:t xml:space="preserve"> </w:t>
      </w:r>
      <w:r w:rsidRPr="005303F7">
        <w:rPr>
          <w:rFonts w:ascii="Times New Roman" w:hAnsi="Times New Roman"/>
          <w:sz w:val="24"/>
          <w:lang w:val="sr-Cyrl-CS"/>
        </w:rPr>
        <w:t>сигурности</w:t>
      </w:r>
      <w:r w:rsidR="00BF20EF" w:rsidRPr="005303F7">
        <w:rPr>
          <w:rFonts w:ascii="Times New Roman" w:hAnsi="Times New Roman"/>
          <w:sz w:val="24"/>
          <w:lang w:val="sr-Cyrl-CS"/>
        </w:rPr>
        <w:t xml:space="preserve">, </w:t>
      </w:r>
      <w:r w:rsidRPr="005303F7">
        <w:rPr>
          <w:rFonts w:ascii="Times New Roman" w:hAnsi="Times New Roman"/>
          <w:sz w:val="24"/>
          <w:lang w:val="sr-Cyrl-CS"/>
        </w:rPr>
        <w:t>развој</w:t>
      </w:r>
      <w:r w:rsidR="00BF20EF" w:rsidRPr="005303F7">
        <w:rPr>
          <w:rFonts w:ascii="Times New Roman" w:hAnsi="Times New Roman"/>
          <w:sz w:val="24"/>
          <w:lang w:val="sr-Cyrl-CS"/>
        </w:rPr>
        <w:t xml:space="preserve"> </w:t>
      </w:r>
      <w:r w:rsidRPr="005303F7">
        <w:rPr>
          <w:rFonts w:ascii="Times New Roman" w:hAnsi="Times New Roman"/>
          <w:sz w:val="24"/>
          <w:lang w:val="sr-Cyrl-CS"/>
        </w:rPr>
        <w:t>енергетског</w:t>
      </w:r>
      <w:r w:rsidR="00BF20EF" w:rsidRPr="005303F7">
        <w:rPr>
          <w:rFonts w:ascii="Times New Roman" w:hAnsi="Times New Roman"/>
          <w:sz w:val="24"/>
          <w:lang w:val="sr-Cyrl-CS"/>
        </w:rPr>
        <w:t xml:space="preserve"> </w:t>
      </w:r>
      <w:r w:rsidRPr="005303F7">
        <w:rPr>
          <w:rFonts w:ascii="Times New Roman" w:hAnsi="Times New Roman"/>
          <w:sz w:val="24"/>
          <w:lang w:val="sr-Cyrl-CS"/>
        </w:rPr>
        <w:t>тржишта</w:t>
      </w:r>
      <w:r w:rsidR="00BF20EF" w:rsidRPr="005303F7">
        <w:rPr>
          <w:rFonts w:ascii="Times New Roman" w:hAnsi="Times New Roman"/>
          <w:sz w:val="24"/>
          <w:lang w:val="sr-Cyrl-CS"/>
        </w:rPr>
        <w:t xml:space="preserve"> </w:t>
      </w:r>
      <w:r w:rsidRPr="005303F7">
        <w:rPr>
          <w:rFonts w:ascii="Times New Roman" w:hAnsi="Times New Roman"/>
          <w:sz w:val="24"/>
          <w:lang w:val="sr-Cyrl-CS"/>
        </w:rPr>
        <w:t>и</w:t>
      </w:r>
      <w:r w:rsidR="00BF20EF" w:rsidRPr="005303F7">
        <w:rPr>
          <w:rFonts w:ascii="Times New Roman" w:hAnsi="Times New Roman"/>
          <w:sz w:val="24"/>
          <w:lang w:val="sr-Cyrl-CS"/>
        </w:rPr>
        <w:t xml:space="preserve"> </w:t>
      </w:r>
      <w:r w:rsidRPr="005303F7">
        <w:rPr>
          <w:rFonts w:ascii="Times New Roman" w:hAnsi="Times New Roman"/>
          <w:sz w:val="24"/>
          <w:lang w:val="sr-Cyrl-CS"/>
        </w:rPr>
        <w:t>одрживи</w:t>
      </w:r>
      <w:r w:rsidR="00BF20EF" w:rsidRPr="005303F7">
        <w:rPr>
          <w:rFonts w:ascii="Times New Roman" w:hAnsi="Times New Roman"/>
          <w:sz w:val="24"/>
          <w:lang w:val="sr-Cyrl-CS"/>
        </w:rPr>
        <w:t xml:space="preserve"> </w:t>
      </w:r>
      <w:r w:rsidRPr="005303F7">
        <w:rPr>
          <w:rFonts w:ascii="Times New Roman" w:hAnsi="Times New Roman"/>
          <w:sz w:val="24"/>
          <w:lang w:val="sr-Cyrl-CS"/>
        </w:rPr>
        <w:t>развој</w:t>
      </w:r>
      <w:r w:rsidR="00BF20EF" w:rsidRPr="005303F7">
        <w:rPr>
          <w:rFonts w:ascii="Times New Roman" w:hAnsi="Times New Roman"/>
          <w:sz w:val="24"/>
          <w:lang w:val="sr-Cyrl-CS"/>
        </w:rPr>
        <w:t xml:space="preserve"> </w:t>
      </w:r>
      <w:r w:rsidRPr="005303F7">
        <w:rPr>
          <w:rFonts w:ascii="Times New Roman" w:hAnsi="Times New Roman"/>
          <w:sz w:val="24"/>
          <w:lang w:val="sr-Cyrl-CS"/>
        </w:rPr>
        <w:t>и</w:t>
      </w:r>
      <w:r w:rsidR="00BF20EF" w:rsidRPr="005303F7">
        <w:rPr>
          <w:rFonts w:ascii="Times New Roman" w:hAnsi="Times New Roman"/>
          <w:sz w:val="24"/>
          <w:lang w:val="sr-Cyrl-CS"/>
        </w:rPr>
        <w:t xml:space="preserve"> </w:t>
      </w:r>
      <w:r w:rsidRPr="005303F7">
        <w:rPr>
          <w:rFonts w:ascii="Times New Roman" w:hAnsi="Times New Roman"/>
          <w:sz w:val="24"/>
          <w:lang w:val="sr-Cyrl-CS"/>
        </w:rPr>
        <w:t>примена</w:t>
      </w:r>
      <w:r w:rsidR="00BF20EF" w:rsidRPr="005303F7">
        <w:rPr>
          <w:rFonts w:ascii="Times New Roman" w:hAnsi="Times New Roman"/>
          <w:sz w:val="24"/>
          <w:lang w:val="sr-Cyrl-CS"/>
        </w:rPr>
        <w:t xml:space="preserve"> </w:t>
      </w:r>
      <w:r w:rsidRPr="005303F7">
        <w:rPr>
          <w:rFonts w:ascii="Times New Roman" w:hAnsi="Times New Roman"/>
          <w:sz w:val="24"/>
          <w:lang w:val="sr-Cyrl-CS"/>
        </w:rPr>
        <w:t>обавеза</w:t>
      </w:r>
      <w:r w:rsidR="00BF20EF" w:rsidRPr="005303F7">
        <w:rPr>
          <w:rFonts w:ascii="Times New Roman" w:hAnsi="Times New Roman"/>
          <w:sz w:val="24"/>
          <w:lang w:val="sr-Cyrl-CS"/>
        </w:rPr>
        <w:t xml:space="preserve"> </w:t>
      </w:r>
      <w:r w:rsidRPr="005303F7">
        <w:rPr>
          <w:rFonts w:ascii="Times New Roman" w:hAnsi="Times New Roman"/>
          <w:sz w:val="24"/>
          <w:lang w:val="sr-Cyrl-CS"/>
        </w:rPr>
        <w:t>из</w:t>
      </w:r>
      <w:r w:rsidR="00BF20EF" w:rsidRPr="005303F7">
        <w:rPr>
          <w:rFonts w:ascii="Times New Roman" w:hAnsi="Times New Roman"/>
          <w:sz w:val="24"/>
          <w:lang w:val="sr-Cyrl-CS"/>
        </w:rPr>
        <w:t xml:space="preserve"> </w:t>
      </w:r>
      <w:r w:rsidRPr="005303F7">
        <w:rPr>
          <w:rFonts w:ascii="Times New Roman" w:hAnsi="Times New Roman"/>
          <w:sz w:val="24"/>
          <w:lang w:val="sr-Cyrl-CS"/>
        </w:rPr>
        <w:t>Уговора</w:t>
      </w:r>
      <w:r w:rsidR="00322192" w:rsidRPr="005303F7">
        <w:rPr>
          <w:rFonts w:ascii="Times New Roman" w:hAnsi="Times New Roman"/>
          <w:sz w:val="24"/>
          <w:lang w:val="sr-Cyrl-CS"/>
        </w:rPr>
        <w:t xml:space="preserve"> </w:t>
      </w:r>
      <w:r w:rsidRPr="005303F7">
        <w:rPr>
          <w:rFonts w:ascii="Times New Roman" w:hAnsi="Times New Roman"/>
          <w:sz w:val="24"/>
          <w:lang w:val="sr-Cyrl-CS"/>
        </w:rPr>
        <w:t>о</w:t>
      </w:r>
      <w:r w:rsidR="0035174D" w:rsidRPr="005303F7">
        <w:rPr>
          <w:rFonts w:ascii="Times New Roman" w:hAnsi="Times New Roman"/>
          <w:sz w:val="24"/>
          <w:lang w:val="sr-Cyrl-CS"/>
        </w:rPr>
        <w:t xml:space="preserve"> оснивању</w:t>
      </w:r>
      <w:r w:rsidR="00322192" w:rsidRPr="005303F7">
        <w:rPr>
          <w:rFonts w:ascii="Times New Roman" w:hAnsi="Times New Roman"/>
          <w:sz w:val="24"/>
          <w:lang w:val="sr-Cyrl-CS"/>
        </w:rPr>
        <w:t xml:space="preserve"> </w:t>
      </w:r>
      <w:r w:rsidRPr="005303F7">
        <w:rPr>
          <w:rFonts w:ascii="Times New Roman" w:hAnsi="Times New Roman"/>
          <w:sz w:val="24"/>
          <w:lang w:val="sr-Cyrl-CS"/>
        </w:rPr>
        <w:t>Енергетск</w:t>
      </w:r>
      <w:r w:rsidR="0035174D" w:rsidRPr="005303F7">
        <w:rPr>
          <w:rFonts w:ascii="Times New Roman" w:hAnsi="Times New Roman"/>
          <w:sz w:val="24"/>
          <w:lang w:val="sr-Cyrl-CS"/>
        </w:rPr>
        <w:t>е</w:t>
      </w:r>
      <w:r w:rsidR="00322192" w:rsidRPr="005303F7">
        <w:rPr>
          <w:rFonts w:ascii="Times New Roman" w:hAnsi="Times New Roman"/>
          <w:sz w:val="24"/>
          <w:lang w:val="sr-Cyrl-CS"/>
        </w:rPr>
        <w:t xml:space="preserve"> </w:t>
      </w:r>
      <w:r w:rsidRPr="005303F7">
        <w:rPr>
          <w:rFonts w:ascii="Times New Roman" w:hAnsi="Times New Roman"/>
          <w:sz w:val="24"/>
          <w:lang w:val="sr-Cyrl-CS"/>
        </w:rPr>
        <w:t>заједниц</w:t>
      </w:r>
      <w:r w:rsidR="0035174D" w:rsidRPr="005303F7">
        <w:rPr>
          <w:rFonts w:ascii="Times New Roman" w:hAnsi="Times New Roman"/>
          <w:sz w:val="24"/>
          <w:lang w:val="sr-Cyrl-CS"/>
        </w:rPr>
        <w:t>е</w:t>
      </w:r>
      <w:r w:rsidR="00F543AF" w:rsidRPr="005303F7">
        <w:rPr>
          <w:rFonts w:ascii="Times New Roman" w:hAnsi="Times New Roman"/>
          <w:sz w:val="24"/>
          <w:lang w:val="sr-Cyrl-CS"/>
        </w:rPr>
        <w:t>;</w:t>
      </w:r>
    </w:p>
    <w:p w14:paraId="48D18FAA" w14:textId="0E82476B" w:rsidR="00BF20EF" w:rsidRPr="005303F7" w:rsidRDefault="002A7253" w:rsidP="008C1A61">
      <w:pPr>
        <w:pStyle w:val="ListParagraph"/>
        <w:numPr>
          <w:ilvl w:val="0"/>
          <w:numId w:val="52"/>
        </w:numPr>
        <w:tabs>
          <w:tab w:val="clear" w:pos="3825"/>
        </w:tabs>
        <w:ind w:left="0" w:firstLine="360"/>
        <w:rPr>
          <w:rFonts w:ascii="Times New Roman" w:hAnsi="Times New Roman"/>
          <w:sz w:val="24"/>
          <w:lang w:val="sr-Cyrl-CS"/>
        </w:rPr>
      </w:pPr>
      <w:r w:rsidRPr="005303F7">
        <w:rPr>
          <w:rFonts w:ascii="Times New Roman" w:hAnsi="Times New Roman"/>
          <w:sz w:val="24"/>
          <w:lang w:val="sr-Cyrl-CS"/>
        </w:rPr>
        <w:t>Уредба</w:t>
      </w:r>
      <w:r w:rsidR="00444190" w:rsidRPr="005303F7">
        <w:rPr>
          <w:rFonts w:ascii="Times New Roman" w:hAnsi="Times New Roman"/>
          <w:sz w:val="24"/>
          <w:lang w:val="sr-Cyrl-CS"/>
        </w:rPr>
        <w:t xml:space="preserve"> </w:t>
      </w:r>
      <w:r w:rsidRPr="005303F7">
        <w:rPr>
          <w:rFonts w:ascii="Times New Roman" w:hAnsi="Times New Roman"/>
          <w:sz w:val="24"/>
          <w:lang w:val="sr-Cyrl-CS"/>
        </w:rPr>
        <w:t>о</w:t>
      </w:r>
      <w:r w:rsidR="00444190" w:rsidRPr="005303F7">
        <w:rPr>
          <w:rFonts w:ascii="Times New Roman" w:hAnsi="Times New Roman"/>
          <w:sz w:val="24"/>
          <w:lang w:val="sr-Cyrl-CS"/>
        </w:rPr>
        <w:t xml:space="preserve"> </w:t>
      </w:r>
      <w:r w:rsidRPr="005303F7">
        <w:rPr>
          <w:rFonts w:ascii="Times New Roman" w:hAnsi="Times New Roman"/>
          <w:sz w:val="24"/>
          <w:lang w:val="sr-Cyrl-CS"/>
        </w:rPr>
        <w:t>утврђивању</w:t>
      </w:r>
      <w:r w:rsidR="00444190" w:rsidRPr="005303F7">
        <w:rPr>
          <w:rFonts w:ascii="Times New Roman" w:hAnsi="Times New Roman"/>
          <w:sz w:val="24"/>
          <w:lang w:val="sr-Cyrl-CS"/>
        </w:rPr>
        <w:t xml:space="preserve"> </w:t>
      </w:r>
      <w:r w:rsidRPr="005303F7">
        <w:rPr>
          <w:rFonts w:ascii="Times New Roman" w:hAnsi="Times New Roman"/>
          <w:sz w:val="24"/>
          <w:lang w:val="sr-Cyrl-CS"/>
        </w:rPr>
        <w:t>Програма</w:t>
      </w:r>
      <w:r w:rsidR="00444190" w:rsidRPr="005303F7">
        <w:rPr>
          <w:rFonts w:ascii="Times New Roman" w:hAnsi="Times New Roman"/>
          <w:sz w:val="24"/>
          <w:lang w:val="sr-Cyrl-CS"/>
        </w:rPr>
        <w:t xml:space="preserve"> </w:t>
      </w:r>
      <w:r w:rsidRPr="005303F7">
        <w:rPr>
          <w:rFonts w:ascii="Times New Roman" w:hAnsi="Times New Roman"/>
          <w:sz w:val="24"/>
          <w:lang w:val="sr-Cyrl-CS"/>
        </w:rPr>
        <w:t>остваривања</w:t>
      </w:r>
      <w:r w:rsidR="00444190" w:rsidRPr="005303F7">
        <w:rPr>
          <w:rFonts w:ascii="Times New Roman" w:hAnsi="Times New Roman"/>
          <w:sz w:val="24"/>
          <w:lang w:val="sr-Cyrl-CS"/>
        </w:rPr>
        <w:t xml:space="preserve"> </w:t>
      </w:r>
      <w:r w:rsidRPr="005303F7">
        <w:rPr>
          <w:rFonts w:ascii="Times New Roman" w:hAnsi="Times New Roman"/>
          <w:sz w:val="24"/>
          <w:lang w:val="sr-Cyrl-CS"/>
        </w:rPr>
        <w:t>Стратегије</w:t>
      </w:r>
      <w:r w:rsidR="00BF20EF" w:rsidRPr="005303F7">
        <w:rPr>
          <w:rFonts w:ascii="Times New Roman" w:hAnsi="Times New Roman"/>
          <w:sz w:val="24"/>
          <w:lang w:val="sr-Cyrl-CS"/>
        </w:rPr>
        <w:t xml:space="preserve"> </w:t>
      </w:r>
      <w:r w:rsidRPr="005303F7">
        <w:rPr>
          <w:rFonts w:ascii="Times New Roman" w:hAnsi="Times New Roman"/>
          <w:sz w:val="24"/>
          <w:lang w:val="sr-Cyrl-CS"/>
        </w:rPr>
        <w:t>развоја</w:t>
      </w:r>
      <w:r w:rsidR="00BF20EF" w:rsidRPr="005303F7">
        <w:rPr>
          <w:rFonts w:ascii="Times New Roman" w:hAnsi="Times New Roman"/>
          <w:sz w:val="24"/>
          <w:lang w:val="sr-Cyrl-CS"/>
        </w:rPr>
        <w:t xml:space="preserve"> </w:t>
      </w:r>
      <w:r w:rsidRPr="005303F7">
        <w:rPr>
          <w:rFonts w:ascii="Times New Roman" w:hAnsi="Times New Roman"/>
          <w:sz w:val="24"/>
          <w:lang w:val="sr-Cyrl-CS"/>
        </w:rPr>
        <w:t>енергетског</w:t>
      </w:r>
      <w:r w:rsidR="00BF20EF" w:rsidRPr="005303F7">
        <w:rPr>
          <w:rFonts w:ascii="Times New Roman" w:hAnsi="Times New Roman"/>
          <w:sz w:val="24"/>
          <w:lang w:val="sr-Cyrl-CS"/>
        </w:rPr>
        <w:t xml:space="preserve"> </w:t>
      </w:r>
      <w:r w:rsidRPr="005303F7">
        <w:rPr>
          <w:rFonts w:ascii="Times New Roman" w:hAnsi="Times New Roman"/>
          <w:sz w:val="24"/>
          <w:lang w:val="sr-Cyrl-CS"/>
        </w:rPr>
        <w:t>сектора</w:t>
      </w:r>
      <w:r w:rsidR="00BF20EF" w:rsidRPr="005303F7">
        <w:rPr>
          <w:rFonts w:ascii="Times New Roman" w:hAnsi="Times New Roman"/>
          <w:sz w:val="24"/>
          <w:lang w:val="sr-Cyrl-CS"/>
        </w:rPr>
        <w:t xml:space="preserve"> </w:t>
      </w:r>
      <w:r w:rsidR="00D73AAB" w:rsidRPr="005303F7">
        <w:rPr>
          <w:rFonts w:ascii="Times New Roman" w:hAnsi="Times New Roman"/>
          <w:sz w:val="24"/>
          <w:lang w:val="sr-Cyrl-CS"/>
        </w:rPr>
        <w:t>Републике Србије</w:t>
      </w:r>
      <w:r w:rsidR="00BF20EF" w:rsidRPr="005303F7">
        <w:rPr>
          <w:rFonts w:ascii="Times New Roman" w:hAnsi="Times New Roman"/>
          <w:sz w:val="24"/>
          <w:lang w:val="sr-Cyrl-CS"/>
        </w:rPr>
        <w:t xml:space="preserve"> </w:t>
      </w:r>
      <w:r w:rsidRPr="005303F7">
        <w:rPr>
          <w:rFonts w:ascii="Times New Roman" w:hAnsi="Times New Roman"/>
          <w:sz w:val="24"/>
          <w:lang w:val="sr-Cyrl-CS"/>
        </w:rPr>
        <w:t>за</w:t>
      </w:r>
      <w:r w:rsidR="00BF20EF" w:rsidRPr="005303F7">
        <w:rPr>
          <w:rFonts w:ascii="Times New Roman" w:hAnsi="Times New Roman"/>
          <w:sz w:val="24"/>
          <w:lang w:val="sr-Cyrl-CS"/>
        </w:rPr>
        <w:t xml:space="preserve"> </w:t>
      </w:r>
      <w:r w:rsidRPr="005303F7">
        <w:rPr>
          <w:rFonts w:ascii="Times New Roman" w:hAnsi="Times New Roman"/>
          <w:sz w:val="24"/>
          <w:lang w:val="sr-Cyrl-CS"/>
        </w:rPr>
        <w:t>период</w:t>
      </w:r>
      <w:r w:rsidR="00BF20EF" w:rsidRPr="005303F7">
        <w:rPr>
          <w:rFonts w:ascii="Times New Roman" w:hAnsi="Times New Roman"/>
          <w:sz w:val="24"/>
          <w:lang w:val="sr-Cyrl-CS"/>
        </w:rPr>
        <w:t xml:space="preserve"> </w:t>
      </w:r>
      <w:r w:rsidRPr="005303F7">
        <w:rPr>
          <w:rFonts w:ascii="Times New Roman" w:hAnsi="Times New Roman"/>
          <w:sz w:val="24"/>
          <w:lang w:val="sr-Cyrl-CS"/>
        </w:rPr>
        <w:t>до</w:t>
      </w:r>
      <w:r w:rsidR="00BF20EF" w:rsidRPr="005303F7">
        <w:rPr>
          <w:rFonts w:ascii="Times New Roman" w:hAnsi="Times New Roman"/>
          <w:sz w:val="24"/>
          <w:lang w:val="sr-Cyrl-CS"/>
        </w:rPr>
        <w:t xml:space="preserve"> 2025. </w:t>
      </w:r>
      <w:r w:rsidRPr="005303F7">
        <w:rPr>
          <w:rFonts w:ascii="Times New Roman" w:hAnsi="Times New Roman"/>
          <w:sz w:val="24"/>
          <w:lang w:val="sr-Cyrl-CS"/>
        </w:rPr>
        <w:t>године</w:t>
      </w:r>
      <w:r w:rsidR="00BF20EF" w:rsidRPr="005303F7">
        <w:rPr>
          <w:rFonts w:ascii="Times New Roman" w:hAnsi="Times New Roman"/>
          <w:sz w:val="24"/>
          <w:lang w:val="sr-Cyrl-CS"/>
        </w:rPr>
        <w:t xml:space="preserve">, </w:t>
      </w:r>
      <w:r w:rsidRPr="005303F7">
        <w:rPr>
          <w:rFonts w:ascii="Times New Roman" w:hAnsi="Times New Roman"/>
          <w:sz w:val="24"/>
          <w:lang w:val="sr-Cyrl-CS"/>
        </w:rPr>
        <w:t>са</w:t>
      </w:r>
      <w:r w:rsidR="00BF20EF" w:rsidRPr="005303F7">
        <w:rPr>
          <w:rFonts w:ascii="Times New Roman" w:hAnsi="Times New Roman"/>
          <w:sz w:val="24"/>
          <w:lang w:val="sr-Cyrl-CS"/>
        </w:rPr>
        <w:t xml:space="preserve"> </w:t>
      </w:r>
      <w:r w:rsidRPr="005303F7">
        <w:rPr>
          <w:rFonts w:ascii="Times New Roman" w:hAnsi="Times New Roman"/>
          <w:sz w:val="24"/>
          <w:lang w:val="sr-Cyrl-CS"/>
        </w:rPr>
        <w:t>пројекцијама</w:t>
      </w:r>
      <w:r w:rsidR="00BF20EF" w:rsidRPr="005303F7">
        <w:rPr>
          <w:rFonts w:ascii="Times New Roman" w:hAnsi="Times New Roman"/>
          <w:sz w:val="24"/>
          <w:lang w:val="sr-Cyrl-CS"/>
        </w:rPr>
        <w:t xml:space="preserve"> </w:t>
      </w:r>
      <w:r w:rsidRPr="005303F7">
        <w:rPr>
          <w:rFonts w:ascii="Times New Roman" w:hAnsi="Times New Roman"/>
          <w:sz w:val="24"/>
          <w:lang w:val="sr-Cyrl-CS"/>
        </w:rPr>
        <w:t>до</w:t>
      </w:r>
      <w:r w:rsidR="00BF20EF" w:rsidRPr="005303F7">
        <w:rPr>
          <w:rFonts w:ascii="Times New Roman" w:hAnsi="Times New Roman"/>
          <w:sz w:val="24"/>
          <w:lang w:val="sr-Cyrl-CS"/>
        </w:rPr>
        <w:t xml:space="preserve"> 2030. </w:t>
      </w:r>
      <w:r w:rsidRPr="005303F7">
        <w:rPr>
          <w:rFonts w:ascii="Times New Roman" w:hAnsi="Times New Roman"/>
          <w:sz w:val="24"/>
          <w:lang w:val="sr-Cyrl-CS"/>
        </w:rPr>
        <w:t>године</w:t>
      </w:r>
      <w:r w:rsidR="0035174D" w:rsidRPr="005303F7">
        <w:rPr>
          <w:rFonts w:ascii="Times New Roman" w:hAnsi="Times New Roman"/>
          <w:sz w:val="24"/>
          <w:lang w:val="sr-Cyrl-CS"/>
        </w:rPr>
        <w:t xml:space="preserve"> („Службени гласник РС”</w:t>
      </w:r>
      <w:r w:rsidR="00CD2594" w:rsidRPr="005303F7">
        <w:rPr>
          <w:rFonts w:ascii="Times New Roman" w:hAnsi="Times New Roman"/>
          <w:sz w:val="24"/>
          <w:lang w:val="sr-Cyrl-CS"/>
        </w:rPr>
        <w:t>, број 104/</w:t>
      </w:r>
      <w:r w:rsidR="0035174D" w:rsidRPr="005303F7">
        <w:rPr>
          <w:rFonts w:ascii="Times New Roman" w:hAnsi="Times New Roman"/>
          <w:sz w:val="24"/>
          <w:lang w:val="sr-Cyrl-CS"/>
        </w:rPr>
        <w:t>17)</w:t>
      </w:r>
      <w:r w:rsidR="00BF20EF" w:rsidRPr="005303F7">
        <w:rPr>
          <w:rFonts w:ascii="Times New Roman" w:hAnsi="Times New Roman"/>
          <w:sz w:val="24"/>
          <w:lang w:val="sr-Cyrl-CS"/>
        </w:rPr>
        <w:t xml:space="preserve">, </w:t>
      </w:r>
      <w:r w:rsidRPr="005303F7">
        <w:rPr>
          <w:rFonts w:ascii="Times New Roman" w:hAnsi="Times New Roman"/>
          <w:sz w:val="24"/>
          <w:lang w:val="sr-Cyrl-CS"/>
        </w:rPr>
        <w:t>за</w:t>
      </w:r>
      <w:r w:rsidR="00BF20EF" w:rsidRPr="005303F7">
        <w:rPr>
          <w:rFonts w:ascii="Times New Roman" w:hAnsi="Times New Roman"/>
          <w:sz w:val="24"/>
          <w:lang w:val="sr-Cyrl-CS"/>
        </w:rPr>
        <w:t xml:space="preserve"> </w:t>
      </w:r>
      <w:r w:rsidRPr="005303F7">
        <w:rPr>
          <w:rFonts w:ascii="Times New Roman" w:hAnsi="Times New Roman"/>
          <w:sz w:val="24"/>
          <w:lang w:val="sr-Cyrl-CS"/>
        </w:rPr>
        <w:t>период</w:t>
      </w:r>
      <w:r w:rsidR="00BF20EF" w:rsidRPr="005303F7">
        <w:rPr>
          <w:rFonts w:ascii="Times New Roman" w:hAnsi="Times New Roman"/>
          <w:sz w:val="24"/>
          <w:lang w:val="sr-Cyrl-CS"/>
        </w:rPr>
        <w:t xml:space="preserve"> </w:t>
      </w:r>
      <w:r w:rsidRPr="005303F7">
        <w:rPr>
          <w:rFonts w:ascii="Times New Roman" w:hAnsi="Times New Roman"/>
          <w:sz w:val="24"/>
          <w:lang w:val="sr-Cyrl-CS"/>
        </w:rPr>
        <w:t>од</w:t>
      </w:r>
      <w:r w:rsidR="00BF20EF" w:rsidRPr="005303F7">
        <w:rPr>
          <w:rFonts w:ascii="Times New Roman" w:hAnsi="Times New Roman"/>
          <w:sz w:val="24"/>
          <w:lang w:val="sr-Cyrl-CS"/>
        </w:rPr>
        <w:t xml:space="preserve"> 2017. </w:t>
      </w:r>
      <w:r w:rsidRPr="005303F7">
        <w:rPr>
          <w:rFonts w:ascii="Times New Roman" w:hAnsi="Times New Roman"/>
          <w:sz w:val="24"/>
          <w:lang w:val="sr-Cyrl-CS"/>
        </w:rPr>
        <w:t>до</w:t>
      </w:r>
      <w:r w:rsidR="00BF20EF" w:rsidRPr="005303F7">
        <w:rPr>
          <w:rFonts w:ascii="Times New Roman" w:hAnsi="Times New Roman"/>
          <w:sz w:val="24"/>
          <w:lang w:val="sr-Cyrl-CS"/>
        </w:rPr>
        <w:t xml:space="preserve"> 2023. </w:t>
      </w:r>
      <w:r w:rsidRPr="005303F7">
        <w:rPr>
          <w:rFonts w:ascii="Times New Roman" w:hAnsi="Times New Roman"/>
          <w:sz w:val="24"/>
          <w:lang w:val="sr-Cyrl-CS"/>
        </w:rPr>
        <w:t>године</w:t>
      </w:r>
      <w:r w:rsidR="00BF20EF" w:rsidRPr="005303F7">
        <w:rPr>
          <w:rFonts w:ascii="Times New Roman" w:hAnsi="Times New Roman"/>
          <w:sz w:val="24"/>
          <w:lang w:val="sr-Cyrl-CS"/>
        </w:rPr>
        <w:t xml:space="preserve">, </w:t>
      </w:r>
      <w:r w:rsidRPr="005303F7">
        <w:rPr>
          <w:rFonts w:ascii="Times New Roman" w:hAnsi="Times New Roman"/>
          <w:sz w:val="24"/>
          <w:lang w:val="sr-Cyrl-CS"/>
        </w:rPr>
        <w:t>којом</w:t>
      </w:r>
      <w:r w:rsidR="00BF20EF" w:rsidRPr="005303F7">
        <w:rPr>
          <w:rFonts w:ascii="Times New Roman" w:hAnsi="Times New Roman"/>
          <w:sz w:val="24"/>
          <w:lang w:val="sr-Cyrl-CS"/>
        </w:rPr>
        <w:t xml:space="preserve"> </w:t>
      </w:r>
      <w:r w:rsidRPr="005303F7">
        <w:rPr>
          <w:rFonts w:ascii="Times New Roman" w:hAnsi="Times New Roman"/>
          <w:sz w:val="24"/>
          <w:lang w:val="sr-Cyrl-CS"/>
        </w:rPr>
        <w:t>се</w:t>
      </w:r>
      <w:r w:rsidR="00BF20EF" w:rsidRPr="005303F7">
        <w:rPr>
          <w:rFonts w:ascii="Times New Roman" w:hAnsi="Times New Roman"/>
          <w:sz w:val="24"/>
          <w:lang w:val="sr-Cyrl-CS"/>
        </w:rPr>
        <w:t xml:space="preserve"> </w:t>
      </w:r>
      <w:r w:rsidRPr="005303F7">
        <w:rPr>
          <w:rFonts w:ascii="Times New Roman" w:hAnsi="Times New Roman"/>
          <w:sz w:val="24"/>
          <w:lang w:val="sr-Cyrl-CS"/>
        </w:rPr>
        <w:t>дефинишу</w:t>
      </w:r>
      <w:r w:rsidR="00BF20EF" w:rsidRPr="005303F7">
        <w:rPr>
          <w:rFonts w:ascii="Times New Roman" w:hAnsi="Times New Roman"/>
          <w:sz w:val="24"/>
          <w:lang w:val="sr-Cyrl-CS"/>
        </w:rPr>
        <w:t xml:space="preserve"> </w:t>
      </w:r>
      <w:r w:rsidRPr="005303F7">
        <w:rPr>
          <w:rFonts w:ascii="Times New Roman" w:hAnsi="Times New Roman"/>
          <w:sz w:val="24"/>
          <w:lang w:val="sr-Cyrl-CS"/>
        </w:rPr>
        <w:t>све</w:t>
      </w:r>
      <w:r w:rsidR="00BF20EF" w:rsidRPr="005303F7">
        <w:rPr>
          <w:rFonts w:ascii="Times New Roman" w:hAnsi="Times New Roman"/>
          <w:sz w:val="24"/>
          <w:lang w:val="sr-Cyrl-CS"/>
        </w:rPr>
        <w:t xml:space="preserve"> </w:t>
      </w:r>
      <w:r w:rsidRPr="005303F7">
        <w:rPr>
          <w:rFonts w:ascii="Times New Roman" w:hAnsi="Times New Roman"/>
          <w:sz w:val="24"/>
          <w:lang w:val="sr-Cyrl-CS"/>
        </w:rPr>
        <w:t>мере</w:t>
      </w:r>
      <w:r w:rsidR="00BF20EF" w:rsidRPr="005303F7">
        <w:rPr>
          <w:rFonts w:ascii="Times New Roman" w:hAnsi="Times New Roman"/>
          <w:sz w:val="24"/>
          <w:lang w:val="sr-Cyrl-CS"/>
        </w:rPr>
        <w:t xml:space="preserve">, </w:t>
      </w:r>
      <w:r w:rsidRPr="005303F7">
        <w:rPr>
          <w:rFonts w:ascii="Times New Roman" w:hAnsi="Times New Roman"/>
          <w:sz w:val="24"/>
          <w:lang w:val="sr-Cyrl-CS"/>
        </w:rPr>
        <w:t>активности</w:t>
      </w:r>
      <w:r w:rsidR="00BF20EF" w:rsidRPr="005303F7">
        <w:rPr>
          <w:rFonts w:ascii="Times New Roman" w:hAnsi="Times New Roman"/>
          <w:sz w:val="24"/>
          <w:lang w:val="sr-Cyrl-CS"/>
        </w:rPr>
        <w:t xml:space="preserve"> </w:t>
      </w:r>
      <w:r w:rsidRPr="005303F7">
        <w:rPr>
          <w:rFonts w:ascii="Times New Roman" w:hAnsi="Times New Roman"/>
          <w:sz w:val="24"/>
          <w:lang w:val="sr-Cyrl-CS"/>
        </w:rPr>
        <w:t>и</w:t>
      </w:r>
      <w:r w:rsidR="00BF20EF" w:rsidRPr="005303F7">
        <w:rPr>
          <w:rFonts w:ascii="Times New Roman" w:hAnsi="Times New Roman"/>
          <w:sz w:val="24"/>
          <w:lang w:val="sr-Cyrl-CS"/>
        </w:rPr>
        <w:t xml:space="preserve"> </w:t>
      </w:r>
      <w:r w:rsidRPr="005303F7">
        <w:rPr>
          <w:rFonts w:ascii="Times New Roman" w:hAnsi="Times New Roman"/>
          <w:sz w:val="24"/>
          <w:lang w:val="sr-Cyrl-CS"/>
        </w:rPr>
        <w:t>пројекти</w:t>
      </w:r>
      <w:r w:rsidR="00BF20EF" w:rsidRPr="005303F7">
        <w:rPr>
          <w:rFonts w:ascii="Times New Roman" w:hAnsi="Times New Roman"/>
          <w:sz w:val="24"/>
          <w:lang w:val="sr-Cyrl-CS"/>
        </w:rPr>
        <w:t xml:space="preserve"> </w:t>
      </w:r>
      <w:r w:rsidRPr="005303F7">
        <w:rPr>
          <w:rFonts w:ascii="Times New Roman" w:hAnsi="Times New Roman"/>
          <w:sz w:val="24"/>
          <w:lang w:val="sr-Cyrl-CS"/>
        </w:rPr>
        <w:t>које</w:t>
      </w:r>
      <w:r w:rsidR="00BF20EF" w:rsidRPr="005303F7">
        <w:rPr>
          <w:rFonts w:ascii="Times New Roman" w:hAnsi="Times New Roman"/>
          <w:sz w:val="24"/>
          <w:lang w:val="sr-Cyrl-CS"/>
        </w:rPr>
        <w:t xml:space="preserve"> </w:t>
      </w:r>
      <w:r w:rsidRPr="005303F7">
        <w:rPr>
          <w:rFonts w:ascii="Times New Roman" w:hAnsi="Times New Roman"/>
          <w:sz w:val="24"/>
          <w:lang w:val="sr-Cyrl-CS"/>
        </w:rPr>
        <w:t>треба</w:t>
      </w:r>
      <w:r w:rsidR="00BF20EF" w:rsidRPr="005303F7">
        <w:rPr>
          <w:rFonts w:ascii="Times New Roman" w:hAnsi="Times New Roman"/>
          <w:sz w:val="24"/>
          <w:lang w:val="sr-Cyrl-CS"/>
        </w:rPr>
        <w:t xml:space="preserve"> </w:t>
      </w:r>
      <w:r w:rsidRPr="005303F7">
        <w:rPr>
          <w:rFonts w:ascii="Times New Roman" w:hAnsi="Times New Roman"/>
          <w:sz w:val="24"/>
          <w:lang w:val="sr-Cyrl-CS"/>
        </w:rPr>
        <w:t>предузети</w:t>
      </w:r>
      <w:r w:rsidR="00BF20EF" w:rsidRPr="005303F7">
        <w:rPr>
          <w:rFonts w:ascii="Times New Roman" w:hAnsi="Times New Roman"/>
          <w:sz w:val="24"/>
          <w:lang w:val="sr-Cyrl-CS"/>
        </w:rPr>
        <w:t xml:space="preserve"> </w:t>
      </w:r>
      <w:r w:rsidRPr="005303F7">
        <w:rPr>
          <w:rFonts w:ascii="Times New Roman" w:hAnsi="Times New Roman"/>
          <w:sz w:val="24"/>
          <w:lang w:val="sr-Cyrl-CS"/>
        </w:rPr>
        <w:t>у</w:t>
      </w:r>
      <w:r w:rsidR="00BF20EF" w:rsidRPr="005303F7">
        <w:rPr>
          <w:rFonts w:ascii="Times New Roman" w:hAnsi="Times New Roman"/>
          <w:sz w:val="24"/>
          <w:lang w:val="sr-Cyrl-CS"/>
        </w:rPr>
        <w:t xml:space="preserve"> </w:t>
      </w:r>
      <w:r w:rsidRPr="005303F7">
        <w:rPr>
          <w:rFonts w:ascii="Times New Roman" w:hAnsi="Times New Roman"/>
          <w:sz w:val="24"/>
          <w:lang w:val="sr-Cyrl-CS"/>
        </w:rPr>
        <w:t>свим</w:t>
      </w:r>
      <w:r w:rsidR="00BF20EF" w:rsidRPr="005303F7">
        <w:rPr>
          <w:rFonts w:ascii="Times New Roman" w:hAnsi="Times New Roman"/>
          <w:sz w:val="24"/>
          <w:lang w:val="sr-Cyrl-CS"/>
        </w:rPr>
        <w:t xml:space="preserve"> </w:t>
      </w:r>
      <w:r w:rsidRPr="005303F7">
        <w:rPr>
          <w:rFonts w:ascii="Times New Roman" w:hAnsi="Times New Roman"/>
          <w:sz w:val="24"/>
          <w:lang w:val="sr-Cyrl-CS"/>
        </w:rPr>
        <w:t>енергетским</w:t>
      </w:r>
      <w:r w:rsidR="00BF20EF" w:rsidRPr="005303F7">
        <w:rPr>
          <w:rFonts w:ascii="Times New Roman" w:hAnsi="Times New Roman"/>
          <w:sz w:val="24"/>
          <w:lang w:val="sr-Cyrl-CS"/>
        </w:rPr>
        <w:t xml:space="preserve"> </w:t>
      </w:r>
      <w:r w:rsidRPr="005303F7">
        <w:rPr>
          <w:rFonts w:ascii="Times New Roman" w:hAnsi="Times New Roman"/>
          <w:sz w:val="24"/>
          <w:lang w:val="sr-Cyrl-CS"/>
        </w:rPr>
        <w:t>секторима</w:t>
      </w:r>
      <w:r w:rsidR="00F543AF" w:rsidRPr="005303F7">
        <w:rPr>
          <w:rFonts w:ascii="Times New Roman" w:hAnsi="Times New Roman"/>
          <w:sz w:val="24"/>
          <w:lang w:val="sr-Cyrl-CS"/>
        </w:rPr>
        <w:t>;</w:t>
      </w:r>
    </w:p>
    <w:p w14:paraId="2297080D" w14:textId="23AE98A1" w:rsidR="00B828F3" w:rsidRPr="005303F7" w:rsidRDefault="00B828F3" w:rsidP="008C1A61">
      <w:pPr>
        <w:pStyle w:val="ListParagraph"/>
        <w:numPr>
          <w:ilvl w:val="0"/>
          <w:numId w:val="52"/>
        </w:numPr>
        <w:tabs>
          <w:tab w:val="clear" w:pos="3825"/>
        </w:tabs>
        <w:ind w:left="0" w:firstLine="360"/>
        <w:rPr>
          <w:rFonts w:ascii="Times New Roman" w:hAnsi="Times New Roman"/>
          <w:sz w:val="24"/>
          <w:lang w:val="sr-Cyrl-CS"/>
        </w:rPr>
      </w:pPr>
      <w:r w:rsidRPr="005303F7">
        <w:rPr>
          <w:rFonts w:ascii="Times New Roman" w:hAnsi="Times New Roman"/>
          <w:sz w:val="24"/>
          <w:lang w:val="sr-Cyrl-CS"/>
        </w:rPr>
        <w:t>а у току је израда нове Стратегије развоја енергетике за период до 2040</w:t>
      </w:r>
      <w:r w:rsidR="004015AD" w:rsidRPr="005303F7">
        <w:rPr>
          <w:rFonts w:ascii="Times New Roman" w:hAnsi="Times New Roman" w:cs="Times New Roman"/>
          <w:sz w:val="24"/>
          <w:szCs w:val="24"/>
          <w:lang w:val="sr-Cyrl-CS"/>
        </w:rPr>
        <w:t>.</w:t>
      </w:r>
      <w:r w:rsidRPr="005303F7">
        <w:rPr>
          <w:rFonts w:ascii="Times New Roman" w:hAnsi="Times New Roman"/>
          <w:sz w:val="24"/>
          <w:lang w:val="sr-Cyrl-CS"/>
        </w:rPr>
        <w:t xml:space="preserve"> </w:t>
      </w:r>
      <w:r w:rsidR="0035174D" w:rsidRPr="005303F7">
        <w:rPr>
          <w:rFonts w:ascii="Times New Roman" w:hAnsi="Times New Roman"/>
          <w:sz w:val="24"/>
          <w:lang w:val="sr-Cyrl-CS"/>
        </w:rPr>
        <w:t xml:space="preserve">године </w:t>
      </w:r>
      <w:r w:rsidRPr="005303F7">
        <w:rPr>
          <w:rFonts w:ascii="Times New Roman" w:hAnsi="Times New Roman"/>
          <w:sz w:val="24"/>
          <w:lang w:val="sr-Cyrl-CS"/>
        </w:rPr>
        <w:t xml:space="preserve">и </w:t>
      </w:r>
      <w:r w:rsidR="00696C4C" w:rsidRPr="005303F7">
        <w:rPr>
          <w:rFonts w:ascii="Times New Roman" w:hAnsi="Times New Roman" w:cs="Times New Roman"/>
          <w:sz w:val="24"/>
          <w:szCs w:val="24"/>
          <w:lang w:val="sr-Cyrl-CS"/>
        </w:rPr>
        <w:t>Интегрисаног националног енергетског и климатског плана</w:t>
      </w:r>
      <w:r w:rsidR="00696C4C" w:rsidRPr="005303F7">
        <w:rPr>
          <w:rFonts w:ascii="Times New Roman" w:hAnsi="Times New Roman"/>
          <w:sz w:val="24"/>
          <w:lang w:val="sr-Cyrl-CS"/>
        </w:rPr>
        <w:t xml:space="preserve"> </w:t>
      </w:r>
      <w:r w:rsidRPr="005303F7">
        <w:rPr>
          <w:rFonts w:ascii="Times New Roman" w:hAnsi="Times New Roman"/>
          <w:sz w:val="24"/>
          <w:lang w:val="sr-Cyrl-CS"/>
        </w:rPr>
        <w:t xml:space="preserve">за период до 2030. Усклађено са Стратегијом развоја енергетике, у </w:t>
      </w:r>
      <w:r w:rsidR="00696C4C" w:rsidRPr="005303F7">
        <w:rPr>
          <w:rFonts w:ascii="Times New Roman" w:hAnsi="Times New Roman"/>
          <w:sz w:val="24"/>
          <w:lang w:val="sr-Cyrl-CS"/>
        </w:rPr>
        <w:t xml:space="preserve">Интегрисаном националном енергетском и климатском плану </w:t>
      </w:r>
      <w:r w:rsidRPr="005303F7">
        <w:rPr>
          <w:rFonts w:ascii="Times New Roman" w:hAnsi="Times New Roman"/>
          <w:sz w:val="24"/>
          <w:lang w:val="sr-Cyrl-CS"/>
        </w:rPr>
        <w:t xml:space="preserve">ће се дефинитивно утврдити и циљеви за удео ОИЕ у бруто финалној потрошњи енергије и повећање енергетске ефикасности у 2030. и политике и мере за њихово остваривање. </w:t>
      </w:r>
    </w:p>
    <w:p w14:paraId="55C5DF4C" w14:textId="7211BDFF" w:rsidR="00D33BF9" w:rsidRPr="005303F7" w:rsidRDefault="0035174D" w:rsidP="00FE004C">
      <w:pPr>
        <w:rPr>
          <w:rFonts w:ascii="Times New Roman" w:hAnsi="Times New Roman"/>
          <w:sz w:val="24"/>
          <w:lang w:val="sr-Cyrl-CS"/>
        </w:rPr>
      </w:pPr>
      <w:r w:rsidRPr="005303F7">
        <w:rPr>
          <w:rFonts w:ascii="Times New Roman" w:hAnsi="Times New Roman"/>
          <w:sz w:val="24"/>
          <w:lang w:val="sr-Cyrl-CS"/>
        </w:rPr>
        <w:t xml:space="preserve">            </w:t>
      </w:r>
      <w:r w:rsidR="00D33BF9" w:rsidRPr="005303F7">
        <w:rPr>
          <w:rFonts w:ascii="Times New Roman" w:hAnsi="Times New Roman"/>
          <w:sz w:val="24"/>
          <w:lang w:val="sr-Cyrl-CS"/>
        </w:rPr>
        <w:t xml:space="preserve">Такође, у 2022, години усвојена је </w:t>
      </w:r>
      <w:r w:rsidR="00D33BF9" w:rsidRPr="005303F7">
        <w:rPr>
          <w:rFonts w:ascii="Times New Roman" w:hAnsi="Times New Roman"/>
          <w:sz w:val="24"/>
          <w:szCs w:val="24"/>
          <w:lang w:val="sr-Cyrl-CS"/>
        </w:rPr>
        <w:t>Дугорочн</w:t>
      </w:r>
      <w:r w:rsidR="00D9336E" w:rsidRPr="005303F7">
        <w:rPr>
          <w:rFonts w:ascii="Times New Roman" w:hAnsi="Times New Roman"/>
          <w:sz w:val="24"/>
          <w:szCs w:val="24"/>
          <w:lang w:val="sr-Cyrl-CS"/>
        </w:rPr>
        <w:t>а</w:t>
      </w:r>
      <w:r w:rsidR="00D33BF9" w:rsidRPr="005303F7">
        <w:rPr>
          <w:rFonts w:ascii="Times New Roman" w:hAnsi="Times New Roman"/>
          <w:sz w:val="24"/>
          <w:lang w:val="sr-Cyrl-CS"/>
        </w:rPr>
        <w:t xml:space="preserve"> стратегија за подстицање улагања у обнову националног фонда зграда Републике </w:t>
      </w:r>
      <w:r w:rsidR="00D73AAB" w:rsidRPr="005303F7">
        <w:rPr>
          <w:rFonts w:ascii="Times New Roman" w:hAnsi="Times New Roman"/>
          <w:sz w:val="24"/>
          <w:lang w:val="sr-Cyrl-CS"/>
        </w:rPr>
        <w:t>Србије</w:t>
      </w:r>
      <w:r w:rsidR="00D33BF9" w:rsidRPr="005303F7">
        <w:rPr>
          <w:rFonts w:ascii="Times New Roman" w:hAnsi="Times New Roman"/>
          <w:sz w:val="24"/>
          <w:lang w:val="sr-Cyrl-CS"/>
        </w:rPr>
        <w:t xml:space="preserve"> до 2050. године</w:t>
      </w:r>
      <w:r w:rsidR="00475EC5" w:rsidRPr="005303F7">
        <w:rPr>
          <w:rFonts w:ascii="Times New Roman" w:hAnsi="Times New Roman"/>
          <w:sz w:val="24"/>
          <w:lang w:val="sr-Cyrl-CS"/>
        </w:rPr>
        <w:t xml:space="preserve"> („Службени гласник РС”, број 27/22)</w:t>
      </w:r>
      <w:r w:rsidR="00D9336E" w:rsidRPr="005303F7">
        <w:rPr>
          <w:rFonts w:ascii="Times New Roman" w:hAnsi="Times New Roman"/>
          <w:sz w:val="24"/>
          <w:szCs w:val="24"/>
          <w:lang w:val="sr-Cyrl-CS"/>
        </w:rPr>
        <w:t>.</w:t>
      </w:r>
    </w:p>
    <w:p w14:paraId="5D916949" w14:textId="4E56F32F" w:rsidR="00303AC3" w:rsidRPr="005303F7" w:rsidRDefault="0035174D" w:rsidP="00B66158">
      <w:pPr>
        <w:rPr>
          <w:rFonts w:ascii="Times New Roman" w:hAnsi="Times New Roman"/>
          <w:sz w:val="24"/>
          <w:lang w:val="sr-Cyrl-CS"/>
        </w:rPr>
      </w:pPr>
      <w:r w:rsidRPr="005303F7">
        <w:rPr>
          <w:rFonts w:ascii="Times New Roman" w:hAnsi="Times New Roman"/>
          <w:sz w:val="24"/>
          <w:lang w:val="sr-Cyrl-CS"/>
        </w:rPr>
        <w:t xml:space="preserve">           </w:t>
      </w:r>
      <w:r w:rsidR="002A7253" w:rsidRPr="005303F7">
        <w:rPr>
          <w:rFonts w:ascii="Times New Roman" w:hAnsi="Times New Roman"/>
          <w:sz w:val="24"/>
          <w:lang w:val="sr-Cyrl-CS"/>
        </w:rPr>
        <w:t>У</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складу</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са</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обавезом</w:t>
      </w:r>
      <w:r w:rsidR="00945840" w:rsidRPr="005303F7">
        <w:rPr>
          <w:lang w:val="sr-Cyrl-CS"/>
        </w:rPr>
        <w:t xml:space="preserve"> </w:t>
      </w:r>
      <w:r w:rsidR="00945840" w:rsidRPr="005303F7">
        <w:rPr>
          <w:rFonts w:ascii="Times New Roman" w:hAnsi="Times New Roman"/>
          <w:sz w:val="24"/>
          <w:lang w:val="sr-Cyrl-CS"/>
        </w:rPr>
        <w:t>из Уговора о оснивању Ен</w:t>
      </w:r>
      <w:r w:rsidR="00563CD9" w:rsidRPr="005303F7">
        <w:rPr>
          <w:rFonts w:ascii="Times New Roman" w:hAnsi="Times New Roman"/>
          <w:sz w:val="24"/>
          <w:lang w:val="sr-Cyrl-CS"/>
        </w:rPr>
        <w:t>ергетске заједнице</w:t>
      </w:r>
      <w:r w:rsidR="000413C2" w:rsidRPr="005303F7">
        <w:rPr>
          <w:rFonts w:ascii="Times New Roman" w:hAnsi="Times New Roman"/>
          <w:sz w:val="24"/>
          <w:lang w:val="sr-Cyrl-CS"/>
        </w:rPr>
        <w:t xml:space="preserve">, </w:t>
      </w:r>
      <w:r w:rsidRPr="005303F7">
        <w:rPr>
          <w:rFonts w:ascii="Times New Roman" w:hAnsi="Times New Roman"/>
          <w:sz w:val="24"/>
          <w:lang w:val="sr-Cyrl-CS"/>
        </w:rPr>
        <w:t>н</w:t>
      </w:r>
      <w:r w:rsidR="002A7253" w:rsidRPr="005303F7">
        <w:rPr>
          <w:rFonts w:ascii="Times New Roman" w:hAnsi="Times New Roman"/>
          <w:sz w:val="24"/>
          <w:lang w:val="sr-Cyrl-CS"/>
        </w:rPr>
        <w:t>ационални</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акциони</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план</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за</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коришћење</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обновљивих</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извора</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енергије</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0413C2" w:rsidRPr="005303F7">
        <w:rPr>
          <w:rFonts w:ascii="Times New Roman" w:hAnsi="Times New Roman"/>
          <w:sz w:val="24"/>
          <w:lang w:val="sr-Cyrl-CS"/>
        </w:rPr>
        <w:t xml:space="preserve"> </w:t>
      </w:r>
      <w:r w:rsidR="00B171A2" w:rsidRPr="005303F7">
        <w:rPr>
          <w:rFonts w:ascii="Times New Roman" w:hAnsi="Times New Roman"/>
          <w:sz w:val="24"/>
          <w:lang w:val="sr-Cyrl-CS"/>
        </w:rPr>
        <w:t>н</w:t>
      </w:r>
      <w:r w:rsidR="002A7253" w:rsidRPr="005303F7">
        <w:rPr>
          <w:rFonts w:ascii="Times New Roman" w:hAnsi="Times New Roman"/>
          <w:sz w:val="24"/>
          <w:lang w:val="sr-Cyrl-CS"/>
        </w:rPr>
        <w:t>ационални</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акциони</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планови</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за</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енергетску</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ефикасност</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уводе</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мере</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радње</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које</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доводе</w:t>
      </w:r>
      <w:r w:rsidR="00C95316" w:rsidRPr="005303F7">
        <w:rPr>
          <w:rFonts w:ascii="Times New Roman" w:hAnsi="Times New Roman"/>
          <w:sz w:val="24"/>
          <w:lang w:val="sr-Cyrl-CS"/>
        </w:rPr>
        <w:t xml:space="preserve"> </w:t>
      </w:r>
      <w:r w:rsidR="002A7253" w:rsidRPr="005303F7">
        <w:rPr>
          <w:rFonts w:ascii="Times New Roman" w:hAnsi="Times New Roman"/>
          <w:sz w:val="24"/>
          <w:lang w:val="sr-Cyrl-CS"/>
        </w:rPr>
        <w:t>до</w:t>
      </w:r>
      <w:r w:rsidR="00C95316" w:rsidRPr="005303F7">
        <w:rPr>
          <w:rFonts w:ascii="Times New Roman" w:hAnsi="Times New Roman"/>
          <w:sz w:val="24"/>
          <w:lang w:val="sr-Cyrl-CS"/>
        </w:rPr>
        <w:t xml:space="preserve"> </w:t>
      </w:r>
      <w:r w:rsidR="002A7253" w:rsidRPr="005303F7">
        <w:rPr>
          <w:rFonts w:ascii="Times New Roman" w:hAnsi="Times New Roman"/>
          <w:sz w:val="24"/>
          <w:lang w:val="sr-Cyrl-CS"/>
        </w:rPr>
        <w:t>смањења</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емисија</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гасова</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са</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ефектом</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стаклене</w:t>
      </w:r>
      <w:r w:rsidR="000413C2" w:rsidRPr="005303F7">
        <w:rPr>
          <w:rFonts w:ascii="Times New Roman" w:hAnsi="Times New Roman"/>
          <w:sz w:val="24"/>
          <w:lang w:val="sr-Cyrl-CS"/>
        </w:rPr>
        <w:t xml:space="preserve"> </w:t>
      </w:r>
      <w:r w:rsidR="002A7253" w:rsidRPr="005303F7">
        <w:rPr>
          <w:rFonts w:ascii="Times New Roman" w:hAnsi="Times New Roman"/>
          <w:sz w:val="24"/>
          <w:lang w:val="sr-Cyrl-CS"/>
        </w:rPr>
        <w:t>баште</w:t>
      </w:r>
      <w:r w:rsidR="000413C2" w:rsidRPr="005303F7">
        <w:rPr>
          <w:rFonts w:ascii="Times New Roman" w:hAnsi="Times New Roman"/>
          <w:sz w:val="24"/>
          <w:lang w:val="sr-Cyrl-CS"/>
        </w:rPr>
        <w:t>.</w:t>
      </w:r>
      <w:bookmarkStart w:id="7" w:name="_Toc13519494"/>
      <w:bookmarkEnd w:id="7"/>
    </w:p>
    <w:p w14:paraId="4360DB85" w14:textId="0DA7826A" w:rsidR="00FA29E5" w:rsidRPr="005303F7" w:rsidRDefault="0035174D" w:rsidP="00FE004C">
      <w:pPr>
        <w:tabs>
          <w:tab w:val="clear" w:pos="3825"/>
          <w:tab w:val="left" w:pos="720"/>
        </w:tabs>
        <w:spacing w:before="0" w:after="0"/>
        <w:rPr>
          <w:rFonts w:ascii="Times New Roman" w:hAnsi="Times New Roman"/>
          <w:sz w:val="24"/>
          <w:lang w:val="sr-Cyrl-CS"/>
        </w:rPr>
      </w:pPr>
      <w:r w:rsidRPr="005303F7">
        <w:rPr>
          <w:rFonts w:ascii="Times New Roman" w:hAnsi="Times New Roman"/>
          <w:sz w:val="24"/>
          <w:lang w:val="sr-Cyrl-CS"/>
        </w:rPr>
        <w:t xml:space="preserve">           </w:t>
      </w:r>
      <w:r w:rsidR="002A7253" w:rsidRPr="005303F7">
        <w:rPr>
          <w:rFonts w:ascii="Times New Roman" w:hAnsi="Times New Roman"/>
          <w:sz w:val="24"/>
          <w:lang w:val="sr-Cyrl-CS"/>
        </w:rPr>
        <w:t>Емисије</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гасова</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са</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ефектом</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стаклене</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баште</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из</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пољопривреде</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које</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су</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у</w:t>
      </w:r>
      <w:r w:rsidR="00FA29E5" w:rsidRPr="005303F7">
        <w:rPr>
          <w:rFonts w:ascii="Times New Roman" w:hAnsi="Times New Roman"/>
          <w:sz w:val="24"/>
          <w:lang w:val="sr-Cyrl-CS"/>
        </w:rPr>
        <w:t xml:space="preserve"> 2015. </w:t>
      </w:r>
      <w:r w:rsidR="002A7253" w:rsidRPr="005303F7">
        <w:rPr>
          <w:rFonts w:ascii="Times New Roman" w:hAnsi="Times New Roman"/>
          <w:sz w:val="24"/>
          <w:lang w:val="sr-Cyrl-CS"/>
        </w:rPr>
        <w:t>чиниле</w:t>
      </w:r>
      <w:r w:rsidR="00FA29E5" w:rsidRPr="005303F7">
        <w:rPr>
          <w:rFonts w:ascii="Times New Roman" w:hAnsi="Times New Roman"/>
          <w:sz w:val="24"/>
          <w:lang w:val="sr-Cyrl-CS"/>
        </w:rPr>
        <w:t xml:space="preserve"> 8,5% </w:t>
      </w:r>
      <w:r w:rsidR="002A7253" w:rsidRPr="005303F7">
        <w:rPr>
          <w:rFonts w:ascii="Times New Roman" w:hAnsi="Times New Roman"/>
          <w:sz w:val="24"/>
          <w:lang w:val="sr-Cyrl-CS"/>
        </w:rPr>
        <w:t>укупних</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националних</w:t>
      </w:r>
      <w:r w:rsidR="00AF7B81" w:rsidRPr="005303F7">
        <w:rPr>
          <w:rFonts w:ascii="Times New Roman" w:hAnsi="Times New Roman"/>
          <w:sz w:val="24"/>
          <w:lang w:val="sr-Cyrl-CS"/>
        </w:rPr>
        <w:t xml:space="preserve"> </w:t>
      </w:r>
      <w:r w:rsidR="002A7253" w:rsidRPr="005303F7">
        <w:rPr>
          <w:rFonts w:ascii="Times New Roman" w:hAnsi="Times New Roman"/>
          <w:sz w:val="24"/>
          <w:lang w:val="sr-Cyrl-CS"/>
        </w:rPr>
        <w:t>емисија</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потичу</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из</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употребе</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ђубрива</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ентеричне</w:t>
      </w:r>
      <w:r w:rsidR="00250269" w:rsidRPr="005303F7">
        <w:rPr>
          <w:rFonts w:ascii="Times New Roman" w:hAnsi="Times New Roman"/>
          <w:sz w:val="24"/>
          <w:lang w:val="sr-Cyrl-CS"/>
        </w:rPr>
        <w:t xml:space="preserve"> </w:t>
      </w:r>
      <w:r w:rsidR="002A7253" w:rsidRPr="005303F7">
        <w:rPr>
          <w:rFonts w:ascii="Times New Roman" w:hAnsi="Times New Roman"/>
          <w:sz w:val="24"/>
          <w:lang w:val="sr-Cyrl-CS"/>
        </w:rPr>
        <w:t>ферментације</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емисије</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из</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управљања</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стајњаком</w:t>
      </w:r>
      <w:r w:rsidR="00FA29E5" w:rsidRPr="005303F7">
        <w:rPr>
          <w:rFonts w:ascii="Times New Roman" w:hAnsi="Times New Roman"/>
          <w:sz w:val="24"/>
          <w:lang w:val="sr-Cyrl-CS"/>
        </w:rPr>
        <w:t>.</w:t>
      </w:r>
    </w:p>
    <w:p w14:paraId="1F63E25B" w14:textId="7EBE8B0F" w:rsidR="00FA29E5" w:rsidRPr="005303F7" w:rsidRDefault="0035174D" w:rsidP="0029378D">
      <w:pPr>
        <w:spacing w:before="0" w:after="0"/>
        <w:rPr>
          <w:rFonts w:ascii="Times New Roman" w:hAnsi="Times New Roman"/>
          <w:sz w:val="24"/>
          <w:lang w:val="sr-Cyrl-CS"/>
        </w:rPr>
      </w:pPr>
      <w:r w:rsidRPr="005303F7">
        <w:rPr>
          <w:rFonts w:ascii="Times New Roman" w:hAnsi="Times New Roman"/>
          <w:sz w:val="24"/>
          <w:lang w:val="sr-Cyrl-CS"/>
        </w:rPr>
        <w:t xml:space="preserve">            </w:t>
      </w:r>
      <w:r w:rsidR="002A7253" w:rsidRPr="005303F7">
        <w:rPr>
          <w:rFonts w:ascii="Times New Roman" w:hAnsi="Times New Roman"/>
          <w:sz w:val="24"/>
          <w:lang w:val="sr-Cyrl-CS"/>
        </w:rPr>
        <w:t>Стратегија</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пољопривреде</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руралног</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развоја</w:t>
      </w:r>
      <w:r w:rsidR="00FA29E5" w:rsidRPr="005303F7">
        <w:rPr>
          <w:rFonts w:ascii="Times New Roman" w:hAnsi="Times New Roman"/>
          <w:sz w:val="24"/>
          <w:lang w:val="sr-Cyrl-CS"/>
        </w:rPr>
        <w:t xml:space="preserve"> </w:t>
      </w:r>
      <w:r w:rsidR="00D73AAB" w:rsidRPr="005303F7">
        <w:rPr>
          <w:rFonts w:ascii="Times New Roman" w:hAnsi="Times New Roman"/>
          <w:sz w:val="24"/>
          <w:lang w:val="sr-Cyrl-CS"/>
        </w:rPr>
        <w:t>Републике Србије</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за</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период</w:t>
      </w:r>
      <w:r w:rsidR="00FA29E5" w:rsidRPr="005303F7">
        <w:rPr>
          <w:rFonts w:ascii="Times New Roman" w:hAnsi="Times New Roman"/>
          <w:sz w:val="24"/>
          <w:lang w:val="sr-Cyrl-CS"/>
        </w:rPr>
        <w:t xml:space="preserve"> 2014-2024</w:t>
      </w:r>
      <w:r w:rsidR="00654537" w:rsidRPr="005303F7">
        <w:rPr>
          <w:rFonts w:ascii="Times New Roman" w:hAnsi="Times New Roman"/>
          <w:sz w:val="24"/>
          <w:lang w:val="sr-Cyrl-CS"/>
        </w:rPr>
        <w:t xml:space="preserve">. </w:t>
      </w:r>
      <w:r w:rsidR="002A7253" w:rsidRPr="005303F7">
        <w:rPr>
          <w:rFonts w:ascii="Times New Roman" w:hAnsi="Times New Roman"/>
          <w:sz w:val="24"/>
          <w:lang w:val="sr-Cyrl-CS"/>
        </w:rPr>
        <w:t>годин</w:t>
      </w:r>
      <w:r w:rsidR="00DD3E97" w:rsidRPr="005303F7">
        <w:rPr>
          <w:rFonts w:ascii="Times New Roman" w:hAnsi="Times New Roman"/>
          <w:sz w:val="24"/>
          <w:lang w:val="sr-Cyrl-CS"/>
        </w:rPr>
        <w:t>е</w:t>
      </w:r>
      <w:r w:rsidRPr="005303F7">
        <w:rPr>
          <w:rFonts w:ascii="Times New Roman" w:hAnsi="Times New Roman"/>
          <w:sz w:val="24"/>
          <w:lang w:val="sr-Cyrl-CS"/>
        </w:rPr>
        <w:t xml:space="preserve"> („Службени гласник Р</w:t>
      </w:r>
      <w:r w:rsidR="00671CE2" w:rsidRPr="005303F7">
        <w:rPr>
          <w:rFonts w:ascii="Times New Roman" w:hAnsi="Times New Roman"/>
          <w:sz w:val="24"/>
          <w:lang w:val="sr-Cyrl-CS"/>
        </w:rPr>
        <w:t>С”, број 85/</w:t>
      </w:r>
      <w:r w:rsidRPr="005303F7">
        <w:rPr>
          <w:rFonts w:ascii="Times New Roman" w:hAnsi="Times New Roman"/>
          <w:sz w:val="24"/>
          <w:lang w:val="sr-Cyrl-CS"/>
        </w:rPr>
        <w:t>14)</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узима</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у</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обзир</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значај</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климатских</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промена</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као</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спољног</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фактора</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битног</w:t>
      </w:r>
      <w:r w:rsidR="004673E0" w:rsidRPr="005303F7">
        <w:rPr>
          <w:rFonts w:ascii="Times New Roman" w:hAnsi="Times New Roman"/>
          <w:sz w:val="24"/>
          <w:lang w:val="sr-Cyrl-CS"/>
        </w:rPr>
        <w:t xml:space="preserve"> </w:t>
      </w:r>
      <w:r w:rsidR="002A7253" w:rsidRPr="005303F7">
        <w:rPr>
          <w:rFonts w:ascii="Times New Roman" w:hAnsi="Times New Roman"/>
          <w:sz w:val="24"/>
          <w:lang w:val="sr-Cyrl-CS"/>
        </w:rPr>
        <w:t>за</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пољопривредну</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производњу</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У</w:t>
      </w:r>
      <w:r w:rsidR="00FA29E5" w:rsidRPr="005303F7">
        <w:rPr>
          <w:rFonts w:ascii="Times New Roman" w:hAnsi="Times New Roman"/>
          <w:sz w:val="24"/>
          <w:lang w:val="sr-Cyrl-CS"/>
        </w:rPr>
        <w:t xml:space="preserve"> </w:t>
      </w:r>
      <w:r w:rsidRPr="005303F7">
        <w:rPr>
          <w:rFonts w:ascii="Times New Roman" w:hAnsi="Times New Roman"/>
          <w:sz w:val="24"/>
          <w:lang w:val="sr-Cyrl-CS"/>
        </w:rPr>
        <w:t xml:space="preserve">овој стратегији </w:t>
      </w:r>
      <w:r w:rsidR="002A7253" w:rsidRPr="005303F7">
        <w:rPr>
          <w:rFonts w:ascii="Times New Roman" w:hAnsi="Times New Roman"/>
          <w:sz w:val="24"/>
          <w:lang w:val="sr-Cyrl-CS"/>
        </w:rPr>
        <w:t>се</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помињу</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важност</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прилагођавања</w:t>
      </w:r>
      <w:r w:rsidR="00EC3123"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употребе</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остатака</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отпада</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биомасе</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као</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обновљивих</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извора</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енергије</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као</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општи</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утицаји</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пољопривреде</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на</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емисије</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гасова</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са</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ефектом</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стаклене</w:t>
      </w:r>
      <w:r w:rsidR="00FA29E5" w:rsidRPr="005303F7">
        <w:rPr>
          <w:rFonts w:ascii="Times New Roman" w:hAnsi="Times New Roman"/>
          <w:sz w:val="24"/>
          <w:lang w:val="sr-Cyrl-CS"/>
        </w:rPr>
        <w:t xml:space="preserve"> </w:t>
      </w:r>
      <w:r w:rsidR="002A7253" w:rsidRPr="005303F7">
        <w:rPr>
          <w:rFonts w:ascii="Times New Roman" w:hAnsi="Times New Roman"/>
          <w:sz w:val="24"/>
          <w:lang w:val="sr-Cyrl-CS"/>
        </w:rPr>
        <w:t>баште</w:t>
      </w:r>
      <w:r w:rsidR="00FA29E5" w:rsidRPr="005303F7">
        <w:rPr>
          <w:rFonts w:ascii="Times New Roman" w:hAnsi="Times New Roman"/>
          <w:sz w:val="24"/>
          <w:lang w:val="sr-Cyrl-CS"/>
        </w:rPr>
        <w:t>.</w:t>
      </w:r>
    </w:p>
    <w:p w14:paraId="505CD2AA" w14:textId="3463C393" w:rsidR="001D510D" w:rsidRPr="005303F7" w:rsidRDefault="0035174D" w:rsidP="0029378D">
      <w:pPr>
        <w:spacing w:before="0" w:after="0"/>
        <w:rPr>
          <w:rFonts w:ascii="Times New Roman" w:hAnsi="Times New Roman"/>
          <w:sz w:val="24"/>
          <w:lang w:val="sr-Cyrl-CS"/>
        </w:rPr>
      </w:pPr>
      <w:r w:rsidRPr="005303F7">
        <w:rPr>
          <w:rFonts w:ascii="Times New Roman" w:hAnsi="Times New Roman"/>
          <w:sz w:val="24"/>
          <w:lang w:val="sr-Cyrl-CS"/>
        </w:rPr>
        <w:t xml:space="preserve">            </w:t>
      </w:r>
      <w:r w:rsidR="002A7253" w:rsidRPr="005303F7">
        <w:rPr>
          <w:rFonts w:ascii="Times New Roman" w:hAnsi="Times New Roman"/>
          <w:sz w:val="24"/>
          <w:lang w:val="sr-Cyrl-CS"/>
        </w:rPr>
        <w:t>Српска</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пољопривредна</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политика</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практикује</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различите</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врсте</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субвенција</w:t>
      </w:r>
      <w:r w:rsidR="0033471A" w:rsidRPr="005303F7">
        <w:rPr>
          <w:rFonts w:ascii="Times New Roman" w:hAnsi="Times New Roman"/>
          <w:sz w:val="24"/>
          <w:lang w:val="sr-Cyrl-CS"/>
        </w:rPr>
        <w:t xml:space="preserve">. </w:t>
      </w:r>
      <w:r w:rsidR="002A7253" w:rsidRPr="005303F7">
        <w:rPr>
          <w:rFonts w:ascii="Times New Roman" w:hAnsi="Times New Roman"/>
          <w:sz w:val="24"/>
          <w:lang w:val="sr-Cyrl-CS"/>
        </w:rPr>
        <w:t>Неке</w:t>
      </w:r>
      <w:r w:rsidR="0033471A" w:rsidRPr="005303F7">
        <w:rPr>
          <w:rFonts w:ascii="Times New Roman" w:hAnsi="Times New Roman"/>
          <w:sz w:val="24"/>
          <w:lang w:val="sr-Cyrl-CS"/>
        </w:rPr>
        <w:t xml:space="preserve"> </w:t>
      </w:r>
      <w:r w:rsidR="002A7253" w:rsidRPr="005303F7">
        <w:rPr>
          <w:rFonts w:ascii="Times New Roman" w:hAnsi="Times New Roman"/>
          <w:sz w:val="24"/>
          <w:lang w:val="sr-Cyrl-CS"/>
        </w:rPr>
        <w:t>од</w:t>
      </w:r>
      <w:r w:rsidR="0033471A" w:rsidRPr="005303F7">
        <w:rPr>
          <w:rFonts w:ascii="Times New Roman" w:hAnsi="Times New Roman"/>
          <w:sz w:val="24"/>
          <w:lang w:val="sr-Cyrl-CS"/>
        </w:rPr>
        <w:t xml:space="preserve"> </w:t>
      </w:r>
      <w:r w:rsidR="002A7253" w:rsidRPr="005303F7">
        <w:rPr>
          <w:rFonts w:ascii="Times New Roman" w:hAnsi="Times New Roman"/>
          <w:sz w:val="24"/>
          <w:lang w:val="sr-Cyrl-CS"/>
        </w:rPr>
        <w:t>њих</w:t>
      </w:r>
      <w:r w:rsidR="0033471A" w:rsidRPr="005303F7">
        <w:rPr>
          <w:rFonts w:ascii="Times New Roman" w:hAnsi="Times New Roman"/>
          <w:sz w:val="24"/>
          <w:lang w:val="sr-Cyrl-CS"/>
        </w:rPr>
        <w:t xml:space="preserve"> (</w:t>
      </w:r>
      <w:r w:rsidR="002A7253" w:rsidRPr="005303F7">
        <w:rPr>
          <w:rFonts w:ascii="Times New Roman" w:hAnsi="Times New Roman"/>
          <w:sz w:val="24"/>
          <w:lang w:val="sr-Cyrl-CS"/>
        </w:rPr>
        <w:t>нпр</w:t>
      </w:r>
      <w:r w:rsidR="0033471A" w:rsidRPr="005303F7">
        <w:rPr>
          <w:rFonts w:ascii="Times New Roman" w:hAnsi="Times New Roman"/>
          <w:sz w:val="24"/>
          <w:lang w:val="sr-Cyrl-CS"/>
        </w:rPr>
        <w:t xml:space="preserve">. </w:t>
      </w:r>
      <w:r w:rsidR="002A7253" w:rsidRPr="005303F7">
        <w:rPr>
          <w:rFonts w:ascii="Times New Roman" w:hAnsi="Times New Roman"/>
          <w:sz w:val="24"/>
          <w:lang w:val="sr-Cyrl-CS"/>
        </w:rPr>
        <w:t>за</w:t>
      </w:r>
      <w:r w:rsidR="00E64AB3" w:rsidRPr="005303F7">
        <w:rPr>
          <w:rFonts w:ascii="Times New Roman" w:hAnsi="Times New Roman"/>
          <w:sz w:val="24"/>
          <w:lang w:val="sr-Cyrl-CS"/>
        </w:rPr>
        <w:t xml:space="preserve"> </w:t>
      </w:r>
      <w:r w:rsidR="002A7253" w:rsidRPr="005303F7">
        <w:rPr>
          <w:rFonts w:ascii="Times New Roman" w:hAnsi="Times New Roman"/>
          <w:sz w:val="24"/>
          <w:lang w:val="sr-Cyrl-CS"/>
        </w:rPr>
        <w:t>бољу</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механизацију</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побољшано</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управљање</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стајским</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ђубривом</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коришћење</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обновљивих</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извора</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енергије</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потенцијално</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ће</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допринети</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смањењу</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емисија</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гасова</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са</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ефектом</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стаклене</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баште</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прилагођавању</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нпр</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системи</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за</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наводњавање</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Међутим</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не</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постоје</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дефинисани</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циљеви</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у</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погледу</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смањења</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емисија</w:t>
      </w:r>
      <w:r w:rsidR="00BA7885" w:rsidRPr="005303F7">
        <w:rPr>
          <w:rFonts w:ascii="Times New Roman" w:hAnsi="Times New Roman"/>
          <w:sz w:val="24"/>
          <w:lang w:val="sr-Cyrl-CS"/>
        </w:rPr>
        <w:t xml:space="preserve"> </w:t>
      </w:r>
      <w:r w:rsidR="00BB4BD8" w:rsidRPr="005303F7">
        <w:rPr>
          <w:rFonts w:ascii="Times New Roman" w:hAnsi="Times New Roman"/>
          <w:sz w:val="24"/>
          <w:lang w:val="sr-Cyrl-CS"/>
        </w:rPr>
        <w:t>GHG</w:t>
      </w:r>
      <w:r w:rsidR="00586063"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рањивости</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или</w:t>
      </w:r>
      <w:r w:rsidR="006B28BA" w:rsidRPr="005303F7">
        <w:rPr>
          <w:rFonts w:ascii="Times New Roman" w:hAnsi="Times New Roman"/>
          <w:sz w:val="24"/>
          <w:lang w:val="sr-Cyrl-CS"/>
        </w:rPr>
        <w:t xml:space="preserve"> </w:t>
      </w:r>
      <w:r w:rsidR="002A7253" w:rsidRPr="005303F7">
        <w:rPr>
          <w:rFonts w:ascii="Times New Roman" w:hAnsi="Times New Roman"/>
          <w:sz w:val="24"/>
          <w:lang w:val="sr-Cyrl-CS"/>
        </w:rPr>
        <w:t>прилагођавања</w:t>
      </w:r>
      <w:r w:rsidR="00EC219B" w:rsidRPr="005303F7">
        <w:rPr>
          <w:rFonts w:ascii="Times New Roman" w:hAnsi="Times New Roman"/>
          <w:sz w:val="24"/>
          <w:szCs w:val="22"/>
          <w:lang w:val="sr-Cyrl-CS"/>
        </w:rPr>
        <w:t>.</w:t>
      </w:r>
    </w:p>
    <w:p w14:paraId="7B7012CC" w14:textId="66252EEF" w:rsidR="00DB22A9" w:rsidRPr="005303F7" w:rsidRDefault="0035174D" w:rsidP="00FA29E5">
      <w:pPr>
        <w:spacing w:before="0" w:after="0"/>
        <w:rPr>
          <w:rFonts w:ascii="Times New Roman" w:hAnsi="Times New Roman"/>
          <w:sz w:val="24"/>
          <w:lang w:val="sr-Cyrl-CS"/>
        </w:rPr>
      </w:pPr>
      <w:r w:rsidRPr="005303F7">
        <w:rPr>
          <w:rFonts w:ascii="Times New Roman" w:hAnsi="Times New Roman"/>
          <w:sz w:val="24"/>
          <w:lang w:val="sr-Cyrl-CS"/>
        </w:rPr>
        <w:t xml:space="preserve">             </w:t>
      </w:r>
      <w:r w:rsidR="002A7253" w:rsidRPr="005303F7">
        <w:rPr>
          <w:rFonts w:ascii="Times New Roman" w:hAnsi="Times New Roman"/>
          <w:sz w:val="24"/>
          <w:lang w:val="sr-Cyrl-CS"/>
        </w:rPr>
        <w:t>Шуме</w:t>
      </w:r>
      <w:r w:rsidR="000500F2" w:rsidRPr="005303F7">
        <w:rPr>
          <w:rFonts w:ascii="Times New Roman" w:hAnsi="Times New Roman"/>
          <w:sz w:val="24"/>
          <w:lang w:val="sr-Cyrl-CS"/>
        </w:rPr>
        <w:t xml:space="preserve"> </w:t>
      </w:r>
      <w:r w:rsidR="002A7253" w:rsidRPr="005303F7">
        <w:rPr>
          <w:rFonts w:ascii="Times New Roman" w:hAnsi="Times New Roman"/>
          <w:sz w:val="24"/>
          <w:lang w:val="sr-Cyrl-CS"/>
        </w:rPr>
        <w:t>у</w:t>
      </w:r>
      <w:r w:rsidR="000500F2" w:rsidRPr="005303F7">
        <w:rPr>
          <w:rFonts w:ascii="Times New Roman" w:hAnsi="Times New Roman"/>
          <w:sz w:val="24"/>
          <w:lang w:val="sr-Cyrl-CS"/>
        </w:rPr>
        <w:t xml:space="preserve"> </w:t>
      </w:r>
      <w:r w:rsidR="00D73AAB" w:rsidRPr="005303F7">
        <w:rPr>
          <w:rFonts w:ascii="Times New Roman" w:hAnsi="Times New Roman"/>
          <w:sz w:val="24"/>
          <w:lang w:val="sr-Cyrl-CS"/>
        </w:rPr>
        <w:t>Републици Србији</w:t>
      </w:r>
      <w:r w:rsidR="00CB2C0F" w:rsidRPr="005303F7">
        <w:rPr>
          <w:rFonts w:ascii="Times New Roman" w:hAnsi="Times New Roman"/>
          <w:sz w:val="24"/>
          <w:lang w:val="sr-Cyrl-CS"/>
        </w:rPr>
        <w:t xml:space="preserve"> </w:t>
      </w:r>
      <w:r w:rsidR="002A7253" w:rsidRPr="005303F7">
        <w:rPr>
          <w:rFonts w:ascii="Times New Roman" w:hAnsi="Times New Roman"/>
          <w:sz w:val="24"/>
          <w:lang w:val="sr-Cyrl-CS"/>
        </w:rPr>
        <w:t>доприносе</w:t>
      </w:r>
      <w:r w:rsidR="00CB2C0F" w:rsidRPr="005303F7">
        <w:rPr>
          <w:rFonts w:ascii="Times New Roman" w:hAnsi="Times New Roman"/>
          <w:sz w:val="24"/>
          <w:lang w:val="sr-Cyrl-CS"/>
        </w:rPr>
        <w:t xml:space="preserve"> </w:t>
      </w:r>
      <w:r w:rsidR="002A7253" w:rsidRPr="005303F7">
        <w:rPr>
          <w:rFonts w:ascii="Times New Roman" w:hAnsi="Times New Roman"/>
          <w:sz w:val="24"/>
          <w:lang w:val="sr-Cyrl-CS"/>
        </w:rPr>
        <w:t>уклањању</w:t>
      </w:r>
      <w:r w:rsidR="00CB2C0F" w:rsidRPr="005303F7">
        <w:rPr>
          <w:rFonts w:ascii="Times New Roman" w:hAnsi="Times New Roman"/>
          <w:sz w:val="24"/>
          <w:lang w:val="sr-Cyrl-CS"/>
        </w:rPr>
        <w:t xml:space="preserve"> </w:t>
      </w:r>
      <w:r w:rsidR="002A7253" w:rsidRPr="005303F7">
        <w:rPr>
          <w:rFonts w:ascii="Times New Roman" w:hAnsi="Times New Roman"/>
          <w:sz w:val="24"/>
          <w:lang w:val="sr-Cyrl-CS"/>
        </w:rPr>
        <w:t>угљен</w:t>
      </w:r>
      <w:r w:rsidR="00CB2C0F" w:rsidRPr="005303F7">
        <w:rPr>
          <w:rFonts w:ascii="Times New Roman" w:hAnsi="Times New Roman"/>
          <w:sz w:val="24"/>
          <w:lang w:val="sr-Cyrl-CS"/>
        </w:rPr>
        <w:t>-</w:t>
      </w:r>
      <w:r w:rsidR="002A7253" w:rsidRPr="005303F7">
        <w:rPr>
          <w:rFonts w:ascii="Times New Roman" w:hAnsi="Times New Roman"/>
          <w:sz w:val="24"/>
          <w:lang w:val="sr-Cyrl-CS"/>
        </w:rPr>
        <w:t>диоксида</w:t>
      </w:r>
      <w:r w:rsidR="00CB2C0F" w:rsidRPr="005303F7">
        <w:rPr>
          <w:rFonts w:ascii="Times New Roman" w:hAnsi="Times New Roman"/>
          <w:sz w:val="24"/>
          <w:lang w:val="sr-Cyrl-CS"/>
        </w:rPr>
        <w:t xml:space="preserve"> </w:t>
      </w:r>
      <w:r w:rsidR="002A7253" w:rsidRPr="005303F7">
        <w:rPr>
          <w:rFonts w:ascii="Times New Roman" w:hAnsi="Times New Roman"/>
          <w:sz w:val="24"/>
          <w:lang w:val="sr-Cyrl-CS"/>
        </w:rPr>
        <w:t>из</w:t>
      </w:r>
      <w:r w:rsidR="00CB2C0F" w:rsidRPr="005303F7">
        <w:rPr>
          <w:rFonts w:ascii="Times New Roman" w:hAnsi="Times New Roman"/>
          <w:sz w:val="24"/>
          <w:lang w:val="sr-Cyrl-CS"/>
        </w:rPr>
        <w:t xml:space="preserve"> </w:t>
      </w:r>
      <w:r w:rsidR="002A7253" w:rsidRPr="005303F7">
        <w:rPr>
          <w:rFonts w:ascii="Times New Roman" w:hAnsi="Times New Roman"/>
          <w:sz w:val="24"/>
          <w:lang w:val="sr-Cyrl-CS"/>
        </w:rPr>
        <w:t>атмосфере</w:t>
      </w:r>
      <w:r w:rsidR="00CB2C0F" w:rsidRPr="005303F7">
        <w:rPr>
          <w:rFonts w:ascii="Times New Roman" w:hAnsi="Times New Roman"/>
          <w:sz w:val="24"/>
          <w:lang w:val="sr-Cyrl-CS"/>
        </w:rPr>
        <w:t xml:space="preserve"> </w:t>
      </w:r>
      <w:r w:rsidR="002A7253" w:rsidRPr="005303F7">
        <w:rPr>
          <w:rFonts w:ascii="Times New Roman" w:hAnsi="Times New Roman"/>
          <w:sz w:val="24"/>
          <w:lang w:val="sr-Cyrl-CS"/>
        </w:rPr>
        <w:t>фотосинтезом</w:t>
      </w:r>
      <w:r w:rsidR="00CB2C0F" w:rsidRPr="005303F7">
        <w:rPr>
          <w:rFonts w:ascii="Times New Roman" w:hAnsi="Times New Roman"/>
          <w:sz w:val="24"/>
          <w:lang w:val="sr-Cyrl-CS"/>
        </w:rPr>
        <w:t xml:space="preserve"> </w:t>
      </w:r>
      <w:r w:rsidR="001D510D" w:rsidRPr="005303F7">
        <w:rPr>
          <w:rFonts w:ascii="Times New Roman" w:hAnsi="Times New Roman"/>
          <w:sz w:val="24"/>
          <w:lang w:val="sr-Cyrl-CS"/>
        </w:rPr>
        <w:t>(</w:t>
      </w:r>
      <w:r w:rsidR="002A7253" w:rsidRPr="005303F7">
        <w:rPr>
          <w:rFonts w:ascii="Times New Roman" w:hAnsi="Times New Roman"/>
          <w:sz w:val="24"/>
          <w:lang w:val="sr-Cyrl-CS"/>
        </w:rPr>
        <w:t>такозвани</w:t>
      </w:r>
      <w:r w:rsidR="003704C1" w:rsidRPr="005303F7">
        <w:rPr>
          <w:rFonts w:ascii="Times New Roman" w:hAnsi="Times New Roman"/>
          <w:sz w:val="24"/>
          <w:lang w:val="sr-Cyrl-CS"/>
        </w:rPr>
        <w:t xml:space="preserve"> </w:t>
      </w:r>
      <w:r w:rsidR="002A7253" w:rsidRPr="005303F7">
        <w:rPr>
          <w:rFonts w:ascii="Times New Roman" w:hAnsi="Times New Roman"/>
          <w:sz w:val="24"/>
          <w:lang w:val="sr-Cyrl-CS"/>
        </w:rPr>
        <w:t>понор</w:t>
      </w:r>
      <w:r w:rsidR="003704C1" w:rsidRPr="005303F7">
        <w:rPr>
          <w:rFonts w:ascii="Times New Roman" w:hAnsi="Times New Roman"/>
          <w:sz w:val="24"/>
          <w:lang w:val="sr-Cyrl-CS"/>
        </w:rPr>
        <w:t xml:space="preserve"> </w:t>
      </w:r>
      <w:r w:rsidR="002A7253" w:rsidRPr="005303F7">
        <w:rPr>
          <w:rFonts w:ascii="Times New Roman" w:hAnsi="Times New Roman"/>
          <w:sz w:val="24"/>
          <w:lang w:val="sr-Cyrl-CS"/>
        </w:rPr>
        <w:t>или</w:t>
      </w:r>
      <w:r w:rsidR="000500F2" w:rsidRPr="005303F7">
        <w:rPr>
          <w:rFonts w:ascii="Times New Roman" w:hAnsi="Times New Roman"/>
          <w:sz w:val="24"/>
          <w:lang w:val="sr-Cyrl-CS"/>
        </w:rPr>
        <w:t xml:space="preserve"> </w:t>
      </w:r>
      <w:r w:rsidR="002A7253" w:rsidRPr="005303F7">
        <w:rPr>
          <w:rFonts w:ascii="Times New Roman" w:hAnsi="Times New Roman"/>
          <w:sz w:val="24"/>
          <w:lang w:val="sr-Cyrl-CS"/>
        </w:rPr>
        <w:t>секвестрација</w:t>
      </w:r>
      <w:r w:rsidR="000500F2" w:rsidRPr="005303F7">
        <w:rPr>
          <w:rFonts w:ascii="Times New Roman" w:hAnsi="Times New Roman"/>
          <w:sz w:val="24"/>
          <w:lang w:val="sr-Cyrl-CS"/>
        </w:rPr>
        <w:t xml:space="preserve"> </w:t>
      </w:r>
      <w:r w:rsidR="002A7253" w:rsidRPr="005303F7">
        <w:rPr>
          <w:rFonts w:ascii="Times New Roman" w:hAnsi="Times New Roman"/>
          <w:sz w:val="24"/>
          <w:lang w:val="sr-Cyrl-CS"/>
        </w:rPr>
        <w:t>угљеника</w:t>
      </w:r>
      <w:r w:rsidR="001D510D" w:rsidRPr="005303F7">
        <w:rPr>
          <w:rFonts w:ascii="Times New Roman" w:hAnsi="Times New Roman"/>
          <w:sz w:val="24"/>
          <w:lang w:val="sr-Cyrl-CS"/>
        </w:rPr>
        <w:t xml:space="preserve">). </w:t>
      </w:r>
      <w:r w:rsidR="002A7253" w:rsidRPr="005303F7">
        <w:rPr>
          <w:rFonts w:ascii="Times New Roman" w:hAnsi="Times New Roman"/>
          <w:sz w:val="24"/>
          <w:lang w:val="sr-Cyrl-CS"/>
        </w:rPr>
        <w:t>У</w:t>
      </w:r>
      <w:r w:rsidR="005033B2" w:rsidRPr="005303F7">
        <w:rPr>
          <w:rFonts w:ascii="Times New Roman" w:hAnsi="Times New Roman"/>
          <w:sz w:val="24"/>
          <w:lang w:val="sr-Cyrl-CS"/>
        </w:rPr>
        <w:t xml:space="preserve"> 2015. </w:t>
      </w:r>
      <w:r w:rsidR="002A7253" w:rsidRPr="005303F7">
        <w:rPr>
          <w:rFonts w:ascii="Times New Roman" w:hAnsi="Times New Roman"/>
          <w:sz w:val="24"/>
          <w:lang w:val="sr-Cyrl-CS"/>
        </w:rPr>
        <w:t>години</w:t>
      </w:r>
      <w:r w:rsidR="001D510D" w:rsidRPr="005303F7">
        <w:rPr>
          <w:rFonts w:ascii="Times New Roman" w:hAnsi="Times New Roman"/>
          <w:sz w:val="24"/>
          <w:lang w:val="sr-Cyrl-CS"/>
        </w:rPr>
        <w:t xml:space="preserve">, </w:t>
      </w:r>
      <w:r w:rsidR="002A7253" w:rsidRPr="005303F7">
        <w:rPr>
          <w:rFonts w:ascii="Times New Roman" w:hAnsi="Times New Roman"/>
          <w:sz w:val="24"/>
          <w:lang w:val="sr-Cyrl-CS"/>
        </w:rPr>
        <w:t>количина</w:t>
      </w:r>
      <w:r w:rsidR="001D510D" w:rsidRPr="005303F7">
        <w:rPr>
          <w:rFonts w:ascii="Times New Roman" w:hAnsi="Times New Roman"/>
          <w:sz w:val="24"/>
          <w:lang w:val="sr-Cyrl-CS"/>
        </w:rPr>
        <w:t xml:space="preserve"> </w:t>
      </w:r>
      <w:r w:rsidR="001D510D" w:rsidRPr="005303F7">
        <w:rPr>
          <w:rFonts w:ascii="Times New Roman" w:hAnsi="Times New Roman"/>
          <w:sz w:val="24"/>
          <w:lang w:val="sr-Cyrl-CS"/>
        </w:rPr>
        <w:lastRenderedPageBreak/>
        <w:t>CO</w:t>
      </w:r>
      <w:r w:rsidR="001D510D" w:rsidRPr="005303F7">
        <w:rPr>
          <w:rFonts w:ascii="Times New Roman" w:hAnsi="Times New Roman"/>
          <w:sz w:val="24"/>
          <w:vertAlign w:val="subscript"/>
          <w:lang w:val="sr-Cyrl-CS"/>
        </w:rPr>
        <w:t>2</w:t>
      </w:r>
      <w:r w:rsidR="001D510D" w:rsidRPr="005303F7">
        <w:rPr>
          <w:rFonts w:ascii="Times New Roman" w:hAnsi="Times New Roman"/>
          <w:sz w:val="24"/>
          <w:lang w:val="sr-Cyrl-CS"/>
        </w:rPr>
        <w:t xml:space="preserve"> </w:t>
      </w:r>
      <w:r w:rsidR="002A7253" w:rsidRPr="005303F7">
        <w:rPr>
          <w:rFonts w:ascii="Times New Roman" w:hAnsi="Times New Roman"/>
          <w:sz w:val="24"/>
          <w:lang w:val="sr-Cyrl-CS"/>
        </w:rPr>
        <w:t>која</w:t>
      </w:r>
      <w:r w:rsidR="005033B2" w:rsidRPr="005303F7">
        <w:rPr>
          <w:rFonts w:ascii="Times New Roman" w:hAnsi="Times New Roman"/>
          <w:sz w:val="24"/>
          <w:lang w:val="sr-Cyrl-CS"/>
        </w:rPr>
        <w:t xml:space="preserve"> </w:t>
      </w:r>
      <w:r w:rsidR="002A7253" w:rsidRPr="005303F7">
        <w:rPr>
          <w:rFonts w:ascii="Times New Roman" w:hAnsi="Times New Roman"/>
          <w:sz w:val="24"/>
          <w:lang w:val="sr-Cyrl-CS"/>
        </w:rPr>
        <w:t>је</w:t>
      </w:r>
      <w:r w:rsidR="005033B2" w:rsidRPr="005303F7">
        <w:rPr>
          <w:rFonts w:ascii="Times New Roman" w:hAnsi="Times New Roman"/>
          <w:sz w:val="24"/>
          <w:lang w:val="sr-Cyrl-CS"/>
        </w:rPr>
        <w:t xml:space="preserve"> </w:t>
      </w:r>
      <w:r w:rsidR="002A7253" w:rsidRPr="005303F7">
        <w:rPr>
          <w:rFonts w:ascii="Times New Roman" w:hAnsi="Times New Roman"/>
          <w:sz w:val="24"/>
          <w:lang w:val="sr-Cyrl-CS"/>
        </w:rPr>
        <w:t>уклоњена</w:t>
      </w:r>
      <w:r w:rsidR="005033B2" w:rsidRPr="005303F7">
        <w:rPr>
          <w:rFonts w:ascii="Times New Roman" w:hAnsi="Times New Roman"/>
          <w:sz w:val="24"/>
          <w:lang w:val="sr-Cyrl-CS"/>
        </w:rPr>
        <w:t xml:space="preserve"> </w:t>
      </w:r>
      <w:r w:rsidR="002A7253" w:rsidRPr="005303F7">
        <w:rPr>
          <w:rFonts w:ascii="Times New Roman" w:hAnsi="Times New Roman"/>
          <w:sz w:val="24"/>
          <w:lang w:val="sr-Cyrl-CS"/>
        </w:rPr>
        <w:t>из</w:t>
      </w:r>
      <w:r w:rsidR="005033B2" w:rsidRPr="005303F7">
        <w:rPr>
          <w:rFonts w:ascii="Times New Roman" w:hAnsi="Times New Roman"/>
          <w:sz w:val="24"/>
          <w:lang w:val="sr-Cyrl-CS"/>
        </w:rPr>
        <w:t xml:space="preserve"> </w:t>
      </w:r>
      <w:r w:rsidR="002A7253" w:rsidRPr="005303F7">
        <w:rPr>
          <w:rFonts w:ascii="Times New Roman" w:hAnsi="Times New Roman"/>
          <w:sz w:val="24"/>
          <w:lang w:val="sr-Cyrl-CS"/>
        </w:rPr>
        <w:t>атмосфере</w:t>
      </w:r>
      <w:r w:rsidR="001D510D" w:rsidRPr="005303F7">
        <w:rPr>
          <w:rFonts w:ascii="Times New Roman" w:hAnsi="Times New Roman"/>
          <w:sz w:val="24"/>
          <w:lang w:val="sr-Cyrl-CS"/>
        </w:rPr>
        <w:t xml:space="preserve"> </w:t>
      </w:r>
      <w:r w:rsidR="002A7253" w:rsidRPr="005303F7">
        <w:rPr>
          <w:rFonts w:ascii="Times New Roman" w:hAnsi="Times New Roman"/>
          <w:sz w:val="24"/>
          <w:lang w:val="sr-Cyrl-CS"/>
        </w:rPr>
        <w:t>захваљујући</w:t>
      </w:r>
      <w:r w:rsidR="005033B2" w:rsidRPr="005303F7">
        <w:rPr>
          <w:rFonts w:ascii="Times New Roman" w:hAnsi="Times New Roman"/>
          <w:sz w:val="24"/>
          <w:lang w:val="sr-Cyrl-CS"/>
        </w:rPr>
        <w:t xml:space="preserve"> </w:t>
      </w:r>
      <w:r w:rsidR="002A7253" w:rsidRPr="005303F7">
        <w:rPr>
          <w:rFonts w:ascii="Times New Roman" w:hAnsi="Times New Roman"/>
          <w:sz w:val="24"/>
          <w:lang w:val="sr-Cyrl-CS"/>
        </w:rPr>
        <w:t>шумама</w:t>
      </w:r>
      <w:r w:rsidR="005033B2" w:rsidRPr="005303F7">
        <w:rPr>
          <w:rFonts w:ascii="Times New Roman" w:hAnsi="Times New Roman"/>
          <w:sz w:val="24"/>
          <w:lang w:val="sr-Cyrl-CS"/>
        </w:rPr>
        <w:t xml:space="preserve"> </w:t>
      </w:r>
      <w:r w:rsidR="002A7253" w:rsidRPr="005303F7">
        <w:rPr>
          <w:rFonts w:ascii="Times New Roman" w:hAnsi="Times New Roman"/>
          <w:sz w:val="24"/>
          <w:lang w:val="sr-Cyrl-CS"/>
        </w:rPr>
        <w:t>у</w:t>
      </w:r>
      <w:r w:rsidR="005033B2" w:rsidRPr="005303F7">
        <w:rPr>
          <w:rFonts w:ascii="Times New Roman" w:hAnsi="Times New Roman"/>
          <w:sz w:val="24"/>
          <w:lang w:val="sr-Cyrl-CS"/>
        </w:rPr>
        <w:t xml:space="preserve"> </w:t>
      </w:r>
      <w:r w:rsidR="00D73AAB" w:rsidRPr="005303F7">
        <w:rPr>
          <w:rFonts w:ascii="Times New Roman" w:hAnsi="Times New Roman"/>
          <w:sz w:val="24"/>
          <w:lang w:val="sr-Cyrl-CS"/>
        </w:rPr>
        <w:t>Републици Србији</w:t>
      </w:r>
      <w:r w:rsidR="001D510D" w:rsidRPr="005303F7">
        <w:rPr>
          <w:rStyle w:val="FootnoteReference"/>
          <w:rFonts w:ascii="Times New Roman" w:hAnsi="Times New Roman"/>
          <w:sz w:val="18"/>
          <w:lang w:val="sr-Cyrl-CS"/>
        </w:rPr>
        <w:footnoteReference w:id="8"/>
      </w:r>
      <w:r w:rsidR="001D510D" w:rsidRPr="005303F7">
        <w:rPr>
          <w:rFonts w:ascii="Times New Roman" w:hAnsi="Times New Roman"/>
          <w:sz w:val="24"/>
          <w:lang w:val="sr-Cyrl-CS"/>
        </w:rPr>
        <w:t xml:space="preserve"> </w:t>
      </w:r>
      <w:r w:rsidR="002A7253" w:rsidRPr="005303F7">
        <w:rPr>
          <w:rFonts w:ascii="Times New Roman" w:hAnsi="Times New Roman"/>
          <w:sz w:val="24"/>
          <w:lang w:val="sr-Cyrl-CS"/>
        </w:rPr>
        <w:t>износила</w:t>
      </w:r>
      <w:r w:rsidR="005033B2" w:rsidRPr="005303F7">
        <w:rPr>
          <w:rFonts w:ascii="Times New Roman" w:hAnsi="Times New Roman"/>
          <w:sz w:val="24"/>
          <w:lang w:val="sr-Cyrl-CS"/>
        </w:rPr>
        <w:t xml:space="preserve"> </w:t>
      </w:r>
      <w:r w:rsidR="002A7253" w:rsidRPr="005303F7">
        <w:rPr>
          <w:rFonts w:ascii="Times New Roman" w:hAnsi="Times New Roman"/>
          <w:sz w:val="24"/>
          <w:lang w:val="sr-Cyrl-CS"/>
        </w:rPr>
        <w:t>је</w:t>
      </w:r>
      <w:r w:rsidR="00A71974" w:rsidRPr="005303F7">
        <w:rPr>
          <w:rFonts w:ascii="Times New Roman" w:hAnsi="Times New Roman"/>
          <w:sz w:val="24"/>
          <w:lang w:val="sr-Cyrl-CS"/>
        </w:rPr>
        <w:t xml:space="preserve"> 4.</w:t>
      </w:r>
      <w:r w:rsidR="001D510D" w:rsidRPr="005303F7">
        <w:rPr>
          <w:rFonts w:ascii="Times New Roman" w:hAnsi="Times New Roman"/>
          <w:sz w:val="24"/>
          <w:lang w:val="sr-Cyrl-CS"/>
        </w:rPr>
        <w:t>533 ktCO</w:t>
      </w:r>
      <w:r w:rsidR="001D510D" w:rsidRPr="005303F7">
        <w:rPr>
          <w:rFonts w:ascii="Times New Roman" w:hAnsi="Times New Roman"/>
          <w:sz w:val="24"/>
          <w:vertAlign w:val="subscript"/>
          <w:lang w:val="sr-Cyrl-CS"/>
        </w:rPr>
        <w:t>2,</w:t>
      </w:r>
      <w:r w:rsidR="001D510D" w:rsidRPr="005303F7">
        <w:rPr>
          <w:rFonts w:ascii="Times New Roman" w:hAnsi="Times New Roman"/>
          <w:sz w:val="24"/>
          <w:lang w:val="sr-Cyrl-CS"/>
        </w:rPr>
        <w:t xml:space="preserve"> </w:t>
      </w:r>
      <w:r w:rsidR="002A7253" w:rsidRPr="005303F7">
        <w:rPr>
          <w:rFonts w:ascii="Times New Roman" w:hAnsi="Times New Roman"/>
          <w:sz w:val="24"/>
          <w:lang w:val="sr-Cyrl-CS"/>
        </w:rPr>
        <w:t>што</w:t>
      </w:r>
      <w:r w:rsidR="005033B2" w:rsidRPr="005303F7">
        <w:rPr>
          <w:rFonts w:ascii="Times New Roman" w:hAnsi="Times New Roman"/>
          <w:sz w:val="24"/>
          <w:lang w:val="sr-Cyrl-CS"/>
        </w:rPr>
        <w:t xml:space="preserve"> </w:t>
      </w:r>
      <w:r w:rsidR="002A7253" w:rsidRPr="005303F7">
        <w:rPr>
          <w:rFonts w:ascii="Times New Roman" w:hAnsi="Times New Roman"/>
          <w:sz w:val="24"/>
          <w:lang w:val="sr-Cyrl-CS"/>
        </w:rPr>
        <w:t>може</w:t>
      </w:r>
      <w:r w:rsidR="005033B2" w:rsidRPr="005303F7">
        <w:rPr>
          <w:rFonts w:ascii="Times New Roman" w:hAnsi="Times New Roman"/>
          <w:sz w:val="24"/>
          <w:lang w:val="sr-Cyrl-CS"/>
        </w:rPr>
        <w:t xml:space="preserve"> </w:t>
      </w:r>
      <w:r w:rsidR="002A7253" w:rsidRPr="005303F7">
        <w:rPr>
          <w:rFonts w:ascii="Times New Roman" w:hAnsi="Times New Roman"/>
          <w:sz w:val="24"/>
          <w:lang w:val="sr-Cyrl-CS"/>
        </w:rPr>
        <w:t>да</w:t>
      </w:r>
      <w:r w:rsidR="005033B2" w:rsidRPr="005303F7">
        <w:rPr>
          <w:rFonts w:ascii="Times New Roman" w:hAnsi="Times New Roman"/>
          <w:sz w:val="24"/>
          <w:lang w:val="sr-Cyrl-CS"/>
        </w:rPr>
        <w:t xml:space="preserve"> </w:t>
      </w:r>
      <w:r w:rsidR="002A7253" w:rsidRPr="005303F7">
        <w:rPr>
          <w:rFonts w:ascii="Times New Roman" w:hAnsi="Times New Roman"/>
          <w:sz w:val="24"/>
          <w:lang w:val="sr-Cyrl-CS"/>
        </w:rPr>
        <w:t>компензује</w:t>
      </w:r>
      <w:r w:rsidR="001D510D" w:rsidRPr="005303F7">
        <w:rPr>
          <w:rFonts w:ascii="Times New Roman" w:hAnsi="Times New Roman"/>
          <w:sz w:val="24"/>
          <w:lang w:val="sr-Cyrl-CS"/>
        </w:rPr>
        <w:t xml:space="preserve"> 7,4% </w:t>
      </w:r>
      <w:r w:rsidR="002A7253" w:rsidRPr="005303F7">
        <w:rPr>
          <w:rFonts w:ascii="Times New Roman" w:hAnsi="Times New Roman"/>
          <w:sz w:val="24"/>
          <w:lang w:val="sr-Cyrl-CS"/>
        </w:rPr>
        <w:t>српских</w:t>
      </w:r>
      <w:r w:rsidR="005033B2" w:rsidRPr="005303F7">
        <w:rPr>
          <w:rFonts w:ascii="Times New Roman" w:hAnsi="Times New Roman"/>
          <w:sz w:val="24"/>
          <w:lang w:val="sr-Cyrl-CS"/>
        </w:rPr>
        <w:t xml:space="preserve"> </w:t>
      </w:r>
      <w:r w:rsidR="002A7253" w:rsidRPr="005303F7">
        <w:rPr>
          <w:rFonts w:ascii="Times New Roman" w:hAnsi="Times New Roman"/>
          <w:sz w:val="24"/>
          <w:lang w:val="sr-Cyrl-CS"/>
        </w:rPr>
        <w:t>емисија</w:t>
      </w:r>
      <w:r w:rsidR="00DB22A9" w:rsidRPr="005303F7">
        <w:rPr>
          <w:rFonts w:ascii="Times New Roman" w:hAnsi="Times New Roman"/>
          <w:sz w:val="24"/>
          <w:lang w:val="sr-Cyrl-CS"/>
        </w:rPr>
        <w:t>.</w:t>
      </w:r>
    </w:p>
    <w:p w14:paraId="791095AB" w14:textId="6309D1FA" w:rsidR="008C6B45" w:rsidRPr="005303F7" w:rsidRDefault="006C5198" w:rsidP="00FA29E5">
      <w:pPr>
        <w:spacing w:before="0" w:after="0"/>
        <w:rPr>
          <w:rFonts w:ascii="Times New Roman" w:hAnsi="Times New Roman"/>
          <w:sz w:val="24"/>
          <w:lang w:val="sr-Cyrl-CS"/>
        </w:rPr>
      </w:pPr>
      <w:r w:rsidRPr="005303F7">
        <w:rPr>
          <w:rFonts w:ascii="Times New Roman" w:hAnsi="Times New Roman"/>
          <w:sz w:val="24"/>
          <w:szCs w:val="22"/>
          <w:lang w:val="sr-Cyrl-CS"/>
        </w:rPr>
        <w:t xml:space="preserve">          </w:t>
      </w:r>
      <w:r w:rsidR="005E38FD" w:rsidRPr="005303F7">
        <w:rPr>
          <w:rFonts w:ascii="Times New Roman" w:hAnsi="Times New Roman"/>
          <w:sz w:val="24"/>
          <w:szCs w:val="22"/>
          <w:lang w:val="sr-Cyrl-CS"/>
        </w:rPr>
        <w:t>„</w:t>
      </w:r>
      <w:r w:rsidR="002A7253" w:rsidRPr="005303F7">
        <w:rPr>
          <w:rFonts w:ascii="Times New Roman" w:hAnsi="Times New Roman"/>
          <w:sz w:val="24"/>
          <w:szCs w:val="22"/>
          <w:lang w:val="sr-Cyrl-CS"/>
        </w:rPr>
        <w:t>Стратегија</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развоја</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шумарства</w:t>
      </w:r>
      <w:r w:rsidR="005E38FD" w:rsidRPr="005303F7">
        <w:rPr>
          <w:rFonts w:ascii="Times New Roman" w:hAnsi="Times New Roman"/>
          <w:sz w:val="24"/>
          <w:szCs w:val="22"/>
          <w:lang w:val="sr-Cyrl-CS"/>
        </w:rPr>
        <w:t xml:space="preserve"> </w:t>
      </w:r>
      <w:r w:rsidR="00D73AAB" w:rsidRPr="005303F7">
        <w:rPr>
          <w:rFonts w:ascii="Times New Roman" w:hAnsi="Times New Roman"/>
          <w:sz w:val="24"/>
          <w:szCs w:val="22"/>
          <w:lang w:val="sr-Cyrl-CS"/>
        </w:rPr>
        <w:t>Републике Србије</w:t>
      </w:r>
      <w:r w:rsidR="008C542C"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наглашава</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важност</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очувања</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и</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побољшања</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стања</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шума</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и</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развој</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шумарства</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као</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привредне</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гране</w:t>
      </w:r>
      <w:r w:rsidR="0035174D" w:rsidRPr="005303F7">
        <w:rPr>
          <w:rFonts w:ascii="Times New Roman" w:hAnsi="Times New Roman"/>
          <w:sz w:val="24"/>
          <w:szCs w:val="22"/>
          <w:lang w:val="sr-Cyrl-CS"/>
        </w:rPr>
        <w:t>”</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Нацрт</w:t>
      </w:r>
      <w:r w:rsidR="005E38FD" w:rsidRPr="005303F7">
        <w:rPr>
          <w:rFonts w:ascii="Times New Roman" w:hAnsi="Times New Roman"/>
          <w:sz w:val="24"/>
          <w:szCs w:val="22"/>
          <w:lang w:val="sr-Cyrl-CS"/>
        </w:rPr>
        <w:t xml:space="preserve"> </w:t>
      </w:r>
      <w:r w:rsidR="008609F0" w:rsidRPr="005303F7">
        <w:rPr>
          <w:rFonts w:ascii="Times New Roman" w:hAnsi="Times New Roman"/>
          <w:sz w:val="24"/>
          <w:szCs w:val="22"/>
          <w:lang w:val="sr-Cyrl-CS"/>
        </w:rPr>
        <w:t>програма ра</w:t>
      </w:r>
      <w:r w:rsidR="00D9336E" w:rsidRPr="005303F7">
        <w:rPr>
          <w:rFonts w:ascii="Times New Roman" w:hAnsi="Times New Roman"/>
          <w:sz w:val="24"/>
          <w:szCs w:val="22"/>
          <w:lang w:val="sr-Cyrl-CS"/>
        </w:rPr>
        <w:t>з</w:t>
      </w:r>
      <w:r w:rsidR="008609F0" w:rsidRPr="005303F7">
        <w:rPr>
          <w:rFonts w:ascii="Times New Roman" w:hAnsi="Times New Roman"/>
          <w:sz w:val="24"/>
          <w:szCs w:val="22"/>
          <w:lang w:val="sr-Cyrl-CS"/>
        </w:rPr>
        <w:t>воја шумарства</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са</w:t>
      </w:r>
      <w:r w:rsidR="005E38FD" w:rsidRPr="005303F7">
        <w:rPr>
          <w:rFonts w:ascii="Times New Roman" w:hAnsi="Times New Roman"/>
          <w:sz w:val="24"/>
          <w:szCs w:val="22"/>
          <w:lang w:val="sr-Cyrl-CS"/>
        </w:rPr>
        <w:t xml:space="preserve"> </w:t>
      </w:r>
      <w:r w:rsidR="00D9336E" w:rsidRPr="005303F7">
        <w:rPr>
          <w:rFonts w:ascii="Times New Roman" w:hAnsi="Times New Roman"/>
          <w:sz w:val="24"/>
          <w:szCs w:val="22"/>
          <w:lang w:val="sr-Cyrl-CS"/>
        </w:rPr>
        <w:t>А</w:t>
      </w:r>
      <w:r w:rsidR="002A7253" w:rsidRPr="005303F7">
        <w:rPr>
          <w:rFonts w:ascii="Times New Roman" w:hAnsi="Times New Roman"/>
          <w:sz w:val="24"/>
          <w:szCs w:val="22"/>
          <w:lang w:val="sr-Cyrl-CS"/>
        </w:rPr>
        <w:t>кционим</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планом</w:t>
      </w:r>
      <w:r w:rsidR="005E38FD" w:rsidRPr="005303F7">
        <w:rPr>
          <w:rFonts w:ascii="Times New Roman" w:hAnsi="Times New Roman"/>
          <w:sz w:val="24"/>
          <w:szCs w:val="22"/>
          <w:lang w:val="sr-Cyrl-CS"/>
        </w:rPr>
        <w:t xml:space="preserve"> (</w:t>
      </w:r>
      <w:r w:rsidR="00171166" w:rsidRPr="005303F7">
        <w:rPr>
          <w:rFonts w:ascii="Times New Roman" w:hAnsi="Times New Roman"/>
          <w:sz w:val="24"/>
          <w:szCs w:val="22"/>
          <w:lang w:val="sr-Cyrl-CS"/>
        </w:rPr>
        <w:t xml:space="preserve">из </w:t>
      </w:r>
      <w:r w:rsidR="005E38FD" w:rsidRPr="005303F7">
        <w:rPr>
          <w:rFonts w:ascii="Times New Roman" w:hAnsi="Times New Roman"/>
          <w:sz w:val="24"/>
          <w:szCs w:val="22"/>
          <w:lang w:val="sr-Cyrl-CS"/>
        </w:rPr>
        <w:t>2010</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годин</w:t>
      </w:r>
      <w:r w:rsidR="00171166" w:rsidRPr="005303F7">
        <w:rPr>
          <w:rFonts w:ascii="Times New Roman" w:hAnsi="Times New Roman"/>
          <w:sz w:val="24"/>
          <w:szCs w:val="22"/>
          <w:lang w:val="sr-Cyrl-CS"/>
        </w:rPr>
        <w:t>е</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пружа</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смернице</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заинтересованим</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странама</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у</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вези</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са</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развојем</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сектора</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и</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обухвата</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посебне</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циљеве</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који</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се</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превасходно</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односе</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на</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пошумљавање</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Такви</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приступи</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односно</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циљеви</w:t>
      </w:r>
      <w:r w:rsidR="002B1A21" w:rsidRPr="005303F7">
        <w:rPr>
          <w:rFonts w:ascii="Times New Roman" w:hAnsi="Times New Roman"/>
          <w:sz w:val="24"/>
          <w:szCs w:val="22"/>
          <w:lang w:val="sr-Cyrl-CS"/>
        </w:rPr>
        <w:t>,</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усклађени</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су</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са</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потребом</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за</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повећањем</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понора</w:t>
      </w:r>
      <w:r w:rsidR="003704C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угљеника</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у</w:t>
      </w:r>
      <w:r w:rsidR="005E38FD" w:rsidRPr="005303F7">
        <w:rPr>
          <w:rFonts w:ascii="Times New Roman" w:hAnsi="Times New Roman"/>
          <w:sz w:val="24"/>
          <w:szCs w:val="22"/>
          <w:lang w:val="sr-Cyrl-CS"/>
        </w:rPr>
        <w:t xml:space="preserve"> </w:t>
      </w:r>
      <w:r w:rsidR="00D73AAB" w:rsidRPr="005303F7">
        <w:rPr>
          <w:rFonts w:ascii="Times New Roman" w:hAnsi="Times New Roman"/>
          <w:sz w:val="24"/>
          <w:szCs w:val="22"/>
          <w:lang w:val="sr-Cyrl-CS"/>
        </w:rPr>
        <w:t>Републици Србији</w:t>
      </w:r>
      <w:r w:rsidR="005E38F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међутим</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не</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постављају</w:t>
      </w:r>
      <w:r w:rsidR="007D74C2"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се</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циљеви</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за</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смањење</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емисије</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гасова</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са</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ефектом</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стаклене</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баште</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и</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они</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нису</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покретачи</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за</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предузимање</w:t>
      </w:r>
      <w:r w:rsidR="0018683E"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активности</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у</w:t>
      </w:r>
      <w:r w:rsidR="002B1A2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шумарству</w:t>
      </w:r>
      <w:r w:rsidR="002B1A21" w:rsidRPr="005303F7">
        <w:rPr>
          <w:rFonts w:ascii="Times New Roman" w:hAnsi="Times New Roman"/>
          <w:sz w:val="24"/>
          <w:szCs w:val="22"/>
          <w:lang w:val="sr-Cyrl-CS"/>
        </w:rPr>
        <w:t>.</w:t>
      </w:r>
    </w:p>
    <w:p w14:paraId="30FF0770" w14:textId="1F184BB5" w:rsidR="0068459E" w:rsidRPr="005303F7" w:rsidRDefault="006C5198" w:rsidP="006F4AA4">
      <w:pPr>
        <w:spacing w:after="0"/>
        <w:rPr>
          <w:rFonts w:ascii="Times New Roman" w:hAnsi="Times New Roman"/>
          <w:sz w:val="24"/>
          <w:szCs w:val="22"/>
          <w:lang w:val="sr-Cyrl-CS"/>
        </w:rPr>
      </w:pPr>
      <w:r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Поред</w:t>
      </w:r>
      <w:r w:rsidR="00011FF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тога</w:t>
      </w:r>
      <w:r w:rsidR="00011FF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Стратегијом</w:t>
      </w:r>
      <w:r w:rsidR="00011FF1" w:rsidRPr="005303F7">
        <w:rPr>
          <w:rFonts w:ascii="Times New Roman" w:hAnsi="Times New Roman"/>
          <w:sz w:val="24"/>
          <w:szCs w:val="22"/>
          <w:lang w:val="sr-Cyrl-CS"/>
        </w:rPr>
        <w:t xml:space="preserve"> </w:t>
      </w:r>
      <w:r w:rsidR="006F4AA4" w:rsidRPr="005303F7">
        <w:rPr>
          <w:rFonts w:ascii="Times New Roman" w:hAnsi="Times New Roman"/>
          <w:sz w:val="24"/>
          <w:szCs w:val="22"/>
          <w:lang w:val="sr-Cyrl-CS"/>
        </w:rPr>
        <w:t>одрживог урбаног развоја Републике Србије до 2030. године („Службени гласник РС</w:t>
      </w:r>
      <w:r w:rsidR="00043836" w:rsidRPr="005303F7">
        <w:rPr>
          <w:rFonts w:ascii="Times New Roman" w:hAnsi="Times New Roman"/>
          <w:sz w:val="24"/>
          <w:szCs w:val="22"/>
          <w:lang w:val="sr-Cyrl-CS"/>
        </w:rPr>
        <w:t>ˮ</w:t>
      </w:r>
      <w:r w:rsidR="006F4AA4" w:rsidRPr="005303F7">
        <w:rPr>
          <w:rFonts w:ascii="Times New Roman" w:hAnsi="Times New Roman"/>
          <w:sz w:val="24"/>
          <w:szCs w:val="22"/>
          <w:lang w:val="sr-Cyrl-CS"/>
        </w:rPr>
        <w:t>, број 47</w:t>
      </w:r>
      <w:r w:rsidR="000C6B2D" w:rsidRPr="005303F7">
        <w:rPr>
          <w:rFonts w:ascii="Times New Roman" w:hAnsi="Times New Roman"/>
          <w:sz w:val="24"/>
          <w:szCs w:val="22"/>
          <w:lang w:val="sr-Cyrl-CS"/>
        </w:rPr>
        <w:t>/</w:t>
      </w:r>
      <w:r w:rsidR="006F4AA4" w:rsidRPr="005303F7">
        <w:rPr>
          <w:rFonts w:ascii="Times New Roman" w:hAnsi="Times New Roman"/>
          <w:sz w:val="24"/>
          <w:szCs w:val="22"/>
          <w:lang w:val="sr-Cyrl-CS"/>
        </w:rPr>
        <w:t>19)</w:t>
      </w:r>
      <w:r w:rsidR="006F4AA4" w:rsidRPr="005303F7" w:rsidDel="006F4AA4">
        <w:rPr>
          <w:rFonts w:ascii="Times New Roman" w:hAnsi="Times New Roman"/>
          <w:sz w:val="24"/>
          <w:szCs w:val="22"/>
          <w:lang w:val="sr-Cyrl-CS"/>
        </w:rPr>
        <w:t xml:space="preserve"> </w:t>
      </w:r>
      <w:r w:rsidR="002A7253" w:rsidRPr="005303F7">
        <w:rPr>
          <w:rFonts w:ascii="Times New Roman" w:hAnsi="Times New Roman"/>
          <w:sz w:val="24"/>
          <w:szCs w:val="22"/>
          <w:lang w:val="sr-Cyrl-CS"/>
        </w:rPr>
        <w:t>у</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области</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шумарства</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одређују</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се</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дугорочне</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основе</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и</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циљеви</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развоја</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и</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коришћења</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шума</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и</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управљања</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шумским</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земљиштем</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управљања</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могућностима</w:t>
      </w:r>
      <w:r w:rsidR="00C57AA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за</w:t>
      </w:r>
      <w:r w:rsidR="00C57AAD"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лов</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и</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заштите</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природних</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ресурса</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Законом</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о</w:t>
      </w:r>
      <w:r w:rsidR="007F69F7" w:rsidRPr="005303F7">
        <w:rPr>
          <w:rFonts w:ascii="Times New Roman" w:hAnsi="Times New Roman"/>
          <w:sz w:val="24"/>
          <w:szCs w:val="22"/>
          <w:lang w:val="sr-Cyrl-CS"/>
        </w:rPr>
        <w:t xml:space="preserve"> </w:t>
      </w:r>
      <w:r w:rsidR="006F4AA4" w:rsidRPr="005303F7">
        <w:rPr>
          <w:rFonts w:ascii="Times New Roman" w:hAnsi="Times New Roman"/>
          <w:sz w:val="24"/>
          <w:szCs w:val="22"/>
          <w:lang w:val="sr-Cyrl-CS"/>
        </w:rPr>
        <w:t xml:space="preserve">о планирању и изградњи </w:t>
      </w:r>
      <w:r w:rsidR="006F4AA4" w:rsidRPr="005303F7">
        <w:rPr>
          <w:rFonts w:ascii="Times New Roman" w:hAnsi="Times New Roman"/>
          <w:bCs/>
          <w:sz w:val="24"/>
          <w:lang w:val="sr-Cyrl-CS"/>
        </w:rPr>
        <w:t xml:space="preserve">(„Службени гласник РС”, бр. 72/09, 81/09 - исправка, 64/10 - УС, 24/11, 121/12, 42/13 - УС, 50/13 - УС, 98/13 - УС, 132/14, 145/14, 83/18, 31/19, 37/19 - др. закон, 9/20 и 52/21) </w:t>
      </w:r>
      <w:r w:rsidR="002A7253" w:rsidRPr="005303F7">
        <w:rPr>
          <w:rFonts w:ascii="Times New Roman" w:hAnsi="Times New Roman"/>
          <w:sz w:val="24"/>
          <w:szCs w:val="22"/>
          <w:lang w:val="sr-Cyrl-CS"/>
        </w:rPr>
        <w:t>предвиђено</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је</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да</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површина</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под</w:t>
      </w:r>
      <w:r w:rsidR="00DB2CB1"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шумом</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представља</w:t>
      </w:r>
      <w:r w:rsidR="007F69F7" w:rsidRPr="005303F7">
        <w:rPr>
          <w:rFonts w:ascii="Times New Roman" w:hAnsi="Times New Roman"/>
          <w:sz w:val="24"/>
          <w:szCs w:val="22"/>
          <w:lang w:val="sr-Cyrl-CS"/>
        </w:rPr>
        <w:t xml:space="preserve"> 41,4% </w:t>
      </w:r>
      <w:r w:rsidR="002A7253" w:rsidRPr="005303F7">
        <w:rPr>
          <w:rFonts w:ascii="Times New Roman" w:hAnsi="Times New Roman"/>
          <w:sz w:val="24"/>
          <w:szCs w:val="22"/>
          <w:lang w:val="sr-Cyrl-CS"/>
        </w:rPr>
        <w:t>укупне</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површине</w:t>
      </w:r>
      <w:r w:rsidR="007F69F7" w:rsidRPr="005303F7">
        <w:rPr>
          <w:rFonts w:ascii="Times New Roman" w:hAnsi="Times New Roman"/>
          <w:sz w:val="24"/>
          <w:szCs w:val="22"/>
          <w:lang w:val="sr-Cyrl-CS"/>
        </w:rPr>
        <w:t xml:space="preserve"> </w:t>
      </w:r>
      <w:r w:rsidR="00D73AAB" w:rsidRPr="005303F7">
        <w:rPr>
          <w:rFonts w:ascii="Times New Roman" w:hAnsi="Times New Roman"/>
          <w:sz w:val="24"/>
          <w:szCs w:val="22"/>
          <w:lang w:val="sr-Cyrl-CS"/>
        </w:rPr>
        <w:t>Републике Србије</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што</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се</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сматра</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изузетно</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амбициозним</w:t>
      </w:r>
      <w:r w:rsidR="007F69F7" w:rsidRPr="005303F7">
        <w:rPr>
          <w:rFonts w:ascii="Times New Roman" w:hAnsi="Times New Roman"/>
          <w:sz w:val="24"/>
          <w:szCs w:val="22"/>
          <w:lang w:val="sr-Cyrl-CS"/>
        </w:rPr>
        <w:t xml:space="preserve"> </w:t>
      </w:r>
      <w:r w:rsidR="002A7253" w:rsidRPr="005303F7">
        <w:rPr>
          <w:rFonts w:ascii="Times New Roman" w:hAnsi="Times New Roman"/>
          <w:sz w:val="24"/>
          <w:szCs w:val="22"/>
          <w:lang w:val="sr-Cyrl-CS"/>
        </w:rPr>
        <w:t>циљем</w:t>
      </w:r>
      <w:r w:rsidR="007F69F7" w:rsidRPr="005303F7">
        <w:rPr>
          <w:rFonts w:ascii="Times New Roman" w:hAnsi="Times New Roman"/>
          <w:sz w:val="24"/>
          <w:szCs w:val="22"/>
          <w:lang w:val="sr-Cyrl-CS"/>
        </w:rPr>
        <w:t>.</w:t>
      </w:r>
    </w:p>
    <w:p w14:paraId="045E215A" w14:textId="5A300E42" w:rsidR="00F229BE" w:rsidRPr="005303F7" w:rsidRDefault="006C5198" w:rsidP="00FA29E5">
      <w:pPr>
        <w:rPr>
          <w:rFonts w:ascii="Times New Roman" w:hAnsi="Times New Roman"/>
          <w:sz w:val="24"/>
          <w:lang w:val="sr-Cyrl-CS"/>
        </w:rPr>
      </w:pPr>
      <w:r w:rsidRPr="005303F7">
        <w:rPr>
          <w:rFonts w:ascii="Times New Roman" w:hAnsi="Times New Roman"/>
          <w:sz w:val="24"/>
          <w:lang w:val="sr-Cyrl-CS"/>
        </w:rPr>
        <w:t xml:space="preserve">          </w:t>
      </w:r>
      <w:r w:rsidR="002A7253" w:rsidRPr="005303F7">
        <w:rPr>
          <w:rFonts w:ascii="Times New Roman" w:hAnsi="Times New Roman"/>
          <w:sz w:val="24"/>
          <w:lang w:val="sr-Cyrl-CS"/>
        </w:rPr>
        <w:t>Српске</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шуме</w:t>
      </w:r>
      <w:r w:rsidR="00085A71" w:rsidRPr="005303F7">
        <w:rPr>
          <w:rFonts w:ascii="Times New Roman" w:hAnsi="Times New Roman"/>
          <w:sz w:val="24"/>
          <w:lang w:val="sr-Cyrl-CS"/>
        </w:rPr>
        <w:t xml:space="preserve"> </w:t>
      </w:r>
      <w:r w:rsidR="002A7253" w:rsidRPr="005303F7">
        <w:rPr>
          <w:rFonts w:ascii="Times New Roman" w:hAnsi="Times New Roman"/>
          <w:sz w:val="24"/>
          <w:lang w:val="sr-Cyrl-CS"/>
        </w:rPr>
        <w:t>су</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посебно</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рањиве</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на</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биотске</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попут</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штеточина</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болести</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и</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абиотске</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попут</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пожара</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факторе</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који</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ће</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бити</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погоршани</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климатским</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променама</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Да</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би</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се</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смањили</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њихови</w:t>
      </w:r>
      <w:r w:rsidR="00085A71" w:rsidRPr="005303F7">
        <w:rPr>
          <w:rFonts w:ascii="Times New Roman" w:hAnsi="Times New Roman"/>
          <w:sz w:val="24"/>
          <w:lang w:val="sr-Cyrl-CS"/>
        </w:rPr>
        <w:t xml:space="preserve"> </w:t>
      </w:r>
      <w:r w:rsidR="002A7253" w:rsidRPr="005303F7">
        <w:rPr>
          <w:rFonts w:ascii="Times New Roman" w:hAnsi="Times New Roman"/>
          <w:sz w:val="24"/>
          <w:lang w:val="sr-Cyrl-CS"/>
        </w:rPr>
        <w:t>утицаји</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одрживо</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газдовање</w:t>
      </w:r>
      <w:r w:rsidR="003704C1" w:rsidRPr="005303F7">
        <w:rPr>
          <w:rFonts w:ascii="Times New Roman" w:hAnsi="Times New Roman"/>
          <w:sz w:val="24"/>
          <w:lang w:val="sr-Cyrl-CS"/>
        </w:rPr>
        <w:t xml:space="preserve"> </w:t>
      </w:r>
      <w:r w:rsidR="002A7253" w:rsidRPr="005303F7">
        <w:rPr>
          <w:rFonts w:ascii="Times New Roman" w:hAnsi="Times New Roman"/>
          <w:sz w:val="24"/>
          <w:lang w:val="sr-Cyrl-CS"/>
        </w:rPr>
        <w:t>шумама</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захтева</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усвајање</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пракси</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које</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узимају</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у</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обзир</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сценарије</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за</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будуће</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климатске</w:t>
      </w:r>
      <w:r w:rsidR="00F229BE" w:rsidRPr="005303F7">
        <w:rPr>
          <w:rFonts w:ascii="Times New Roman" w:hAnsi="Times New Roman"/>
          <w:sz w:val="24"/>
          <w:lang w:val="sr-Cyrl-CS"/>
        </w:rPr>
        <w:t xml:space="preserve"> </w:t>
      </w:r>
      <w:r w:rsidR="002A7253" w:rsidRPr="005303F7">
        <w:rPr>
          <w:rFonts w:ascii="Times New Roman" w:hAnsi="Times New Roman"/>
          <w:sz w:val="24"/>
          <w:lang w:val="sr-Cyrl-CS"/>
        </w:rPr>
        <w:t>услове</w:t>
      </w:r>
      <w:r w:rsidR="00F229BE" w:rsidRPr="005303F7">
        <w:rPr>
          <w:rFonts w:ascii="Times New Roman" w:hAnsi="Times New Roman"/>
          <w:sz w:val="24"/>
          <w:lang w:val="sr-Cyrl-CS"/>
        </w:rPr>
        <w:t>.</w:t>
      </w:r>
    </w:p>
    <w:p w14:paraId="07F65F5C" w14:textId="7C22207E" w:rsidR="003A2127" w:rsidRPr="005303F7" w:rsidRDefault="006C5198" w:rsidP="0070650E">
      <w:pPr>
        <w:tabs>
          <w:tab w:val="clear" w:pos="3825"/>
        </w:tabs>
        <w:overflowPunct/>
        <w:autoSpaceDE/>
        <w:autoSpaceDN/>
        <w:adjustRightInd/>
        <w:spacing w:before="100" w:beforeAutospacing="1" w:after="100" w:afterAutospacing="1"/>
        <w:textAlignment w:val="auto"/>
        <w:rPr>
          <w:rFonts w:ascii="Times New Roman" w:hAnsi="Times New Roman"/>
          <w:sz w:val="24"/>
          <w:lang w:val="sr-Cyrl-CS"/>
        </w:rPr>
      </w:pPr>
      <w:r w:rsidRPr="005303F7">
        <w:rPr>
          <w:rFonts w:ascii="Times New Roman" w:hAnsi="Times New Roman"/>
          <w:sz w:val="24"/>
          <w:lang w:val="sr-Cyrl-CS"/>
        </w:rPr>
        <w:t xml:space="preserve">          </w:t>
      </w:r>
      <w:r w:rsidR="003A2127" w:rsidRPr="005303F7">
        <w:rPr>
          <w:rFonts w:ascii="Times New Roman" w:hAnsi="Times New Roman"/>
          <w:sz w:val="24"/>
          <w:lang w:val="sr-Cyrl-CS"/>
        </w:rPr>
        <w:t xml:space="preserve">У 2015. години емисије из сектора отпада чиниле су 4,2% од укупних националних емисија. Управљање чврстим отпадом у </w:t>
      </w:r>
      <w:r w:rsidR="00D73AAB" w:rsidRPr="005303F7">
        <w:rPr>
          <w:rFonts w:ascii="Times New Roman" w:hAnsi="Times New Roman"/>
          <w:sz w:val="24"/>
          <w:lang w:val="sr-Cyrl-CS"/>
        </w:rPr>
        <w:t>Републици Србији</w:t>
      </w:r>
      <w:r w:rsidR="003A2127" w:rsidRPr="005303F7">
        <w:rPr>
          <w:rFonts w:ascii="Times New Roman" w:hAnsi="Times New Roman"/>
          <w:sz w:val="24"/>
          <w:lang w:val="sr-Cyrl-CS"/>
        </w:rPr>
        <w:t xml:space="preserve"> углавном се заснива на одлагању отпада на депоније. Неколико градова има постројења за ручно одвајање отпада која су мање ефикасна (максимална сепарација рециклажних материјала је 6%), углавном због одсуства сепарације на извору. </w:t>
      </w:r>
      <w:r w:rsidR="00BB4BD8" w:rsidRPr="005303F7">
        <w:rPr>
          <w:rFonts w:ascii="Times New Roman" w:hAnsi="Times New Roman"/>
          <w:sz w:val="24"/>
          <w:lang w:val="sr-Cyrl-CS"/>
        </w:rPr>
        <w:t xml:space="preserve">Ово значи да се већина органског отпада шаље на депоније чиме доприноси емисијама GHG. </w:t>
      </w:r>
      <w:r w:rsidR="003A2127" w:rsidRPr="005303F7">
        <w:rPr>
          <w:rFonts w:ascii="Times New Roman" w:hAnsi="Times New Roman"/>
          <w:sz w:val="24"/>
          <w:lang w:val="sr-Cyrl-CS"/>
        </w:rPr>
        <w:t>Одсуство система за сакупљање и третман депонијског гаса значи да се исти директно емитује у атмосферу у виду метана (CH</w:t>
      </w:r>
      <w:r w:rsidR="003A2127" w:rsidRPr="005303F7">
        <w:rPr>
          <w:rFonts w:ascii="Times New Roman" w:hAnsi="Times New Roman"/>
          <w:sz w:val="24"/>
          <w:vertAlign w:val="subscript"/>
          <w:lang w:val="sr-Cyrl-CS"/>
        </w:rPr>
        <w:t>4</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Емисије</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би</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биле</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умањене</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уколико</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би</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се</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сагоревање</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метана</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корис</w:t>
      </w:r>
      <w:r w:rsidR="00A509F8" w:rsidRPr="005303F7">
        <w:rPr>
          <w:rFonts w:ascii="Times New Roman" w:hAnsi="Times New Roman"/>
          <w:sz w:val="24"/>
          <w:lang w:val="sr-Cyrl-CS"/>
        </w:rPr>
        <w:t>тило</w:t>
      </w:r>
      <w:r w:rsidR="00C033BD" w:rsidRPr="005303F7">
        <w:rPr>
          <w:rStyle w:val="FootnoteReference"/>
          <w:lang w:val="sr-Cyrl-CS"/>
        </w:rPr>
        <w:footnoteReference w:id="9"/>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за</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производњу</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електричне</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и</w:t>
      </w:r>
      <w:r w:rsidR="003A2127" w:rsidRPr="005303F7">
        <w:rPr>
          <w:rFonts w:ascii="Times New Roman" w:hAnsi="Times New Roman"/>
          <w:sz w:val="24"/>
          <w:lang w:val="sr-Cyrl-CS"/>
        </w:rPr>
        <w:t>/</w:t>
      </w:r>
      <w:r w:rsidR="006C7CB6" w:rsidRPr="005303F7">
        <w:rPr>
          <w:rFonts w:ascii="Times New Roman" w:hAnsi="Times New Roman"/>
          <w:sz w:val="24"/>
          <w:lang w:val="sr-Cyrl-CS"/>
        </w:rPr>
        <w:t>или</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топлотне</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енергије</w:t>
      </w:r>
      <w:r w:rsidR="003A2127" w:rsidRPr="005303F7">
        <w:rPr>
          <w:rFonts w:ascii="Times New Roman" w:hAnsi="Times New Roman"/>
          <w:sz w:val="24"/>
          <w:lang w:val="sr-Cyrl-CS"/>
        </w:rPr>
        <w:t xml:space="preserve"> </w:t>
      </w:r>
      <w:r w:rsidR="00BB0AA2" w:rsidRPr="005303F7">
        <w:rPr>
          <w:rFonts w:ascii="Times New Roman" w:hAnsi="Times New Roman"/>
          <w:sz w:val="24"/>
          <w:lang w:val="sr-Cyrl-CS"/>
        </w:rPr>
        <w:t>после</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чега</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би</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био</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емитован</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у</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атмосферу</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као</w:t>
      </w:r>
      <w:r w:rsidR="003A2127" w:rsidRPr="005303F7">
        <w:rPr>
          <w:rFonts w:ascii="Times New Roman" w:hAnsi="Times New Roman"/>
          <w:sz w:val="24"/>
          <w:lang w:val="sr-Cyrl-CS"/>
        </w:rPr>
        <w:t xml:space="preserve"> CO</w:t>
      </w:r>
      <w:r w:rsidR="003A2127" w:rsidRPr="005303F7">
        <w:rPr>
          <w:rFonts w:ascii="Times New Roman" w:hAnsi="Times New Roman"/>
          <w:sz w:val="24"/>
          <w:vertAlign w:val="subscript"/>
          <w:lang w:val="sr-Cyrl-CS"/>
        </w:rPr>
        <w:t>2</w:t>
      </w:r>
      <w:r w:rsidR="003A2127" w:rsidRPr="005303F7">
        <w:rPr>
          <w:rFonts w:ascii="Times New Roman" w:hAnsi="Times New Roman"/>
          <w:sz w:val="24"/>
          <w:lang w:val="sr-Cyrl-CS"/>
        </w:rPr>
        <w:t xml:space="preserve"> (CO</w:t>
      </w:r>
      <w:r w:rsidR="003A2127" w:rsidRPr="005303F7">
        <w:rPr>
          <w:rFonts w:ascii="Times New Roman" w:hAnsi="Times New Roman"/>
          <w:sz w:val="24"/>
          <w:vertAlign w:val="subscript"/>
          <w:lang w:val="sr-Cyrl-CS"/>
        </w:rPr>
        <w:t>2</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има</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мањи</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утицај</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на</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глобално</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загревање</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од</w:t>
      </w:r>
      <w:r w:rsidR="003A2127" w:rsidRPr="005303F7">
        <w:rPr>
          <w:rFonts w:ascii="Times New Roman" w:hAnsi="Times New Roman"/>
          <w:sz w:val="24"/>
          <w:lang w:val="sr-Cyrl-CS"/>
        </w:rPr>
        <w:t xml:space="preserve"> CH</w:t>
      </w:r>
      <w:r w:rsidR="003A2127" w:rsidRPr="005303F7">
        <w:rPr>
          <w:rFonts w:ascii="Times New Roman" w:hAnsi="Times New Roman"/>
          <w:sz w:val="24"/>
          <w:vertAlign w:val="subscript"/>
          <w:lang w:val="sr-Cyrl-CS"/>
        </w:rPr>
        <w:t>4</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Постојећи</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оквир</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за</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политику</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управљања</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отпадом</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у</w:t>
      </w:r>
      <w:r w:rsidR="003A2127" w:rsidRPr="005303F7">
        <w:rPr>
          <w:rFonts w:ascii="Times New Roman" w:hAnsi="Times New Roman"/>
          <w:sz w:val="24"/>
          <w:lang w:val="sr-Cyrl-CS"/>
        </w:rPr>
        <w:t xml:space="preserve"> </w:t>
      </w:r>
      <w:r w:rsidR="00D73AAB" w:rsidRPr="005303F7">
        <w:rPr>
          <w:rFonts w:ascii="Times New Roman" w:hAnsi="Times New Roman"/>
          <w:sz w:val="24"/>
          <w:lang w:val="sr-Cyrl-CS"/>
        </w:rPr>
        <w:t>Републици Србији</w:t>
      </w:r>
      <w:r w:rsidR="003A2127" w:rsidRPr="005303F7">
        <w:rPr>
          <w:rFonts w:ascii="Times New Roman" w:hAnsi="Times New Roman"/>
          <w:sz w:val="24"/>
          <w:lang w:val="sr-Cyrl-CS"/>
        </w:rPr>
        <w:t xml:space="preserve"> </w:t>
      </w:r>
      <w:r w:rsidR="00F11B99" w:rsidRPr="005303F7">
        <w:rPr>
          <w:rFonts w:ascii="Times New Roman" w:hAnsi="Times New Roman"/>
          <w:sz w:val="24"/>
          <w:lang w:val="sr-Cyrl-CS"/>
        </w:rPr>
        <w:t xml:space="preserve">делимично </w:t>
      </w:r>
      <w:r w:rsidR="006C7CB6" w:rsidRPr="005303F7">
        <w:rPr>
          <w:rFonts w:ascii="Times New Roman" w:hAnsi="Times New Roman"/>
          <w:sz w:val="24"/>
          <w:lang w:val="sr-Cyrl-CS"/>
        </w:rPr>
        <w:t>је</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усклађен</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са</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законодавством</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ЕУ</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међутим</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процењен</w:t>
      </w:r>
      <w:r w:rsidR="00B52423" w:rsidRPr="005303F7">
        <w:rPr>
          <w:rFonts w:ascii="Times New Roman" w:hAnsi="Times New Roman"/>
          <w:sz w:val="24"/>
          <w:lang w:val="sr-Cyrl-CS"/>
        </w:rPr>
        <w:t>о је да је</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примена</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слабија</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од</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прописане</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Политике</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управљања</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отпадом</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не</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препознају</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смањење</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емисија</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гасова</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са</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ефектом</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стаклене</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баште</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као</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важан</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покретач</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стратешког</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развоја</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у</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овом</w:t>
      </w:r>
      <w:r w:rsidR="003A2127" w:rsidRPr="005303F7">
        <w:rPr>
          <w:rFonts w:ascii="Times New Roman" w:hAnsi="Times New Roman"/>
          <w:sz w:val="24"/>
          <w:lang w:val="sr-Cyrl-CS"/>
        </w:rPr>
        <w:t xml:space="preserve"> </w:t>
      </w:r>
      <w:r w:rsidR="006C7CB6" w:rsidRPr="005303F7">
        <w:rPr>
          <w:rFonts w:ascii="Times New Roman" w:hAnsi="Times New Roman"/>
          <w:sz w:val="24"/>
          <w:lang w:val="sr-Cyrl-CS"/>
        </w:rPr>
        <w:t>сектору</w:t>
      </w:r>
      <w:r w:rsidR="003A2127" w:rsidRPr="005303F7">
        <w:rPr>
          <w:rFonts w:ascii="Times New Roman" w:hAnsi="Times New Roman"/>
          <w:sz w:val="24"/>
          <w:lang w:val="sr-Cyrl-CS"/>
        </w:rPr>
        <w:t>.</w:t>
      </w:r>
    </w:p>
    <w:p w14:paraId="3FD6F869" w14:textId="603357E4" w:rsidR="001D510D" w:rsidRPr="005303F7" w:rsidRDefault="006C5198" w:rsidP="001D510D">
      <w:pPr>
        <w:rPr>
          <w:rFonts w:ascii="Times New Roman" w:hAnsi="Times New Roman"/>
          <w:sz w:val="24"/>
          <w:lang w:val="sr-Cyrl-CS"/>
        </w:rPr>
      </w:pPr>
      <w:r w:rsidRPr="005303F7">
        <w:rPr>
          <w:rFonts w:ascii="Times New Roman" w:hAnsi="Times New Roman"/>
          <w:sz w:val="24"/>
          <w:lang w:val="sr-Cyrl-CS"/>
        </w:rPr>
        <w:t xml:space="preserve">           </w:t>
      </w:r>
      <w:r w:rsidR="00DF78BE" w:rsidRPr="005303F7">
        <w:rPr>
          <w:rFonts w:ascii="Times New Roman" w:hAnsi="Times New Roman"/>
          <w:sz w:val="24"/>
          <w:lang w:val="sr-Cyrl-CS"/>
        </w:rPr>
        <w:t>Према</w:t>
      </w:r>
      <w:r w:rsidR="001D510D" w:rsidRPr="005303F7">
        <w:rPr>
          <w:rFonts w:ascii="Times New Roman" w:hAnsi="Times New Roman"/>
          <w:sz w:val="24"/>
          <w:lang w:val="sr-Cyrl-CS"/>
        </w:rPr>
        <w:t xml:space="preserve"> </w:t>
      </w:r>
      <w:r w:rsidR="00B07795" w:rsidRPr="005303F7">
        <w:rPr>
          <w:rFonts w:ascii="Times New Roman" w:hAnsi="Times New Roman"/>
          <w:sz w:val="24"/>
          <w:lang w:val="sr-Cyrl-CS"/>
        </w:rPr>
        <w:t xml:space="preserve">Специфичном плану имплементације за Директиву </w:t>
      </w:r>
      <w:r w:rsidR="000C6B2D" w:rsidRPr="005303F7">
        <w:rPr>
          <w:rFonts w:ascii="Times New Roman" w:hAnsi="Times New Roman"/>
          <w:sz w:val="24"/>
          <w:lang w:val="sr-Cyrl-CS"/>
        </w:rPr>
        <w:t xml:space="preserve">Eвропског савета 91/271/EEC </w:t>
      </w:r>
      <w:r w:rsidR="00B07795" w:rsidRPr="005303F7">
        <w:rPr>
          <w:rFonts w:ascii="Times New Roman" w:hAnsi="Times New Roman"/>
          <w:sz w:val="24"/>
          <w:lang w:val="sr-Cyrl-CS"/>
        </w:rPr>
        <w:t>о пречишћавању комуналних отпадних вода</w:t>
      </w:r>
      <w:r w:rsidR="001D510D" w:rsidRPr="005303F7">
        <w:rPr>
          <w:rFonts w:ascii="Times New Roman" w:hAnsi="Times New Roman"/>
          <w:sz w:val="24"/>
          <w:lang w:val="sr-Cyrl-CS"/>
        </w:rPr>
        <w:t xml:space="preserve">, </w:t>
      </w:r>
      <w:r w:rsidR="00DF78BE" w:rsidRPr="005303F7">
        <w:rPr>
          <w:rFonts w:ascii="Times New Roman" w:hAnsi="Times New Roman"/>
          <w:sz w:val="24"/>
          <w:lang w:val="sr-Cyrl-CS"/>
        </w:rPr>
        <w:t>око</w:t>
      </w:r>
      <w:r w:rsidR="00496972" w:rsidRPr="005303F7">
        <w:rPr>
          <w:rFonts w:ascii="Times New Roman" w:hAnsi="Times New Roman"/>
          <w:sz w:val="24"/>
          <w:lang w:val="sr-Cyrl-CS"/>
        </w:rPr>
        <w:t xml:space="preserve"> 55% </w:t>
      </w:r>
      <w:r w:rsidR="00DF78BE" w:rsidRPr="005303F7">
        <w:rPr>
          <w:rFonts w:ascii="Times New Roman" w:hAnsi="Times New Roman"/>
          <w:sz w:val="24"/>
          <w:lang w:val="sr-Cyrl-CS"/>
        </w:rPr>
        <w:t>укупног</w:t>
      </w:r>
      <w:r w:rsidR="00496972" w:rsidRPr="005303F7">
        <w:rPr>
          <w:rFonts w:ascii="Times New Roman" w:hAnsi="Times New Roman"/>
          <w:sz w:val="24"/>
          <w:lang w:val="sr-Cyrl-CS"/>
        </w:rPr>
        <w:t xml:space="preserve"> </w:t>
      </w:r>
      <w:r w:rsidR="00DF78BE" w:rsidRPr="005303F7">
        <w:rPr>
          <w:rFonts w:ascii="Times New Roman" w:hAnsi="Times New Roman"/>
          <w:sz w:val="24"/>
          <w:lang w:val="sr-Cyrl-CS"/>
        </w:rPr>
        <w:t>становништва</w:t>
      </w:r>
      <w:r w:rsidR="00496972" w:rsidRPr="005303F7">
        <w:rPr>
          <w:rFonts w:ascii="Times New Roman" w:hAnsi="Times New Roman"/>
          <w:sz w:val="24"/>
          <w:lang w:val="sr-Cyrl-CS"/>
        </w:rPr>
        <w:t xml:space="preserve"> </w:t>
      </w:r>
      <w:r w:rsidR="00DF78BE" w:rsidRPr="005303F7">
        <w:rPr>
          <w:rFonts w:ascii="Times New Roman" w:hAnsi="Times New Roman"/>
          <w:sz w:val="24"/>
          <w:lang w:val="sr-Cyrl-CS"/>
        </w:rPr>
        <w:t>има</w:t>
      </w:r>
      <w:r w:rsidR="00496972" w:rsidRPr="005303F7">
        <w:rPr>
          <w:rFonts w:ascii="Times New Roman" w:hAnsi="Times New Roman"/>
          <w:sz w:val="24"/>
          <w:lang w:val="sr-Cyrl-CS"/>
        </w:rPr>
        <w:t xml:space="preserve"> </w:t>
      </w:r>
      <w:r w:rsidR="00DF78BE" w:rsidRPr="005303F7">
        <w:rPr>
          <w:rFonts w:ascii="Times New Roman" w:hAnsi="Times New Roman"/>
          <w:sz w:val="24"/>
          <w:lang w:val="sr-Cyrl-CS"/>
        </w:rPr>
        <w:t>приступ</w:t>
      </w:r>
      <w:r w:rsidR="00496972" w:rsidRPr="005303F7">
        <w:rPr>
          <w:rFonts w:ascii="Times New Roman" w:hAnsi="Times New Roman"/>
          <w:sz w:val="24"/>
          <w:lang w:val="sr-Cyrl-CS"/>
        </w:rPr>
        <w:t xml:space="preserve"> </w:t>
      </w:r>
      <w:r w:rsidR="00DF78BE" w:rsidRPr="005303F7">
        <w:rPr>
          <w:rFonts w:ascii="Times New Roman" w:hAnsi="Times New Roman"/>
          <w:sz w:val="24"/>
          <w:lang w:val="sr-Cyrl-CS"/>
        </w:rPr>
        <w:t>јавној</w:t>
      </w:r>
      <w:r w:rsidR="00496972" w:rsidRPr="005303F7">
        <w:rPr>
          <w:rFonts w:ascii="Times New Roman" w:hAnsi="Times New Roman"/>
          <w:sz w:val="24"/>
          <w:lang w:val="sr-Cyrl-CS"/>
        </w:rPr>
        <w:t xml:space="preserve"> </w:t>
      </w:r>
      <w:r w:rsidR="00DF78BE" w:rsidRPr="005303F7">
        <w:rPr>
          <w:rFonts w:ascii="Times New Roman" w:hAnsi="Times New Roman"/>
          <w:sz w:val="24"/>
          <w:lang w:val="sr-Cyrl-CS"/>
        </w:rPr>
        <w:t>санитацији</w:t>
      </w:r>
      <w:r w:rsidR="00496972" w:rsidRPr="005303F7">
        <w:rPr>
          <w:rFonts w:ascii="Times New Roman" w:hAnsi="Times New Roman"/>
          <w:sz w:val="24"/>
          <w:lang w:val="sr-Cyrl-CS"/>
        </w:rPr>
        <w:t xml:space="preserve">. </w:t>
      </w:r>
      <w:r w:rsidR="00DF78BE" w:rsidRPr="005303F7">
        <w:rPr>
          <w:rFonts w:ascii="Times New Roman" w:hAnsi="Times New Roman"/>
          <w:sz w:val="24"/>
          <w:lang w:val="sr-Cyrl-CS"/>
        </w:rPr>
        <w:t>Постоје</w:t>
      </w:r>
      <w:r w:rsidR="00496972" w:rsidRPr="005303F7">
        <w:rPr>
          <w:rFonts w:ascii="Times New Roman" w:hAnsi="Times New Roman"/>
          <w:sz w:val="24"/>
          <w:lang w:val="sr-Cyrl-CS"/>
        </w:rPr>
        <w:t xml:space="preserve"> 32 </w:t>
      </w:r>
      <w:r w:rsidR="00DF78BE" w:rsidRPr="005303F7">
        <w:rPr>
          <w:rFonts w:ascii="Times New Roman" w:hAnsi="Times New Roman"/>
          <w:sz w:val="24"/>
          <w:lang w:val="sr-Cyrl-CS"/>
        </w:rPr>
        <w:t>оперативна</w:t>
      </w:r>
      <w:r w:rsidR="00496972" w:rsidRPr="005303F7">
        <w:rPr>
          <w:rFonts w:ascii="Times New Roman" w:hAnsi="Times New Roman"/>
          <w:sz w:val="24"/>
          <w:lang w:val="sr-Cyrl-CS"/>
        </w:rPr>
        <w:t xml:space="preserve"> </w:t>
      </w:r>
      <w:r w:rsidR="00DF78BE" w:rsidRPr="005303F7">
        <w:rPr>
          <w:rFonts w:ascii="Times New Roman" w:hAnsi="Times New Roman"/>
          <w:sz w:val="24"/>
          <w:lang w:val="sr-Cyrl-CS"/>
        </w:rPr>
        <w:t>постројења</w:t>
      </w:r>
      <w:r w:rsidR="00496972" w:rsidRPr="005303F7">
        <w:rPr>
          <w:rFonts w:ascii="Times New Roman" w:hAnsi="Times New Roman"/>
          <w:sz w:val="24"/>
          <w:lang w:val="sr-Cyrl-CS"/>
        </w:rPr>
        <w:t xml:space="preserve"> </w:t>
      </w:r>
      <w:r w:rsidR="00DF78BE" w:rsidRPr="005303F7">
        <w:rPr>
          <w:rFonts w:ascii="Times New Roman" w:hAnsi="Times New Roman"/>
          <w:sz w:val="24"/>
          <w:lang w:val="sr-Cyrl-CS"/>
        </w:rPr>
        <w:t>за</w:t>
      </w:r>
      <w:r w:rsidR="00496972" w:rsidRPr="005303F7">
        <w:rPr>
          <w:rFonts w:ascii="Times New Roman" w:hAnsi="Times New Roman"/>
          <w:sz w:val="24"/>
          <w:lang w:val="sr-Cyrl-CS"/>
        </w:rPr>
        <w:t xml:space="preserve"> </w:t>
      </w:r>
      <w:r w:rsidR="00DF78BE" w:rsidRPr="005303F7">
        <w:rPr>
          <w:rFonts w:ascii="Times New Roman" w:hAnsi="Times New Roman"/>
          <w:sz w:val="24"/>
          <w:lang w:val="sr-Cyrl-CS"/>
        </w:rPr>
        <w:t>пречишћавање</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комуналних</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отпадних</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вода</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од</w:t>
      </w:r>
      <w:r w:rsidR="00496972" w:rsidRPr="005303F7">
        <w:rPr>
          <w:rFonts w:ascii="Times New Roman" w:hAnsi="Times New Roman"/>
          <w:sz w:val="24"/>
          <w:lang w:val="sr-Cyrl-CS"/>
        </w:rPr>
        <w:t xml:space="preserve"> </w:t>
      </w:r>
      <w:r w:rsidR="00DF78BE" w:rsidRPr="005303F7">
        <w:rPr>
          <w:rFonts w:ascii="Times New Roman" w:hAnsi="Times New Roman"/>
          <w:sz w:val="24"/>
          <w:lang w:val="sr-Cyrl-CS"/>
        </w:rPr>
        <w:t>којих</w:t>
      </w:r>
      <w:r w:rsidR="00496972" w:rsidRPr="005303F7">
        <w:rPr>
          <w:rFonts w:ascii="Times New Roman" w:hAnsi="Times New Roman"/>
          <w:sz w:val="24"/>
          <w:lang w:val="sr-Cyrl-CS"/>
        </w:rPr>
        <w:t xml:space="preserve"> </w:t>
      </w:r>
      <w:r w:rsidR="00DF78BE" w:rsidRPr="005303F7">
        <w:rPr>
          <w:rFonts w:ascii="Times New Roman" w:hAnsi="Times New Roman"/>
          <w:sz w:val="24"/>
          <w:lang w:val="sr-Cyrl-CS"/>
        </w:rPr>
        <w:t>релативно</w:t>
      </w:r>
      <w:r w:rsidR="00496972" w:rsidRPr="005303F7">
        <w:rPr>
          <w:rFonts w:ascii="Times New Roman" w:hAnsi="Times New Roman"/>
          <w:sz w:val="24"/>
          <w:lang w:val="sr-Cyrl-CS"/>
        </w:rPr>
        <w:t xml:space="preserve"> </w:t>
      </w:r>
      <w:r w:rsidR="00DF78BE" w:rsidRPr="005303F7">
        <w:rPr>
          <w:rFonts w:ascii="Times New Roman" w:hAnsi="Times New Roman"/>
          <w:sz w:val="24"/>
          <w:lang w:val="sr-Cyrl-CS"/>
        </w:rPr>
        <w:t>мали</w:t>
      </w:r>
      <w:r w:rsidR="00496972" w:rsidRPr="005303F7">
        <w:rPr>
          <w:rFonts w:ascii="Times New Roman" w:hAnsi="Times New Roman"/>
          <w:sz w:val="24"/>
          <w:lang w:val="sr-Cyrl-CS"/>
        </w:rPr>
        <w:t xml:space="preserve"> </w:t>
      </w:r>
      <w:r w:rsidR="00DF78BE" w:rsidRPr="005303F7">
        <w:rPr>
          <w:rFonts w:ascii="Times New Roman" w:hAnsi="Times New Roman"/>
          <w:sz w:val="24"/>
          <w:lang w:val="sr-Cyrl-CS"/>
        </w:rPr>
        <w:t>број</w:t>
      </w:r>
      <w:r w:rsidR="00496972" w:rsidRPr="005303F7">
        <w:rPr>
          <w:rFonts w:ascii="Times New Roman" w:hAnsi="Times New Roman"/>
          <w:sz w:val="24"/>
          <w:lang w:val="sr-Cyrl-CS"/>
        </w:rPr>
        <w:t xml:space="preserve"> </w:t>
      </w:r>
      <w:r w:rsidR="00DF78BE" w:rsidRPr="005303F7">
        <w:rPr>
          <w:rFonts w:ascii="Times New Roman" w:hAnsi="Times New Roman"/>
          <w:sz w:val="24"/>
          <w:lang w:val="sr-Cyrl-CS"/>
        </w:rPr>
        <w:t>ради</w:t>
      </w:r>
      <w:r w:rsidR="00496972" w:rsidRPr="005303F7">
        <w:rPr>
          <w:rFonts w:ascii="Times New Roman" w:hAnsi="Times New Roman"/>
          <w:sz w:val="24"/>
          <w:lang w:val="sr-Cyrl-CS"/>
        </w:rPr>
        <w:t xml:space="preserve"> </w:t>
      </w:r>
      <w:r w:rsidR="00DF78BE" w:rsidRPr="005303F7">
        <w:rPr>
          <w:rFonts w:ascii="Times New Roman" w:hAnsi="Times New Roman"/>
          <w:sz w:val="24"/>
          <w:lang w:val="sr-Cyrl-CS"/>
        </w:rPr>
        <w:t>у</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складу</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са</w:t>
      </w:r>
      <w:r w:rsidR="00496972" w:rsidRPr="005303F7">
        <w:rPr>
          <w:rFonts w:ascii="Times New Roman" w:hAnsi="Times New Roman"/>
          <w:sz w:val="24"/>
          <w:lang w:val="sr-Cyrl-CS"/>
        </w:rPr>
        <w:t xml:space="preserve"> </w:t>
      </w:r>
      <w:r w:rsidR="00DF78BE" w:rsidRPr="005303F7">
        <w:rPr>
          <w:rFonts w:ascii="Times New Roman" w:hAnsi="Times New Roman"/>
          <w:sz w:val="24"/>
          <w:lang w:val="sr-Cyrl-CS"/>
        </w:rPr>
        <w:t>критеријумима</w:t>
      </w:r>
      <w:r w:rsidR="00496972" w:rsidRPr="005303F7">
        <w:rPr>
          <w:rFonts w:ascii="Times New Roman" w:hAnsi="Times New Roman"/>
          <w:sz w:val="24"/>
          <w:lang w:val="sr-Cyrl-CS"/>
        </w:rPr>
        <w:t xml:space="preserve"> </w:t>
      </w:r>
      <w:r w:rsidR="00DF78BE" w:rsidRPr="005303F7">
        <w:rPr>
          <w:rFonts w:ascii="Times New Roman" w:hAnsi="Times New Roman"/>
          <w:sz w:val="24"/>
          <w:lang w:val="sr-Cyrl-CS"/>
        </w:rPr>
        <w:t>пројектовања</w:t>
      </w:r>
      <w:r w:rsidR="00496972" w:rsidRPr="005303F7">
        <w:rPr>
          <w:rFonts w:ascii="Times New Roman" w:hAnsi="Times New Roman"/>
          <w:sz w:val="24"/>
          <w:lang w:val="sr-Cyrl-CS"/>
        </w:rPr>
        <w:t xml:space="preserve">, </w:t>
      </w:r>
      <w:r w:rsidR="00DF78BE" w:rsidRPr="005303F7">
        <w:rPr>
          <w:rFonts w:ascii="Times New Roman" w:hAnsi="Times New Roman"/>
          <w:sz w:val="24"/>
          <w:lang w:val="sr-Cyrl-CS"/>
        </w:rPr>
        <w:t>док</w:t>
      </w:r>
      <w:r w:rsidR="00496972" w:rsidRPr="005303F7">
        <w:rPr>
          <w:rFonts w:ascii="Times New Roman" w:hAnsi="Times New Roman"/>
          <w:sz w:val="24"/>
          <w:lang w:val="sr-Cyrl-CS"/>
        </w:rPr>
        <w:t xml:space="preserve"> </w:t>
      </w:r>
      <w:r w:rsidR="00DF78BE" w:rsidRPr="005303F7">
        <w:rPr>
          <w:rFonts w:ascii="Times New Roman" w:hAnsi="Times New Roman"/>
          <w:sz w:val="24"/>
          <w:lang w:val="sr-Cyrl-CS"/>
        </w:rPr>
        <w:t>остатак</w:t>
      </w:r>
      <w:r w:rsidR="00496972" w:rsidRPr="005303F7">
        <w:rPr>
          <w:rFonts w:ascii="Times New Roman" w:hAnsi="Times New Roman"/>
          <w:sz w:val="24"/>
          <w:lang w:val="sr-Cyrl-CS"/>
        </w:rPr>
        <w:t xml:space="preserve"> </w:t>
      </w:r>
      <w:r w:rsidR="00DF78BE" w:rsidRPr="005303F7">
        <w:rPr>
          <w:rFonts w:ascii="Times New Roman" w:hAnsi="Times New Roman"/>
          <w:sz w:val="24"/>
          <w:lang w:val="sr-Cyrl-CS"/>
        </w:rPr>
        <w:t>није</w:t>
      </w:r>
      <w:r w:rsidR="00496972" w:rsidRPr="005303F7">
        <w:rPr>
          <w:rFonts w:ascii="Times New Roman" w:hAnsi="Times New Roman"/>
          <w:sz w:val="24"/>
          <w:lang w:val="sr-Cyrl-CS"/>
        </w:rPr>
        <w:t xml:space="preserve"> </w:t>
      </w:r>
      <w:r w:rsidR="00DF78BE" w:rsidRPr="005303F7">
        <w:rPr>
          <w:rFonts w:ascii="Times New Roman" w:hAnsi="Times New Roman"/>
          <w:sz w:val="24"/>
          <w:lang w:val="sr-Cyrl-CS"/>
        </w:rPr>
        <w:t>усклађен</w:t>
      </w:r>
      <w:r w:rsidR="00496972" w:rsidRPr="005303F7">
        <w:rPr>
          <w:rFonts w:ascii="Times New Roman" w:hAnsi="Times New Roman"/>
          <w:sz w:val="24"/>
          <w:lang w:val="sr-Cyrl-CS"/>
        </w:rPr>
        <w:t>.</w:t>
      </w:r>
      <w:r w:rsidR="009A7873" w:rsidRPr="005303F7">
        <w:rPr>
          <w:rFonts w:ascii="Times New Roman" w:hAnsi="Times New Roman"/>
          <w:sz w:val="24"/>
          <w:lang w:val="sr-Cyrl-CS"/>
        </w:rPr>
        <w:t xml:space="preserve"> </w:t>
      </w:r>
      <w:r w:rsidR="00C07486" w:rsidRPr="005303F7">
        <w:rPr>
          <w:rFonts w:ascii="Times New Roman" w:hAnsi="Times New Roman"/>
          <w:sz w:val="24"/>
          <w:lang w:val="sr-Cyrl-CS"/>
        </w:rPr>
        <w:t xml:space="preserve">Третман </w:t>
      </w:r>
      <w:r w:rsidR="00DF78BE" w:rsidRPr="005303F7">
        <w:rPr>
          <w:rFonts w:ascii="Times New Roman" w:hAnsi="Times New Roman"/>
          <w:sz w:val="24"/>
          <w:lang w:val="sr-Cyrl-CS"/>
        </w:rPr>
        <w:t>муља</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тренутно</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се</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врши</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у</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Суботици</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и</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Сомбору</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док</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неколицина</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других</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постројења</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за</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пречишћавање</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отпадних</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вода</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нема</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могућност</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третмана</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што</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има</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значајан</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утицај</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на</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повећање</w:t>
      </w:r>
      <w:r w:rsidR="009A7873" w:rsidRPr="005303F7">
        <w:rPr>
          <w:rFonts w:ascii="Times New Roman" w:hAnsi="Times New Roman"/>
          <w:sz w:val="24"/>
          <w:lang w:val="sr-Cyrl-CS"/>
        </w:rPr>
        <w:t xml:space="preserve"> </w:t>
      </w:r>
      <w:r w:rsidR="006C7CB6" w:rsidRPr="005303F7">
        <w:rPr>
          <w:rFonts w:ascii="Times New Roman" w:hAnsi="Times New Roman"/>
          <w:sz w:val="24"/>
          <w:lang w:val="sr-Cyrl-CS"/>
        </w:rPr>
        <w:t>GHG</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Према</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српским</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lastRenderedPageBreak/>
        <w:t>плановима</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примена</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директиве</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ЕУ</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о</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пречишћавању</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комуналних</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отпадних</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вода</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планирана</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је</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до</w:t>
      </w:r>
      <w:r w:rsidR="009A7873" w:rsidRPr="005303F7">
        <w:rPr>
          <w:rFonts w:ascii="Times New Roman" w:hAnsi="Times New Roman"/>
          <w:sz w:val="24"/>
          <w:lang w:val="sr-Cyrl-CS"/>
        </w:rPr>
        <w:t xml:space="preserve"> 2044. </w:t>
      </w:r>
      <w:r w:rsidR="00DF78BE" w:rsidRPr="005303F7">
        <w:rPr>
          <w:rFonts w:ascii="Times New Roman" w:hAnsi="Times New Roman"/>
          <w:sz w:val="24"/>
          <w:lang w:val="sr-Cyrl-CS"/>
        </w:rPr>
        <w:t>године</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под</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претпоставком</w:t>
      </w:r>
      <w:r w:rsidR="009A7873" w:rsidRPr="005303F7">
        <w:rPr>
          <w:rFonts w:ascii="Times New Roman" w:hAnsi="Times New Roman"/>
          <w:sz w:val="24"/>
          <w:lang w:val="sr-Cyrl-CS"/>
        </w:rPr>
        <w:t xml:space="preserve"> </w:t>
      </w:r>
      <w:r w:rsidR="00DF78BE" w:rsidRPr="005303F7">
        <w:rPr>
          <w:rFonts w:ascii="Times New Roman" w:hAnsi="Times New Roman"/>
          <w:sz w:val="24"/>
          <w:lang w:val="sr-Cyrl-CS"/>
        </w:rPr>
        <w:t>приступања</w:t>
      </w:r>
      <w:r w:rsidR="009275D7" w:rsidRPr="005303F7">
        <w:rPr>
          <w:rFonts w:ascii="Times New Roman" w:hAnsi="Times New Roman"/>
          <w:sz w:val="24"/>
          <w:lang w:val="sr-Cyrl-CS"/>
        </w:rPr>
        <w:t xml:space="preserve"> </w:t>
      </w:r>
      <w:r w:rsidR="00DF78BE" w:rsidRPr="005303F7">
        <w:rPr>
          <w:rFonts w:ascii="Times New Roman" w:hAnsi="Times New Roman"/>
          <w:sz w:val="24"/>
          <w:lang w:val="sr-Cyrl-CS"/>
        </w:rPr>
        <w:t>ЕУ</w:t>
      </w:r>
      <w:r w:rsidR="009A7873" w:rsidRPr="005303F7">
        <w:rPr>
          <w:rFonts w:ascii="Times New Roman" w:hAnsi="Times New Roman"/>
          <w:sz w:val="24"/>
          <w:lang w:val="sr-Cyrl-CS"/>
        </w:rPr>
        <w:t xml:space="preserve"> 2025. </w:t>
      </w:r>
      <w:r w:rsidR="00DF78BE" w:rsidRPr="005303F7">
        <w:rPr>
          <w:rFonts w:ascii="Times New Roman" w:hAnsi="Times New Roman"/>
          <w:sz w:val="24"/>
          <w:lang w:val="sr-Cyrl-CS"/>
        </w:rPr>
        <w:t>године</w:t>
      </w:r>
      <w:r w:rsidR="009A7873" w:rsidRPr="005303F7">
        <w:rPr>
          <w:rFonts w:ascii="Times New Roman" w:hAnsi="Times New Roman"/>
          <w:sz w:val="24"/>
          <w:lang w:val="sr-Cyrl-CS"/>
        </w:rPr>
        <w:t>).</w:t>
      </w:r>
    </w:p>
    <w:p w14:paraId="15B4BBC6" w14:textId="5933C416" w:rsidR="006716F9" w:rsidRPr="005303F7" w:rsidRDefault="00F543AF" w:rsidP="00D93231">
      <w:pPr>
        <w:pStyle w:val="Heading2"/>
        <w:numPr>
          <w:ilvl w:val="1"/>
          <w:numId w:val="40"/>
        </w:numPr>
        <w:tabs>
          <w:tab w:val="clear" w:pos="3825"/>
          <w:tab w:val="left" w:pos="1134"/>
        </w:tabs>
        <w:spacing w:before="240" w:after="120"/>
        <w:rPr>
          <w:rFonts w:ascii="Times New Roman" w:hAnsi="Times New Roman" w:cs="Times New Roman"/>
          <w:lang w:val="sr-Cyrl-CS"/>
        </w:rPr>
      </w:pPr>
      <w:bookmarkStart w:id="9" w:name="_Toc26686095"/>
      <w:r w:rsidRPr="005303F7">
        <w:rPr>
          <w:rFonts w:ascii="Times New Roman" w:hAnsi="Times New Roman" w:cs="Times New Roman"/>
          <w:lang w:val="sr-Cyrl-CS"/>
        </w:rPr>
        <w:t>Рањивост</w:t>
      </w:r>
      <w:r w:rsidR="00375FFC" w:rsidRPr="005303F7">
        <w:rPr>
          <w:rFonts w:ascii="Times New Roman" w:hAnsi="Times New Roman" w:cs="Times New Roman"/>
          <w:lang w:val="sr-Cyrl-CS"/>
        </w:rPr>
        <w:t xml:space="preserve"> </w:t>
      </w:r>
      <w:r w:rsidRPr="005303F7">
        <w:rPr>
          <w:rFonts w:ascii="Times New Roman" w:hAnsi="Times New Roman" w:cs="Times New Roman"/>
          <w:lang w:val="sr-Cyrl-CS"/>
        </w:rPr>
        <w:t>и</w:t>
      </w:r>
      <w:r w:rsidR="00375FFC" w:rsidRPr="005303F7">
        <w:rPr>
          <w:rFonts w:ascii="Times New Roman" w:hAnsi="Times New Roman" w:cs="Times New Roman"/>
          <w:lang w:val="sr-Cyrl-CS"/>
        </w:rPr>
        <w:t xml:space="preserve"> </w:t>
      </w:r>
      <w:r w:rsidRPr="005303F7">
        <w:rPr>
          <w:rFonts w:ascii="Times New Roman" w:hAnsi="Times New Roman" w:cs="Times New Roman"/>
          <w:lang w:val="sr-Cyrl-CS"/>
        </w:rPr>
        <w:t>прилагођавање</w:t>
      </w:r>
      <w:r w:rsidR="00375FFC" w:rsidRPr="005303F7">
        <w:rPr>
          <w:rFonts w:ascii="Times New Roman" w:hAnsi="Times New Roman" w:cs="Times New Roman"/>
          <w:lang w:val="sr-Cyrl-CS"/>
        </w:rPr>
        <w:t xml:space="preserve"> </w:t>
      </w:r>
      <w:bookmarkEnd w:id="9"/>
      <w:r w:rsidRPr="005303F7">
        <w:rPr>
          <w:rFonts w:ascii="Times New Roman" w:hAnsi="Times New Roman" w:cs="Times New Roman"/>
          <w:lang w:val="sr-Cyrl-CS"/>
        </w:rPr>
        <w:t>на</w:t>
      </w:r>
      <w:r w:rsidR="00D86B90" w:rsidRPr="005303F7">
        <w:rPr>
          <w:rFonts w:ascii="Times New Roman" w:hAnsi="Times New Roman" w:cs="Times New Roman"/>
          <w:lang w:val="sr-Cyrl-CS"/>
        </w:rPr>
        <w:t xml:space="preserve"> </w:t>
      </w:r>
      <w:r w:rsidRPr="005303F7">
        <w:rPr>
          <w:rFonts w:ascii="Times New Roman" w:hAnsi="Times New Roman" w:cs="Times New Roman"/>
          <w:lang w:val="sr-Cyrl-CS"/>
        </w:rPr>
        <w:t>измењене</w:t>
      </w:r>
      <w:r w:rsidR="00D86B90" w:rsidRPr="005303F7">
        <w:rPr>
          <w:rFonts w:ascii="Times New Roman" w:hAnsi="Times New Roman" w:cs="Times New Roman"/>
          <w:lang w:val="sr-Cyrl-CS"/>
        </w:rPr>
        <w:t xml:space="preserve"> </w:t>
      </w:r>
      <w:r w:rsidRPr="005303F7">
        <w:rPr>
          <w:rFonts w:ascii="Times New Roman" w:hAnsi="Times New Roman" w:cs="Times New Roman"/>
          <w:lang w:val="sr-Cyrl-CS"/>
        </w:rPr>
        <w:t>климатске</w:t>
      </w:r>
      <w:r w:rsidR="00D86B90" w:rsidRPr="005303F7">
        <w:rPr>
          <w:rFonts w:ascii="Times New Roman" w:hAnsi="Times New Roman" w:cs="Times New Roman"/>
          <w:lang w:val="sr-Cyrl-CS"/>
        </w:rPr>
        <w:t xml:space="preserve"> </w:t>
      </w:r>
      <w:r w:rsidRPr="005303F7">
        <w:rPr>
          <w:rFonts w:ascii="Times New Roman" w:hAnsi="Times New Roman" w:cs="Times New Roman"/>
          <w:lang w:val="sr-Cyrl-CS"/>
        </w:rPr>
        <w:t>услове</w:t>
      </w:r>
    </w:p>
    <w:p w14:paraId="4F4FF02D" w14:textId="0CB55B91" w:rsidR="004D7F43" w:rsidRPr="005303F7" w:rsidRDefault="006C5198" w:rsidP="004D7F43">
      <w:pPr>
        <w:rPr>
          <w:rFonts w:ascii="Times New Roman" w:hAnsi="Times New Roman"/>
          <w:sz w:val="24"/>
          <w:szCs w:val="18"/>
          <w:lang w:val="sr-Cyrl-CS"/>
        </w:rPr>
      </w:pPr>
      <w:r w:rsidRPr="005303F7">
        <w:rPr>
          <w:rFonts w:ascii="Times New Roman" w:hAnsi="Times New Roman"/>
          <w:sz w:val="24"/>
          <w:lang w:val="sr-Cyrl-CS"/>
        </w:rPr>
        <w:t xml:space="preserve">             </w:t>
      </w:r>
      <w:r w:rsidR="006C7CB6" w:rsidRPr="005303F7">
        <w:rPr>
          <w:rFonts w:ascii="Times New Roman" w:hAnsi="Times New Roman"/>
          <w:sz w:val="24"/>
          <w:lang w:val="sr-Cyrl-CS"/>
        </w:rPr>
        <w:t>Ризици</w:t>
      </w:r>
      <w:r w:rsidR="00FC0066" w:rsidRPr="005303F7">
        <w:rPr>
          <w:rFonts w:ascii="Times New Roman" w:hAnsi="Times New Roman"/>
          <w:sz w:val="24"/>
          <w:lang w:val="sr-Cyrl-CS"/>
        </w:rPr>
        <w:t xml:space="preserve"> </w:t>
      </w:r>
      <w:r w:rsidR="006C7CB6" w:rsidRPr="005303F7">
        <w:rPr>
          <w:rFonts w:ascii="Times New Roman" w:hAnsi="Times New Roman"/>
          <w:sz w:val="24"/>
          <w:lang w:val="sr-Cyrl-CS"/>
        </w:rPr>
        <w:t>од</w:t>
      </w:r>
      <w:r w:rsidR="00FC0066" w:rsidRPr="005303F7">
        <w:rPr>
          <w:rFonts w:ascii="Times New Roman" w:hAnsi="Times New Roman"/>
          <w:sz w:val="24"/>
          <w:lang w:val="sr-Cyrl-CS"/>
        </w:rPr>
        <w:t xml:space="preserve"> </w:t>
      </w:r>
      <w:r w:rsidR="006C7CB6" w:rsidRPr="005303F7">
        <w:rPr>
          <w:rFonts w:ascii="Times New Roman" w:hAnsi="Times New Roman"/>
          <w:sz w:val="24"/>
          <w:lang w:val="sr-Cyrl-CS"/>
        </w:rPr>
        <w:t>климатских</w:t>
      </w:r>
      <w:r w:rsidR="00FC0066" w:rsidRPr="005303F7">
        <w:rPr>
          <w:rFonts w:ascii="Times New Roman" w:hAnsi="Times New Roman"/>
          <w:sz w:val="24"/>
          <w:lang w:val="sr-Cyrl-CS"/>
        </w:rPr>
        <w:t xml:space="preserve"> </w:t>
      </w:r>
      <w:r w:rsidR="006C7CB6" w:rsidRPr="005303F7">
        <w:rPr>
          <w:rFonts w:ascii="Times New Roman" w:hAnsi="Times New Roman"/>
          <w:sz w:val="24"/>
          <w:lang w:val="sr-Cyrl-CS"/>
        </w:rPr>
        <w:t>промена</w:t>
      </w:r>
      <w:r w:rsidR="00B458B8" w:rsidRPr="005303F7">
        <w:rPr>
          <w:rFonts w:ascii="Times New Roman" w:hAnsi="Times New Roman"/>
          <w:sz w:val="24"/>
          <w:lang w:val="sr-Cyrl-CS"/>
        </w:rPr>
        <w:t xml:space="preserve"> </w:t>
      </w:r>
      <w:r w:rsidR="006C7CB6" w:rsidRPr="005303F7">
        <w:rPr>
          <w:rFonts w:ascii="Times New Roman" w:hAnsi="Times New Roman"/>
          <w:sz w:val="24"/>
          <w:lang w:val="sr-Cyrl-CS"/>
        </w:rPr>
        <w:t>за</w:t>
      </w:r>
      <w:r w:rsidR="00B458B8" w:rsidRPr="005303F7">
        <w:rPr>
          <w:rFonts w:ascii="Times New Roman" w:hAnsi="Times New Roman"/>
          <w:sz w:val="24"/>
          <w:lang w:val="sr-Cyrl-CS"/>
        </w:rPr>
        <w:t xml:space="preserve"> </w:t>
      </w:r>
      <w:r w:rsidR="006C7CB6" w:rsidRPr="005303F7">
        <w:rPr>
          <w:rFonts w:ascii="Times New Roman" w:hAnsi="Times New Roman"/>
          <w:sz w:val="24"/>
          <w:lang w:val="sr-Cyrl-CS"/>
        </w:rPr>
        <w:t>одрживи</w:t>
      </w:r>
      <w:r w:rsidR="00B458B8" w:rsidRPr="005303F7">
        <w:rPr>
          <w:rFonts w:ascii="Times New Roman" w:hAnsi="Times New Roman"/>
          <w:sz w:val="24"/>
          <w:lang w:val="sr-Cyrl-CS"/>
        </w:rPr>
        <w:t xml:space="preserve"> </w:t>
      </w:r>
      <w:r w:rsidR="006C7CB6" w:rsidRPr="005303F7">
        <w:rPr>
          <w:rFonts w:ascii="Times New Roman" w:hAnsi="Times New Roman"/>
          <w:sz w:val="24"/>
          <w:lang w:val="sr-Cyrl-CS"/>
        </w:rPr>
        <w:t>развој</w:t>
      </w:r>
      <w:r w:rsidR="00B458B8" w:rsidRPr="005303F7">
        <w:rPr>
          <w:rFonts w:ascii="Times New Roman" w:hAnsi="Times New Roman"/>
          <w:sz w:val="24"/>
          <w:lang w:val="sr-Cyrl-CS"/>
        </w:rPr>
        <w:t xml:space="preserve"> </w:t>
      </w:r>
      <w:r w:rsidR="00D73AAB" w:rsidRPr="005303F7">
        <w:rPr>
          <w:rFonts w:ascii="Times New Roman" w:hAnsi="Times New Roman"/>
          <w:sz w:val="24"/>
          <w:lang w:val="sr-Cyrl-CS"/>
        </w:rPr>
        <w:t>Републике Србије</w:t>
      </w:r>
      <w:r w:rsidR="00B458B8" w:rsidRPr="005303F7">
        <w:rPr>
          <w:rFonts w:ascii="Times New Roman" w:hAnsi="Times New Roman"/>
          <w:sz w:val="24"/>
          <w:lang w:val="sr-Cyrl-CS"/>
        </w:rPr>
        <w:t xml:space="preserve"> </w:t>
      </w:r>
      <w:r w:rsidR="006C7CB6" w:rsidRPr="005303F7">
        <w:rPr>
          <w:rFonts w:ascii="Times New Roman" w:hAnsi="Times New Roman"/>
          <w:sz w:val="24"/>
          <w:lang w:val="sr-Cyrl-CS"/>
        </w:rPr>
        <w:t>су</w:t>
      </w:r>
      <w:r w:rsidR="00B458B8" w:rsidRPr="005303F7">
        <w:rPr>
          <w:rFonts w:ascii="Times New Roman" w:hAnsi="Times New Roman"/>
          <w:sz w:val="24"/>
          <w:lang w:val="sr-Cyrl-CS"/>
        </w:rPr>
        <w:t xml:space="preserve"> </w:t>
      </w:r>
      <w:r w:rsidR="006C7CB6" w:rsidRPr="005303F7">
        <w:rPr>
          <w:rFonts w:ascii="Times New Roman" w:hAnsi="Times New Roman"/>
          <w:sz w:val="24"/>
          <w:lang w:val="sr-Cyrl-CS"/>
        </w:rPr>
        <w:t>очигледни</w:t>
      </w:r>
      <w:r w:rsidR="00FC0066" w:rsidRPr="005303F7">
        <w:rPr>
          <w:rFonts w:ascii="Times New Roman" w:hAnsi="Times New Roman"/>
          <w:sz w:val="24"/>
          <w:lang w:val="sr-Cyrl-CS"/>
        </w:rPr>
        <w:t xml:space="preserve">. </w:t>
      </w:r>
      <w:r w:rsidR="006C7CB6" w:rsidRPr="005303F7">
        <w:rPr>
          <w:rFonts w:ascii="Times New Roman" w:hAnsi="Times New Roman"/>
          <w:sz w:val="24"/>
          <w:lang w:val="sr-Cyrl-CS"/>
        </w:rPr>
        <w:t>Други</w:t>
      </w:r>
      <w:r w:rsidR="00525B58" w:rsidRPr="005303F7">
        <w:rPr>
          <w:rFonts w:ascii="Times New Roman" w:hAnsi="Times New Roman"/>
          <w:sz w:val="24"/>
          <w:lang w:val="sr-Cyrl-CS"/>
        </w:rPr>
        <w:t xml:space="preserve"> </w:t>
      </w:r>
      <w:r w:rsidR="006C7CB6" w:rsidRPr="005303F7">
        <w:rPr>
          <w:rFonts w:ascii="Times New Roman" w:hAnsi="Times New Roman"/>
          <w:sz w:val="24"/>
          <w:lang w:val="sr-Cyrl-CS"/>
        </w:rPr>
        <w:t>национални</w:t>
      </w:r>
      <w:r w:rsidR="00525B58" w:rsidRPr="005303F7">
        <w:rPr>
          <w:rFonts w:ascii="Times New Roman" w:hAnsi="Times New Roman"/>
          <w:sz w:val="24"/>
          <w:lang w:val="sr-Cyrl-CS"/>
        </w:rPr>
        <w:t xml:space="preserve"> </w:t>
      </w:r>
      <w:r w:rsidR="006C7CB6" w:rsidRPr="005303F7">
        <w:rPr>
          <w:rFonts w:ascii="Times New Roman" w:hAnsi="Times New Roman"/>
          <w:sz w:val="24"/>
          <w:lang w:val="sr-Cyrl-CS"/>
        </w:rPr>
        <w:t>извештај</w:t>
      </w:r>
      <w:r w:rsidR="00FC0066" w:rsidRPr="005303F7">
        <w:rPr>
          <w:rFonts w:ascii="Times New Roman" w:hAnsi="Times New Roman"/>
          <w:sz w:val="24"/>
          <w:lang w:val="sr-Cyrl-CS"/>
        </w:rPr>
        <w:t xml:space="preserve"> </w:t>
      </w:r>
      <w:r w:rsidR="00F543AF" w:rsidRPr="005303F7">
        <w:rPr>
          <w:rFonts w:ascii="Times New Roman" w:hAnsi="Times New Roman"/>
          <w:sz w:val="24"/>
          <w:lang w:val="sr-Cyrl-CS"/>
        </w:rPr>
        <w:t xml:space="preserve">према UNFCCC </w:t>
      </w:r>
      <w:r w:rsidR="00FC0066" w:rsidRPr="005303F7">
        <w:rPr>
          <w:rFonts w:ascii="Times New Roman" w:hAnsi="Times New Roman"/>
          <w:sz w:val="24"/>
          <w:lang w:val="sr-Cyrl-CS"/>
        </w:rPr>
        <w:t>(</w:t>
      </w:r>
      <w:r w:rsidR="00F543AF" w:rsidRPr="005303F7">
        <w:rPr>
          <w:rFonts w:ascii="Times New Roman" w:hAnsi="Times New Roman"/>
          <w:sz w:val="24"/>
          <w:lang w:val="sr-Cyrl-CS"/>
        </w:rPr>
        <w:t xml:space="preserve">енгл. Second National Communication to the UNFCCC - </w:t>
      </w:r>
      <w:r w:rsidR="00FC0066" w:rsidRPr="005303F7">
        <w:rPr>
          <w:rFonts w:ascii="Times New Roman" w:hAnsi="Times New Roman"/>
          <w:sz w:val="24"/>
          <w:lang w:val="sr-Cyrl-CS"/>
        </w:rPr>
        <w:t xml:space="preserve">SNC) </w:t>
      </w:r>
      <w:r w:rsidR="00846FC3" w:rsidRPr="005303F7">
        <w:rPr>
          <w:rFonts w:ascii="Times New Roman" w:hAnsi="Times New Roman"/>
          <w:sz w:val="24"/>
          <w:lang w:val="sr-Cyrl-CS"/>
        </w:rPr>
        <w:t>и</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нацрт</w:t>
      </w:r>
      <w:r w:rsidR="00FC0066" w:rsidRPr="005303F7">
        <w:rPr>
          <w:rFonts w:ascii="Times New Roman" w:hAnsi="Times New Roman"/>
          <w:sz w:val="24"/>
          <w:lang w:val="sr-Cyrl-CS"/>
        </w:rPr>
        <w:t xml:space="preserve"> </w:t>
      </w:r>
      <w:r w:rsidRPr="005303F7">
        <w:rPr>
          <w:rFonts w:ascii="Times New Roman" w:hAnsi="Times New Roman"/>
          <w:sz w:val="24"/>
          <w:lang w:val="sr-Cyrl-CS"/>
        </w:rPr>
        <w:t>програма</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прилагођавања</w:t>
      </w:r>
      <w:r w:rsidR="00214E4E" w:rsidRPr="005303F7">
        <w:rPr>
          <w:rFonts w:ascii="Times New Roman" w:hAnsi="Times New Roman"/>
          <w:sz w:val="24"/>
          <w:lang w:val="sr-Cyrl-CS"/>
        </w:rPr>
        <w:t xml:space="preserve"> </w:t>
      </w:r>
      <w:r w:rsidR="00846FC3" w:rsidRPr="005303F7">
        <w:rPr>
          <w:rFonts w:ascii="Times New Roman" w:hAnsi="Times New Roman"/>
          <w:sz w:val="24"/>
          <w:lang w:val="sr-Cyrl-CS"/>
        </w:rPr>
        <w:t>на</w:t>
      </w:r>
      <w:r w:rsidR="00214E4E" w:rsidRPr="005303F7">
        <w:rPr>
          <w:rFonts w:ascii="Times New Roman" w:hAnsi="Times New Roman"/>
          <w:sz w:val="24"/>
          <w:lang w:val="sr-Cyrl-CS"/>
        </w:rPr>
        <w:t xml:space="preserve"> </w:t>
      </w:r>
      <w:r w:rsidR="00563CD9" w:rsidRPr="005303F7">
        <w:rPr>
          <w:rFonts w:ascii="Times New Roman" w:hAnsi="Times New Roman"/>
          <w:sz w:val="24"/>
          <w:lang w:val="sr-Cyrl-CS"/>
        </w:rPr>
        <w:t xml:space="preserve">измењене </w:t>
      </w:r>
      <w:r w:rsidR="00846FC3" w:rsidRPr="005303F7">
        <w:rPr>
          <w:rFonts w:ascii="Times New Roman" w:hAnsi="Times New Roman"/>
          <w:sz w:val="24"/>
          <w:lang w:val="sr-Cyrl-CS"/>
        </w:rPr>
        <w:t>климатске</w:t>
      </w:r>
      <w:r w:rsidR="00214E4E" w:rsidRPr="005303F7">
        <w:rPr>
          <w:rFonts w:ascii="Times New Roman" w:hAnsi="Times New Roman"/>
          <w:sz w:val="24"/>
          <w:lang w:val="sr-Cyrl-CS"/>
        </w:rPr>
        <w:t xml:space="preserve"> </w:t>
      </w:r>
      <w:r w:rsidR="00563CD9" w:rsidRPr="005303F7">
        <w:rPr>
          <w:rFonts w:ascii="Times New Roman" w:hAnsi="Times New Roman"/>
          <w:sz w:val="24"/>
          <w:lang w:val="sr-Cyrl-CS"/>
        </w:rPr>
        <w:t>услове</w:t>
      </w:r>
      <w:r w:rsidR="00FC0066" w:rsidRPr="005303F7">
        <w:rPr>
          <w:rFonts w:ascii="Times New Roman" w:hAnsi="Times New Roman"/>
          <w:sz w:val="24"/>
          <w:lang w:val="sr-Cyrl-CS"/>
        </w:rPr>
        <w:t xml:space="preserve"> </w:t>
      </w:r>
      <w:r w:rsidR="00214E4E" w:rsidRPr="005303F7">
        <w:rPr>
          <w:rFonts w:ascii="Times New Roman" w:hAnsi="Times New Roman"/>
          <w:sz w:val="24"/>
          <w:lang w:val="sr-Cyrl-CS"/>
        </w:rPr>
        <w:t xml:space="preserve"> </w:t>
      </w:r>
      <w:r w:rsidR="006C7CB6" w:rsidRPr="005303F7">
        <w:rPr>
          <w:rFonts w:ascii="Times New Roman" w:hAnsi="Times New Roman"/>
          <w:sz w:val="24"/>
          <w:lang w:val="sr-Cyrl-CS"/>
        </w:rPr>
        <w:t>потврђују</w:t>
      </w:r>
      <w:r w:rsidR="00FC0066" w:rsidRPr="005303F7">
        <w:rPr>
          <w:rFonts w:ascii="Times New Roman" w:hAnsi="Times New Roman"/>
          <w:sz w:val="24"/>
          <w:lang w:val="sr-Cyrl-CS"/>
        </w:rPr>
        <w:t xml:space="preserve"> </w:t>
      </w:r>
      <w:r w:rsidR="006C7CB6" w:rsidRPr="005303F7">
        <w:rPr>
          <w:rFonts w:ascii="Times New Roman" w:hAnsi="Times New Roman"/>
          <w:sz w:val="24"/>
          <w:lang w:val="sr-Cyrl-CS"/>
        </w:rPr>
        <w:t>пораст</w:t>
      </w:r>
      <w:r w:rsidR="00FC0066" w:rsidRPr="005303F7">
        <w:rPr>
          <w:rFonts w:ascii="Times New Roman" w:hAnsi="Times New Roman"/>
          <w:sz w:val="24"/>
          <w:lang w:val="sr-Cyrl-CS"/>
        </w:rPr>
        <w:t xml:space="preserve"> </w:t>
      </w:r>
      <w:r w:rsidR="006C7CB6" w:rsidRPr="005303F7">
        <w:rPr>
          <w:rFonts w:ascii="Times New Roman" w:hAnsi="Times New Roman"/>
          <w:sz w:val="24"/>
          <w:lang w:val="sr-Cyrl-CS"/>
        </w:rPr>
        <w:t>температуре</w:t>
      </w:r>
      <w:r w:rsidR="00FC0066" w:rsidRPr="005303F7">
        <w:rPr>
          <w:rFonts w:ascii="Times New Roman" w:hAnsi="Times New Roman"/>
          <w:sz w:val="24"/>
          <w:lang w:val="sr-Cyrl-CS"/>
        </w:rPr>
        <w:t xml:space="preserve"> </w:t>
      </w:r>
      <w:r w:rsidR="006C7CB6" w:rsidRPr="005303F7">
        <w:rPr>
          <w:rFonts w:ascii="Times New Roman" w:hAnsi="Times New Roman"/>
          <w:sz w:val="24"/>
          <w:lang w:val="sr-Cyrl-CS"/>
        </w:rPr>
        <w:t>током</w:t>
      </w:r>
      <w:r w:rsidR="00FC0066" w:rsidRPr="005303F7">
        <w:rPr>
          <w:rFonts w:ascii="Times New Roman" w:hAnsi="Times New Roman"/>
          <w:sz w:val="24"/>
          <w:lang w:val="sr-Cyrl-CS"/>
        </w:rPr>
        <w:t xml:space="preserve"> </w:t>
      </w:r>
      <w:r w:rsidR="006C7CB6" w:rsidRPr="005303F7">
        <w:rPr>
          <w:rFonts w:ascii="Times New Roman" w:hAnsi="Times New Roman"/>
          <w:sz w:val="24"/>
          <w:lang w:val="sr-Cyrl-CS"/>
        </w:rPr>
        <w:t>периода</w:t>
      </w:r>
      <w:r w:rsidR="00FC0066" w:rsidRPr="005303F7">
        <w:rPr>
          <w:rFonts w:ascii="Times New Roman" w:hAnsi="Times New Roman"/>
          <w:sz w:val="24"/>
          <w:lang w:val="sr-Cyrl-CS"/>
        </w:rPr>
        <w:t xml:space="preserve"> </w:t>
      </w:r>
      <w:r w:rsidR="006C7CB6" w:rsidRPr="005303F7">
        <w:rPr>
          <w:rFonts w:ascii="Times New Roman" w:hAnsi="Times New Roman"/>
          <w:sz w:val="24"/>
          <w:lang w:val="sr-Cyrl-CS"/>
        </w:rPr>
        <w:t>од</w:t>
      </w:r>
      <w:r w:rsidR="00E80E3F" w:rsidRPr="005303F7">
        <w:rPr>
          <w:rFonts w:ascii="Times New Roman" w:hAnsi="Times New Roman"/>
          <w:sz w:val="24"/>
          <w:lang w:val="sr-Cyrl-CS"/>
        </w:rPr>
        <w:t xml:space="preserve"> </w:t>
      </w:r>
      <w:r w:rsidR="00FC0066" w:rsidRPr="005303F7">
        <w:rPr>
          <w:rFonts w:ascii="Times New Roman" w:hAnsi="Times New Roman"/>
          <w:sz w:val="24"/>
          <w:lang w:val="sr-Cyrl-CS"/>
        </w:rPr>
        <w:t>1960-2012</w:t>
      </w:r>
      <w:r w:rsidR="00E80E3F" w:rsidRPr="005303F7">
        <w:rPr>
          <w:rFonts w:ascii="Times New Roman" w:hAnsi="Times New Roman"/>
          <w:sz w:val="24"/>
          <w:lang w:val="sr-Cyrl-CS"/>
        </w:rPr>
        <w:t xml:space="preserve">. </w:t>
      </w:r>
      <w:r w:rsidR="006C7CB6" w:rsidRPr="005303F7">
        <w:rPr>
          <w:rFonts w:ascii="Times New Roman" w:hAnsi="Times New Roman"/>
          <w:sz w:val="24"/>
          <w:lang w:val="sr-Cyrl-CS"/>
        </w:rPr>
        <w:t>године</w:t>
      </w:r>
      <w:r w:rsidR="00294CF7" w:rsidRPr="005303F7">
        <w:rPr>
          <w:rFonts w:ascii="Times New Roman" w:hAnsi="Times New Roman"/>
          <w:sz w:val="24"/>
          <w:lang w:val="sr-Cyrl-CS"/>
        </w:rPr>
        <w:t xml:space="preserve">, </w:t>
      </w:r>
      <w:r w:rsidR="006C7CB6" w:rsidRPr="005303F7">
        <w:rPr>
          <w:rFonts w:ascii="Times New Roman" w:hAnsi="Times New Roman"/>
          <w:sz w:val="24"/>
          <w:lang w:val="sr-Cyrl-CS"/>
        </w:rPr>
        <w:t>у</w:t>
      </w:r>
      <w:r w:rsidR="00294CF7" w:rsidRPr="005303F7">
        <w:rPr>
          <w:rFonts w:ascii="Times New Roman" w:hAnsi="Times New Roman"/>
          <w:sz w:val="24"/>
          <w:lang w:val="sr-Cyrl-CS"/>
        </w:rPr>
        <w:t xml:space="preserve"> </w:t>
      </w:r>
      <w:r w:rsidR="006C7CB6" w:rsidRPr="005303F7">
        <w:rPr>
          <w:rFonts w:ascii="Times New Roman" w:hAnsi="Times New Roman"/>
          <w:sz w:val="24"/>
          <w:lang w:val="sr-Cyrl-CS"/>
        </w:rPr>
        <w:t>просеку</w:t>
      </w:r>
      <w:r w:rsidR="001C05C3" w:rsidRPr="005303F7">
        <w:rPr>
          <w:rFonts w:ascii="Times New Roman" w:hAnsi="Times New Roman"/>
          <w:sz w:val="24"/>
          <w:lang w:val="sr-Cyrl-CS"/>
        </w:rPr>
        <w:t xml:space="preserve"> </w:t>
      </w:r>
      <w:r w:rsidR="006C7CB6" w:rsidRPr="005303F7">
        <w:rPr>
          <w:rFonts w:ascii="Times New Roman" w:hAnsi="Times New Roman"/>
          <w:sz w:val="24"/>
          <w:lang w:val="sr-Cyrl-CS"/>
        </w:rPr>
        <w:t>за</w:t>
      </w:r>
      <w:r w:rsidR="00294CF7" w:rsidRPr="005303F7">
        <w:rPr>
          <w:rFonts w:ascii="Times New Roman" w:hAnsi="Times New Roman"/>
          <w:sz w:val="24"/>
          <w:lang w:val="sr-Cyrl-CS"/>
        </w:rPr>
        <w:t xml:space="preserve"> 0,3</w:t>
      </w:r>
      <w:r w:rsidR="00F543AF" w:rsidRPr="005303F7">
        <w:rPr>
          <w:rFonts w:ascii="Times New Roman" w:hAnsi="Times New Roman"/>
          <w:sz w:val="24"/>
          <w:lang w:val="sr-Cyrl-CS"/>
        </w:rPr>
        <w:t>°</w:t>
      </w:r>
      <w:r w:rsidR="00FC0066" w:rsidRPr="005303F7">
        <w:rPr>
          <w:rFonts w:ascii="Times New Roman" w:hAnsi="Times New Roman"/>
          <w:sz w:val="24"/>
          <w:lang w:val="sr-Cyrl-CS"/>
        </w:rPr>
        <w:t xml:space="preserve">C </w:t>
      </w:r>
      <w:r w:rsidR="00846FC3" w:rsidRPr="005303F7">
        <w:rPr>
          <w:rFonts w:ascii="Times New Roman" w:hAnsi="Times New Roman"/>
          <w:sz w:val="24"/>
          <w:lang w:val="sr-Cyrl-CS"/>
        </w:rPr>
        <w:t>по</w:t>
      </w:r>
      <w:r w:rsidR="00E80E3F" w:rsidRPr="005303F7">
        <w:rPr>
          <w:rFonts w:ascii="Times New Roman" w:hAnsi="Times New Roman"/>
          <w:sz w:val="24"/>
          <w:lang w:val="sr-Cyrl-CS"/>
        </w:rPr>
        <w:t xml:space="preserve"> </w:t>
      </w:r>
      <w:r w:rsidR="00846FC3" w:rsidRPr="005303F7">
        <w:rPr>
          <w:rFonts w:ascii="Times New Roman" w:hAnsi="Times New Roman"/>
          <w:sz w:val="24"/>
          <w:lang w:val="sr-Cyrl-CS"/>
        </w:rPr>
        <w:t>деценији</w:t>
      </w:r>
      <w:r w:rsidR="00FC0066" w:rsidRPr="005303F7">
        <w:rPr>
          <w:rFonts w:ascii="Times New Roman" w:hAnsi="Times New Roman"/>
          <w:sz w:val="24"/>
          <w:lang w:val="sr-Cyrl-CS"/>
        </w:rPr>
        <w:t xml:space="preserve">. </w:t>
      </w:r>
      <w:r w:rsidR="00D73AAB" w:rsidRPr="005303F7">
        <w:rPr>
          <w:rFonts w:ascii="Times New Roman" w:hAnsi="Times New Roman"/>
          <w:sz w:val="24"/>
          <w:lang w:val="sr-Cyrl-CS"/>
        </w:rPr>
        <w:t>К</w:t>
      </w:r>
      <w:r w:rsidR="00846FC3" w:rsidRPr="005303F7">
        <w:rPr>
          <w:rFonts w:ascii="Times New Roman" w:hAnsi="Times New Roman"/>
          <w:sz w:val="24"/>
          <w:lang w:val="sr-Cyrl-CS"/>
        </w:rPr>
        <w:t>лиматски</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сценарији</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предвиђају</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пораст</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температуре</w:t>
      </w:r>
      <w:r w:rsidR="00F25442" w:rsidRPr="005303F7">
        <w:rPr>
          <w:rFonts w:ascii="Times New Roman" w:hAnsi="Times New Roman"/>
          <w:sz w:val="24"/>
          <w:lang w:val="sr-Cyrl-CS"/>
        </w:rPr>
        <w:t xml:space="preserve"> </w:t>
      </w:r>
      <w:r w:rsidR="00846FC3" w:rsidRPr="005303F7">
        <w:rPr>
          <w:rFonts w:ascii="Times New Roman" w:hAnsi="Times New Roman"/>
          <w:sz w:val="24"/>
          <w:lang w:val="sr-Cyrl-CS"/>
        </w:rPr>
        <w:t>у</w:t>
      </w:r>
      <w:r w:rsidR="00F25442" w:rsidRPr="005303F7">
        <w:rPr>
          <w:rFonts w:ascii="Times New Roman" w:hAnsi="Times New Roman"/>
          <w:sz w:val="24"/>
          <w:lang w:val="sr-Cyrl-CS"/>
        </w:rPr>
        <w:t xml:space="preserve"> </w:t>
      </w:r>
      <w:r w:rsidR="00846FC3" w:rsidRPr="005303F7">
        <w:rPr>
          <w:rFonts w:ascii="Times New Roman" w:hAnsi="Times New Roman"/>
          <w:sz w:val="24"/>
          <w:lang w:val="sr-Cyrl-CS"/>
        </w:rPr>
        <w:t>распону</w:t>
      </w:r>
      <w:r w:rsidR="00F25442" w:rsidRPr="005303F7">
        <w:rPr>
          <w:rFonts w:ascii="Times New Roman" w:hAnsi="Times New Roman"/>
          <w:sz w:val="24"/>
          <w:lang w:val="sr-Cyrl-CS"/>
        </w:rPr>
        <w:t xml:space="preserve"> </w:t>
      </w:r>
      <w:r w:rsidR="00846FC3" w:rsidRPr="005303F7">
        <w:rPr>
          <w:rFonts w:ascii="Times New Roman" w:hAnsi="Times New Roman"/>
          <w:sz w:val="24"/>
          <w:lang w:val="sr-Cyrl-CS"/>
        </w:rPr>
        <w:t>од</w:t>
      </w:r>
      <w:r w:rsidR="00F25442" w:rsidRPr="005303F7">
        <w:rPr>
          <w:rFonts w:ascii="Times New Roman" w:hAnsi="Times New Roman"/>
          <w:sz w:val="24"/>
          <w:lang w:val="sr-Cyrl-CS"/>
        </w:rPr>
        <w:t xml:space="preserve"> 3,8 </w:t>
      </w:r>
      <w:r w:rsidR="00846FC3" w:rsidRPr="005303F7">
        <w:rPr>
          <w:rFonts w:ascii="Times New Roman" w:hAnsi="Times New Roman"/>
          <w:sz w:val="24"/>
          <w:lang w:val="sr-Cyrl-CS"/>
        </w:rPr>
        <w:t>до</w:t>
      </w:r>
      <w:r w:rsidR="00F25442" w:rsidRPr="005303F7">
        <w:rPr>
          <w:rFonts w:ascii="Times New Roman" w:hAnsi="Times New Roman"/>
          <w:sz w:val="24"/>
          <w:lang w:val="sr-Cyrl-CS"/>
        </w:rPr>
        <w:t xml:space="preserve"> 4,6</w:t>
      </w:r>
      <w:r w:rsidR="00F543AF" w:rsidRPr="005303F7">
        <w:rPr>
          <w:rFonts w:ascii="Times New Roman" w:hAnsi="Times New Roman"/>
          <w:sz w:val="24"/>
          <w:lang w:val="sr-Cyrl-CS"/>
        </w:rPr>
        <w:t>°</w:t>
      </w:r>
      <w:r w:rsidR="00FC0066" w:rsidRPr="005303F7">
        <w:rPr>
          <w:rFonts w:ascii="Times New Roman" w:hAnsi="Times New Roman"/>
          <w:sz w:val="24"/>
          <w:lang w:val="sr-Cyrl-CS"/>
        </w:rPr>
        <w:t>C (</w:t>
      </w:r>
      <w:r w:rsidR="00846FC3" w:rsidRPr="005303F7">
        <w:rPr>
          <w:rFonts w:ascii="Times New Roman" w:hAnsi="Times New Roman"/>
          <w:sz w:val="24"/>
          <w:lang w:val="sr-Cyrl-CS"/>
        </w:rPr>
        <w:t>зависно</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од</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климатског</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сценарија</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За</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период</w:t>
      </w:r>
      <w:r w:rsidR="00FC0066" w:rsidRPr="005303F7">
        <w:rPr>
          <w:rFonts w:ascii="Times New Roman" w:hAnsi="Times New Roman"/>
          <w:sz w:val="24"/>
          <w:lang w:val="sr-Cyrl-CS"/>
        </w:rPr>
        <w:t xml:space="preserve"> 2071-2100</w:t>
      </w:r>
      <w:r w:rsidR="00775127" w:rsidRPr="005303F7">
        <w:rPr>
          <w:rFonts w:ascii="Times New Roman" w:hAnsi="Times New Roman"/>
          <w:sz w:val="24"/>
          <w:lang w:val="sr-Cyrl-CS"/>
        </w:rPr>
        <w:t xml:space="preserve">. </w:t>
      </w:r>
      <w:r w:rsidR="00846FC3" w:rsidRPr="005303F7">
        <w:rPr>
          <w:rFonts w:ascii="Times New Roman" w:hAnsi="Times New Roman"/>
          <w:sz w:val="24"/>
          <w:lang w:val="sr-Cyrl-CS"/>
        </w:rPr>
        <w:t>године</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и</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за</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већи</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део</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земље</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предвиђа</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се</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значајно</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смањење</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падавина</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у</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односу</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на</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референтни</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период</w:t>
      </w:r>
      <w:r w:rsidR="00FC0066" w:rsidRPr="005303F7">
        <w:rPr>
          <w:rFonts w:ascii="Times New Roman" w:hAnsi="Times New Roman"/>
          <w:sz w:val="24"/>
          <w:lang w:val="sr-Cyrl-CS"/>
        </w:rPr>
        <w:t xml:space="preserve"> (1961-1990</w:t>
      </w:r>
      <w:r w:rsidR="00775127" w:rsidRPr="005303F7">
        <w:rPr>
          <w:rFonts w:ascii="Times New Roman" w:hAnsi="Times New Roman"/>
          <w:sz w:val="24"/>
          <w:lang w:val="sr-Cyrl-CS"/>
        </w:rPr>
        <w:t xml:space="preserve">. </w:t>
      </w:r>
      <w:r w:rsidR="00846FC3" w:rsidRPr="005303F7">
        <w:rPr>
          <w:rFonts w:ascii="Times New Roman" w:hAnsi="Times New Roman"/>
          <w:sz w:val="24"/>
          <w:lang w:val="sr-Cyrl-CS"/>
        </w:rPr>
        <w:t>год</w:t>
      </w:r>
      <w:r w:rsidR="00D44402" w:rsidRPr="005303F7">
        <w:rPr>
          <w:rFonts w:ascii="Times New Roman" w:hAnsi="Times New Roman"/>
          <w:sz w:val="24"/>
          <w:lang w:val="sr-Cyrl-CS"/>
        </w:rPr>
        <w:t>ине</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током</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већег</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дела</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сезоне</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осим</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у</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пролеће</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У</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летњој</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сезони</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то</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достиже</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и</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до</w:t>
      </w:r>
      <w:r w:rsidR="00FC0066" w:rsidRPr="005303F7">
        <w:rPr>
          <w:rFonts w:ascii="Times New Roman" w:hAnsi="Times New Roman"/>
          <w:sz w:val="24"/>
          <w:lang w:val="sr-Cyrl-CS"/>
        </w:rPr>
        <w:t xml:space="preserve"> 30% </w:t>
      </w:r>
      <w:r w:rsidR="00846FC3" w:rsidRPr="005303F7">
        <w:rPr>
          <w:rFonts w:ascii="Times New Roman" w:hAnsi="Times New Roman"/>
          <w:sz w:val="24"/>
          <w:lang w:val="sr-Cyrl-CS"/>
        </w:rPr>
        <w:t>на</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готово</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целој</w:t>
      </w:r>
      <w:r w:rsidR="00FC0066" w:rsidRPr="005303F7">
        <w:rPr>
          <w:rFonts w:ascii="Times New Roman" w:hAnsi="Times New Roman"/>
          <w:sz w:val="24"/>
          <w:lang w:val="sr-Cyrl-CS"/>
        </w:rPr>
        <w:t xml:space="preserve"> </w:t>
      </w:r>
      <w:r w:rsidR="00846FC3" w:rsidRPr="005303F7">
        <w:rPr>
          <w:rFonts w:ascii="Times New Roman" w:hAnsi="Times New Roman"/>
          <w:sz w:val="24"/>
          <w:lang w:val="sr-Cyrl-CS"/>
        </w:rPr>
        <w:t>територији</w:t>
      </w:r>
      <w:r w:rsidR="00FC0066" w:rsidRPr="005303F7">
        <w:rPr>
          <w:rFonts w:ascii="Times New Roman" w:hAnsi="Times New Roman"/>
          <w:sz w:val="24"/>
          <w:lang w:val="sr-Cyrl-CS"/>
        </w:rPr>
        <w:t xml:space="preserve"> </w:t>
      </w:r>
      <w:r w:rsidR="00D73AAB" w:rsidRPr="005303F7">
        <w:rPr>
          <w:rFonts w:ascii="Times New Roman" w:hAnsi="Times New Roman"/>
          <w:sz w:val="24"/>
          <w:lang w:val="sr-Cyrl-CS"/>
        </w:rPr>
        <w:t>Републике Србије</w:t>
      </w:r>
      <w:r w:rsidR="00FC0066" w:rsidRPr="005303F7">
        <w:rPr>
          <w:rFonts w:ascii="Times New Roman" w:hAnsi="Times New Roman"/>
          <w:sz w:val="24"/>
          <w:lang w:val="sr-Cyrl-CS"/>
        </w:rPr>
        <w:t>.</w:t>
      </w:r>
    </w:p>
    <w:p w14:paraId="584E46F0" w14:textId="444A8480" w:rsidR="00CF4C3E" w:rsidRPr="005303F7" w:rsidRDefault="006C5198" w:rsidP="004D7F43">
      <w:pPr>
        <w:rPr>
          <w:rFonts w:ascii="Times New Roman" w:hAnsi="Times New Roman"/>
          <w:sz w:val="24"/>
          <w:lang w:val="sr-Cyrl-CS"/>
        </w:rPr>
      </w:pPr>
      <w:r w:rsidRPr="005303F7">
        <w:rPr>
          <w:rFonts w:ascii="Times New Roman" w:hAnsi="Times New Roman"/>
          <w:sz w:val="24"/>
          <w:lang w:val="sr-Cyrl-CS"/>
        </w:rPr>
        <w:t xml:space="preserve">           </w:t>
      </w:r>
      <w:r w:rsidR="00D73AAB" w:rsidRPr="005303F7">
        <w:rPr>
          <w:rFonts w:ascii="Times New Roman" w:hAnsi="Times New Roman"/>
          <w:sz w:val="24"/>
          <w:lang w:val="sr-Cyrl-CS"/>
        </w:rPr>
        <w:t>У</w:t>
      </w:r>
      <w:r w:rsidR="00846FC3" w:rsidRPr="005303F7">
        <w:rPr>
          <w:rFonts w:ascii="Times New Roman" w:hAnsi="Times New Roman"/>
          <w:sz w:val="24"/>
          <w:lang w:val="sr-Cyrl-CS"/>
        </w:rPr>
        <w:t>тицаји</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климатских</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промена</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могу</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између</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осталог</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да</w:t>
      </w:r>
      <w:r w:rsidR="00287A89" w:rsidRPr="005303F7">
        <w:rPr>
          <w:rFonts w:ascii="Times New Roman" w:hAnsi="Times New Roman"/>
          <w:sz w:val="24"/>
          <w:lang w:val="sr-Cyrl-CS"/>
        </w:rPr>
        <w:t xml:space="preserve"> </w:t>
      </w:r>
      <w:r w:rsidR="00846FC3" w:rsidRPr="005303F7">
        <w:rPr>
          <w:rFonts w:ascii="Times New Roman" w:hAnsi="Times New Roman"/>
          <w:sz w:val="24"/>
          <w:lang w:val="sr-Cyrl-CS"/>
        </w:rPr>
        <w:t>угрозе</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инфраструктуру</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пољопривредну</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продуктивност</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доступност</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воде</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и</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јавно</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здравље</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Приликом</w:t>
      </w:r>
      <w:r w:rsidR="00F25442" w:rsidRPr="005303F7">
        <w:rPr>
          <w:rFonts w:ascii="Times New Roman" w:hAnsi="Times New Roman"/>
          <w:sz w:val="24"/>
          <w:lang w:val="sr-Cyrl-CS"/>
        </w:rPr>
        <w:t xml:space="preserve"> </w:t>
      </w:r>
      <w:r w:rsidR="00846FC3" w:rsidRPr="005303F7">
        <w:rPr>
          <w:rFonts w:ascii="Times New Roman" w:hAnsi="Times New Roman"/>
          <w:sz w:val="24"/>
          <w:lang w:val="sr-Cyrl-CS"/>
        </w:rPr>
        <w:t>израде</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ове</w:t>
      </w:r>
      <w:r w:rsidR="00287A89" w:rsidRPr="005303F7">
        <w:rPr>
          <w:rFonts w:ascii="Times New Roman" w:hAnsi="Times New Roman"/>
          <w:sz w:val="24"/>
          <w:lang w:val="sr-Cyrl-CS"/>
        </w:rPr>
        <w:t xml:space="preserve"> </w:t>
      </w:r>
      <w:r w:rsidR="00A509F8" w:rsidRPr="005303F7">
        <w:rPr>
          <w:rFonts w:ascii="Times New Roman" w:hAnsi="Times New Roman"/>
          <w:sz w:val="24"/>
          <w:lang w:val="sr-Cyrl-CS"/>
        </w:rPr>
        <w:t>с</w:t>
      </w:r>
      <w:r w:rsidR="00846FC3" w:rsidRPr="005303F7">
        <w:rPr>
          <w:rFonts w:ascii="Times New Roman" w:hAnsi="Times New Roman"/>
          <w:sz w:val="24"/>
          <w:lang w:val="sr-Cyrl-CS"/>
        </w:rPr>
        <w:t>тратегије</w:t>
      </w:r>
      <w:r w:rsidR="00F25442" w:rsidRPr="005303F7">
        <w:rPr>
          <w:rFonts w:ascii="Times New Roman" w:hAnsi="Times New Roman"/>
          <w:sz w:val="24"/>
          <w:lang w:val="sr-Cyrl-CS"/>
        </w:rPr>
        <w:t xml:space="preserve">, </w:t>
      </w:r>
      <w:r w:rsidR="00846FC3" w:rsidRPr="005303F7">
        <w:rPr>
          <w:rFonts w:ascii="Times New Roman" w:hAnsi="Times New Roman"/>
          <w:sz w:val="24"/>
          <w:lang w:val="sr-Cyrl-CS"/>
        </w:rPr>
        <w:t>идентификоване</w:t>
      </w:r>
      <w:r w:rsidR="00F25442" w:rsidRPr="005303F7">
        <w:rPr>
          <w:rFonts w:ascii="Times New Roman" w:hAnsi="Times New Roman"/>
          <w:sz w:val="24"/>
          <w:lang w:val="sr-Cyrl-CS"/>
        </w:rPr>
        <w:t xml:space="preserve"> </w:t>
      </w:r>
      <w:r w:rsidR="00846FC3" w:rsidRPr="005303F7">
        <w:rPr>
          <w:rFonts w:ascii="Times New Roman" w:hAnsi="Times New Roman"/>
          <w:sz w:val="24"/>
          <w:lang w:val="sr-Cyrl-CS"/>
        </w:rPr>
        <w:t>су</w:t>
      </w:r>
      <w:r w:rsidR="00F25442" w:rsidRPr="005303F7">
        <w:rPr>
          <w:rFonts w:ascii="Times New Roman" w:hAnsi="Times New Roman"/>
          <w:sz w:val="24"/>
          <w:lang w:val="sr-Cyrl-CS"/>
        </w:rPr>
        <w:t xml:space="preserve"> </w:t>
      </w:r>
      <w:r w:rsidR="00846FC3" w:rsidRPr="005303F7">
        <w:rPr>
          <w:rFonts w:ascii="Times New Roman" w:hAnsi="Times New Roman"/>
          <w:sz w:val="24"/>
          <w:lang w:val="sr-Cyrl-CS"/>
        </w:rPr>
        <w:t>могућности</w:t>
      </w:r>
      <w:r w:rsidR="00F25442" w:rsidRPr="005303F7">
        <w:rPr>
          <w:rFonts w:ascii="Times New Roman" w:hAnsi="Times New Roman"/>
          <w:sz w:val="24"/>
          <w:lang w:val="sr-Cyrl-CS"/>
        </w:rPr>
        <w:t xml:space="preserve"> </w:t>
      </w:r>
      <w:r w:rsidR="00846FC3" w:rsidRPr="005303F7">
        <w:rPr>
          <w:rFonts w:ascii="Times New Roman" w:hAnsi="Times New Roman"/>
          <w:sz w:val="24"/>
          <w:lang w:val="sr-Cyrl-CS"/>
        </w:rPr>
        <w:t>у</w:t>
      </w:r>
      <w:r w:rsidR="00F25442" w:rsidRPr="005303F7">
        <w:rPr>
          <w:rFonts w:ascii="Times New Roman" w:hAnsi="Times New Roman"/>
          <w:sz w:val="24"/>
          <w:lang w:val="sr-Cyrl-CS"/>
        </w:rPr>
        <w:t xml:space="preserve"> </w:t>
      </w:r>
      <w:r w:rsidR="00846FC3" w:rsidRPr="005303F7">
        <w:rPr>
          <w:rFonts w:ascii="Times New Roman" w:hAnsi="Times New Roman"/>
          <w:sz w:val="24"/>
          <w:lang w:val="sr-Cyrl-CS"/>
        </w:rPr>
        <w:t>погледу</w:t>
      </w:r>
      <w:r w:rsidR="00F25442" w:rsidRPr="005303F7">
        <w:rPr>
          <w:rFonts w:ascii="Times New Roman" w:hAnsi="Times New Roman"/>
          <w:sz w:val="24"/>
          <w:lang w:val="sr-Cyrl-CS"/>
        </w:rPr>
        <w:t xml:space="preserve"> </w:t>
      </w:r>
      <w:r w:rsidR="00846FC3" w:rsidRPr="005303F7">
        <w:rPr>
          <w:rFonts w:ascii="Times New Roman" w:hAnsi="Times New Roman"/>
          <w:sz w:val="24"/>
          <w:lang w:val="sr-Cyrl-CS"/>
        </w:rPr>
        <w:t>смањења</w:t>
      </w:r>
      <w:r w:rsidR="004310EA" w:rsidRPr="005303F7">
        <w:rPr>
          <w:rFonts w:ascii="Times New Roman" w:hAnsi="Times New Roman"/>
          <w:sz w:val="24"/>
          <w:lang w:val="sr-Cyrl-CS"/>
        </w:rPr>
        <w:t xml:space="preserve"> </w:t>
      </w:r>
      <w:r w:rsidR="00846FC3" w:rsidRPr="005303F7">
        <w:rPr>
          <w:rFonts w:ascii="Times New Roman" w:hAnsi="Times New Roman"/>
          <w:sz w:val="24"/>
          <w:lang w:val="sr-Cyrl-CS"/>
        </w:rPr>
        <w:t>рањивости</w:t>
      </w:r>
      <w:r w:rsidR="00F25442" w:rsidRPr="005303F7">
        <w:rPr>
          <w:rFonts w:ascii="Times New Roman" w:hAnsi="Times New Roman"/>
          <w:sz w:val="24"/>
          <w:lang w:val="sr-Cyrl-CS"/>
        </w:rPr>
        <w:t xml:space="preserve"> </w:t>
      </w:r>
      <w:r w:rsidR="00846FC3" w:rsidRPr="005303F7">
        <w:rPr>
          <w:rFonts w:ascii="Times New Roman" w:hAnsi="Times New Roman"/>
          <w:sz w:val="24"/>
          <w:lang w:val="sr-Cyrl-CS"/>
        </w:rPr>
        <w:t>и</w:t>
      </w:r>
      <w:r w:rsidR="00F25442" w:rsidRPr="005303F7">
        <w:rPr>
          <w:rFonts w:ascii="Times New Roman" w:hAnsi="Times New Roman"/>
          <w:sz w:val="24"/>
          <w:lang w:val="sr-Cyrl-CS"/>
        </w:rPr>
        <w:t xml:space="preserve"> </w:t>
      </w:r>
      <w:r w:rsidR="00846FC3" w:rsidRPr="005303F7">
        <w:rPr>
          <w:rFonts w:ascii="Times New Roman" w:hAnsi="Times New Roman"/>
          <w:sz w:val="24"/>
          <w:lang w:val="sr-Cyrl-CS"/>
        </w:rPr>
        <w:t>прилагођавања</w:t>
      </w:r>
      <w:r w:rsidR="00F25442" w:rsidRPr="005303F7">
        <w:rPr>
          <w:rFonts w:ascii="Times New Roman" w:hAnsi="Times New Roman"/>
          <w:sz w:val="24"/>
          <w:lang w:val="sr-Cyrl-CS"/>
        </w:rPr>
        <w:t xml:space="preserve">, </w:t>
      </w:r>
      <w:r w:rsidR="00846FC3" w:rsidRPr="005303F7">
        <w:rPr>
          <w:rFonts w:ascii="Times New Roman" w:hAnsi="Times New Roman"/>
          <w:sz w:val="24"/>
          <w:lang w:val="sr-Cyrl-CS"/>
        </w:rPr>
        <w:t>а</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на</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основу</w:t>
      </w:r>
      <w:r w:rsidR="00CF4C3E" w:rsidRPr="005303F7">
        <w:rPr>
          <w:rFonts w:ascii="Times New Roman" w:hAnsi="Times New Roman"/>
          <w:sz w:val="24"/>
          <w:lang w:val="sr-Cyrl-CS"/>
        </w:rPr>
        <w:t xml:space="preserve"> </w:t>
      </w:r>
      <w:r w:rsidRPr="005303F7">
        <w:rPr>
          <w:rFonts w:ascii="Times New Roman" w:hAnsi="Times New Roman"/>
          <w:sz w:val="24"/>
          <w:lang w:val="sr-Cyrl-CS"/>
        </w:rPr>
        <w:t xml:space="preserve">нацрта </w:t>
      </w:r>
      <w:r w:rsidR="00846FC3" w:rsidRPr="005303F7">
        <w:rPr>
          <w:rFonts w:ascii="Times New Roman" w:hAnsi="Times New Roman"/>
          <w:sz w:val="24"/>
          <w:lang w:val="sr-Cyrl-CS"/>
        </w:rPr>
        <w:t>Другог</w:t>
      </w:r>
      <w:r w:rsidR="00525B58" w:rsidRPr="005303F7">
        <w:rPr>
          <w:rFonts w:ascii="Times New Roman" w:hAnsi="Times New Roman"/>
          <w:sz w:val="24"/>
          <w:lang w:val="sr-Cyrl-CS"/>
        </w:rPr>
        <w:t xml:space="preserve"> </w:t>
      </w:r>
      <w:r w:rsidR="00846FC3" w:rsidRPr="005303F7">
        <w:rPr>
          <w:rFonts w:ascii="Times New Roman" w:hAnsi="Times New Roman"/>
          <w:sz w:val="24"/>
          <w:lang w:val="sr-Cyrl-CS"/>
        </w:rPr>
        <w:t>националног</w:t>
      </w:r>
      <w:r w:rsidR="00525B58" w:rsidRPr="005303F7">
        <w:rPr>
          <w:rFonts w:ascii="Times New Roman" w:hAnsi="Times New Roman"/>
          <w:sz w:val="24"/>
          <w:lang w:val="sr-Cyrl-CS"/>
        </w:rPr>
        <w:t xml:space="preserve"> </w:t>
      </w:r>
      <w:r w:rsidR="00846FC3" w:rsidRPr="005303F7">
        <w:rPr>
          <w:rFonts w:ascii="Times New Roman" w:hAnsi="Times New Roman"/>
          <w:sz w:val="24"/>
          <w:lang w:val="sr-Cyrl-CS"/>
        </w:rPr>
        <w:t>извештаја</w:t>
      </w:r>
      <w:r w:rsidR="00027573" w:rsidRPr="005303F7">
        <w:rPr>
          <w:rFonts w:ascii="Times New Roman" w:hAnsi="Times New Roman"/>
          <w:sz w:val="24"/>
          <w:lang w:val="sr-Cyrl-CS"/>
        </w:rPr>
        <w:t xml:space="preserve"> </w:t>
      </w:r>
      <w:r w:rsidRPr="005303F7">
        <w:rPr>
          <w:rFonts w:ascii="Times New Roman" w:hAnsi="Times New Roman"/>
          <w:sz w:val="24"/>
          <w:lang w:val="sr-Cyrl-CS"/>
        </w:rPr>
        <w:t xml:space="preserve">према UNFCCC </w:t>
      </w:r>
      <w:r w:rsidR="00846FC3" w:rsidRPr="005303F7">
        <w:rPr>
          <w:rFonts w:ascii="Times New Roman" w:hAnsi="Times New Roman"/>
          <w:sz w:val="24"/>
          <w:lang w:val="sr-Cyrl-CS"/>
        </w:rPr>
        <w:t>и</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нацрта</w:t>
      </w:r>
      <w:r w:rsidR="00CF4C3E" w:rsidRPr="005303F7">
        <w:rPr>
          <w:rFonts w:ascii="Times New Roman" w:hAnsi="Times New Roman"/>
          <w:sz w:val="24"/>
          <w:lang w:val="sr-Cyrl-CS"/>
        </w:rPr>
        <w:t xml:space="preserve"> </w:t>
      </w:r>
      <w:r w:rsidRPr="005303F7">
        <w:rPr>
          <w:rFonts w:ascii="Times New Roman" w:hAnsi="Times New Roman"/>
          <w:sz w:val="24"/>
          <w:lang w:val="sr-Cyrl-CS"/>
        </w:rPr>
        <w:t>програма</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 xml:space="preserve">прилагођавања на </w:t>
      </w:r>
      <w:r w:rsidR="00D9336E" w:rsidRPr="005303F7">
        <w:rPr>
          <w:rFonts w:ascii="Times New Roman" w:hAnsi="Times New Roman"/>
          <w:sz w:val="24"/>
          <w:lang w:val="sr-Cyrl-CS"/>
        </w:rPr>
        <w:t xml:space="preserve">измењене </w:t>
      </w:r>
      <w:r w:rsidR="00846FC3" w:rsidRPr="005303F7">
        <w:rPr>
          <w:rFonts w:ascii="Times New Roman" w:hAnsi="Times New Roman"/>
          <w:sz w:val="24"/>
          <w:lang w:val="sr-Cyrl-CS"/>
        </w:rPr>
        <w:t xml:space="preserve">климатске </w:t>
      </w:r>
      <w:r w:rsidR="00D9336E" w:rsidRPr="005303F7">
        <w:rPr>
          <w:rFonts w:ascii="Times New Roman" w:hAnsi="Times New Roman"/>
          <w:sz w:val="24"/>
          <w:lang w:val="sr-Cyrl-CS"/>
        </w:rPr>
        <w:t>услове</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Ови</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документи</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подвлаче</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три</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најосетљивија</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сектора</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пољопривреду</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шумарство</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и</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хидрологију</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и</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водне</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ресурсе</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Ови</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сектори</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су</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важни</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са</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аспекта</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Стратегије</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и</w:t>
      </w:r>
      <w:r w:rsidR="008C6CDE" w:rsidRPr="005303F7">
        <w:rPr>
          <w:rFonts w:ascii="Times New Roman" w:hAnsi="Times New Roman"/>
          <w:sz w:val="24"/>
          <w:lang w:val="sr-Cyrl-CS"/>
        </w:rPr>
        <w:t xml:space="preserve"> </w:t>
      </w:r>
      <w:r w:rsidR="00846FC3" w:rsidRPr="005303F7">
        <w:rPr>
          <w:rFonts w:ascii="Times New Roman" w:hAnsi="Times New Roman"/>
          <w:sz w:val="24"/>
          <w:lang w:val="sr-Cyrl-CS"/>
        </w:rPr>
        <w:t>због</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повезаности</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са</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потенцијалима</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и</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могућностима</w:t>
      </w:r>
      <w:r w:rsidR="00CF4C3E" w:rsidRPr="005303F7">
        <w:rPr>
          <w:rFonts w:ascii="Times New Roman" w:hAnsi="Times New Roman"/>
          <w:sz w:val="24"/>
          <w:lang w:val="sr-Cyrl-CS"/>
        </w:rPr>
        <w:t xml:space="preserve"> </w:t>
      </w:r>
      <w:r w:rsidR="00846FC3" w:rsidRPr="005303F7">
        <w:rPr>
          <w:rFonts w:ascii="Times New Roman" w:hAnsi="Times New Roman"/>
          <w:sz w:val="24"/>
          <w:lang w:val="sr-Cyrl-CS"/>
        </w:rPr>
        <w:t>ублажавања</w:t>
      </w:r>
      <w:r w:rsidR="00CF4C3E" w:rsidRPr="005303F7">
        <w:rPr>
          <w:rFonts w:ascii="Times New Roman" w:hAnsi="Times New Roman"/>
          <w:sz w:val="24"/>
          <w:lang w:val="sr-Cyrl-CS"/>
        </w:rPr>
        <w:t>.</w:t>
      </w:r>
    </w:p>
    <w:p w14:paraId="36AC88F8" w14:textId="033D910D" w:rsidR="004D7F43" w:rsidRPr="005303F7" w:rsidRDefault="006C5198" w:rsidP="004D7F43">
      <w:pPr>
        <w:rPr>
          <w:rFonts w:ascii="Times New Roman" w:hAnsi="Times New Roman"/>
          <w:sz w:val="24"/>
          <w:szCs w:val="18"/>
          <w:lang w:val="sr-Cyrl-CS"/>
        </w:rPr>
      </w:pPr>
      <w:r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Користећи</w:t>
      </w:r>
      <w:r w:rsidR="00CF4C3E"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Оквир</w:t>
      </w:r>
      <w:r w:rsidR="00CF4C3E"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за</w:t>
      </w:r>
      <w:r w:rsidR="00CF4C3E"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планирање</w:t>
      </w:r>
      <w:r w:rsidR="00CF4C3E"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прилагођавања</w:t>
      </w:r>
      <w:r w:rsidR="004D7F43" w:rsidRPr="005303F7">
        <w:rPr>
          <w:rFonts w:ascii="Times New Roman" w:hAnsi="Times New Roman"/>
          <w:sz w:val="24"/>
          <w:szCs w:val="18"/>
          <w:lang w:val="sr-Cyrl-CS"/>
        </w:rPr>
        <w:t xml:space="preserve">, </w:t>
      </w:r>
      <w:r w:rsidR="00B52423" w:rsidRPr="005303F7">
        <w:rPr>
          <w:rFonts w:ascii="Times New Roman" w:hAnsi="Times New Roman"/>
          <w:sz w:val="24"/>
          <w:szCs w:val="18"/>
          <w:lang w:val="sr-Cyrl-CS"/>
        </w:rPr>
        <w:t>мере прилагођавања до 2030</w:t>
      </w:r>
      <w:r w:rsidRPr="005303F7">
        <w:rPr>
          <w:rFonts w:ascii="Times New Roman" w:hAnsi="Times New Roman"/>
          <w:sz w:val="24"/>
          <w:szCs w:val="18"/>
          <w:lang w:val="sr-Cyrl-CS"/>
        </w:rPr>
        <w:t xml:space="preserve"> и </w:t>
      </w:r>
      <w:r w:rsidR="00B52423" w:rsidRPr="005303F7">
        <w:rPr>
          <w:rFonts w:ascii="Times New Roman" w:hAnsi="Times New Roman"/>
          <w:sz w:val="24"/>
          <w:szCs w:val="18"/>
          <w:lang w:val="sr-Cyrl-CS"/>
        </w:rPr>
        <w:t xml:space="preserve">2050. године су биле </w:t>
      </w:r>
      <w:r w:rsidR="00846FC3" w:rsidRPr="005303F7">
        <w:rPr>
          <w:rFonts w:ascii="Times New Roman" w:hAnsi="Times New Roman"/>
          <w:sz w:val="24"/>
          <w:szCs w:val="18"/>
          <w:lang w:val="sr-Cyrl-CS"/>
        </w:rPr>
        <w:t>идентификоване</w:t>
      </w:r>
      <w:r w:rsidR="00CA4F46" w:rsidRPr="005303F7">
        <w:rPr>
          <w:rFonts w:ascii="Times New Roman" w:hAnsi="Times New Roman"/>
          <w:sz w:val="24"/>
          <w:szCs w:val="18"/>
          <w:lang w:val="sr-Cyrl-CS"/>
        </w:rPr>
        <w:t>,</w:t>
      </w:r>
      <w:r w:rsidR="004D7F43"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за</w:t>
      </w:r>
      <w:r w:rsidR="00E544FF"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сваки</w:t>
      </w:r>
      <w:r w:rsidR="00E544FF"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од</w:t>
      </w:r>
      <w:r w:rsidR="00E544FF"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следећа</w:t>
      </w:r>
      <w:r w:rsidR="00D805FC"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три</w:t>
      </w:r>
      <w:r w:rsidR="00E544FF"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приоритетна</w:t>
      </w:r>
      <w:r w:rsidR="00D805FC"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сектора</w:t>
      </w:r>
      <w:r w:rsidR="00A509F8" w:rsidRPr="005303F7">
        <w:rPr>
          <w:rFonts w:ascii="Times New Roman" w:hAnsi="Times New Roman"/>
          <w:sz w:val="24"/>
          <w:szCs w:val="18"/>
          <w:lang w:val="sr-Cyrl-CS"/>
        </w:rPr>
        <w:t>:</w:t>
      </w:r>
      <w:r w:rsidR="00E544FF" w:rsidRPr="005303F7">
        <w:rPr>
          <w:rFonts w:ascii="Times New Roman" w:hAnsi="Times New Roman"/>
          <w:sz w:val="24"/>
          <w:szCs w:val="18"/>
          <w:lang w:val="sr-Cyrl-CS"/>
        </w:rPr>
        <w:t xml:space="preserve"> </w:t>
      </w:r>
    </w:p>
    <w:p w14:paraId="140F5DB3" w14:textId="6BF23F7D" w:rsidR="004D7F43" w:rsidRPr="005303F7" w:rsidRDefault="00A509F8" w:rsidP="00D93231">
      <w:pPr>
        <w:pStyle w:val="ListParagraph"/>
        <w:numPr>
          <w:ilvl w:val="0"/>
          <w:numId w:val="36"/>
        </w:numPr>
        <w:rPr>
          <w:rFonts w:ascii="Times New Roman" w:hAnsi="Times New Roman"/>
          <w:sz w:val="24"/>
          <w:lang w:val="sr-Cyrl-CS"/>
        </w:rPr>
      </w:pPr>
      <w:r w:rsidRPr="005303F7">
        <w:rPr>
          <w:rFonts w:ascii="Times New Roman" w:hAnsi="Times New Roman"/>
          <w:sz w:val="24"/>
          <w:lang w:val="sr-Cyrl-CS"/>
        </w:rPr>
        <w:t>п</w:t>
      </w:r>
      <w:r w:rsidR="00846FC3" w:rsidRPr="005303F7">
        <w:rPr>
          <w:rFonts w:ascii="Times New Roman" w:hAnsi="Times New Roman"/>
          <w:sz w:val="24"/>
          <w:lang w:val="sr-Cyrl-CS"/>
        </w:rPr>
        <w:t>ољопривреда</w:t>
      </w:r>
      <w:r w:rsidR="00632C9F" w:rsidRPr="005303F7">
        <w:rPr>
          <w:rFonts w:ascii="Times New Roman" w:hAnsi="Times New Roman"/>
          <w:sz w:val="24"/>
          <w:lang w:val="sr-Cyrl-CS"/>
        </w:rPr>
        <w:t xml:space="preserve"> – </w:t>
      </w:r>
      <w:r w:rsidR="00846FC3" w:rsidRPr="005303F7">
        <w:rPr>
          <w:rFonts w:ascii="Times New Roman" w:hAnsi="Times New Roman"/>
          <w:sz w:val="24"/>
          <w:lang w:val="sr-Cyrl-CS"/>
        </w:rPr>
        <w:t>производња</w:t>
      </w:r>
      <w:r w:rsidR="004B14B1" w:rsidRPr="005303F7">
        <w:rPr>
          <w:rFonts w:ascii="Times New Roman" w:hAnsi="Times New Roman"/>
          <w:sz w:val="24"/>
          <w:lang w:val="sr-Cyrl-CS"/>
        </w:rPr>
        <w:t xml:space="preserve"> </w:t>
      </w:r>
      <w:r w:rsidR="00846FC3" w:rsidRPr="005303F7">
        <w:rPr>
          <w:rFonts w:ascii="Times New Roman" w:hAnsi="Times New Roman"/>
          <w:sz w:val="24"/>
          <w:lang w:val="sr-Cyrl-CS"/>
        </w:rPr>
        <w:t>хране</w:t>
      </w:r>
      <w:r w:rsidR="00B15B5A" w:rsidRPr="005303F7">
        <w:rPr>
          <w:rFonts w:ascii="Times New Roman" w:hAnsi="Times New Roman"/>
          <w:sz w:val="24"/>
          <w:lang w:val="sr-Cyrl-CS"/>
        </w:rPr>
        <w:t>;</w:t>
      </w:r>
    </w:p>
    <w:p w14:paraId="2758BDB6" w14:textId="477A9F37" w:rsidR="004D7F43" w:rsidRPr="005303F7" w:rsidRDefault="00A509F8" w:rsidP="00D93231">
      <w:pPr>
        <w:pStyle w:val="ListParagraph"/>
        <w:numPr>
          <w:ilvl w:val="0"/>
          <w:numId w:val="36"/>
        </w:numPr>
        <w:rPr>
          <w:rFonts w:ascii="Times New Roman" w:hAnsi="Times New Roman"/>
          <w:sz w:val="24"/>
          <w:lang w:val="sr-Cyrl-CS"/>
        </w:rPr>
      </w:pPr>
      <w:r w:rsidRPr="005303F7">
        <w:rPr>
          <w:rFonts w:ascii="Times New Roman" w:hAnsi="Times New Roman"/>
          <w:sz w:val="24"/>
          <w:lang w:val="sr-Cyrl-CS"/>
        </w:rPr>
        <w:t>ш</w:t>
      </w:r>
      <w:r w:rsidR="00846FC3" w:rsidRPr="005303F7">
        <w:rPr>
          <w:rFonts w:ascii="Times New Roman" w:hAnsi="Times New Roman"/>
          <w:sz w:val="24"/>
          <w:lang w:val="sr-Cyrl-CS"/>
        </w:rPr>
        <w:t>умарство</w:t>
      </w:r>
      <w:r w:rsidR="00632C9F" w:rsidRPr="005303F7">
        <w:rPr>
          <w:rFonts w:ascii="Times New Roman" w:hAnsi="Times New Roman"/>
          <w:sz w:val="24"/>
          <w:lang w:val="sr-Cyrl-CS"/>
        </w:rPr>
        <w:t xml:space="preserve"> </w:t>
      </w:r>
      <w:r w:rsidR="00B15B5A" w:rsidRPr="005303F7">
        <w:rPr>
          <w:rFonts w:ascii="Times New Roman" w:hAnsi="Times New Roman"/>
          <w:sz w:val="24"/>
          <w:lang w:val="sr-Cyrl-CS"/>
        </w:rPr>
        <w:t>–</w:t>
      </w:r>
      <w:r w:rsidR="00D9336E" w:rsidRPr="005303F7">
        <w:rPr>
          <w:rFonts w:ascii="Times New Roman" w:hAnsi="Times New Roman" w:cs="Times New Roman"/>
          <w:sz w:val="24"/>
          <w:szCs w:val="24"/>
          <w:lang w:val="sr-Cyrl-CS"/>
        </w:rPr>
        <w:t xml:space="preserve"> </w:t>
      </w:r>
      <w:r w:rsidR="00213ABC" w:rsidRPr="005303F7">
        <w:rPr>
          <w:rFonts w:ascii="Times New Roman" w:hAnsi="Times New Roman"/>
          <w:sz w:val="24"/>
          <w:lang w:val="sr-Cyrl-CS"/>
        </w:rPr>
        <w:t xml:space="preserve">снабдевање </w:t>
      </w:r>
      <w:r w:rsidR="00846FC3" w:rsidRPr="005303F7">
        <w:rPr>
          <w:rFonts w:ascii="Times New Roman" w:hAnsi="Times New Roman"/>
          <w:sz w:val="24"/>
          <w:lang w:val="sr-Cyrl-CS"/>
        </w:rPr>
        <w:t>биомас</w:t>
      </w:r>
      <w:r w:rsidR="00213ABC" w:rsidRPr="005303F7">
        <w:rPr>
          <w:rFonts w:ascii="Times New Roman" w:hAnsi="Times New Roman"/>
          <w:sz w:val="24"/>
          <w:lang w:val="sr-Cyrl-CS"/>
        </w:rPr>
        <w:t>ом</w:t>
      </w:r>
      <w:r w:rsidR="00B15B5A" w:rsidRPr="005303F7">
        <w:rPr>
          <w:rFonts w:ascii="Times New Roman" w:hAnsi="Times New Roman"/>
          <w:sz w:val="24"/>
          <w:lang w:val="sr-Cyrl-CS"/>
        </w:rPr>
        <w:t>;</w:t>
      </w:r>
    </w:p>
    <w:p w14:paraId="260B6259" w14:textId="59FDC690" w:rsidR="00E05095" w:rsidRPr="005303F7" w:rsidRDefault="00A509F8" w:rsidP="00D93231">
      <w:pPr>
        <w:pStyle w:val="ListParagraph"/>
        <w:numPr>
          <w:ilvl w:val="0"/>
          <w:numId w:val="36"/>
        </w:numPr>
        <w:rPr>
          <w:rFonts w:ascii="Times New Roman" w:hAnsi="Times New Roman"/>
          <w:sz w:val="24"/>
          <w:lang w:val="sr-Cyrl-CS"/>
        </w:rPr>
      </w:pPr>
      <w:r w:rsidRPr="005303F7">
        <w:rPr>
          <w:rFonts w:ascii="Times New Roman" w:hAnsi="Times New Roman"/>
          <w:sz w:val="24"/>
          <w:lang w:val="sr-Cyrl-CS"/>
        </w:rPr>
        <w:t>х</w:t>
      </w:r>
      <w:r w:rsidR="00846FC3" w:rsidRPr="005303F7">
        <w:rPr>
          <w:rFonts w:ascii="Times New Roman" w:hAnsi="Times New Roman"/>
          <w:sz w:val="24"/>
          <w:lang w:val="sr-Cyrl-CS"/>
        </w:rPr>
        <w:t>идрологија</w:t>
      </w:r>
      <w:r w:rsidR="00632C9F" w:rsidRPr="005303F7">
        <w:rPr>
          <w:rFonts w:ascii="Times New Roman" w:hAnsi="Times New Roman"/>
          <w:sz w:val="24"/>
          <w:lang w:val="sr-Cyrl-CS"/>
        </w:rPr>
        <w:t xml:space="preserve"> </w:t>
      </w:r>
      <w:r w:rsidR="00846FC3" w:rsidRPr="005303F7">
        <w:rPr>
          <w:rFonts w:ascii="Times New Roman" w:hAnsi="Times New Roman"/>
          <w:sz w:val="24"/>
          <w:lang w:val="sr-Cyrl-CS"/>
        </w:rPr>
        <w:t>и</w:t>
      </w:r>
      <w:r w:rsidR="009E78A7" w:rsidRPr="005303F7">
        <w:rPr>
          <w:rFonts w:ascii="Times New Roman" w:hAnsi="Times New Roman"/>
          <w:sz w:val="24"/>
          <w:lang w:val="sr-Cyrl-CS"/>
        </w:rPr>
        <w:t xml:space="preserve"> </w:t>
      </w:r>
      <w:r w:rsidR="00846FC3" w:rsidRPr="005303F7">
        <w:rPr>
          <w:rFonts w:ascii="Times New Roman" w:hAnsi="Times New Roman"/>
          <w:sz w:val="24"/>
          <w:lang w:val="sr-Cyrl-CS"/>
        </w:rPr>
        <w:t>водни</w:t>
      </w:r>
      <w:r w:rsidR="009E78A7" w:rsidRPr="005303F7">
        <w:rPr>
          <w:rFonts w:ascii="Times New Roman" w:hAnsi="Times New Roman"/>
          <w:sz w:val="24"/>
          <w:lang w:val="sr-Cyrl-CS"/>
        </w:rPr>
        <w:t xml:space="preserve"> </w:t>
      </w:r>
      <w:r w:rsidR="00846FC3" w:rsidRPr="005303F7">
        <w:rPr>
          <w:rFonts w:ascii="Times New Roman" w:hAnsi="Times New Roman"/>
          <w:sz w:val="24"/>
          <w:lang w:val="sr-Cyrl-CS"/>
        </w:rPr>
        <w:t>ресурси</w:t>
      </w:r>
      <w:r w:rsidR="009E78A7" w:rsidRPr="005303F7">
        <w:rPr>
          <w:rFonts w:ascii="Times New Roman" w:hAnsi="Times New Roman"/>
          <w:sz w:val="24"/>
          <w:lang w:val="sr-Cyrl-CS"/>
        </w:rPr>
        <w:t xml:space="preserve"> </w:t>
      </w:r>
      <w:r w:rsidR="00B15B5A" w:rsidRPr="005303F7">
        <w:rPr>
          <w:rFonts w:ascii="Times New Roman" w:hAnsi="Times New Roman"/>
          <w:sz w:val="24"/>
          <w:lang w:val="sr-Cyrl-CS"/>
        </w:rPr>
        <w:t>–</w:t>
      </w:r>
      <w:r w:rsidR="009E78A7" w:rsidRPr="005303F7">
        <w:rPr>
          <w:rFonts w:ascii="Times New Roman" w:hAnsi="Times New Roman"/>
          <w:sz w:val="24"/>
          <w:lang w:val="sr-Cyrl-CS"/>
        </w:rPr>
        <w:t xml:space="preserve"> </w:t>
      </w:r>
      <w:r w:rsidR="00E05095" w:rsidRPr="005303F7">
        <w:rPr>
          <w:rFonts w:ascii="Times New Roman" w:hAnsi="Times New Roman"/>
          <w:sz w:val="24"/>
          <w:lang w:val="sr-Cyrl-CS"/>
        </w:rPr>
        <w:t>коришћење хидроенергетског потенцијала</w:t>
      </w:r>
      <w:r w:rsidR="006C5198" w:rsidRPr="005303F7">
        <w:rPr>
          <w:rFonts w:ascii="Times New Roman" w:hAnsi="Times New Roman"/>
          <w:sz w:val="24"/>
          <w:lang w:val="sr-Cyrl-CS"/>
        </w:rPr>
        <w:t>.</w:t>
      </w:r>
    </w:p>
    <w:p w14:paraId="08C4A0C3" w14:textId="7DB9E28E" w:rsidR="00CA4F46" w:rsidRPr="005303F7" w:rsidRDefault="006C5198" w:rsidP="00FE004C">
      <w:pPr>
        <w:rPr>
          <w:rFonts w:ascii="Times New Roman" w:hAnsi="Times New Roman"/>
          <w:sz w:val="24"/>
          <w:szCs w:val="18"/>
          <w:lang w:val="sr-Cyrl-CS"/>
        </w:rPr>
      </w:pPr>
      <w:r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Ова</w:t>
      </w:r>
      <w:r w:rsidR="00FA07EE"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три</w:t>
      </w:r>
      <w:r w:rsidR="00CA4F4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приоритетна</w:t>
      </w:r>
      <w:r w:rsidR="00CA4F4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сектора</w:t>
      </w:r>
      <w:r w:rsidR="00CA4F4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су</w:t>
      </w:r>
      <w:r w:rsidR="00FA07EE"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одабрана</w:t>
      </w:r>
      <w:r w:rsidR="00CA4F4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као</w:t>
      </w:r>
      <w:r w:rsidR="00CA4F4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посебно</w:t>
      </w:r>
      <w:r w:rsidR="00CA4F4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рањива</w:t>
      </w:r>
      <w:r w:rsidR="00CA4F4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на</w:t>
      </w:r>
      <w:r w:rsidR="00CA4F4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измењене</w:t>
      </w:r>
      <w:r w:rsidR="00796CBE"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климатске</w:t>
      </w:r>
      <w:r w:rsidR="00796CBE"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услове</w:t>
      </w:r>
      <w:r w:rsidR="00CA4F46" w:rsidRPr="005303F7">
        <w:rPr>
          <w:rFonts w:ascii="Times New Roman" w:hAnsi="Times New Roman"/>
          <w:sz w:val="24"/>
          <w:szCs w:val="18"/>
          <w:lang w:val="sr-Cyrl-CS"/>
        </w:rPr>
        <w:t xml:space="preserve"> </w:t>
      </w:r>
      <w:r w:rsidR="00B52423" w:rsidRPr="005303F7">
        <w:rPr>
          <w:rFonts w:ascii="Times New Roman" w:hAnsi="Times New Roman"/>
          <w:sz w:val="24"/>
          <w:szCs w:val="18"/>
          <w:lang w:val="sr-Cyrl-CS"/>
        </w:rPr>
        <w:t>и због њиховог значаја за постизање</w:t>
      </w:r>
      <w:r w:rsidR="00CA4F4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ублажавања</w:t>
      </w:r>
      <w:r w:rsidR="00CA4F4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последица</w:t>
      </w:r>
      <w:r w:rsidR="00FA07EE"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климатских</w:t>
      </w:r>
      <w:r w:rsidR="00CA4F4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промена</w:t>
      </w:r>
      <w:r w:rsidR="00CA4F4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уз</w:t>
      </w:r>
      <w:r w:rsidR="00200ACB"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поштовање</w:t>
      </w:r>
      <w:r w:rsidR="00CA4F4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друштвених</w:t>
      </w:r>
      <w:r w:rsidR="00CA4F4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и</w:t>
      </w:r>
      <w:r w:rsidR="00CA4F4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еколошких</w:t>
      </w:r>
      <w:r w:rsidR="00CA4F4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аспеката</w:t>
      </w:r>
      <w:r w:rsidR="00CA4F46" w:rsidRPr="005303F7">
        <w:rPr>
          <w:rFonts w:ascii="Times New Roman" w:hAnsi="Times New Roman"/>
          <w:sz w:val="24"/>
          <w:szCs w:val="18"/>
          <w:lang w:val="sr-Cyrl-CS"/>
        </w:rPr>
        <w:t>.</w:t>
      </w:r>
    </w:p>
    <w:p w14:paraId="0E8B119E" w14:textId="5EC15976" w:rsidR="00ED33A6" w:rsidRPr="005303F7" w:rsidRDefault="006C5198" w:rsidP="004D7F43">
      <w:pPr>
        <w:rPr>
          <w:rFonts w:ascii="Times New Roman" w:hAnsi="Times New Roman"/>
          <w:sz w:val="24"/>
          <w:szCs w:val="18"/>
          <w:lang w:val="sr-Cyrl-CS"/>
        </w:rPr>
      </w:pPr>
      <w:r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Производња</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енергије</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из</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водног</w:t>
      </w:r>
      <w:r w:rsidR="00DE4979"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ресурса</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шумске</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или</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пољопривредне</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биомасе</w:t>
      </w:r>
      <w:r w:rsidR="000D2C38"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зависи</w:t>
      </w:r>
      <w:r w:rsidR="000D2C38"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између</w:t>
      </w:r>
      <w:r w:rsidR="000D2C38"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осталог</w:t>
      </w:r>
      <w:r w:rsidR="000D2C38" w:rsidRPr="005303F7">
        <w:rPr>
          <w:rFonts w:ascii="Times New Roman" w:hAnsi="Times New Roman"/>
          <w:sz w:val="24"/>
          <w:szCs w:val="18"/>
          <w:lang w:val="sr-Cyrl-CS"/>
        </w:rPr>
        <w:t>,</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и</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од</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утицаја</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климатских</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промена</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на</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ове</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секторе</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и</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подсекторе</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У</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исто</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време</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ови</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сектори</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значајно</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доприносе</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економским</w:t>
      </w:r>
      <w:r w:rsidR="0042637F" w:rsidRPr="005303F7">
        <w:rPr>
          <w:rFonts w:ascii="Times New Roman" w:hAnsi="Times New Roman"/>
          <w:sz w:val="24"/>
          <w:szCs w:val="18"/>
          <w:lang w:val="sr-Cyrl-CS"/>
        </w:rPr>
        <w:t>,</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еколошким</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и</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социјалним</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аспектима</w:t>
      </w:r>
      <w:r w:rsidR="0042637F" w:rsidRPr="005303F7">
        <w:rPr>
          <w:rFonts w:ascii="Times New Roman" w:hAnsi="Times New Roman"/>
          <w:sz w:val="24"/>
          <w:lang w:val="sr-Cyrl-CS"/>
        </w:rPr>
        <w:t xml:space="preserve"> </w:t>
      </w:r>
      <w:r w:rsidR="00846FC3" w:rsidRPr="005303F7">
        <w:rPr>
          <w:rFonts w:ascii="Times New Roman" w:hAnsi="Times New Roman"/>
          <w:sz w:val="24"/>
          <w:szCs w:val="18"/>
          <w:lang w:val="sr-Cyrl-CS"/>
        </w:rPr>
        <w:t>српског</w:t>
      </w:r>
      <w:r w:rsidR="0042637F"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друштва</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Из</w:t>
      </w:r>
      <w:r w:rsidR="00DE4979"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тог</w:t>
      </w:r>
      <w:r w:rsidR="00DE4979"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разлога</w:t>
      </w:r>
      <w:r w:rsidR="00DE4979"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прилагођавање</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ових</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сектора</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и</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подсектора</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климатским</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променама</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доприноси</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одрживом</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планирању</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у</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оквиру</w:t>
      </w:r>
      <w:r w:rsidR="00ED33A6"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Стратегије</w:t>
      </w:r>
      <w:r w:rsidR="00ED33A6" w:rsidRPr="005303F7">
        <w:rPr>
          <w:rFonts w:ascii="Times New Roman" w:hAnsi="Times New Roman"/>
          <w:sz w:val="24"/>
          <w:szCs w:val="18"/>
          <w:lang w:val="sr-Cyrl-CS"/>
        </w:rPr>
        <w:t>.</w:t>
      </w:r>
    </w:p>
    <w:p w14:paraId="63ED5AA6" w14:textId="3A91EE57" w:rsidR="004D7F43" w:rsidRPr="005303F7" w:rsidRDefault="006C5198" w:rsidP="004D7F43">
      <w:pPr>
        <w:rPr>
          <w:rFonts w:ascii="Times New Roman" w:hAnsi="Times New Roman"/>
          <w:sz w:val="24"/>
          <w:szCs w:val="18"/>
          <w:lang w:val="sr-Cyrl-CS"/>
        </w:rPr>
      </w:pPr>
      <w:r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Оквир</w:t>
      </w:r>
      <w:r w:rsidR="00A870C3"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за</w:t>
      </w:r>
      <w:r w:rsidR="00A870C3"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планирање</w:t>
      </w:r>
      <w:r w:rsidR="00A870C3"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прилагођавања</w:t>
      </w:r>
      <w:r w:rsidR="00A870C3"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на</w:t>
      </w:r>
      <w:r w:rsidR="00A870C3"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измењене</w:t>
      </w:r>
      <w:r w:rsidR="007773BE"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климатске</w:t>
      </w:r>
      <w:r w:rsidR="007773BE"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услове</w:t>
      </w:r>
      <w:r w:rsidR="00A870C3"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је</w:t>
      </w:r>
      <w:r w:rsidR="00A870C3"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израђен</w:t>
      </w:r>
      <w:r w:rsidR="00A870C3"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у</w:t>
      </w:r>
      <w:r w:rsidR="00A870C3" w:rsidRPr="005303F7">
        <w:rPr>
          <w:rFonts w:ascii="Times New Roman" w:hAnsi="Times New Roman"/>
          <w:sz w:val="24"/>
          <w:szCs w:val="18"/>
          <w:lang w:val="sr-Cyrl-CS"/>
        </w:rPr>
        <w:t xml:space="preserve"> </w:t>
      </w:r>
      <w:r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оквиру</w:t>
      </w:r>
      <w:r w:rsidR="00A870C3"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израде</w:t>
      </w:r>
      <w:r w:rsidR="00A870C3"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ове</w:t>
      </w:r>
      <w:r w:rsidR="00A870C3" w:rsidRPr="005303F7">
        <w:rPr>
          <w:rFonts w:ascii="Times New Roman" w:hAnsi="Times New Roman"/>
          <w:sz w:val="24"/>
          <w:szCs w:val="18"/>
          <w:lang w:val="sr-Cyrl-CS"/>
        </w:rPr>
        <w:t xml:space="preserve"> </w:t>
      </w:r>
      <w:r w:rsidR="00A509F8" w:rsidRPr="005303F7">
        <w:rPr>
          <w:rFonts w:ascii="Times New Roman" w:hAnsi="Times New Roman"/>
          <w:sz w:val="24"/>
          <w:szCs w:val="18"/>
          <w:lang w:val="sr-Cyrl-CS"/>
        </w:rPr>
        <w:t>с</w:t>
      </w:r>
      <w:r w:rsidR="00846FC3" w:rsidRPr="005303F7">
        <w:rPr>
          <w:rFonts w:ascii="Times New Roman" w:hAnsi="Times New Roman"/>
          <w:sz w:val="24"/>
          <w:szCs w:val="18"/>
          <w:lang w:val="sr-Cyrl-CS"/>
        </w:rPr>
        <w:t>тратегије</w:t>
      </w:r>
      <w:r w:rsidR="004D7F43"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Главна</w:t>
      </w:r>
      <w:r w:rsidR="00301B7C"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сврха</w:t>
      </w:r>
      <w:r w:rsidR="00301B7C"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развоја</w:t>
      </w:r>
      <w:r w:rsidR="00301B7C"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оквира</w:t>
      </w:r>
      <w:r w:rsidR="00301B7C"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је</w:t>
      </w:r>
      <w:r w:rsidR="00301B7C"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била</w:t>
      </w:r>
      <w:r w:rsidR="00301B7C"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давање</w:t>
      </w:r>
      <w:r w:rsidR="00301B7C"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алатки</w:t>
      </w:r>
      <w:r w:rsidR="00301B7C"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за</w:t>
      </w:r>
      <w:r w:rsidR="00301B7C"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процену</w:t>
      </w:r>
      <w:r w:rsidR="00301B7C"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потреба</w:t>
      </w:r>
      <w:r w:rsidR="00301B7C"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за</w:t>
      </w:r>
      <w:r w:rsidR="00301B7C"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прилагођавањем</w:t>
      </w:r>
      <w:r w:rsidR="00301B7C"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будућих</w:t>
      </w:r>
      <w:r w:rsidR="00301B7C"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пројеката</w:t>
      </w:r>
      <w:r w:rsidR="00301B7C"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политика</w:t>
      </w:r>
      <w:r w:rsidR="00301B7C"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и</w:t>
      </w:r>
      <w:r w:rsidR="00301B7C" w:rsidRPr="005303F7">
        <w:rPr>
          <w:rFonts w:ascii="Times New Roman" w:hAnsi="Times New Roman"/>
          <w:sz w:val="24"/>
          <w:szCs w:val="18"/>
          <w:lang w:val="sr-Cyrl-CS"/>
        </w:rPr>
        <w:t xml:space="preserve"> </w:t>
      </w:r>
      <w:r w:rsidR="00846FC3" w:rsidRPr="005303F7">
        <w:rPr>
          <w:rFonts w:ascii="Times New Roman" w:hAnsi="Times New Roman"/>
          <w:sz w:val="24"/>
          <w:szCs w:val="18"/>
          <w:lang w:val="sr-Cyrl-CS"/>
        </w:rPr>
        <w:t>мера</w:t>
      </w:r>
      <w:r w:rsidR="00301B7C" w:rsidRPr="005303F7">
        <w:rPr>
          <w:rFonts w:ascii="Times New Roman" w:hAnsi="Times New Roman"/>
          <w:sz w:val="24"/>
          <w:szCs w:val="18"/>
          <w:lang w:val="sr-Cyrl-CS"/>
        </w:rPr>
        <w:t>.</w:t>
      </w:r>
    </w:p>
    <w:p w14:paraId="2FC63CE7" w14:textId="527C522E" w:rsidR="002B5B64" w:rsidRPr="005303F7" w:rsidRDefault="00846FC3" w:rsidP="00D93231">
      <w:pPr>
        <w:pStyle w:val="Heading2"/>
        <w:numPr>
          <w:ilvl w:val="1"/>
          <w:numId w:val="40"/>
        </w:numPr>
        <w:tabs>
          <w:tab w:val="clear" w:pos="3825"/>
          <w:tab w:val="left" w:pos="1134"/>
        </w:tabs>
        <w:spacing w:before="240" w:after="120"/>
        <w:rPr>
          <w:rFonts w:ascii="Times New Roman" w:hAnsi="Times New Roman" w:cs="Times New Roman"/>
          <w:lang w:val="sr-Cyrl-CS"/>
        </w:rPr>
      </w:pPr>
      <w:bookmarkStart w:id="10" w:name="_Toc12858017"/>
      <w:bookmarkStart w:id="11" w:name="_Toc12880348"/>
      <w:bookmarkStart w:id="12" w:name="_Toc13088694"/>
      <w:bookmarkStart w:id="13" w:name="_Toc13089639"/>
      <w:bookmarkStart w:id="14" w:name="_Toc13519500"/>
      <w:bookmarkStart w:id="15" w:name="_Toc13519501"/>
      <w:bookmarkStart w:id="16" w:name="_Toc26686096"/>
      <w:bookmarkEnd w:id="10"/>
      <w:bookmarkEnd w:id="11"/>
      <w:bookmarkEnd w:id="12"/>
      <w:bookmarkEnd w:id="13"/>
      <w:bookmarkEnd w:id="14"/>
      <w:bookmarkEnd w:id="15"/>
      <w:r w:rsidRPr="005303F7">
        <w:rPr>
          <w:rFonts w:ascii="Times New Roman" w:hAnsi="Times New Roman" w:cs="Times New Roman"/>
          <w:lang w:val="sr-Cyrl-CS"/>
        </w:rPr>
        <w:lastRenderedPageBreak/>
        <w:t>Историјски</w:t>
      </w:r>
      <w:r w:rsidR="007C2297" w:rsidRPr="005303F7">
        <w:rPr>
          <w:rFonts w:ascii="Times New Roman" w:hAnsi="Times New Roman" w:cs="Times New Roman"/>
          <w:lang w:val="sr-Cyrl-CS"/>
        </w:rPr>
        <w:t xml:space="preserve"> </w:t>
      </w:r>
      <w:r w:rsidRPr="005303F7">
        <w:rPr>
          <w:rFonts w:ascii="Times New Roman" w:hAnsi="Times New Roman" w:cs="Times New Roman"/>
          <w:lang w:val="sr-Cyrl-CS"/>
        </w:rPr>
        <w:t>трендови</w:t>
      </w:r>
      <w:r w:rsidR="007C2297" w:rsidRPr="005303F7">
        <w:rPr>
          <w:rFonts w:ascii="Times New Roman" w:hAnsi="Times New Roman" w:cs="Times New Roman"/>
          <w:lang w:val="sr-Cyrl-CS"/>
        </w:rPr>
        <w:t xml:space="preserve"> </w:t>
      </w:r>
      <w:r w:rsidRPr="005303F7">
        <w:rPr>
          <w:rFonts w:ascii="Times New Roman" w:hAnsi="Times New Roman" w:cs="Times New Roman"/>
          <w:lang w:val="sr-Cyrl-CS"/>
        </w:rPr>
        <w:t>емисија</w:t>
      </w:r>
      <w:r w:rsidR="007C2297" w:rsidRPr="005303F7">
        <w:rPr>
          <w:rFonts w:ascii="Times New Roman" w:hAnsi="Times New Roman" w:cs="Times New Roman"/>
          <w:lang w:val="sr-Cyrl-CS"/>
        </w:rPr>
        <w:t xml:space="preserve"> </w:t>
      </w:r>
      <w:r w:rsidRPr="005303F7">
        <w:rPr>
          <w:rFonts w:ascii="Times New Roman" w:hAnsi="Times New Roman" w:cs="Times New Roman"/>
          <w:lang w:val="sr-Cyrl-CS"/>
        </w:rPr>
        <w:t>гасова</w:t>
      </w:r>
      <w:r w:rsidR="007C2297" w:rsidRPr="005303F7">
        <w:rPr>
          <w:rFonts w:ascii="Times New Roman" w:hAnsi="Times New Roman" w:cs="Times New Roman"/>
          <w:lang w:val="sr-Cyrl-CS"/>
        </w:rPr>
        <w:t xml:space="preserve"> </w:t>
      </w:r>
      <w:r w:rsidRPr="005303F7">
        <w:rPr>
          <w:rFonts w:ascii="Times New Roman" w:hAnsi="Times New Roman" w:cs="Times New Roman"/>
          <w:lang w:val="sr-Cyrl-CS"/>
        </w:rPr>
        <w:t>са</w:t>
      </w:r>
      <w:r w:rsidR="007C2297" w:rsidRPr="005303F7">
        <w:rPr>
          <w:rFonts w:ascii="Times New Roman" w:hAnsi="Times New Roman" w:cs="Times New Roman"/>
          <w:lang w:val="sr-Cyrl-CS"/>
        </w:rPr>
        <w:t xml:space="preserve"> </w:t>
      </w:r>
      <w:r w:rsidRPr="005303F7">
        <w:rPr>
          <w:rFonts w:ascii="Times New Roman" w:hAnsi="Times New Roman" w:cs="Times New Roman"/>
          <w:lang w:val="sr-Cyrl-CS"/>
        </w:rPr>
        <w:t>ефектом</w:t>
      </w:r>
      <w:r w:rsidR="007C2297" w:rsidRPr="005303F7">
        <w:rPr>
          <w:rFonts w:ascii="Times New Roman" w:hAnsi="Times New Roman" w:cs="Times New Roman"/>
          <w:lang w:val="sr-Cyrl-CS"/>
        </w:rPr>
        <w:t xml:space="preserve"> </w:t>
      </w:r>
      <w:r w:rsidRPr="005303F7">
        <w:rPr>
          <w:rFonts w:ascii="Times New Roman" w:hAnsi="Times New Roman" w:cs="Times New Roman"/>
          <w:lang w:val="sr-Cyrl-CS"/>
        </w:rPr>
        <w:t>стаклене</w:t>
      </w:r>
      <w:r w:rsidR="007C2297" w:rsidRPr="005303F7">
        <w:rPr>
          <w:rFonts w:ascii="Times New Roman" w:hAnsi="Times New Roman" w:cs="Times New Roman"/>
          <w:lang w:val="sr-Cyrl-CS"/>
        </w:rPr>
        <w:t xml:space="preserve"> </w:t>
      </w:r>
      <w:r w:rsidRPr="005303F7">
        <w:rPr>
          <w:rFonts w:ascii="Times New Roman" w:hAnsi="Times New Roman" w:cs="Times New Roman"/>
          <w:lang w:val="sr-Cyrl-CS"/>
        </w:rPr>
        <w:t>башт</w:t>
      </w:r>
      <w:bookmarkEnd w:id="16"/>
      <w:r w:rsidRPr="005303F7">
        <w:rPr>
          <w:rFonts w:ascii="Times New Roman" w:hAnsi="Times New Roman" w:cs="Times New Roman"/>
          <w:lang w:val="sr-Cyrl-CS"/>
        </w:rPr>
        <w:t>е</w:t>
      </w:r>
    </w:p>
    <w:p w14:paraId="0F760EFA" w14:textId="3B154216" w:rsidR="003D2ADE" w:rsidRPr="005303F7" w:rsidRDefault="006C5198" w:rsidP="003D2ADE">
      <w:pPr>
        <w:rPr>
          <w:rFonts w:ascii="Times New Roman" w:hAnsi="Times New Roman"/>
          <w:sz w:val="24"/>
          <w:lang w:val="sr-Cyrl-CS"/>
        </w:rPr>
      </w:pPr>
      <w:r w:rsidRPr="005303F7">
        <w:rPr>
          <w:rFonts w:ascii="Times New Roman" w:hAnsi="Times New Roman"/>
          <w:sz w:val="24"/>
          <w:lang w:val="sr-Cyrl-CS"/>
        </w:rPr>
        <w:t xml:space="preserve">          </w:t>
      </w:r>
      <w:r w:rsidR="00846FC3" w:rsidRPr="005303F7">
        <w:rPr>
          <w:rFonts w:ascii="Times New Roman" w:hAnsi="Times New Roman"/>
          <w:sz w:val="24"/>
          <w:lang w:val="sr-Cyrl-CS"/>
        </w:rPr>
        <w:t>Укупне</w:t>
      </w:r>
      <w:r w:rsidR="00180795" w:rsidRPr="005303F7">
        <w:rPr>
          <w:rFonts w:ascii="Times New Roman" w:hAnsi="Times New Roman"/>
          <w:sz w:val="24"/>
          <w:lang w:val="sr-Cyrl-CS"/>
        </w:rPr>
        <w:t xml:space="preserve"> </w:t>
      </w:r>
      <w:r w:rsidR="00846FC3" w:rsidRPr="005303F7">
        <w:rPr>
          <w:rFonts w:ascii="Times New Roman" w:hAnsi="Times New Roman"/>
          <w:sz w:val="24"/>
          <w:lang w:val="sr-Cyrl-CS"/>
        </w:rPr>
        <w:t>емисије</w:t>
      </w:r>
      <w:r w:rsidR="00180795" w:rsidRPr="005303F7">
        <w:rPr>
          <w:rFonts w:ascii="Times New Roman" w:hAnsi="Times New Roman"/>
          <w:sz w:val="24"/>
          <w:lang w:val="sr-Cyrl-CS"/>
        </w:rPr>
        <w:t xml:space="preserve"> </w:t>
      </w:r>
      <w:r w:rsidR="00846FC3" w:rsidRPr="005303F7">
        <w:rPr>
          <w:rFonts w:ascii="Times New Roman" w:hAnsi="Times New Roman"/>
          <w:sz w:val="24"/>
          <w:lang w:val="sr-Cyrl-CS"/>
        </w:rPr>
        <w:t>гасова</w:t>
      </w:r>
      <w:r w:rsidR="003A6B52" w:rsidRPr="005303F7">
        <w:rPr>
          <w:rFonts w:ascii="Times New Roman" w:hAnsi="Times New Roman"/>
          <w:sz w:val="24"/>
          <w:lang w:val="sr-Cyrl-CS"/>
        </w:rPr>
        <w:t xml:space="preserve"> </w:t>
      </w:r>
      <w:r w:rsidR="00846FC3" w:rsidRPr="005303F7">
        <w:rPr>
          <w:rFonts w:ascii="Times New Roman" w:hAnsi="Times New Roman"/>
          <w:sz w:val="24"/>
          <w:lang w:val="sr-Cyrl-CS"/>
        </w:rPr>
        <w:t>са</w:t>
      </w:r>
      <w:r w:rsidR="003A6B52" w:rsidRPr="005303F7">
        <w:rPr>
          <w:rFonts w:ascii="Times New Roman" w:hAnsi="Times New Roman"/>
          <w:sz w:val="24"/>
          <w:lang w:val="sr-Cyrl-CS"/>
        </w:rPr>
        <w:t xml:space="preserve"> </w:t>
      </w:r>
      <w:r w:rsidR="00846FC3" w:rsidRPr="005303F7">
        <w:rPr>
          <w:rFonts w:ascii="Times New Roman" w:hAnsi="Times New Roman"/>
          <w:sz w:val="24"/>
          <w:lang w:val="sr-Cyrl-CS"/>
        </w:rPr>
        <w:t>ефектом</w:t>
      </w:r>
      <w:r w:rsidR="003A6B52" w:rsidRPr="005303F7">
        <w:rPr>
          <w:rFonts w:ascii="Times New Roman" w:hAnsi="Times New Roman"/>
          <w:sz w:val="24"/>
          <w:lang w:val="sr-Cyrl-CS"/>
        </w:rPr>
        <w:t xml:space="preserve"> </w:t>
      </w:r>
      <w:r w:rsidR="00846FC3" w:rsidRPr="005303F7">
        <w:rPr>
          <w:rFonts w:ascii="Times New Roman" w:hAnsi="Times New Roman"/>
          <w:sz w:val="24"/>
          <w:lang w:val="sr-Cyrl-CS"/>
        </w:rPr>
        <w:t>стаклене</w:t>
      </w:r>
      <w:r w:rsidR="003A6B52" w:rsidRPr="005303F7">
        <w:rPr>
          <w:rFonts w:ascii="Times New Roman" w:hAnsi="Times New Roman"/>
          <w:sz w:val="24"/>
          <w:lang w:val="sr-Cyrl-CS"/>
        </w:rPr>
        <w:t xml:space="preserve"> </w:t>
      </w:r>
      <w:r w:rsidR="00846FC3" w:rsidRPr="005303F7">
        <w:rPr>
          <w:rFonts w:ascii="Times New Roman" w:hAnsi="Times New Roman"/>
          <w:sz w:val="24"/>
          <w:lang w:val="sr-Cyrl-CS"/>
        </w:rPr>
        <w:t>баште</w:t>
      </w:r>
      <w:r w:rsidR="00180795" w:rsidRPr="005303F7">
        <w:rPr>
          <w:rFonts w:ascii="Times New Roman" w:hAnsi="Times New Roman"/>
          <w:sz w:val="24"/>
          <w:lang w:val="sr-Cyrl-CS"/>
        </w:rPr>
        <w:t xml:space="preserve"> </w:t>
      </w:r>
      <w:r w:rsidR="00846FC3" w:rsidRPr="005303F7">
        <w:rPr>
          <w:rFonts w:ascii="Times New Roman" w:hAnsi="Times New Roman"/>
          <w:sz w:val="24"/>
          <w:lang w:val="sr-Cyrl-CS"/>
        </w:rPr>
        <w:t>у</w:t>
      </w:r>
      <w:r w:rsidR="00180795" w:rsidRPr="005303F7">
        <w:rPr>
          <w:rFonts w:ascii="Times New Roman" w:hAnsi="Times New Roman"/>
          <w:sz w:val="24"/>
          <w:lang w:val="sr-Cyrl-CS"/>
        </w:rPr>
        <w:t xml:space="preserve"> 2015. </w:t>
      </w:r>
      <w:r w:rsidR="00846FC3" w:rsidRPr="005303F7">
        <w:rPr>
          <w:rFonts w:ascii="Times New Roman" w:hAnsi="Times New Roman"/>
          <w:sz w:val="24"/>
          <w:lang w:val="sr-Cyrl-CS"/>
        </w:rPr>
        <w:t>години</w:t>
      </w:r>
      <w:r w:rsidR="00DB2ABF" w:rsidRPr="005303F7">
        <w:rPr>
          <w:rStyle w:val="FootnoteReference"/>
          <w:rFonts w:ascii="Times New Roman" w:hAnsi="Times New Roman"/>
          <w:sz w:val="18"/>
          <w:lang w:val="sr-Cyrl-CS"/>
        </w:rPr>
        <w:footnoteReference w:id="10"/>
      </w:r>
      <w:r w:rsidR="00180795" w:rsidRPr="005303F7">
        <w:rPr>
          <w:rFonts w:ascii="Times New Roman" w:hAnsi="Times New Roman"/>
          <w:sz w:val="24"/>
          <w:lang w:val="sr-Cyrl-CS"/>
        </w:rPr>
        <w:t xml:space="preserve"> </w:t>
      </w:r>
      <w:r w:rsidR="00846FC3" w:rsidRPr="005303F7">
        <w:rPr>
          <w:rFonts w:ascii="Times New Roman" w:hAnsi="Times New Roman"/>
          <w:sz w:val="24"/>
          <w:lang w:val="sr-Cyrl-CS"/>
        </w:rPr>
        <w:t>без</w:t>
      </w:r>
      <w:r w:rsidR="00027573" w:rsidRPr="005303F7">
        <w:rPr>
          <w:rFonts w:ascii="Times New Roman" w:hAnsi="Times New Roman"/>
          <w:sz w:val="24"/>
          <w:lang w:val="sr-Cyrl-CS"/>
        </w:rPr>
        <w:t xml:space="preserve"> </w:t>
      </w:r>
      <w:r w:rsidR="00846FC3" w:rsidRPr="005303F7">
        <w:rPr>
          <w:rFonts w:ascii="Times New Roman" w:hAnsi="Times New Roman"/>
          <w:sz w:val="24"/>
          <w:lang w:val="sr-Cyrl-CS"/>
        </w:rPr>
        <w:t>сектора</w:t>
      </w:r>
      <w:r w:rsidR="00027573" w:rsidRPr="005303F7">
        <w:rPr>
          <w:rFonts w:ascii="Times New Roman" w:hAnsi="Times New Roman"/>
          <w:sz w:val="24"/>
          <w:lang w:val="sr-Cyrl-CS"/>
        </w:rPr>
        <w:t xml:space="preserve"> </w:t>
      </w:r>
      <w:r w:rsidR="0059172D" w:rsidRPr="005303F7">
        <w:rPr>
          <w:rFonts w:ascii="Times New Roman" w:hAnsi="Times New Roman"/>
          <w:sz w:val="24"/>
          <w:lang w:val="sr-Cyrl-CS"/>
        </w:rPr>
        <w:t>LULUCF</w:t>
      </w:r>
      <w:r w:rsidR="00101A22" w:rsidRPr="005303F7">
        <w:rPr>
          <w:rFonts w:ascii="Times New Roman" w:hAnsi="Times New Roman"/>
          <w:sz w:val="24"/>
          <w:lang w:val="sr-Cyrl-CS"/>
        </w:rPr>
        <w:t xml:space="preserve"> </w:t>
      </w:r>
      <w:r w:rsidR="00884F7B" w:rsidRPr="005303F7">
        <w:rPr>
          <w:rFonts w:ascii="Times New Roman" w:hAnsi="Times New Roman"/>
          <w:sz w:val="24"/>
          <w:lang w:val="sr-Cyrl-CS"/>
        </w:rPr>
        <w:t>износиле</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су</w:t>
      </w:r>
      <w:r w:rsidR="00180795" w:rsidRPr="005303F7">
        <w:rPr>
          <w:rFonts w:ascii="Times New Roman" w:hAnsi="Times New Roman"/>
          <w:sz w:val="24"/>
          <w:lang w:val="sr-Cyrl-CS"/>
        </w:rPr>
        <w:t xml:space="preserve"> 61,233 kt CO</w:t>
      </w:r>
      <w:r w:rsidR="00180795" w:rsidRPr="005303F7">
        <w:rPr>
          <w:rFonts w:ascii="Times New Roman" w:hAnsi="Times New Roman"/>
          <w:sz w:val="24"/>
          <w:vertAlign w:val="subscript"/>
          <w:lang w:val="sr-Cyrl-CS"/>
        </w:rPr>
        <w:t>2</w:t>
      </w:r>
      <w:r w:rsidR="00180795" w:rsidRPr="005303F7">
        <w:rPr>
          <w:rFonts w:ascii="Times New Roman" w:hAnsi="Times New Roman"/>
          <w:sz w:val="24"/>
          <w:lang w:val="sr-Cyrl-CS"/>
        </w:rPr>
        <w:t xml:space="preserve">eq, </w:t>
      </w:r>
      <w:r w:rsidR="00884F7B" w:rsidRPr="005303F7">
        <w:rPr>
          <w:rFonts w:ascii="Times New Roman" w:hAnsi="Times New Roman"/>
          <w:sz w:val="24"/>
          <w:lang w:val="sr-Cyrl-CS"/>
        </w:rPr>
        <w:t>што</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представља</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смањење</w:t>
      </w:r>
      <w:r w:rsidR="00452308" w:rsidRPr="005303F7">
        <w:rPr>
          <w:rFonts w:ascii="Times New Roman" w:hAnsi="Times New Roman"/>
          <w:sz w:val="24"/>
          <w:lang w:val="sr-Cyrl-CS"/>
        </w:rPr>
        <w:t xml:space="preserve"> od </w:t>
      </w:r>
      <w:r w:rsidR="00180795" w:rsidRPr="005303F7">
        <w:rPr>
          <w:rFonts w:ascii="Times New Roman" w:hAnsi="Times New Roman"/>
          <w:sz w:val="24"/>
          <w:lang w:val="sr-Cyrl-CS"/>
        </w:rPr>
        <w:t xml:space="preserve">2,3% </w:t>
      </w:r>
      <w:r w:rsidR="00884F7B" w:rsidRPr="005303F7">
        <w:rPr>
          <w:rFonts w:ascii="Times New Roman" w:hAnsi="Times New Roman"/>
          <w:sz w:val="24"/>
          <w:lang w:val="sr-Cyrl-CS"/>
        </w:rPr>
        <w:t>у</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односу</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на</w:t>
      </w:r>
      <w:r w:rsidR="00180795" w:rsidRPr="005303F7">
        <w:rPr>
          <w:rFonts w:ascii="Times New Roman" w:hAnsi="Times New Roman"/>
          <w:sz w:val="24"/>
          <w:lang w:val="sr-Cyrl-CS"/>
        </w:rPr>
        <w:t xml:space="preserve"> 2010. </w:t>
      </w:r>
      <w:r w:rsidR="00884F7B" w:rsidRPr="005303F7">
        <w:rPr>
          <w:rFonts w:ascii="Times New Roman" w:hAnsi="Times New Roman"/>
          <w:sz w:val="24"/>
          <w:lang w:val="sr-Cyrl-CS"/>
        </w:rPr>
        <w:t>годину</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и</w:t>
      </w:r>
      <w:r w:rsidR="00180795" w:rsidRPr="005303F7">
        <w:rPr>
          <w:rFonts w:ascii="Times New Roman" w:hAnsi="Times New Roman"/>
          <w:sz w:val="24"/>
          <w:lang w:val="sr-Cyrl-CS"/>
        </w:rPr>
        <w:t xml:space="preserve"> 24,9% </w:t>
      </w:r>
      <w:r w:rsidR="00884F7B" w:rsidRPr="005303F7">
        <w:rPr>
          <w:rFonts w:ascii="Times New Roman" w:hAnsi="Times New Roman"/>
          <w:sz w:val="24"/>
          <w:lang w:val="sr-Cyrl-CS"/>
        </w:rPr>
        <w:t>у</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односу</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на</w:t>
      </w:r>
      <w:r w:rsidR="00180795" w:rsidRPr="005303F7">
        <w:rPr>
          <w:rFonts w:ascii="Times New Roman" w:hAnsi="Times New Roman"/>
          <w:sz w:val="24"/>
          <w:lang w:val="sr-Cyrl-CS"/>
        </w:rPr>
        <w:t xml:space="preserve"> 1990. </w:t>
      </w:r>
      <w:r w:rsidR="00884F7B" w:rsidRPr="005303F7">
        <w:rPr>
          <w:rFonts w:ascii="Times New Roman" w:hAnsi="Times New Roman"/>
          <w:sz w:val="24"/>
          <w:lang w:val="sr-Cyrl-CS"/>
        </w:rPr>
        <w:t>У</w:t>
      </w:r>
      <w:r w:rsidR="00180795" w:rsidRPr="005303F7">
        <w:rPr>
          <w:rFonts w:ascii="Times New Roman" w:hAnsi="Times New Roman"/>
          <w:sz w:val="24"/>
          <w:lang w:val="sr-Cyrl-CS"/>
        </w:rPr>
        <w:t xml:space="preserve"> 2015. </w:t>
      </w:r>
      <w:r w:rsidR="00884F7B" w:rsidRPr="005303F7">
        <w:rPr>
          <w:rFonts w:ascii="Times New Roman" w:hAnsi="Times New Roman"/>
          <w:sz w:val="24"/>
          <w:lang w:val="sr-Cyrl-CS"/>
        </w:rPr>
        <w:t>години</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количина</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уклоњеног</w:t>
      </w:r>
      <w:r w:rsidR="00180795" w:rsidRPr="005303F7">
        <w:rPr>
          <w:rFonts w:ascii="Times New Roman" w:hAnsi="Times New Roman"/>
          <w:sz w:val="24"/>
          <w:lang w:val="sr-Cyrl-CS"/>
        </w:rPr>
        <w:t xml:space="preserve"> CO</w:t>
      </w:r>
      <w:r w:rsidR="00180795" w:rsidRPr="005303F7">
        <w:rPr>
          <w:rFonts w:ascii="Times New Roman" w:hAnsi="Times New Roman"/>
          <w:sz w:val="24"/>
          <w:vertAlign w:val="subscript"/>
          <w:lang w:val="sr-Cyrl-CS"/>
        </w:rPr>
        <w:t>2</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из</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атмосфере</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у</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сектору</w:t>
      </w:r>
      <w:r w:rsidR="00180795" w:rsidRPr="005303F7">
        <w:rPr>
          <w:rFonts w:ascii="Times New Roman" w:hAnsi="Times New Roman"/>
          <w:sz w:val="24"/>
          <w:lang w:val="sr-Cyrl-CS"/>
        </w:rPr>
        <w:t xml:space="preserve"> </w:t>
      </w:r>
      <w:r w:rsidR="0059172D" w:rsidRPr="005303F7">
        <w:rPr>
          <w:rFonts w:ascii="Times New Roman" w:hAnsi="Times New Roman"/>
          <w:sz w:val="24"/>
          <w:lang w:val="sr-Cyrl-CS"/>
        </w:rPr>
        <w:t>LULUCF</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износила</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је</w:t>
      </w:r>
      <w:r w:rsidR="00180795" w:rsidRPr="005303F7">
        <w:rPr>
          <w:rFonts w:ascii="Times New Roman" w:hAnsi="Times New Roman"/>
          <w:sz w:val="24"/>
          <w:lang w:val="sr-Cyrl-CS"/>
        </w:rPr>
        <w:t xml:space="preserve"> 4.533 ktCO</w:t>
      </w:r>
      <w:r w:rsidR="00180795" w:rsidRPr="005303F7">
        <w:rPr>
          <w:rFonts w:ascii="Times New Roman" w:hAnsi="Times New Roman"/>
          <w:sz w:val="24"/>
          <w:vertAlign w:val="subscript"/>
          <w:lang w:val="sr-Cyrl-CS"/>
        </w:rPr>
        <w:t>2</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што</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представља</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смањење</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од</w:t>
      </w:r>
      <w:r w:rsidR="00180795" w:rsidRPr="005303F7">
        <w:rPr>
          <w:rFonts w:ascii="Times New Roman" w:hAnsi="Times New Roman"/>
          <w:sz w:val="24"/>
          <w:lang w:val="sr-Cyrl-CS"/>
        </w:rPr>
        <w:t xml:space="preserve"> 19,4% </w:t>
      </w:r>
      <w:r w:rsidR="00884F7B" w:rsidRPr="005303F7">
        <w:rPr>
          <w:rFonts w:ascii="Times New Roman" w:hAnsi="Times New Roman"/>
          <w:sz w:val="24"/>
          <w:lang w:val="sr-Cyrl-CS"/>
        </w:rPr>
        <w:t>у</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односу</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на</w:t>
      </w:r>
      <w:r w:rsidR="00180795" w:rsidRPr="005303F7">
        <w:rPr>
          <w:rFonts w:ascii="Times New Roman" w:hAnsi="Times New Roman"/>
          <w:sz w:val="24"/>
          <w:lang w:val="sr-Cyrl-CS"/>
        </w:rPr>
        <w:t xml:space="preserve"> 2010. </w:t>
      </w:r>
      <w:r w:rsidR="00884F7B" w:rsidRPr="005303F7">
        <w:rPr>
          <w:rFonts w:ascii="Times New Roman" w:hAnsi="Times New Roman"/>
          <w:sz w:val="24"/>
          <w:lang w:val="sr-Cyrl-CS"/>
        </w:rPr>
        <w:t>годину</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и</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раст</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од</w:t>
      </w:r>
      <w:r w:rsidR="00180795" w:rsidRPr="005303F7">
        <w:rPr>
          <w:rFonts w:ascii="Times New Roman" w:hAnsi="Times New Roman"/>
          <w:sz w:val="24"/>
          <w:lang w:val="sr-Cyrl-CS"/>
        </w:rPr>
        <w:t xml:space="preserve"> 216,6% </w:t>
      </w:r>
      <w:r w:rsidR="00884F7B" w:rsidRPr="005303F7">
        <w:rPr>
          <w:rFonts w:ascii="Times New Roman" w:hAnsi="Times New Roman"/>
          <w:sz w:val="24"/>
          <w:lang w:val="sr-Cyrl-CS"/>
        </w:rPr>
        <w:t>у</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односу</w:t>
      </w:r>
      <w:r w:rsidR="00180795" w:rsidRPr="005303F7">
        <w:rPr>
          <w:rFonts w:ascii="Times New Roman" w:hAnsi="Times New Roman"/>
          <w:sz w:val="24"/>
          <w:lang w:val="sr-Cyrl-CS"/>
        </w:rPr>
        <w:t xml:space="preserve"> </w:t>
      </w:r>
      <w:r w:rsidR="00884F7B" w:rsidRPr="005303F7">
        <w:rPr>
          <w:rFonts w:ascii="Times New Roman" w:hAnsi="Times New Roman"/>
          <w:sz w:val="24"/>
          <w:lang w:val="sr-Cyrl-CS"/>
        </w:rPr>
        <w:t>на</w:t>
      </w:r>
      <w:r w:rsidR="00180795" w:rsidRPr="005303F7">
        <w:rPr>
          <w:rFonts w:ascii="Times New Roman" w:hAnsi="Times New Roman"/>
          <w:sz w:val="24"/>
          <w:lang w:val="sr-Cyrl-CS"/>
        </w:rPr>
        <w:t xml:space="preserve"> 1990. </w:t>
      </w:r>
      <w:r w:rsidR="00884F7B" w:rsidRPr="005303F7">
        <w:rPr>
          <w:rFonts w:ascii="Times New Roman" w:hAnsi="Times New Roman"/>
          <w:sz w:val="24"/>
          <w:lang w:val="sr-Cyrl-CS"/>
        </w:rPr>
        <w:t>годину</w:t>
      </w:r>
      <w:r w:rsidR="00180795" w:rsidRPr="005303F7">
        <w:rPr>
          <w:rFonts w:ascii="Times New Roman" w:hAnsi="Times New Roman"/>
          <w:sz w:val="24"/>
          <w:lang w:val="sr-Cyrl-CS"/>
        </w:rPr>
        <w:t xml:space="preserve"> </w:t>
      </w:r>
      <w:r w:rsidR="00022291" w:rsidRPr="005303F7">
        <w:rPr>
          <w:rFonts w:ascii="Times New Roman" w:hAnsi="Times New Roman"/>
          <w:sz w:val="24"/>
          <w:lang w:val="sr-Cyrl-CS"/>
        </w:rPr>
        <w:t>(</w:t>
      </w:r>
      <w:r w:rsidR="00022291" w:rsidRPr="005303F7">
        <w:rPr>
          <w:rFonts w:ascii="Times New Roman" w:hAnsi="Times New Roman"/>
          <w:sz w:val="24"/>
          <w:lang w:val="sr-Cyrl-CS"/>
        </w:rPr>
        <w:fldChar w:fldCharType="begin"/>
      </w:r>
      <w:r w:rsidR="00022291" w:rsidRPr="005303F7">
        <w:rPr>
          <w:rFonts w:ascii="Times New Roman" w:hAnsi="Times New Roman"/>
          <w:sz w:val="24"/>
          <w:lang w:val="sr-Cyrl-CS"/>
        </w:rPr>
        <w:instrText xml:space="preserve"> REF _Ref12629809 \h </w:instrText>
      </w:r>
      <w:r w:rsidR="00344E46" w:rsidRPr="005303F7">
        <w:rPr>
          <w:rFonts w:ascii="Times New Roman" w:hAnsi="Times New Roman"/>
          <w:sz w:val="24"/>
          <w:lang w:val="sr-Cyrl-CS"/>
        </w:rPr>
        <w:instrText xml:space="preserve"> \* MERGEFORMAT </w:instrText>
      </w:r>
      <w:r w:rsidR="00022291" w:rsidRPr="005303F7">
        <w:rPr>
          <w:rFonts w:ascii="Times New Roman" w:hAnsi="Times New Roman"/>
          <w:sz w:val="24"/>
          <w:lang w:val="sr-Cyrl-CS"/>
        </w:rPr>
      </w:r>
      <w:r w:rsidR="00022291" w:rsidRPr="005303F7">
        <w:rPr>
          <w:rFonts w:ascii="Times New Roman" w:hAnsi="Times New Roman"/>
          <w:sz w:val="24"/>
          <w:lang w:val="sr-Cyrl-CS"/>
        </w:rPr>
        <w:fldChar w:fldCharType="separate"/>
      </w:r>
      <w:r w:rsidR="00DA2595" w:rsidRPr="005303F7">
        <w:rPr>
          <w:rFonts w:ascii="Times New Roman" w:hAnsi="Times New Roman"/>
          <w:sz w:val="24"/>
          <w:lang w:val="sr-Cyrl-CS"/>
        </w:rPr>
        <w:t xml:space="preserve">Графикон </w:t>
      </w:r>
      <w:r w:rsidR="00DA2595" w:rsidRPr="005303F7">
        <w:rPr>
          <w:rFonts w:ascii="Times New Roman" w:hAnsi="Times New Roman"/>
          <w:noProof/>
          <w:sz w:val="24"/>
          <w:lang w:val="sr-Cyrl-CS"/>
        </w:rPr>
        <w:t>1</w:t>
      </w:r>
      <w:r w:rsidR="00022291" w:rsidRPr="005303F7">
        <w:rPr>
          <w:rFonts w:ascii="Times New Roman" w:hAnsi="Times New Roman"/>
          <w:sz w:val="24"/>
          <w:lang w:val="sr-Cyrl-CS"/>
        </w:rPr>
        <w:fldChar w:fldCharType="end"/>
      </w:r>
      <w:r w:rsidR="00022291" w:rsidRPr="005303F7">
        <w:rPr>
          <w:rFonts w:ascii="Times New Roman" w:hAnsi="Times New Roman"/>
          <w:sz w:val="24"/>
          <w:lang w:val="sr-Cyrl-CS"/>
        </w:rPr>
        <w:t>).</w:t>
      </w:r>
    </w:p>
    <w:p w14:paraId="2EC4FC10" w14:textId="6F4BDF88" w:rsidR="003D2ADE" w:rsidRPr="005303F7" w:rsidRDefault="00BF0787" w:rsidP="00027573">
      <w:pPr>
        <w:spacing w:before="240"/>
        <w:jc w:val="center"/>
        <w:rPr>
          <w:rFonts w:ascii="Times New Roman" w:hAnsi="Times New Roman"/>
          <w:sz w:val="24"/>
          <w:lang w:val="sr-Cyrl-CS"/>
        </w:rPr>
      </w:pPr>
      <w:r w:rsidRPr="005303F7">
        <w:rPr>
          <w:rFonts w:ascii="Times New Roman" w:hAnsi="Times New Roman"/>
          <w:noProof/>
          <w:sz w:val="24"/>
          <w:lang w:val="sr-Cyrl-CS" w:eastAsia="en-US"/>
        </w:rPr>
        <w:drawing>
          <wp:inline distT="0" distB="0" distL="0" distR="0" wp14:anchorId="6380B6B4" wp14:editId="280745EF">
            <wp:extent cx="5855970" cy="327593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8591" cy="3277403"/>
                    </a:xfrm>
                    <a:prstGeom prst="rect">
                      <a:avLst/>
                    </a:prstGeom>
                    <a:noFill/>
                    <a:ln>
                      <a:noFill/>
                    </a:ln>
                  </pic:spPr>
                </pic:pic>
              </a:graphicData>
            </a:graphic>
          </wp:inline>
        </w:drawing>
      </w:r>
    </w:p>
    <w:p w14:paraId="4F0FD7A7" w14:textId="4433B755" w:rsidR="00545F61" w:rsidRPr="005303F7" w:rsidRDefault="00884F7B" w:rsidP="00545F61">
      <w:pPr>
        <w:keepNext/>
        <w:spacing w:after="60"/>
        <w:rPr>
          <w:rFonts w:ascii="Times New Roman" w:hAnsi="Times New Roman"/>
          <w:i/>
          <w:iCs/>
          <w:szCs w:val="18"/>
          <w:lang w:val="sr-Cyrl-CS"/>
        </w:rPr>
      </w:pPr>
      <w:bookmarkStart w:id="18" w:name="_Ref12629809"/>
      <w:bookmarkStart w:id="19" w:name="_Toc26759704"/>
      <w:r w:rsidRPr="005303F7">
        <w:rPr>
          <w:rFonts w:ascii="Times New Roman" w:hAnsi="Times New Roman"/>
          <w:b/>
          <w:bCs/>
          <w:i/>
          <w:iCs/>
          <w:szCs w:val="18"/>
          <w:lang w:val="sr-Cyrl-CS"/>
        </w:rPr>
        <w:t>Графикон</w:t>
      </w:r>
      <w:r w:rsidR="00545F61" w:rsidRPr="005303F7">
        <w:rPr>
          <w:rFonts w:ascii="Times New Roman" w:hAnsi="Times New Roman"/>
          <w:b/>
          <w:bCs/>
          <w:i/>
          <w:iCs/>
          <w:szCs w:val="18"/>
          <w:lang w:val="sr-Cyrl-CS"/>
        </w:rPr>
        <w:t xml:space="preserve"> </w:t>
      </w:r>
      <w:r w:rsidR="00545F61" w:rsidRPr="005303F7">
        <w:rPr>
          <w:rFonts w:ascii="Times New Roman" w:hAnsi="Times New Roman"/>
          <w:b/>
          <w:bCs/>
          <w:i/>
          <w:iCs/>
          <w:szCs w:val="18"/>
          <w:lang w:val="sr-Cyrl-CS"/>
        </w:rPr>
        <w:fldChar w:fldCharType="begin"/>
      </w:r>
      <w:r w:rsidR="00545F61" w:rsidRPr="005303F7">
        <w:rPr>
          <w:rFonts w:ascii="Times New Roman" w:hAnsi="Times New Roman"/>
          <w:b/>
          <w:bCs/>
          <w:i/>
          <w:iCs/>
          <w:szCs w:val="18"/>
          <w:lang w:val="sr-Cyrl-CS"/>
        </w:rPr>
        <w:instrText xml:space="preserve"> SEQ Figure \* ARABIC </w:instrText>
      </w:r>
      <w:r w:rsidR="00545F61" w:rsidRPr="005303F7">
        <w:rPr>
          <w:rFonts w:ascii="Times New Roman" w:hAnsi="Times New Roman"/>
          <w:b/>
          <w:bCs/>
          <w:i/>
          <w:iCs/>
          <w:szCs w:val="18"/>
          <w:lang w:val="sr-Cyrl-CS"/>
        </w:rPr>
        <w:fldChar w:fldCharType="separate"/>
      </w:r>
      <w:r w:rsidR="00DA2595" w:rsidRPr="005303F7">
        <w:rPr>
          <w:rFonts w:ascii="Times New Roman" w:hAnsi="Times New Roman"/>
          <w:b/>
          <w:bCs/>
          <w:i/>
          <w:iCs/>
          <w:noProof/>
          <w:szCs w:val="18"/>
          <w:lang w:val="sr-Cyrl-CS"/>
        </w:rPr>
        <w:t>1</w:t>
      </w:r>
      <w:r w:rsidR="00545F61" w:rsidRPr="005303F7">
        <w:rPr>
          <w:rFonts w:ascii="Times New Roman" w:hAnsi="Times New Roman"/>
          <w:b/>
          <w:bCs/>
          <w:i/>
          <w:iCs/>
          <w:szCs w:val="18"/>
          <w:lang w:val="sr-Cyrl-CS"/>
        </w:rPr>
        <w:fldChar w:fldCharType="end"/>
      </w:r>
      <w:bookmarkEnd w:id="18"/>
      <w:r w:rsidR="00545F61" w:rsidRPr="005303F7">
        <w:rPr>
          <w:rFonts w:ascii="Times New Roman" w:hAnsi="Times New Roman"/>
          <w:b/>
          <w:bCs/>
          <w:i/>
          <w:iCs/>
          <w:szCs w:val="18"/>
          <w:lang w:val="sr-Cyrl-CS"/>
        </w:rPr>
        <w:t xml:space="preserve">: </w:t>
      </w:r>
      <w:r w:rsidRPr="005303F7">
        <w:rPr>
          <w:rFonts w:ascii="Times New Roman" w:hAnsi="Times New Roman"/>
          <w:b/>
          <w:bCs/>
          <w:i/>
          <w:iCs/>
          <w:szCs w:val="18"/>
          <w:lang w:val="sr-Cyrl-CS"/>
        </w:rPr>
        <w:t>Укупне</w:t>
      </w:r>
      <w:r w:rsidR="00545F61" w:rsidRPr="005303F7">
        <w:rPr>
          <w:rFonts w:ascii="Times New Roman" w:hAnsi="Times New Roman"/>
          <w:b/>
          <w:bCs/>
          <w:i/>
          <w:iCs/>
          <w:szCs w:val="18"/>
          <w:lang w:val="sr-Cyrl-CS"/>
        </w:rPr>
        <w:t xml:space="preserve"> </w:t>
      </w:r>
      <w:r w:rsidRPr="005303F7">
        <w:rPr>
          <w:rFonts w:ascii="Times New Roman" w:hAnsi="Times New Roman"/>
          <w:b/>
          <w:bCs/>
          <w:i/>
          <w:iCs/>
          <w:szCs w:val="18"/>
          <w:lang w:val="sr-Cyrl-CS"/>
        </w:rPr>
        <w:t>емисије</w:t>
      </w:r>
      <w:r w:rsidR="00545F61" w:rsidRPr="005303F7">
        <w:rPr>
          <w:rFonts w:ascii="Times New Roman" w:hAnsi="Times New Roman"/>
          <w:b/>
          <w:bCs/>
          <w:i/>
          <w:iCs/>
          <w:szCs w:val="18"/>
          <w:lang w:val="sr-Cyrl-CS"/>
        </w:rPr>
        <w:t xml:space="preserve"> </w:t>
      </w:r>
      <w:r w:rsidRPr="005303F7">
        <w:rPr>
          <w:rFonts w:ascii="Times New Roman" w:hAnsi="Times New Roman"/>
          <w:b/>
          <w:bCs/>
          <w:i/>
          <w:iCs/>
          <w:szCs w:val="18"/>
          <w:lang w:val="sr-Cyrl-CS"/>
        </w:rPr>
        <w:t>у</w:t>
      </w:r>
      <w:r w:rsidR="00545F61" w:rsidRPr="005303F7">
        <w:rPr>
          <w:rFonts w:ascii="Times New Roman" w:hAnsi="Times New Roman"/>
          <w:b/>
          <w:bCs/>
          <w:i/>
          <w:iCs/>
          <w:szCs w:val="18"/>
          <w:lang w:val="sr-Cyrl-CS"/>
        </w:rPr>
        <w:t xml:space="preserve"> </w:t>
      </w:r>
      <w:r w:rsidR="00D73AAB" w:rsidRPr="005303F7">
        <w:rPr>
          <w:rFonts w:ascii="Times New Roman" w:hAnsi="Times New Roman"/>
          <w:b/>
          <w:bCs/>
          <w:i/>
          <w:iCs/>
          <w:szCs w:val="18"/>
          <w:lang w:val="sr-Cyrl-CS"/>
        </w:rPr>
        <w:t>Републици Србији</w:t>
      </w:r>
      <w:r w:rsidR="007773BE" w:rsidRPr="005303F7">
        <w:rPr>
          <w:rStyle w:val="FootnoteReference"/>
          <w:rFonts w:ascii="Times New Roman" w:hAnsi="Times New Roman"/>
          <w:b/>
          <w:bCs/>
          <w:i/>
          <w:iCs/>
          <w:sz w:val="18"/>
          <w:szCs w:val="18"/>
          <w:lang w:val="sr-Cyrl-CS"/>
        </w:rPr>
        <w:footnoteReference w:id="11"/>
      </w:r>
      <w:r w:rsidR="00545F61" w:rsidRPr="005303F7">
        <w:rPr>
          <w:rFonts w:ascii="Times New Roman" w:hAnsi="Times New Roman"/>
          <w:b/>
          <w:bCs/>
          <w:i/>
          <w:iCs/>
          <w:szCs w:val="18"/>
          <w:lang w:val="sr-Cyrl-CS"/>
        </w:rPr>
        <w:t xml:space="preserve"> (1990-2015. </w:t>
      </w:r>
      <w:r w:rsidRPr="005303F7">
        <w:rPr>
          <w:rFonts w:ascii="Times New Roman" w:hAnsi="Times New Roman"/>
          <w:b/>
          <w:bCs/>
          <w:i/>
          <w:iCs/>
          <w:szCs w:val="18"/>
          <w:lang w:val="sr-Cyrl-CS"/>
        </w:rPr>
        <w:t>год</w:t>
      </w:r>
      <w:r w:rsidR="00545F61" w:rsidRPr="005303F7">
        <w:rPr>
          <w:rFonts w:ascii="Times New Roman" w:hAnsi="Times New Roman"/>
          <w:b/>
          <w:bCs/>
          <w:i/>
          <w:iCs/>
          <w:szCs w:val="18"/>
          <w:lang w:val="sr-Cyrl-CS"/>
        </w:rPr>
        <w:t>.) (kt CO</w:t>
      </w:r>
      <w:r w:rsidR="00545F61" w:rsidRPr="005303F7">
        <w:rPr>
          <w:rFonts w:ascii="Times New Roman" w:hAnsi="Times New Roman"/>
          <w:b/>
          <w:bCs/>
          <w:i/>
          <w:iCs/>
          <w:szCs w:val="18"/>
          <w:vertAlign w:val="subscript"/>
          <w:lang w:val="sr-Cyrl-CS"/>
        </w:rPr>
        <w:t>2eq</w:t>
      </w:r>
      <w:r w:rsidR="00545F61" w:rsidRPr="005303F7">
        <w:rPr>
          <w:rFonts w:ascii="Times New Roman" w:hAnsi="Times New Roman"/>
          <w:b/>
          <w:bCs/>
          <w:i/>
          <w:iCs/>
          <w:szCs w:val="18"/>
          <w:lang w:val="sr-Cyrl-CS"/>
        </w:rPr>
        <w:t>)</w:t>
      </w:r>
      <w:bookmarkEnd w:id="19"/>
    </w:p>
    <w:p w14:paraId="08D49603" w14:textId="43E44A4E" w:rsidR="00151E3B" w:rsidRPr="005303F7" w:rsidRDefault="006D5CDC" w:rsidP="00086647">
      <w:pPr>
        <w:rPr>
          <w:rFonts w:ascii="Times New Roman" w:hAnsi="Times New Roman"/>
          <w:sz w:val="24"/>
          <w:szCs w:val="22"/>
          <w:lang w:val="sr-Cyrl-CS"/>
        </w:rPr>
      </w:pPr>
      <w:r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Енергетски</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сектор</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је</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далеко</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највећи</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емитер</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гасова</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са</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ефектом</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стаклене</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баште</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у</w:t>
      </w:r>
      <w:r w:rsidR="00C92EE6" w:rsidRPr="005303F7">
        <w:rPr>
          <w:rFonts w:ascii="Times New Roman" w:hAnsi="Times New Roman"/>
          <w:sz w:val="24"/>
          <w:szCs w:val="22"/>
          <w:lang w:val="sr-Cyrl-CS"/>
        </w:rPr>
        <w:t xml:space="preserve"> </w:t>
      </w:r>
      <w:r w:rsidR="00D73AAB" w:rsidRPr="005303F7">
        <w:rPr>
          <w:rFonts w:ascii="Times New Roman" w:hAnsi="Times New Roman"/>
          <w:sz w:val="24"/>
          <w:szCs w:val="22"/>
          <w:lang w:val="sr-Cyrl-CS"/>
        </w:rPr>
        <w:t>Републици Србији</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из</w:t>
      </w:r>
      <w:r w:rsidR="008E67EA"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кога</w:t>
      </w:r>
      <w:r w:rsidR="008E67EA"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долази</w:t>
      </w:r>
      <w:r w:rsidR="00C92EE6" w:rsidRPr="005303F7">
        <w:rPr>
          <w:rFonts w:ascii="Times New Roman" w:hAnsi="Times New Roman"/>
          <w:sz w:val="24"/>
          <w:szCs w:val="22"/>
          <w:lang w:val="sr-Cyrl-CS"/>
        </w:rPr>
        <w:t xml:space="preserve"> 80,6% </w:t>
      </w:r>
      <w:r w:rsidR="00884F7B" w:rsidRPr="005303F7">
        <w:rPr>
          <w:rFonts w:ascii="Times New Roman" w:hAnsi="Times New Roman"/>
          <w:sz w:val="24"/>
          <w:szCs w:val="22"/>
          <w:lang w:val="sr-Cyrl-CS"/>
        </w:rPr>
        <w:t>укупних</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емисија</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од</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чега</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је</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најважнији</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подсектор</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енергетска</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индустрија</w:t>
      </w:r>
      <w:r w:rsidR="008E67EA" w:rsidRPr="005303F7">
        <w:rPr>
          <w:rFonts w:ascii="Times New Roman" w:hAnsi="Times New Roman"/>
          <w:sz w:val="24"/>
          <w:szCs w:val="22"/>
          <w:lang w:val="sr-Cyrl-CS"/>
        </w:rPr>
        <w:t>,</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која</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обухвата</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јавну</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производњу</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електричне</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и</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топлотне</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енергије</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рафинерије</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и</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производњу</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горива</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што</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представља</w:t>
      </w:r>
      <w:r w:rsidR="008E67EA" w:rsidRPr="005303F7">
        <w:rPr>
          <w:rFonts w:ascii="Times New Roman" w:hAnsi="Times New Roman"/>
          <w:sz w:val="24"/>
          <w:szCs w:val="22"/>
          <w:lang w:val="sr-Cyrl-CS"/>
        </w:rPr>
        <w:t xml:space="preserve"> 70</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емисија</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из</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енергетског</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сектора</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и</w:t>
      </w:r>
      <w:r w:rsidR="00C92EE6" w:rsidRPr="005303F7">
        <w:rPr>
          <w:rFonts w:ascii="Times New Roman" w:hAnsi="Times New Roman"/>
          <w:sz w:val="24"/>
          <w:szCs w:val="22"/>
          <w:lang w:val="sr-Cyrl-CS"/>
        </w:rPr>
        <w:t xml:space="preserve"> 56% </w:t>
      </w:r>
      <w:r w:rsidR="00884F7B" w:rsidRPr="005303F7">
        <w:rPr>
          <w:rFonts w:ascii="Times New Roman" w:hAnsi="Times New Roman"/>
          <w:sz w:val="24"/>
          <w:szCs w:val="22"/>
          <w:lang w:val="sr-Cyrl-CS"/>
        </w:rPr>
        <w:t>укупних</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националних</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емисија</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Тренд</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смањења</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од</w:t>
      </w:r>
      <w:r w:rsidR="00C92EE6" w:rsidRPr="005303F7">
        <w:rPr>
          <w:rFonts w:ascii="Times New Roman" w:hAnsi="Times New Roman"/>
          <w:sz w:val="24"/>
          <w:szCs w:val="22"/>
          <w:lang w:val="sr-Cyrl-CS"/>
        </w:rPr>
        <w:t xml:space="preserve"> 1990. </w:t>
      </w:r>
      <w:r w:rsidR="00884F7B" w:rsidRPr="005303F7">
        <w:rPr>
          <w:rFonts w:ascii="Times New Roman" w:hAnsi="Times New Roman"/>
          <w:sz w:val="24"/>
          <w:szCs w:val="22"/>
          <w:lang w:val="sr-Cyrl-CS"/>
        </w:rPr>
        <w:t>године</w:t>
      </w:r>
      <w:r w:rsidR="00C92EE6" w:rsidRPr="005303F7">
        <w:rPr>
          <w:rFonts w:ascii="Times New Roman" w:hAnsi="Times New Roman"/>
          <w:sz w:val="24"/>
          <w:szCs w:val="22"/>
          <w:lang w:val="sr-Cyrl-CS"/>
        </w:rPr>
        <w:t xml:space="preserve"> (21,4%</w:t>
      </w:r>
      <w:r w:rsidR="00DE0984"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у</w:t>
      </w:r>
      <w:r w:rsidR="00DE0984"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односу</w:t>
      </w:r>
      <w:r w:rsidR="00DE0984"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на</w:t>
      </w:r>
      <w:r w:rsidR="00DE0984" w:rsidRPr="005303F7">
        <w:rPr>
          <w:rFonts w:ascii="Times New Roman" w:hAnsi="Times New Roman"/>
          <w:sz w:val="24"/>
          <w:szCs w:val="22"/>
          <w:lang w:val="sr-Cyrl-CS"/>
        </w:rPr>
        <w:t xml:space="preserve"> 2015.</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може</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се</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више</w:t>
      </w:r>
      <w:r w:rsidR="008E67EA"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приписати</w:t>
      </w:r>
      <w:r w:rsidR="008E67EA"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нижој</w:t>
      </w:r>
      <w:r w:rsidR="008E67EA"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производњи</w:t>
      </w:r>
      <w:r w:rsidR="008E67EA"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него</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структурним</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реформама</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у</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сектору</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У</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поређењу</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са</w:t>
      </w:r>
      <w:r w:rsidR="00C92EE6" w:rsidRPr="005303F7">
        <w:rPr>
          <w:rFonts w:ascii="Times New Roman" w:hAnsi="Times New Roman"/>
          <w:sz w:val="24"/>
          <w:szCs w:val="22"/>
          <w:lang w:val="sr-Cyrl-CS"/>
        </w:rPr>
        <w:t xml:space="preserve"> 2010. </w:t>
      </w:r>
      <w:r w:rsidR="00884F7B" w:rsidRPr="005303F7">
        <w:rPr>
          <w:rFonts w:ascii="Times New Roman" w:hAnsi="Times New Roman"/>
          <w:sz w:val="24"/>
          <w:szCs w:val="22"/>
          <w:lang w:val="sr-Cyrl-CS"/>
        </w:rPr>
        <w:t>годином</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емисије</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су</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смањене</w:t>
      </w:r>
      <w:r w:rsidR="00C92EE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за</w:t>
      </w:r>
      <w:r w:rsidR="00C92EE6" w:rsidRPr="005303F7">
        <w:rPr>
          <w:rFonts w:ascii="Times New Roman" w:hAnsi="Times New Roman"/>
          <w:sz w:val="24"/>
          <w:szCs w:val="22"/>
          <w:lang w:val="sr-Cyrl-CS"/>
        </w:rPr>
        <w:t xml:space="preserve"> 5% </w:t>
      </w:r>
      <w:r w:rsidR="00884F7B" w:rsidRPr="005303F7">
        <w:rPr>
          <w:rFonts w:ascii="Times New Roman" w:hAnsi="Times New Roman"/>
          <w:sz w:val="24"/>
          <w:szCs w:val="22"/>
          <w:lang w:val="sr-Cyrl-CS"/>
        </w:rPr>
        <w:t>у</w:t>
      </w:r>
      <w:r w:rsidR="00C92EE6" w:rsidRPr="005303F7">
        <w:rPr>
          <w:rFonts w:ascii="Times New Roman" w:hAnsi="Times New Roman"/>
          <w:sz w:val="24"/>
          <w:szCs w:val="22"/>
          <w:lang w:val="sr-Cyrl-CS"/>
        </w:rPr>
        <w:t xml:space="preserve"> 2015. </w:t>
      </w:r>
      <w:r w:rsidR="00884F7B" w:rsidRPr="005303F7">
        <w:rPr>
          <w:rFonts w:ascii="Times New Roman" w:hAnsi="Times New Roman"/>
          <w:sz w:val="24"/>
          <w:szCs w:val="22"/>
          <w:lang w:val="sr-Cyrl-CS"/>
        </w:rPr>
        <w:t>години</w:t>
      </w:r>
      <w:r w:rsidR="00C92EE6" w:rsidRPr="005303F7">
        <w:rPr>
          <w:rFonts w:ascii="Times New Roman" w:hAnsi="Times New Roman"/>
          <w:sz w:val="24"/>
          <w:szCs w:val="22"/>
          <w:lang w:val="sr-Cyrl-CS"/>
        </w:rPr>
        <w:t>.</w:t>
      </w:r>
    </w:p>
    <w:p w14:paraId="4DBD324A" w14:textId="3F5B55C5" w:rsidR="006E3D4C" w:rsidRPr="005303F7" w:rsidRDefault="00136E19" w:rsidP="00151E3B">
      <w:pPr>
        <w:spacing w:before="0" w:after="0"/>
        <w:rPr>
          <w:rFonts w:ascii="Times New Roman" w:hAnsi="Times New Roman"/>
          <w:sz w:val="24"/>
          <w:szCs w:val="22"/>
          <w:lang w:val="sr-Cyrl-CS"/>
        </w:rPr>
      </w:pPr>
      <w:r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Емисије</w:t>
      </w:r>
      <w:r w:rsidR="00D504B7" w:rsidRPr="005303F7">
        <w:rPr>
          <w:rFonts w:ascii="Times New Roman" w:hAnsi="Times New Roman"/>
          <w:sz w:val="24"/>
          <w:szCs w:val="22"/>
          <w:lang w:val="sr-Cyrl-CS"/>
        </w:rPr>
        <w:t xml:space="preserve"> </w:t>
      </w:r>
      <w:r w:rsidR="00C51AEC" w:rsidRPr="005303F7">
        <w:rPr>
          <w:rFonts w:ascii="Times New Roman" w:hAnsi="Times New Roman"/>
          <w:sz w:val="24"/>
          <w:szCs w:val="22"/>
          <w:lang w:val="sr-Cyrl-CS"/>
        </w:rPr>
        <w:t>GHG</w:t>
      </w:r>
      <w:r w:rsidR="009B334E"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у</w:t>
      </w:r>
      <w:r w:rsidR="00D504B7"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подсекторима</w:t>
      </w:r>
      <w:r w:rsidR="00D504B7"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односно</w:t>
      </w:r>
      <w:r w:rsidR="00D504B7"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категоријама</w:t>
      </w:r>
      <w:r w:rsidR="00151E3B"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енергетског</w:t>
      </w:r>
      <w:r w:rsidR="00D504B7"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сектора</w:t>
      </w:r>
      <w:r w:rsidR="00D504B7"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у</w:t>
      </w:r>
      <w:r w:rsidR="00D504B7" w:rsidRPr="005303F7">
        <w:rPr>
          <w:rFonts w:ascii="Times New Roman" w:hAnsi="Times New Roman"/>
          <w:sz w:val="24"/>
          <w:szCs w:val="22"/>
          <w:lang w:val="sr-Cyrl-CS"/>
        </w:rPr>
        <w:t xml:space="preserve"> 2015. </w:t>
      </w:r>
      <w:r w:rsidR="00884F7B" w:rsidRPr="005303F7">
        <w:rPr>
          <w:rFonts w:ascii="Times New Roman" w:hAnsi="Times New Roman"/>
          <w:sz w:val="24"/>
          <w:szCs w:val="22"/>
          <w:lang w:val="sr-Cyrl-CS"/>
        </w:rPr>
        <w:t>години</w:t>
      </w:r>
      <w:r w:rsidR="00D504B7"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су</w:t>
      </w:r>
      <w:r w:rsidR="00D504B7"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биле</w:t>
      </w:r>
      <w:r w:rsidR="00D504B7" w:rsidRPr="005303F7">
        <w:rPr>
          <w:rFonts w:ascii="Times New Roman" w:hAnsi="Times New Roman"/>
          <w:sz w:val="24"/>
          <w:szCs w:val="22"/>
          <w:lang w:val="sr-Cyrl-CS"/>
        </w:rPr>
        <w:t>:</w:t>
      </w:r>
      <w:r w:rsidR="00515D38" w:rsidRPr="005303F7">
        <w:rPr>
          <w:rFonts w:ascii="Times New Roman" w:hAnsi="Times New Roman"/>
          <w:sz w:val="24"/>
          <w:szCs w:val="22"/>
          <w:lang w:val="sr-Cyrl-CS"/>
        </w:rPr>
        <w:t xml:space="preserve"> </w:t>
      </w:r>
    </w:p>
    <w:p w14:paraId="631CB157" w14:textId="5F99D586" w:rsidR="006E3D4C" w:rsidRPr="005303F7" w:rsidRDefault="00884F7B" w:rsidP="002D00A3">
      <w:pPr>
        <w:pStyle w:val="ListParagraph"/>
        <w:numPr>
          <w:ilvl w:val="0"/>
          <w:numId w:val="47"/>
        </w:numPr>
        <w:tabs>
          <w:tab w:val="clear" w:pos="3825"/>
        </w:tabs>
        <w:spacing w:before="0" w:after="0"/>
        <w:ind w:left="0" w:firstLine="360"/>
        <w:rPr>
          <w:rFonts w:ascii="Times New Roman" w:hAnsi="Times New Roman" w:cs="Times New Roman"/>
          <w:sz w:val="24"/>
          <w:szCs w:val="22"/>
          <w:lang w:val="sr-Cyrl-CS"/>
        </w:rPr>
      </w:pPr>
      <w:r w:rsidRPr="005303F7">
        <w:rPr>
          <w:rFonts w:ascii="Times New Roman" w:hAnsi="Times New Roman" w:cs="Times New Roman"/>
          <w:sz w:val="24"/>
          <w:szCs w:val="22"/>
          <w:lang w:val="sr-Cyrl-CS"/>
        </w:rPr>
        <w:t>у</w:t>
      </w:r>
      <w:r w:rsidR="00D504B7"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сектору</w:t>
      </w:r>
      <w:r w:rsidR="00D504B7"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саобраћаја</w:t>
      </w:r>
      <w:r w:rsidR="00D86B90" w:rsidRPr="005303F7">
        <w:rPr>
          <w:rFonts w:ascii="Times New Roman" w:hAnsi="Times New Roman" w:cs="Times New Roman"/>
          <w:sz w:val="24"/>
          <w:szCs w:val="22"/>
          <w:lang w:val="sr-Cyrl-CS"/>
        </w:rPr>
        <w:t xml:space="preserve"> </w:t>
      </w:r>
      <w:r w:rsidR="00F10311" w:rsidRPr="005303F7">
        <w:rPr>
          <w:rFonts w:ascii="Times New Roman" w:hAnsi="Times New Roman" w:cs="Times New Roman"/>
          <w:sz w:val="24"/>
          <w:szCs w:val="22"/>
          <w:lang w:val="sr-Cyrl-CS"/>
        </w:rPr>
        <w:t>31</w:t>
      </w:r>
      <w:r w:rsidR="00EF0C0D" w:rsidRPr="005303F7">
        <w:rPr>
          <w:rFonts w:ascii="Times New Roman" w:hAnsi="Times New Roman" w:cs="Times New Roman"/>
          <w:sz w:val="24"/>
          <w:szCs w:val="22"/>
          <w:lang w:val="sr-Cyrl-CS"/>
        </w:rPr>
        <w:t>,4</w:t>
      </w:r>
      <w:r w:rsidR="00F10311"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више</w:t>
      </w:r>
      <w:r w:rsidR="00D504B7"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него</w:t>
      </w:r>
      <w:r w:rsidR="00D504B7"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у</w:t>
      </w:r>
      <w:r w:rsidR="00D504B7" w:rsidRPr="005303F7">
        <w:rPr>
          <w:rFonts w:ascii="Times New Roman" w:hAnsi="Times New Roman" w:cs="Times New Roman"/>
          <w:sz w:val="24"/>
          <w:szCs w:val="22"/>
          <w:lang w:val="sr-Cyrl-CS"/>
        </w:rPr>
        <w:t xml:space="preserve"> </w:t>
      </w:r>
      <w:r w:rsidR="00F10311" w:rsidRPr="005303F7">
        <w:rPr>
          <w:rFonts w:ascii="Times New Roman" w:hAnsi="Times New Roman" w:cs="Times New Roman"/>
          <w:sz w:val="24"/>
          <w:szCs w:val="22"/>
          <w:lang w:val="sr-Cyrl-CS"/>
        </w:rPr>
        <w:t>1990</w:t>
      </w:r>
      <w:r w:rsidR="00D504B7"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години</w:t>
      </w:r>
      <w:r w:rsidR="00D504B7"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и</w:t>
      </w:r>
      <w:r w:rsidR="00D504B7" w:rsidRPr="005303F7">
        <w:rPr>
          <w:rFonts w:ascii="Times New Roman" w:hAnsi="Times New Roman" w:cs="Times New Roman"/>
          <w:sz w:val="24"/>
          <w:szCs w:val="22"/>
          <w:lang w:val="sr-Cyrl-CS"/>
        </w:rPr>
        <w:t xml:space="preserve"> </w:t>
      </w:r>
      <w:r w:rsidR="00F10311" w:rsidRPr="005303F7">
        <w:rPr>
          <w:rFonts w:ascii="Times New Roman" w:hAnsi="Times New Roman" w:cs="Times New Roman"/>
          <w:sz w:val="24"/>
          <w:szCs w:val="22"/>
          <w:lang w:val="sr-Cyrl-CS"/>
        </w:rPr>
        <w:t>11,</w:t>
      </w:r>
      <w:r w:rsidR="00EF0C0D" w:rsidRPr="005303F7">
        <w:rPr>
          <w:rFonts w:ascii="Times New Roman" w:hAnsi="Times New Roman" w:cs="Times New Roman"/>
          <w:sz w:val="24"/>
          <w:szCs w:val="22"/>
          <w:lang w:val="sr-Cyrl-CS"/>
        </w:rPr>
        <w:t>1</w:t>
      </w:r>
      <w:r w:rsidR="00F10311"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испод</w:t>
      </w:r>
      <w:r w:rsidR="00D504B7"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нивоа</w:t>
      </w:r>
      <w:r w:rsidR="00D504B7"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из</w:t>
      </w:r>
      <w:r w:rsidR="00F10311" w:rsidRPr="005303F7">
        <w:rPr>
          <w:rFonts w:ascii="Times New Roman" w:hAnsi="Times New Roman" w:cs="Times New Roman"/>
          <w:sz w:val="24"/>
          <w:szCs w:val="22"/>
          <w:lang w:val="sr-Cyrl-CS"/>
        </w:rPr>
        <w:t xml:space="preserve"> 2010.</w:t>
      </w:r>
      <w:r w:rsidR="00D504B7"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године</w:t>
      </w:r>
      <w:r w:rsidR="008F52C9" w:rsidRPr="005303F7">
        <w:rPr>
          <w:rFonts w:ascii="Times New Roman" w:hAnsi="Times New Roman" w:cs="Times New Roman"/>
          <w:sz w:val="24"/>
          <w:szCs w:val="22"/>
          <w:lang w:val="sr-Cyrl-CS"/>
        </w:rPr>
        <w:t>;</w:t>
      </w:r>
    </w:p>
    <w:p w14:paraId="49E4DA13" w14:textId="06F69C0C" w:rsidR="00B80BAE" w:rsidRPr="005303F7" w:rsidRDefault="00884F7B" w:rsidP="002D00A3">
      <w:pPr>
        <w:pStyle w:val="ListParagraph"/>
        <w:numPr>
          <w:ilvl w:val="0"/>
          <w:numId w:val="47"/>
        </w:numPr>
        <w:tabs>
          <w:tab w:val="clear" w:pos="3825"/>
          <w:tab w:val="left" w:pos="0"/>
        </w:tabs>
        <w:spacing w:before="0" w:after="0"/>
        <w:ind w:left="0" w:firstLine="360"/>
        <w:rPr>
          <w:rFonts w:ascii="Times New Roman" w:hAnsi="Times New Roman" w:cs="Times New Roman"/>
          <w:sz w:val="24"/>
          <w:szCs w:val="22"/>
          <w:lang w:val="sr-Cyrl-CS"/>
        </w:rPr>
      </w:pPr>
      <w:r w:rsidRPr="005303F7">
        <w:rPr>
          <w:rFonts w:ascii="Times New Roman" w:hAnsi="Times New Roman" w:cs="Times New Roman"/>
          <w:sz w:val="24"/>
          <w:szCs w:val="22"/>
          <w:lang w:val="sr-Cyrl-CS"/>
        </w:rPr>
        <w:t>емисије</w:t>
      </w:r>
      <w:r w:rsidR="00B80BAE"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из</w:t>
      </w:r>
      <w:r w:rsidR="00B80BAE"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производне</w:t>
      </w:r>
      <w:r w:rsidR="00B80BAE"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индустрије</w:t>
      </w:r>
      <w:r w:rsidR="00B80BAE"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и</w:t>
      </w:r>
      <w:r w:rsidR="00B80BAE"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грађевинарства</w:t>
      </w:r>
      <w:r w:rsidR="002336C5"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су</w:t>
      </w:r>
      <w:r w:rsidR="00B80BAE"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биле</w:t>
      </w:r>
      <w:r w:rsidR="00B80BAE" w:rsidRPr="005303F7">
        <w:rPr>
          <w:rFonts w:ascii="Times New Roman" w:hAnsi="Times New Roman" w:cs="Times New Roman"/>
          <w:sz w:val="24"/>
          <w:szCs w:val="22"/>
          <w:lang w:val="sr-Cyrl-CS"/>
        </w:rPr>
        <w:t xml:space="preserve"> 46,2% </w:t>
      </w:r>
      <w:r w:rsidRPr="005303F7">
        <w:rPr>
          <w:rFonts w:ascii="Times New Roman" w:hAnsi="Times New Roman" w:cs="Times New Roman"/>
          <w:sz w:val="24"/>
          <w:szCs w:val="22"/>
          <w:lang w:val="sr-Cyrl-CS"/>
        </w:rPr>
        <w:t>ниже</w:t>
      </w:r>
      <w:r w:rsidR="00B80BAE"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него</w:t>
      </w:r>
      <w:r w:rsidR="00B80BAE"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у</w:t>
      </w:r>
      <w:r w:rsidR="00B80BAE" w:rsidRPr="005303F7">
        <w:rPr>
          <w:rFonts w:ascii="Times New Roman" w:hAnsi="Times New Roman" w:cs="Times New Roman"/>
          <w:sz w:val="24"/>
          <w:szCs w:val="22"/>
          <w:lang w:val="sr-Cyrl-CS"/>
        </w:rPr>
        <w:t xml:space="preserve"> 1990. </w:t>
      </w:r>
      <w:r w:rsidRPr="005303F7">
        <w:rPr>
          <w:rFonts w:ascii="Times New Roman" w:hAnsi="Times New Roman" w:cs="Times New Roman"/>
          <w:sz w:val="24"/>
          <w:szCs w:val="22"/>
          <w:lang w:val="sr-Cyrl-CS"/>
        </w:rPr>
        <w:t>години</w:t>
      </w:r>
      <w:r w:rsidR="00344E46" w:rsidRPr="005303F7">
        <w:rPr>
          <w:rFonts w:ascii="Times New Roman" w:hAnsi="Times New Roman" w:cs="Times New Roman"/>
          <w:sz w:val="24"/>
          <w:szCs w:val="22"/>
          <w:vertAlign w:val="superscript"/>
          <w:lang w:val="sr-Cyrl-CS"/>
        </w:rPr>
        <w:footnoteReference w:id="12"/>
      </w:r>
      <w:r w:rsidR="005A743F"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и</w:t>
      </w:r>
      <w:r w:rsidR="005A743F" w:rsidRPr="005303F7">
        <w:rPr>
          <w:rFonts w:ascii="Times New Roman" w:hAnsi="Times New Roman" w:cs="Times New Roman"/>
          <w:sz w:val="24"/>
          <w:szCs w:val="22"/>
          <w:lang w:val="sr-Cyrl-CS"/>
        </w:rPr>
        <w:t xml:space="preserve"> </w:t>
      </w:r>
      <w:r w:rsidR="00344E46" w:rsidRPr="005303F7">
        <w:rPr>
          <w:rFonts w:ascii="Times New Roman" w:hAnsi="Times New Roman" w:cs="Times New Roman"/>
          <w:sz w:val="24"/>
          <w:szCs w:val="22"/>
          <w:lang w:val="sr-Cyrl-CS"/>
        </w:rPr>
        <w:t>19,3</w:t>
      </w:r>
      <w:r w:rsidR="001120D8" w:rsidRPr="005303F7">
        <w:rPr>
          <w:rFonts w:ascii="Times New Roman" w:hAnsi="Times New Roman" w:cs="Times New Roman"/>
          <w:sz w:val="24"/>
          <w:szCs w:val="22"/>
          <w:lang w:val="sr-Cyrl-CS"/>
        </w:rPr>
        <w:t>%</w:t>
      </w:r>
      <w:r w:rsidR="00DE0984"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ниже</w:t>
      </w:r>
      <w:r w:rsidR="005A743F"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у</w:t>
      </w:r>
      <w:r w:rsidR="00B80BAE"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поређењу</w:t>
      </w:r>
      <w:r w:rsidR="00B80BAE"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са</w:t>
      </w:r>
      <w:r w:rsidR="005A743F" w:rsidRPr="005303F7">
        <w:rPr>
          <w:rFonts w:ascii="Times New Roman" w:hAnsi="Times New Roman" w:cs="Times New Roman"/>
          <w:sz w:val="24"/>
          <w:szCs w:val="22"/>
          <w:lang w:val="sr-Cyrl-CS"/>
        </w:rPr>
        <w:t xml:space="preserve"> 2010. </w:t>
      </w:r>
      <w:r w:rsidRPr="005303F7">
        <w:rPr>
          <w:rFonts w:ascii="Times New Roman" w:hAnsi="Times New Roman" w:cs="Times New Roman"/>
          <w:sz w:val="24"/>
          <w:szCs w:val="22"/>
          <w:lang w:val="sr-Cyrl-CS"/>
        </w:rPr>
        <w:t>Овај</w:t>
      </w:r>
      <w:r w:rsidR="00B80BAE"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тренд</w:t>
      </w:r>
      <w:r w:rsidR="00B80BAE"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је</w:t>
      </w:r>
      <w:r w:rsidR="00B80BAE"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последица</w:t>
      </w:r>
      <w:r w:rsidR="00B80BAE"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смањења</w:t>
      </w:r>
      <w:r w:rsidR="00B80BAE"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lastRenderedPageBreak/>
        <w:t>активности</w:t>
      </w:r>
      <w:r w:rsidR="00B80BAE" w:rsidRPr="005303F7">
        <w:rPr>
          <w:rFonts w:ascii="Times New Roman" w:hAnsi="Times New Roman" w:cs="Times New Roman"/>
          <w:sz w:val="24"/>
          <w:szCs w:val="22"/>
          <w:lang w:val="sr-Cyrl-CS"/>
        </w:rPr>
        <w:t xml:space="preserve"> </w:t>
      </w:r>
      <w:r w:rsidR="00D51375" w:rsidRPr="005303F7">
        <w:rPr>
          <w:rFonts w:ascii="Times New Roman" w:hAnsi="Times New Roman" w:cs="Times New Roman"/>
          <w:sz w:val="24"/>
          <w:szCs w:val="22"/>
          <w:lang w:val="sr-Cyrl-CS"/>
        </w:rPr>
        <w:t>производне</w:t>
      </w:r>
      <w:r w:rsidR="00B80BAE"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индустрије</w:t>
      </w:r>
      <w:r w:rsidR="00B80BAE"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и</w:t>
      </w:r>
      <w:r w:rsidR="00B80BAE"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донекле</w:t>
      </w:r>
      <w:r w:rsidR="00B80BAE"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повећања</w:t>
      </w:r>
      <w:r w:rsidR="00B80BAE"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потрошње</w:t>
      </w:r>
      <w:r w:rsidR="00B80BAE"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биомасе</w:t>
      </w:r>
      <w:r w:rsidR="00B80BAE"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за</w:t>
      </w:r>
      <w:r w:rsidR="00B80BAE" w:rsidRPr="005303F7">
        <w:rPr>
          <w:rFonts w:ascii="Times New Roman" w:hAnsi="Times New Roman" w:cs="Times New Roman"/>
          <w:sz w:val="24"/>
          <w:szCs w:val="22"/>
          <w:lang w:val="sr-Cyrl-CS"/>
        </w:rPr>
        <w:t xml:space="preserve"> 137% </w:t>
      </w:r>
      <w:r w:rsidRPr="005303F7">
        <w:rPr>
          <w:rFonts w:ascii="Times New Roman" w:hAnsi="Times New Roman" w:cs="Times New Roman"/>
          <w:sz w:val="24"/>
          <w:szCs w:val="22"/>
          <w:lang w:val="sr-Cyrl-CS"/>
        </w:rPr>
        <w:t>од</w:t>
      </w:r>
      <w:r w:rsidR="00B80BAE" w:rsidRPr="005303F7">
        <w:rPr>
          <w:rFonts w:ascii="Times New Roman" w:hAnsi="Times New Roman" w:cs="Times New Roman"/>
          <w:sz w:val="24"/>
          <w:szCs w:val="22"/>
          <w:lang w:val="sr-Cyrl-CS"/>
        </w:rPr>
        <w:t xml:space="preserve"> 2010. </w:t>
      </w:r>
      <w:r w:rsidRPr="005303F7">
        <w:rPr>
          <w:rFonts w:ascii="Times New Roman" w:hAnsi="Times New Roman" w:cs="Times New Roman"/>
          <w:sz w:val="24"/>
          <w:szCs w:val="22"/>
          <w:lang w:val="sr-Cyrl-CS"/>
        </w:rPr>
        <w:t>године</w:t>
      </w:r>
      <w:r w:rsidR="008F52C9" w:rsidRPr="005303F7">
        <w:rPr>
          <w:rFonts w:ascii="Times New Roman" w:hAnsi="Times New Roman" w:cs="Times New Roman"/>
          <w:sz w:val="24"/>
          <w:szCs w:val="22"/>
          <w:lang w:val="sr-Cyrl-CS"/>
        </w:rPr>
        <w:t>;</w:t>
      </w:r>
    </w:p>
    <w:p w14:paraId="7BA47DD3" w14:textId="6A38E662" w:rsidR="0061569B" w:rsidRPr="005303F7" w:rsidRDefault="00884F7B" w:rsidP="00982FCF">
      <w:pPr>
        <w:pStyle w:val="ListParagraph"/>
        <w:numPr>
          <w:ilvl w:val="0"/>
          <w:numId w:val="47"/>
        </w:numPr>
        <w:tabs>
          <w:tab w:val="clear" w:pos="3825"/>
        </w:tabs>
        <w:spacing w:before="0" w:after="0"/>
        <w:ind w:left="0" w:firstLine="360"/>
        <w:rPr>
          <w:rFonts w:ascii="Times New Roman" w:hAnsi="Times New Roman" w:cs="Times New Roman"/>
          <w:sz w:val="24"/>
          <w:szCs w:val="22"/>
          <w:lang w:val="sr-Cyrl-CS"/>
        </w:rPr>
      </w:pPr>
      <w:r w:rsidRPr="005303F7">
        <w:rPr>
          <w:rFonts w:ascii="Times New Roman" w:hAnsi="Times New Roman" w:cs="Times New Roman"/>
          <w:sz w:val="24"/>
          <w:szCs w:val="22"/>
          <w:lang w:val="sr-Cyrl-CS"/>
        </w:rPr>
        <w:t>емисије</w:t>
      </w:r>
      <w:r w:rsidR="008C1128"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у</w:t>
      </w:r>
      <w:r w:rsidR="008C1128"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другим</w:t>
      </w:r>
      <w:r w:rsidR="008C1128"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секторима</w:t>
      </w:r>
      <w:r w:rsidR="0035174D" w:rsidRPr="005303F7">
        <w:rPr>
          <w:rFonts w:ascii="Times New Roman" w:hAnsi="Times New Roman" w:cs="Times New Roman"/>
          <w:sz w:val="24"/>
          <w:szCs w:val="22"/>
          <w:lang w:val="sr-Cyrl-CS"/>
        </w:rPr>
        <w:t>”</w:t>
      </w:r>
      <w:r w:rsidR="00BB657F" w:rsidRPr="005303F7">
        <w:rPr>
          <w:rFonts w:ascii="Times New Roman" w:hAnsi="Times New Roman" w:cs="Times New Roman"/>
          <w:sz w:val="24"/>
          <w:szCs w:val="22"/>
          <w:lang w:val="sr-Cyrl-CS"/>
        </w:rPr>
        <w:t xml:space="preserve"> </w:t>
      </w:r>
      <w:r w:rsidR="0099137C" w:rsidRPr="005303F7">
        <w:rPr>
          <w:rFonts w:ascii="Times New Roman" w:hAnsi="Times New Roman" w:cs="Times New Roman"/>
          <w:sz w:val="24"/>
          <w:szCs w:val="22"/>
          <w:lang w:val="sr-Cyrl-CS"/>
        </w:rPr>
        <w:t>(</w:t>
      </w:r>
      <w:r w:rsidRPr="005303F7">
        <w:rPr>
          <w:rFonts w:ascii="Times New Roman" w:hAnsi="Times New Roman" w:cs="Times New Roman"/>
          <w:sz w:val="24"/>
          <w:szCs w:val="22"/>
          <w:lang w:val="sr-Cyrl-CS"/>
        </w:rPr>
        <w:t>комерцијалне</w:t>
      </w:r>
      <w:r w:rsidR="008C1128"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стамбене</w:t>
      </w:r>
      <w:r w:rsidR="008C1128"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и</w:t>
      </w:r>
      <w:r w:rsidR="008C1128"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друге</w:t>
      </w:r>
      <w:r w:rsidR="008C1128"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институционалне</w:t>
      </w:r>
      <w:r w:rsidR="008C1128"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зграде</w:t>
      </w:r>
      <w:r w:rsidR="008C1128"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и</w:t>
      </w:r>
      <w:r w:rsidR="008C1128"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потрошња</w:t>
      </w:r>
      <w:r w:rsidR="008C1128"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горива</w:t>
      </w:r>
      <w:r w:rsidR="008C1128"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у</w:t>
      </w:r>
      <w:r w:rsidR="008C1128"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стационарној</w:t>
      </w:r>
      <w:r w:rsidR="008C1128"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пољопривредној</w:t>
      </w:r>
      <w:r w:rsidR="008C1128"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опреми</w:t>
      </w:r>
      <w:r w:rsidR="0099137C"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су</w:t>
      </w:r>
      <w:r w:rsidR="008C1128"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биле</w:t>
      </w:r>
      <w:r w:rsidR="0061569B" w:rsidRPr="005303F7">
        <w:rPr>
          <w:rFonts w:ascii="Times New Roman" w:hAnsi="Times New Roman" w:cs="Times New Roman"/>
          <w:sz w:val="24"/>
          <w:szCs w:val="22"/>
          <w:lang w:val="sr-Cyrl-CS"/>
        </w:rPr>
        <w:t xml:space="preserve"> </w:t>
      </w:r>
      <w:r w:rsidR="00344E46" w:rsidRPr="005303F7">
        <w:rPr>
          <w:rFonts w:ascii="Times New Roman" w:hAnsi="Times New Roman" w:cs="Times New Roman"/>
          <w:sz w:val="24"/>
          <w:szCs w:val="22"/>
          <w:lang w:val="sr-Cyrl-CS"/>
        </w:rPr>
        <w:t>61,5</w:t>
      </w:r>
      <w:r w:rsidR="00BB657F"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ниже</w:t>
      </w:r>
      <w:r w:rsidR="008C1128"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у</w:t>
      </w:r>
      <w:r w:rsidR="008C1128"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поређењу</w:t>
      </w:r>
      <w:r w:rsidR="008C1128"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са</w:t>
      </w:r>
      <w:r w:rsidR="00BB657F" w:rsidRPr="005303F7">
        <w:rPr>
          <w:rFonts w:ascii="Times New Roman" w:hAnsi="Times New Roman" w:cs="Times New Roman"/>
          <w:sz w:val="24"/>
          <w:szCs w:val="22"/>
          <w:lang w:val="sr-Cyrl-CS"/>
        </w:rPr>
        <w:t xml:space="preserve"> 1990</w:t>
      </w:r>
      <w:r w:rsidR="008C1128"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и</w:t>
      </w:r>
      <w:r w:rsidR="00BB657F" w:rsidRPr="005303F7">
        <w:rPr>
          <w:rFonts w:ascii="Times New Roman" w:hAnsi="Times New Roman" w:cs="Times New Roman"/>
          <w:sz w:val="24"/>
          <w:szCs w:val="22"/>
          <w:lang w:val="sr-Cyrl-CS"/>
        </w:rPr>
        <w:t xml:space="preserve"> </w:t>
      </w:r>
      <w:r w:rsidR="00344E46" w:rsidRPr="005303F7">
        <w:rPr>
          <w:rFonts w:ascii="Times New Roman" w:hAnsi="Times New Roman" w:cs="Times New Roman"/>
          <w:sz w:val="24"/>
          <w:szCs w:val="22"/>
          <w:lang w:val="sr-Cyrl-CS"/>
        </w:rPr>
        <w:t>22</w:t>
      </w:r>
      <w:r w:rsidR="00BB657F"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ниже</w:t>
      </w:r>
      <w:r w:rsidR="002336C5"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у</w:t>
      </w:r>
      <w:r w:rsidR="008C1128"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поређењу</w:t>
      </w:r>
      <w:r w:rsidR="008C1128"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са</w:t>
      </w:r>
      <w:r w:rsidR="00BB657F" w:rsidRPr="005303F7">
        <w:rPr>
          <w:rFonts w:ascii="Times New Roman" w:hAnsi="Times New Roman" w:cs="Times New Roman"/>
          <w:sz w:val="24"/>
          <w:szCs w:val="22"/>
          <w:lang w:val="sr-Cyrl-CS"/>
        </w:rPr>
        <w:t xml:space="preserve"> 2010.</w:t>
      </w:r>
      <w:r w:rsidR="008C1128"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годином</w:t>
      </w:r>
      <w:r w:rsidR="008F52C9" w:rsidRPr="005303F7">
        <w:rPr>
          <w:rFonts w:ascii="Times New Roman" w:hAnsi="Times New Roman" w:cs="Times New Roman"/>
          <w:sz w:val="24"/>
          <w:szCs w:val="22"/>
          <w:lang w:val="sr-Cyrl-CS"/>
        </w:rPr>
        <w:t>;</w:t>
      </w:r>
    </w:p>
    <w:p w14:paraId="0F15B784" w14:textId="579200B5" w:rsidR="00F10311" w:rsidRPr="005303F7" w:rsidRDefault="00884F7B" w:rsidP="00982FCF">
      <w:pPr>
        <w:pStyle w:val="ListParagraph"/>
        <w:numPr>
          <w:ilvl w:val="0"/>
          <w:numId w:val="47"/>
        </w:numPr>
        <w:tabs>
          <w:tab w:val="clear" w:pos="3825"/>
        </w:tabs>
        <w:spacing w:before="0" w:after="0"/>
        <w:ind w:left="0" w:firstLine="360"/>
        <w:rPr>
          <w:rFonts w:ascii="Times New Roman" w:hAnsi="Times New Roman" w:cs="Times New Roman"/>
          <w:sz w:val="24"/>
          <w:szCs w:val="22"/>
          <w:lang w:val="sr-Cyrl-CS"/>
        </w:rPr>
      </w:pPr>
      <w:r w:rsidRPr="005303F7">
        <w:rPr>
          <w:rFonts w:ascii="Times New Roman" w:hAnsi="Times New Roman" w:cs="Times New Roman"/>
          <w:sz w:val="24"/>
          <w:szCs w:val="22"/>
          <w:lang w:val="sr-Cyrl-CS"/>
        </w:rPr>
        <w:t>фугитивне</w:t>
      </w:r>
      <w:r w:rsidR="008F3859"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емисије</w:t>
      </w:r>
      <w:r w:rsidR="008F3859"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из</w:t>
      </w:r>
      <w:r w:rsidR="008F3859"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рударских</w:t>
      </w:r>
      <w:r w:rsidR="008F3859"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активности</w:t>
      </w:r>
      <w:r w:rsidR="00CF0329"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и</w:t>
      </w:r>
      <w:r w:rsidR="008F3859"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производње</w:t>
      </w:r>
      <w:r w:rsidR="008F3859"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и</w:t>
      </w:r>
      <w:r w:rsidR="008F3859"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прераде</w:t>
      </w:r>
      <w:r w:rsidR="008F3859"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нафте</w:t>
      </w:r>
      <w:r w:rsidR="008F3859"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и</w:t>
      </w:r>
      <w:r w:rsidR="008F3859"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гаса</w:t>
      </w:r>
      <w:r w:rsidR="008F3859" w:rsidRPr="005303F7">
        <w:rPr>
          <w:rFonts w:ascii="Times New Roman" w:hAnsi="Times New Roman" w:cs="Times New Roman"/>
          <w:sz w:val="24"/>
          <w:szCs w:val="22"/>
          <w:lang w:val="sr-Cyrl-CS"/>
        </w:rPr>
        <w:t xml:space="preserve"> </w:t>
      </w:r>
      <w:r w:rsidR="005F2D4F" w:rsidRPr="005303F7">
        <w:rPr>
          <w:rFonts w:ascii="Times New Roman" w:hAnsi="Times New Roman" w:cs="Times New Roman"/>
          <w:sz w:val="24"/>
          <w:szCs w:val="22"/>
          <w:lang w:val="sr-Cyrl-CS"/>
        </w:rPr>
        <w:t>(</w:t>
      </w:r>
      <w:r w:rsidRPr="005303F7">
        <w:rPr>
          <w:rFonts w:ascii="Times New Roman" w:hAnsi="Times New Roman" w:cs="Times New Roman"/>
          <w:sz w:val="24"/>
          <w:szCs w:val="22"/>
          <w:lang w:val="sr-Cyrl-CS"/>
        </w:rPr>
        <w:t>главни</w:t>
      </w:r>
      <w:r w:rsidR="008F3859"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извор</w:t>
      </w:r>
      <w:r w:rsidR="008F3859"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емисије</w:t>
      </w:r>
      <w:r w:rsidR="008F3859" w:rsidRPr="005303F7">
        <w:rPr>
          <w:rFonts w:ascii="Times New Roman" w:hAnsi="Times New Roman" w:cs="Times New Roman"/>
          <w:sz w:val="24"/>
          <w:szCs w:val="22"/>
          <w:lang w:val="sr-Cyrl-CS"/>
        </w:rPr>
        <w:t xml:space="preserve"> </w:t>
      </w:r>
      <w:r w:rsidR="003B0023" w:rsidRPr="005303F7">
        <w:rPr>
          <w:rFonts w:ascii="Times New Roman" w:hAnsi="Times New Roman" w:cs="Times New Roman"/>
          <w:sz w:val="24"/>
          <w:szCs w:val="22"/>
          <w:lang w:val="sr-Cyrl-CS"/>
        </w:rPr>
        <w:t>CH</w:t>
      </w:r>
      <w:r w:rsidR="003B0023" w:rsidRPr="005303F7">
        <w:rPr>
          <w:rFonts w:ascii="Times New Roman" w:hAnsi="Times New Roman" w:cs="Times New Roman"/>
          <w:sz w:val="24"/>
          <w:szCs w:val="22"/>
          <w:vertAlign w:val="subscript"/>
          <w:lang w:val="sr-Cyrl-CS"/>
        </w:rPr>
        <w:t>4</w:t>
      </w:r>
      <w:r w:rsidR="00F10311"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у</w:t>
      </w:r>
      <w:r w:rsidR="008F3859"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енергетском</w:t>
      </w:r>
      <w:r w:rsidR="008F3859"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сектору</w:t>
      </w:r>
      <w:r w:rsidR="005F2D4F"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биле</w:t>
      </w:r>
      <w:r w:rsidR="008F3859"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су</w:t>
      </w:r>
      <w:r w:rsidR="007A4DAC" w:rsidRPr="005303F7">
        <w:rPr>
          <w:rFonts w:ascii="Times New Roman" w:hAnsi="Times New Roman" w:cs="Times New Roman"/>
          <w:sz w:val="24"/>
          <w:szCs w:val="22"/>
          <w:lang w:val="sr-Cyrl-CS"/>
        </w:rPr>
        <w:t xml:space="preserve"> </w:t>
      </w:r>
      <w:r w:rsidR="00344E46" w:rsidRPr="005303F7">
        <w:rPr>
          <w:rFonts w:ascii="Times New Roman" w:hAnsi="Times New Roman" w:cs="Times New Roman"/>
          <w:sz w:val="24"/>
          <w:szCs w:val="22"/>
          <w:lang w:val="sr-Cyrl-CS"/>
        </w:rPr>
        <w:t>4</w:t>
      </w:r>
      <w:r w:rsidR="001120D8" w:rsidRPr="005303F7">
        <w:rPr>
          <w:rFonts w:ascii="Times New Roman" w:hAnsi="Times New Roman" w:cs="Times New Roman"/>
          <w:sz w:val="24"/>
          <w:szCs w:val="22"/>
          <w:lang w:val="sr-Cyrl-CS"/>
        </w:rPr>
        <w:t>,</w:t>
      </w:r>
      <w:r w:rsidR="00344E46" w:rsidRPr="005303F7">
        <w:rPr>
          <w:rFonts w:ascii="Times New Roman" w:hAnsi="Times New Roman" w:cs="Times New Roman"/>
          <w:sz w:val="24"/>
          <w:szCs w:val="22"/>
          <w:lang w:val="sr-Cyrl-CS"/>
        </w:rPr>
        <w:t xml:space="preserve">7% </w:t>
      </w:r>
      <w:r w:rsidRPr="005303F7">
        <w:rPr>
          <w:rFonts w:ascii="Times New Roman" w:hAnsi="Times New Roman" w:cs="Times New Roman"/>
          <w:sz w:val="24"/>
          <w:szCs w:val="22"/>
          <w:lang w:val="sr-Cyrl-CS"/>
        </w:rPr>
        <w:t>више</w:t>
      </w:r>
      <w:r w:rsidR="008F3859"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него</w:t>
      </w:r>
      <w:r w:rsidR="008F3859"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у</w:t>
      </w:r>
      <w:r w:rsidR="007A4DAC" w:rsidRPr="005303F7">
        <w:rPr>
          <w:rFonts w:ascii="Times New Roman" w:hAnsi="Times New Roman" w:cs="Times New Roman"/>
          <w:sz w:val="24"/>
          <w:szCs w:val="22"/>
          <w:lang w:val="sr-Cyrl-CS"/>
        </w:rPr>
        <w:t xml:space="preserve"> 2010</w:t>
      </w:r>
      <w:r w:rsidR="008F3859"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и</w:t>
      </w:r>
      <w:r w:rsidR="008F3859" w:rsidRPr="005303F7">
        <w:rPr>
          <w:rFonts w:ascii="Times New Roman" w:hAnsi="Times New Roman" w:cs="Times New Roman"/>
          <w:sz w:val="24"/>
          <w:szCs w:val="22"/>
          <w:lang w:val="sr-Cyrl-CS"/>
        </w:rPr>
        <w:t xml:space="preserve"> </w:t>
      </w:r>
      <w:r w:rsidR="00344E46" w:rsidRPr="005303F7">
        <w:rPr>
          <w:rFonts w:ascii="Times New Roman" w:hAnsi="Times New Roman" w:cs="Times New Roman"/>
          <w:sz w:val="24"/>
          <w:szCs w:val="22"/>
          <w:lang w:val="sr-Cyrl-CS"/>
        </w:rPr>
        <w:t xml:space="preserve">34,3% </w:t>
      </w:r>
      <w:r w:rsidRPr="005303F7">
        <w:rPr>
          <w:rFonts w:ascii="Times New Roman" w:hAnsi="Times New Roman" w:cs="Times New Roman"/>
          <w:sz w:val="24"/>
          <w:szCs w:val="22"/>
          <w:lang w:val="sr-Cyrl-CS"/>
        </w:rPr>
        <w:t>ниже</w:t>
      </w:r>
      <w:r w:rsidR="008F3859"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него</w:t>
      </w:r>
      <w:r w:rsidR="008F3859"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у</w:t>
      </w:r>
      <w:r w:rsidR="008F3859" w:rsidRPr="005303F7">
        <w:rPr>
          <w:rFonts w:ascii="Times New Roman" w:hAnsi="Times New Roman" w:cs="Times New Roman"/>
          <w:sz w:val="24"/>
          <w:szCs w:val="22"/>
          <w:lang w:val="sr-Cyrl-CS"/>
        </w:rPr>
        <w:t xml:space="preserve"> </w:t>
      </w:r>
      <w:r w:rsidR="007A4DAC" w:rsidRPr="005303F7">
        <w:rPr>
          <w:rFonts w:ascii="Times New Roman" w:hAnsi="Times New Roman" w:cs="Times New Roman"/>
          <w:sz w:val="24"/>
          <w:szCs w:val="22"/>
          <w:lang w:val="sr-Cyrl-CS"/>
        </w:rPr>
        <w:t xml:space="preserve">1990. </w:t>
      </w:r>
      <w:r w:rsidRPr="005303F7">
        <w:rPr>
          <w:rFonts w:ascii="Times New Roman" w:hAnsi="Times New Roman" w:cs="Times New Roman"/>
          <w:sz w:val="24"/>
          <w:szCs w:val="22"/>
          <w:lang w:val="sr-Cyrl-CS"/>
        </w:rPr>
        <w:t>години</w:t>
      </w:r>
      <w:r w:rsidR="008F3859" w:rsidRPr="005303F7">
        <w:rPr>
          <w:rFonts w:ascii="Times New Roman" w:hAnsi="Times New Roman" w:cs="Times New Roman"/>
          <w:sz w:val="24"/>
          <w:szCs w:val="22"/>
          <w:lang w:val="sr-Cyrl-CS"/>
        </w:rPr>
        <w:t>.</w:t>
      </w:r>
    </w:p>
    <w:p w14:paraId="3672F0A1" w14:textId="65B27925" w:rsidR="007D29AD" w:rsidRPr="005303F7" w:rsidRDefault="006C5198" w:rsidP="007D29AD">
      <w:pPr>
        <w:rPr>
          <w:rFonts w:ascii="Times New Roman" w:hAnsi="Times New Roman"/>
          <w:sz w:val="24"/>
          <w:szCs w:val="22"/>
          <w:lang w:val="sr-Cyrl-CS"/>
        </w:rPr>
      </w:pPr>
      <w:r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Емисије</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гасова</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са</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ефектом</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стаклене</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баште</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у</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сектору</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индустријских</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процеса</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и</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употребе</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производа</w:t>
      </w:r>
      <w:r w:rsidR="005E26F6" w:rsidRPr="005303F7">
        <w:rPr>
          <w:rFonts w:ascii="Times New Roman" w:hAnsi="Times New Roman"/>
          <w:bCs/>
          <w:iCs/>
          <w:sz w:val="24"/>
          <w:szCs w:val="22"/>
          <w:lang w:val="sr-Cyrl-CS"/>
        </w:rPr>
        <w:t xml:space="preserve"> (IPPU) </w:t>
      </w:r>
      <w:r w:rsidR="00884F7B" w:rsidRPr="005303F7">
        <w:rPr>
          <w:rFonts w:ascii="Times New Roman" w:hAnsi="Times New Roman"/>
          <w:bCs/>
          <w:iCs/>
          <w:sz w:val="24"/>
          <w:szCs w:val="22"/>
          <w:lang w:val="sr-Cyrl-CS"/>
        </w:rPr>
        <w:t>у</w:t>
      </w:r>
      <w:r w:rsidR="00D03F8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стопу</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прате</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економске</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активности</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Ове</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емисије</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су</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у</w:t>
      </w:r>
      <w:r w:rsidR="005E26F6" w:rsidRPr="005303F7">
        <w:rPr>
          <w:rFonts w:ascii="Times New Roman" w:hAnsi="Times New Roman"/>
          <w:bCs/>
          <w:iCs/>
          <w:sz w:val="24"/>
          <w:szCs w:val="22"/>
          <w:lang w:val="sr-Cyrl-CS"/>
        </w:rPr>
        <w:t xml:space="preserve"> 2015. </w:t>
      </w:r>
      <w:r w:rsidR="00884F7B" w:rsidRPr="005303F7">
        <w:rPr>
          <w:rFonts w:ascii="Times New Roman" w:hAnsi="Times New Roman"/>
          <w:bCs/>
          <w:iCs/>
          <w:sz w:val="24"/>
          <w:szCs w:val="22"/>
          <w:lang w:val="sr-Cyrl-CS"/>
        </w:rPr>
        <w:t>години</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биле</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за</w:t>
      </w:r>
      <w:r w:rsidR="005E26F6" w:rsidRPr="005303F7">
        <w:rPr>
          <w:rFonts w:ascii="Times New Roman" w:hAnsi="Times New Roman"/>
          <w:bCs/>
          <w:iCs/>
          <w:sz w:val="24"/>
          <w:szCs w:val="22"/>
          <w:lang w:val="sr-Cyrl-CS"/>
        </w:rPr>
        <w:t xml:space="preserve"> 28,8% </w:t>
      </w:r>
      <w:r w:rsidR="00884F7B" w:rsidRPr="005303F7">
        <w:rPr>
          <w:rFonts w:ascii="Times New Roman" w:hAnsi="Times New Roman"/>
          <w:bCs/>
          <w:iCs/>
          <w:sz w:val="24"/>
          <w:szCs w:val="22"/>
          <w:lang w:val="sr-Cyrl-CS"/>
        </w:rPr>
        <w:t>ниже</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у</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односу</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на</w:t>
      </w:r>
      <w:r w:rsidR="005E26F6" w:rsidRPr="005303F7">
        <w:rPr>
          <w:rFonts w:ascii="Times New Roman" w:hAnsi="Times New Roman"/>
          <w:bCs/>
          <w:iCs/>
          <w:sz w:val="24"/>
          <w:szCs w:val="22"/>
          <w:lang w:val="sr-Cyrl-CS"/>
        </w:rPr>
        <w:t xml:space="preserve"> 1990. </w:t>
      </w:r>
      <w:r w:rsidR="00884F7B" w:rsidRPr="005303F7">
        <w:rPr>
          <w:rFonts w:ascii="Times New Roman" w:hAnsi="Times New Roman"/>
          <w:bCs/>
          <w:iCs/>
          <w:sz w:val="24"/>
          <w:szCs w:val="22"/>
          <w:lang w:val="sr-Cyrl-CS"/>
        </w:rPr>
        <w:t>годину</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и</w:t>
      </w:r>
      <w:r w:rsidR="005E26F6" w:rsidRPr="005303F7">
        <w:rPr>
          <w:rFonts w:ascii="Times New Roman" w:hAnsi="Times New Roman"/>
          <w:bCs/>
          <w:iCs/>
          <w:sz w:val="24"/>
          <w:szCs w:val="22"/>
          <w:lang w:val="sr-Cyrl-CS"/>
        </w:rPr>
        <w:t xml:space="preserve"> 16,7% </w:t>
      </w:r>
      <w:r w:rsidR="00884F7B" w:rsidRPr="005303F7">
        <w:rPr>
          <w:rFonts w:ascii="Times New Roman" w:hAnsi="Times New Roman"/>
          <w:bCs/>
          <w:iCs/>
          <w:sz w:val="24"/>
          <w:szCs w:val="22"/>
          <w:lang w:val="sr-Cyrl-CS"/>
        </w:rPr>
        <w:t>ниже</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него</w:t>
      </w:r>
      <w:r w:rsidR="005E26F6" w:rsidRPr="005303F7">
        <w:rPr>
          <w:rFonts w:ascii="Times New Roman" w:hAnsi="Times New Roman"/>
          <w:bCs/>
          <w:iCs/>
          <w:sz w:val="24"/>
          <w:szCs w:val="22"/>
          <w:lang w:val="sr-Cyrl-CS"/>
        </w:rPr>
        <w:t xml:space="preserve"> </w:t>
      </w:r>
      <w:r w:rsidR="00884F7B" w:rsidRPr="005303F7">
        <w:rPr>
          <w:rFonts w:ascii="Times New Roman" w:hAnsi="Times New Roman"/>
          <w:bCs/>
          <w:iCs/>
          <w:sz w:val="24"/>
          <w:szCs w:val="22"/>
          <w:lang w:val="sr-Cyrl-CS"/>
        </w:rPr>
        <w:t>у</w:t>
      </w:r>
      <w:r w:rsidR="005E26F6" w:rsidRPr="005303F7">
        <w:rPr>
          <w:rFonts w:ascii="Times New Roman" w:hAnsi="Times New Roman"/>
          <w:bCs/>
          <w:iCs/>
          <w:sz w:val="24"/>
          <w:szCs w:val="22"/>
          <w:lang w:val="sr-Cyrl-CS"/>
        </w:rPr>
        <w:t xml:space="preserve"> 2010. </w:t>
      </w:r>
      <w:r w:rsidR="00884F7B" w:rsidRPr="005303F7">
        <w:rPr>
          <w:rFonts w:ascii="Times New Roman" w:hAnsi="Times New Roman"/>
          <w:bCs/>
          <w:iCs/>
          <w:sz w:val="24"/>
          <w:szCs w:val="22"/>
          <w:lang w:val="sr-Cyrl-CS"/>
        </w:rPr>
        <w:t>години</w:t>
      </w:r>
      <w:r w:rsidR="005E26F6" w:rsidRPr="005303F7">
        <w:rPr>
          <w:rFonts w:ascii="Times New Roman" w:hAnsi="Times New Roman"/>
          <w:bCs/>
          <w:iCs/>
          <w:sz w:val="24"/>
          <w:szCs w:val="22"/>
          <w:lang w:val="sr-Cyrl-CS"/>
        </w:rPr>
        <w:t xml:space="preserve">. </w:t>
      </w:r>
      <w:r w:rsidR="00884F7B" w:rsidRPr="005303F7">
        <w:rPr>
          <w:rFonts w:ascii="Times New Roman" w:hAnsi="Times New Roman"/>
          <w:sz w:val="24"/>
          <w:szCs w:val="22"/>
          <w:lang w:val="sr-Cyrl-CS"/>
        </w:rPr>
        <w:t>Употреба</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производа</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као</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замена</w:t>
      </w:r>
      <w:r w:rsidR="00415473"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за</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материје</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које</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оштећују</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озонски</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омотач</w:t>
      </w:r>
      <w:r w:rsidR="007D29AD"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порасла</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је</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за</w:t>
      </w:r>
      <w:r w:rsidR="005E26F6" w:rsidRPr="005303F7">
        <w:rPr>
          <w:rFonts w:ascii="Times New Roman" w:hAnsi="Times New Roman"/>
          <w:sz w:val="24"/>
          <w:szCs w:val="22"/>
          <w:lang w:val="sr-Cyrl-CS"/>
        </w:rPr>
        <w:t xml:space="preserve"> 7</w:t>
      </w:r>
      <w:r w:rsidR="00493F08" w:rsidRPr="005303F7">
        <w:rPr>
          <w:rFonts w:ascii="Times New Roman" w:hAnsi="Times New Roman"/>
          <w:sz w:val="24"/>
          <w:szCs w:val="22"/>
          <w:lang w:val="sr-Cyrl-CS"/>
        </w:rPr>
        <w:t>2</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до</w:t>
      </w:r>
      <w:r w:rsidR="005E26F6" w:rsidRPr="005303F7">
        <w:rPr>
          <w:rFonts w:ascii="Times New Roman" w:hAnsi="Times New Roman"/>
          <w:sz w:val="24"/>
          <w:szCs w:val="22"/>
          <w:lang w:val="sr-Cyrl-CS"/>
        </w:rPr>
        <w:t xml:space="preserve"> 2015. </w:t>
      </w:r>
      <w:r w:rsidR="00884F7B" w:rsidRPr="005303F7">
        <w:rPr>
          <w:rFonts w:ascii="Times New Roman" w:hAnsi="Times New Roman"/>
          <w:sz w:val="24"/>
          <w:szCs w:val="22"/>
          <w:lang w:val="sr-Cyrl-CS"/>
        </w:rPr>
        <w:t>године</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у</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односу</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на</w:t>
      </w:r>
      <w:r w:rsidR="005E26F6" w:rsidRPr="005303F7">
        <w:rPr>
          <w:rFonts w:ascii="Times New Roman" w:hAnsi="Times New Roman"/>
          <w:sz w:val="24"/>
          <w:szCs w:val="22"/>
          <w:lang w:val="sr-Cyrl-CS"/>
        </w:rPr>
        <w:t xml:space="preserve"> </w:t>
      </w:r>
      <w:r w:rsidR="007A4DAC" w:rsidRPr="005303F7">
        <w:rPr>
          <w:rFonts w:ascii="Times New Roman" w:hAnsi="Times New Roman"/>
          <w:sz w:val="24"/>
          <w:szCs w:val="22"/>
          <w:lang w:val="sr-Cyrl-CS"/>
        </w:rPr>
        <w:t>2010</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годину</w:t>
      </w:r>
      <w:r w:rsidR="00AA5E66" w:rsidRPr="005303F7">
        <w:rPr>
          <w:rStyle w:val="FootnoteReference"/>
          <w:rFonts w:ascii="Times New Roman" w:hAnsi="Times New Roman"/>
          <w:sz w:val="18"/>
          <w:szCs w:val="16"/>
          <w:lang w:val="sr-Cyrl-CS"/>
        </w:rPr>
        <w:footnoteReference w:id="13"/>
      </w:r>
      <w:r w:rsidR="00AA5E66" w:rsidRPr="005303F7">
        <w:rPr>
          <w:rFonts w:ascii="Times New Roman" w:hAnsi="Times New Roman"/>
          <w:sz w:val="18"/>
          <w:szCs w:val="16"/>
          <w:lang w:val="sr-Cyrl-CS"/>
        </w:rPr>
        <w:t>.</w:t>
      </w:r>
      <w:r w:rsidR="00AA5E6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У</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овом</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тренду</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доминирају</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стационарно</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хлађење</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и</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климатизација</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користећи</w:t>
      </w:r>
      <w:r w:rsidR="00460A08" w:rsidRPr="005303F7">
        <w:rPr>
          <w:rFonts w:ascii="Times New Roman" w:hAnsi="Times New Roman"/>
          <w:sz w:val="24"/>
          <w:szCs w:val="22"/>
          <w:lang w:val="sr-Cyrl-CS"/>
        </w:rPr>
        <w:t xml:space="preserve"> </w:t>
      </w:r>
      <w:r w:rsidR="005E26F6" w:rsidRPr="005303F7">
        <w:rPr>
          <w:rFonts w:ascii="Times New Roman" w:hAnsi="Times New Roman"/>
          <w:sz w:val="24"/>
          <w:szCs w:val="22"/>
          <w:lang w:val="sr-Cyrl-CS"/>
        </w:rPr>
        <w:t xml:space="preserve">HFC-125, HFC-134a </w:t>
      </w:r>
      <w:r w:rsidR="00884F7B" w:rsidRPr="005303F7">
        <w:rPr>
          <w:rFonts w:ascii="Times New Roman" w:hAnsi="Times New Roman"/>
          <w:sz w:val="24"/>
          <w:szCs w:val="22"/>
          <w:lang w:val="sr-Cyrl-CS"/>
        </w:rPr>
        <w:t>и</w:t>
      </w:r>
      <w:r w:rsidR="005E26F6" w:rsidRPr="005303F7">
        <w:rPr>
          <w:rFonts w:ascii="Times New Roman" w:hAnsi="Times New Roman"/>
          <w:sz w:val="24"/>
          <w:szCs w:val="22"/>
          <w:lang w:val="sr-Cyrl-CS"/>
        </w:rPr>
        <w:t xml:space="preserve"> HFC-143 </w:t>
      </w:r>
      <w:r w:rsidR="00884F7B" w:rsidRPr="005303F7">
        <w:rPr>
          <w:rFonts w:ascii="Times New Roman" w:hAnsi="Times New Roman"/>
          <w:sz w:val="24"/>
          <w:szCs w:val="22"/>
          <w:lang w:val="sr-Cyrl-CS"/>
        </w:rPr>
        <w:t>и</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хлађење у моторним возилима</w:t>
      </w:r>
      <w:r w:rsidR="005E26F6"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који</w:t>
      </w:r>
      <w:r w:rsidR="00460A08"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користе</w:t>
      </w:r>
      <w:r w:rsidR="00460A08" w:rsidRPr="005303F7">
        <w:rPr>
          <w:rFonts w:ascii="Times New Roman" w:hAnsi="Times New Roman"/>
          <w:sz w:val="24"/>
          <w:szCs w:val="22"/>
          <w:lang w:val="sr-Cyrl-CS"/>
        </w:rPr>
        <w:t xml:space="preserve"> </w:t>
      </w:r>
      <w:r w:rsidR="005E26F6" w:rsidRPr="005303F7">
        <w:rPr>
          <w:rFonts w:ascii="Times New Roman" w:hAnsi="Times New Roman"/>
          <w:sz w:val="24"/>
          <w:szCs w:val="22"/>
          <w:lang w:val="sr-Cyrl-CS"/>
        </w:rPr>
        <w:t>HFC-134a</w:t>
      </w:r>
      <w:r w:rsidR="007D29AD" w:rsidRPr="005303F7">
        <w:rPr>
          <w:rFonts w:ascii="Times New Roman" w:hAnsi="Times New Roman"/>
          <w:sz w:val="24"/>
          <w:szCs w:val="22"/>
          <w:lang w:val="sr-Cyrl-CS"/>
        </w:rPr>
        <w:t>.</w:t>
      </w:r>
    </w:p>
    <w:p w14:paraId="3B1CA357" w14:textId="76B7E000" w:rsidR="007D29AD" w:rsidRPr="005303F7" w:rsidRDefault="002756D9" w:rsidP="00C2290A">
      <w:pPr>
        <w:spacing w:before="0" w:after="0"/>
        <w:rPr>
          <w:rFonts w:ascii="Times New Roman" w:hAnsi="Times New Roman"/>
          <w:sz w:val="24"/>
          <w:szCs w:val="22"/>
          <w:lang w:val="sr-Cyrl-CS"/>
        </w:rPr>
      </w:pPr>
      <w:r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Емисије</w:t>
      </w:r>
      <w:r w:rsidR="0065641B"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из</w:t>
      </w:r>
      <w:r w:rsidR="0065641B"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пољопривреде</w:t>
      </w:r>
      <w:r w:rsidR="0065641B"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чиниле</w:t>
      </w:r>
      <w:r w:rsidR="0065641B"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су</w:t>
      </w:r>
      <w:r w:rsidR="0065641B" w:rsidRPr="005303F7">
        <w:rPr>
          <w:rFonts w:ascii="Times New Roman" w:hAnsi="Times New Roman"/>
          <w:sz w:val="24"/>
          <w:szCs w:val="22"/>
          <w:lang w:val="sr-Cyrl-CS"/>
        </w:rPr>
        <w:t xml:space="preserve"> 8,6% </w:t>
      </w:r>
      <w:r w:rsidR="00884F7B" w:rsidRPr="005303F7">
        <w:rPr>
          <w:rFonts w:ascii="Times New Roman" w:hAnsi="Times New Roman"/>
          <w:sz w:val="24"/>
          <w:szCs w:val="22"/>
          <w:lang w:val="sr-Cyrl-CS"/>
        </w:rPr>
        <w:t>укупних</w:t>
      </w:r>
      <w:r w:rsidR="0065641B"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емисија</w:t>
      </w:r>
      <w:r w:rsidR="0065641B"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у</w:t>
      </w:r>
      <w:r w:rsidR="0065641B" w:rsidRPr="005303F7">
        <w:rPr>
          <w:rFonts w:ascii="Times New Roman" w:hAnsi="Times New Roman"/>
          <w:sz w:val="24"/>
          <w:szCs w:val="22"/>
          <w:lang w:val="sr-Cyrl-CS"/>
        </w:rPr>
        <w:t xml:space="preserve"> 2015. </w:t>
      </w:r>
      <w:r w:rsidR="00884F7B" w:rsidRPr="005303F7">
        <w:rPr>
          <w:rFonts w:ascii="Times New Roman" w:hAnsi="Times New Roman"/>
          <w:sz w:val="24"/>
          <w:szCs w:val="22"/>
          <w:lang w:val="sr-Cyrl-CS"/>
        </w:rPr>
        <w:t>години</w:t>
      </w:r>
      <w:r w:rsidR="0065641B"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и</w:t>
      </w:r>
      <w:r w:rsidR="0065641B"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биле</w:t>
      </w:r>
      <w:r w:rsidR="0065641B"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су</w:t>
      </w:r>
      <w:r w:rsidR="0065641B" w:rsidRPr="005303F7">
        <w:rPr>
          <w:rFonts w:ascii="Times New Roman" w:hAnsi="Times New Roman"/>
          <w:sz w:val="24"/>
          <w:szCs w:val="22"/>
          <w:lang w:val="sr-Cyrl-CS"/>
        </w:rPr>
        <w:t xml:space="preserve"> 15% </w:t>
      </w:r>
      <w:r w:rsidR="00884F7B" w:rsidRPr="005303F7">
        <w:rPr>
          <w:rFonts w:ascii="Times New Roman" w:hAnsi="Times New Roman"/>
          <w:sz w:val="24"/>
          <w:szCs w:val="22"/>
          <w:lang w:val="sr-Cyrl-CS"/>
        </w:rPr>
        <w:t>испод</w:t>
      </w:r>
      <w:r w:rsidR="0065641B"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нивоа</w:t>
      </w:r>
      <w:r w:rsidR="00493F08"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из</w:t>
      </w:r>
      <w:r w:rsidR="00493F08" w:rsidRPr="005303F7">
        <w:rPr>
          <w:rFonts w:ascii="Times New Roman" w:hAnsi="Times New Roman"/>
          <w:sz w:val="24"/>
          <w:szCs w:val="22"/>
          <w:lang w:val="sr-Cyrl-CS"/>
        </w:rPr>
        <w:t xml:space="preserve"> </w:t>
      </w:r>
      <w:r w:rsidR="0065641B" w:rsidRPr="005303F7">
        <w:rPr>
          <w:rFonts w:ascii="Times New Roman" w:hAnsi="Times New Roman"/>
          <w:sz w:val="24"/>
          <w:szCs w:val="22"/>
          <w:lang w:val="sr-Cyrl-CS"/>
        </w:rPr>
        <w:t xml:space="preserve">1990. </w:t>
      </w:r>
      <w:r w:rsidR="00884F7B" w:rsidRPr="005303F7">
        <w:rPr>
          <w:rFonts w:ascii="Times New Roman" w:hAnsi="Times New Roman"/>
          <w:sz w:val="24"/>
          <w:szCs w:val="22"/>
          <w:lang w:val="sr-Cyrl-CS"/>
        </w:rPr>
        <w:t>и</w:t>
      </w:r>
      <w:r w:rsidR="0065641B" w:rsidRPr="005303F7">
        <w:rPr>
          <w:rFonts w:ascii="Times New Roman" w:hAnsi="Times New Roman"/>
          <w:sz w:val="24"/>
          <w:szCs w:val="22"/>
          <w:lang w:val="sr-Cyrl-CS"/>
        </w:rPr>
        <w:t xml:space="preserve"> 0,9% </w:t>
      </w:r>
      <w:r w:rsidR="00884F7B" w:rsidRPr="005303F7">
        <w:rPr>
          <w:rFonts w:ascii="Times New Roman" w:hAnsi="Times New Roman"/>
          <w:sz w:val="24"/>
          <w:szCs w:val="22"/>
          <w:lang w:val="sr-Cyrl-CS"/>
        </w:rPr>
        <w:t>испод</w:t>
      </w:r>
      <w:r w:rsidR="0065641B"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нивоа</w:t>
      </w:r>
      <w:r w:rsidR="00493F08"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из</w:t>
      </w:r>
      <w:r w:rsidR="00493F08" w:rsidRPr="005303F7">
        <w:rPr>
          <w:rFonts w:ascii="Times New Roman" w:hAnsi="Times New Roman"/>
          <w:sz w:val="24"/>
          <w:szCs w:val="22"/>
          <w:lang w:val="sr-Cyrl-CS"/>
        </w:rPr>
        <w:t xml:space="preserve"> </w:t>
      </w:r>
      <w:r w:rsidR="0065641B" w:rsidRPr="005303F7">
        <w:rPr>
          <w:rFonts w:ascii="Times New Roman" w:hAnsi="Times New Roman"/>
          <w:sz w:val="24"/>
          <w:szCs w:val="22"/>
          <w:lang w:val="sr-Cyrl-CS"/>
        </w:rPr>
        <w:t xml:space="preserve">2010. </w:t>
      </w:r>
      <w:r w:rsidR="00884F7B" w:rsidRPr="005303F7">
        <w:rPr>
          <w:rFonts w:ascii="Times New Roman" w:hAnsi="Times New Roman"/>
          <w:sz w:val="24"/>
          <w:szCs w:val="22"/>
          <w:lang w:val="sr-Cyrl-CS"/>
        </w:rPr>
        <w:t>године</w:t>
      </w:r>
      <w:r w:rsidR="0065641B" w:rsidRPr="005303F7">
        <w:rPr>
          <w:rFonts w:ascii="Times New Roman" w:hAnsi="Times New Roman"/>
          <w:sz w:val="24"/>
          <w:szCs w:val="22"/>
          <w:lang w:val="sr-Cyrl-CS"/>
        </w:rPr>
        <w:t xml:space="preserve">. </w:t>
      </w:r>
      <w:r w:rsidR="00884F7B" w:rsidRPr="005303F7">
        <w:rPr>
          <w:rFonts w:ascii="Times New Roman" w:hAnsi="Times New Roman"/>
          <w:sz w:val="24"/>
          <w:szCs w:val="22"/>
          <w:lang w:val="sr-Cyrl-CS"/>
        </w:rPr>
        <w:t>Емисије</w:t>
      </w:r>
      <w:r w:rsidR="004F0F07" w:rsidRPr="005303F7">
        <w:rPr>
          <w:rFonts w:ascii="Times New Roman" w:hAnsi="Times New Roman"/>
          <w:sz w:val="24"/>
          <w:szCs w:val="22"/>
          <w:lang w:val="sr-Cyrl-CS"/>
        </w:rPr>
        <w:t xml:space="preserve"> CH</w:t>
      </w:r>
      <w:r w:rsidR="004F0F07" w:rsidRPr="005303F7">
        <w:rPr>
          <w:rFonts w:ascii="Times New Roman" w:hAnsi="Times New Roman"/>
          <w:sz w:val="24"/>
          <w:szCs w:val="22"/>
          <w:vertAlign w:val="subscript"/>
          <w:lang w:val="sr-Cyrl-CS"/>
        </w:rPr>
        <w:t>4</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из</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ентеричне</w:t>
      </w:r>
      <w:r w:rsidR="000E4E5C"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ферментације</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биле</w:t>
      </w:r>
      <w:r w:rsidR="002C13AE"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су</w:t>
      </w:r>
      <w:r w:rsidR="004F0F07" w:rsidRPr="005303F7">
        <w:rPr>
          <w:rFonts w:ascii="Times New Roman" w:hAnsi="Times New Roman"/>
          <w:sz w:val="24"/>
          <w:szCs w:val="22"/>
          <w:lang w:val="sr-Cyrl-CS"/>
        </w:rPr>
        <w:t xml:space="preserve"> 42% </w:t>
      </w:r>
      <w:r w:rsidR="003B0023" w:rsidRPr="005303F7">
        <w:rPr>
          <w:rFonts w:ascii="Times New Roman" w:hAnsi="Times New Roman"/>
          <w:sz w:val="24"/>
          <w:szCs w:val="22"/>
          <w:lang w:val="sr-Cyrl-CS"/>
        </w:rPr>
        <w:t>ниже</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односу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на</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ниво</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из</w:t>
      </w:r>
      <w:r w:rsidR="004F0F07" w:rsidRPr="005303F7">
        <w:rPr>
          <w:rFonts w:ascii="Times New Roman" w:hAnsi="Times New Roman"/>
          <w:sz w:val="24"/>
          <w:szCs w:val="22"/>
          <w:lang w:val="sr-Cyrl-CS"/>
        </w:rPr>
        <w:t xml:space="preserve"> 1990. </w:t>
      </w:r>
      <w:r w:rsidR="003B0023" w:rsidRPr="005303F7">
        <w:rPr>
          <w:rFonts w:ascii="Times New Roman" w:hAnsi="Times New Roman"/>
          <w:sz w:val="24"/>
          <w:szCs w:val="22"/>
          <w:lang w:val="sr-Cyrl-CS"/>
        </w:rPr>
        <w:t>године</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w:t>
      </w:r>
      <w:r w:rsidR="004F0F07" w:rsidRPr="005303F7">
        <w:rPr>
          <w:rFonts w:ascii="Times New Roman" w:hAnsi="Times New Roman"/>
          <w:sz w:val="24"/>
          <w:szCs w:val="22"/>
          <w:lang w:val="sr-Cyrl-CS"/>
        </w:rPr>
        <w:t xml:space="preserve"> 2,5% </w:t>
      </w:r>
      <w:r w:rsidR="003B0023" w:rsidRPr="005303F7">
        <w:rPr>
          <w:rFonts w:ascii="Times New Roman" w:hAnsi="Times New Roman"/>
          <w:sz w:val="24"/>
          <w:szCs w:val="22"/>
          <w:lang w:val="sr-Cyrl-CS"/>
        </w:rPr>
        <w:t>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односу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на</w:t>
      </w:r>
      <w:r w:rsidR="004F0F07" w:rsidRPr="005303F7">
        <w:rPr>
          <w:rFonts w:ascii="Times New Roman" w:hAnsi="Times New Roman"/>
          <w:sz w:val="24"/>
          <w:szCs w:val="22"/>
          <w:lang w:val="sr-Cyrl-CS"/>
        </w:rPr>
        <w:t xml:space="preserve"> 2010. </w:t>
      </w:r>
      <w:r w:rsidR="003B0023" w:rsidRPr="005303F7">
        <w:rPr>
          <w:rFonts w:ascii="Times New Roman" w:hAnsi="Times New Roman"/>
          <w:sz w:val="24"/>
          <w:szCs w:val="22"/>
          <w:lang w:val="sr-Cyrl-CS"/>
        </w:rPr>
        <w:t>годину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Главни</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покретач</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опаженог</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смањења</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је</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смањење</w:t>
      </w:r>
      <w:r w:rsidR="007B1496"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популације</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млечних</w:t>
      </w:r>
      <w:r w:rsidR="007B1496"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говеда</w:t>
      </w:r>
      <w:r w:rsidR="004F0F07" w:rsidRPr="005303F7">
        <w:rPr>
          <w:rFonts w:ascii="Times New Roman" w:hAnsi="Times New Roman"/>
          <w:sz w:val="24"/>
          <w:szCs w:val="22"/>
          <w:lang w:val="sr-Cyrl-CS"/>
        </w:rPr>
        <w:t>.</w:t>
      </w:r>
      <w:r w:rsidR="002C13AE"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Емисије</w:t>
      </w:r>
      <w:r w:rsidR="002C13AE"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из</w:t>
      </w:r>
      <w:r w:rsidR="002C13AE"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управљања</w:t>
      </w:r>
      <w:r w:rsidR="002C13AE"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ђубривом</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смањене</w:t>
      </w:r>
      <w:r w:rsidR="002C13AE"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су</w:t>
      </w:r>
      <w:r w:rsidR="002C13AE"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за</w:t>
      </w:r>
      <w:r w:rsidR="004F0F07" w:rsidRPr="005303F7">
        <w:rPr>
          <w:rFonts w:ascii="Times New Roman" w:hAnsi="Times New Roman"/>
          <w:sz w:val="24"/>
          <w:szCs w:val="22"/>
          <w:lang w:val="sr-Cyrl-CS"/>
        </w:rPr>
        <w:t xml:space="preserve"> 38,3% </w:t>
      </w:r>
      <w:r w:rsidR="003B0023" w:rsidRPr="005303F7">
        <w:rPr>
          <w:rFonts w:ascii="Times New Roman" w:hAnsi="Times New Roman"/>
          <w:sz w:val="24"/>
          <w:szCs w:val="22"/>
          <w:lang w:val="sr-Cyrl-CS"/>
        </w:rPr>
        <w:t>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односу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на</w:t>
      </w:r>
      <w:r w:rsidR="004F0F07" w:rsidRPr="005303F7">
        <w:rPr>
          <w:rFonts w:ascii="Times New Roman" w:hAnsi="Times New Roman"/>
          <w:sz w:val="24"/>
          <w:szCs w:val="22"/>
          <w:lang w:val="sr-Cyrl-CS"/>
        </w:rPr>
        <w:t xml:space="preserve"> 1990. </w:t>
      </w:r>
      <w:r w:rsidR="003B0023" w:rsidRPr="005303F7">
        <w:rPr>
          <w:rFonts w:ascii="Times New Roman" w:hAnsi="Times New Roman"/>
          <w:sz w:val="24"/>
          <w:szCs w:val="22"/>
          <w:lang w:val="sr-Cyrl-CS"/>
        </w:rPr>
        <w:t>годину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за</w:t>
      </w:r>
      <w:r w:rsidR="004F0F07" w:rsidRPr="005303F7">
        <w:rPr>
          <w:rFonts w:ascii="Times New Roman" w:hAnsi="Times New Roman"/>
          <w:sz w:val="24"/>
          <w:szCs w:val="22"/>
          <w:lang w:val="sr-Cyrl-CS"/>
        </w:rPr>
        <w:t xml:space="preserve"> 5,5% </w:t>
      </w:r>
      <w:r w:rsidR="003B0023" w:rsidRPr="005303F7">
        <w:rPr>
          <w:rFonts w:ascii="Times New Roman" w:hAnsi="Times New Roman"/>
          <w:sz w:val="24"/>
          <w:szCs w:val="22"/>
          <w:lang w:val="sr-Cyrl-CS"/>
        </w:rPr>
        <w:t>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односу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на</w:t>
      </w:r>
      <w:r w:rsidR="004F0F07" w:rsidRPr="005303F7">
        <w:rPr>
          <w:rFonts w:ascii="Times New Roman" w:hAnsi="Times New Roman"/>
          <w:sz w:val="24"/>
          <w:szCs w:val="22"/>
          <w:lang w:val="sr-Cyrl-CS"/>
        </w:rPr>
        <w:t xml:space="preserve"> 2010. </w:t>
      </w:r>
      <w:r w:rsidR="003B0023" w:rsidRPr="005303F7">
        <w:rPr>
          <w:rFonts w:ascii="Times New Roman" w:hAnsi="Times New Roman"/>
          <w:sz w:val="24"/>
          <w:szCs w:val="22"/>
          <w:lang w:val="sr-Cyrl-CS"/>
        </w:rPr>
        <w:t>годину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Директне</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емисије</w:t>
      </w:r>
      <w:r w:rsidR="004F0F07" w:rsidRPr="005303F7">
        <w:rPr>
          <w:rFonts w:ascii="Times New Roman" w:hAnsi="Times New Roman"/>
          <w:sz w:val="24"/>
          <w:szCs w:val="22"/>
          <w:lang w:val="sr-Cyrl-CS"/>
        </w:rPr>
        <w:t xml:space="preserve"> N</w:t>
      </w:r>
      <w:r w:rsidR="004F0F07" w:rsidRPr="005303F7">
        <w:rPr>
          <w:rFonts w:ascii="Times New Roman" w:hAnsi="Times New Roman"/>
          <w:sz w:val="24"/>
          <w:szCs w:val="22"/>
          <w:vertAlign w:val="subscript"/>
          <w:lang w:val="sr-Cyrl-CS"/>
        </w:rPr>
        <w:t>2</w:t>
      </w:r>
      <w:r w:rsidR="004F0F07" w:rsidRPr="005303F7">
        <w:rPr>
          <w:rFonts w:ascii="Times New Roman" w:hAnsi="Times New Roman"/>
          <w:sz w:val="24"/>
          <w:szCs w:val="22"/>
          <w:lang w:val="sr-Cyrl-CS"/>
        </w:rPr>
        <w:t xml:space="preserve">O </w:t>
      </w:r>
      <w:r w:rsidR="003B0023" w:rsidRPr="005303F7">
        <w:rPr>
          <w:rFonts w:ascii="Times New Roman" w:hAnsi="Times New Roman"/>
          <w:sz w:val="24"/>
          <w:szCs w:val="22"/>
          <w:lang w:val="sr-Cyrl-CS"/>
        </w:rPr>
        <w:t>повећане</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до</w:t>
      </w:r>
      <w:r w:rsidR="004F0F07" w:rsidRPr="005303F7">
        <w:rPr>
          <w:rFonts w:ascii="Times New Roman" w:hAnsi="Times New Roman"/>
          <w:sz w:val="24"/>
          <w:szCs w:val="22"/>
          <w:lang w:val="sr-Cyrl-CS"/>
        </w:rPr>
        <w:t xml:space="preserve"> 2015. </w:t>
      </w:r>
      <w:r w:rsidR="003B0023" w:rsidRPr="005303F7">
        <w:rPr>
          <w:rFonts w:ascii="Times New Roman" w:hAnsi="Times New Roman"/>
          <w:sz w:val="24"/>
          <w:szCs w:val="22"/>
          <w:lang w:val="sr-Cyrl-CS"/>
        </w:rPr>
        <w:t>године</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за</w:t>
      </w:r>
      <w:r w:rsidR="004F0F07" w:rsidRPr="005303F7">
        <w:rPr>
          <w:rFonts w:ascii="Times New Roman" w:hAnsi="Times New Roman"/>
          <w:sz w:val="24"/>
          <w:szCs w:val="22"/>
          <w:lang w:val="sr-Cyrl-CS"/>
        </w:rPr>
        <w:t xml:space="preserve"> 51,8% </w:t>
      </w:r>
      <w:r w:rsidR="003B0023" w:rsidRPr="005303F7">
        <w:rPr>
          <w:rFonts w:ascii="Times New Roman" w:hAnsi="Times New Roman"/>
          <w:sz w:val="24"/>
          <w:szCs w:val="22"/>
          <w:lang w:val="sr-Cyrl-CS"/>
        </w:rPr>
        <w:t>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поређењу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са</w:t>
      </w:r>
      <w:r w:rsidR="004F0F07" w:rsidRPr="005303F7">
        <w:rPr>
          <w:rFonts w:ascii="Times New Roman" w:hAnsi="Times New Roman"/>
          <w:sz w:val="24"/>
          <w:szCs w:val="22"/>
          <w:lang w:val="sr-Cyrl-CS"/>
        </w:rPr>
        <w:t xml:space="preserve"> 1990. </w:t>
      </w:r>
      <w:r w:rsidR="003B0023" w:rsidRPr="005303F7">
        <w:rPr>
          <w:rFonts w:ascii="Times New Roman" w:hAnsi="Times New Roman"/>
          <w:sz w:val="24"/>
          <w:szCs w:val="22"/>
          <w:lang w:val="sr-Cyrl-CS"/>
        </w:rPr>
        <w:t>годином</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w:t>
      </w:r>
      <w:r w:rsidR="004F0F07" w:rsidRPr="005303F7">
        <w:rPr>
          <w:rFonts w:ascii="Times New Roman" w:hAnsi="Times New Roman"/>
          <w:sz w:val="24"/>
          <w:szCs w:val="22"/>
          <w:lang w:val="sr-Cyrl-CS"/>
        </w:rPr>
        <w:t xml:space="preserve"> 0,4% </w:t>
      </w:r>
      <w:r w:rsidR="003B0023" w:rsidRPr="005303F7">
        <w:rPr>
          <w:rFonts w:ascii="Times New Roman" w:hAnsi="Times New Roman"/>
          <w:sz w:val="24"/>
          <w:szCs w:val="22"/>
          <w:lang w:val="sr-Cyrl-CS"/>
        </w:rPr>
        <w:t>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поређењу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са</w:t>
      </w:r>
      <w:r w:rsidR="004F0F07" w:rsidRPr="005303F7">
        <w:rPr>
          <w:rFonts w:ascii="Times New Roman" w:hAnsi="Times New Roman"/>
          <w:sz w:val="24"/>
          <w:szCs w:val="22"/>
          <w:lang w:val="sr-Cyrl-CS"/>
        </w:rPr>
        <w:t xml:space="preserve"> 2010. </w:t>
      </w:r>
      <w:r w:rsidR="003B0023" w:rsidRPr="005303F7">
        <w:rPr>
          <w:rFonts w:ascii="Times New Roman" w:hAnsi="Times New Roman"/>
          <w:sz w:val="24"/>
          <w:szCs w:val="22"/>
          <w:lang w:val="sr-Cyrl-CS"/>
        </w:rPr>
        <w:t>годином</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Индиректне</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емисије</w:t>
      </w:r>
      <w:r w:rsidR="004F0F07" w:rsidRPr="005303F7">
        <w:rPr>
          <w:rFonts w:ascii="Times New Roman" w:hAnsi="Times New Roman"/>
          <w:sz w:val="24"/>
          <w:szCs w:val="22"/>
          <w:lang w:val="sr-Cyrl-CS"/>
        </w:rPr>
        <w:t xml:space="preserve"> N</w:t>
      </w:r>
      <w:r w:rsidR="004F0F07" w:rsidRPr="005303F7">
        <w:rPr>
          <w:rFonts w:ascii="Times New Roman" w:hAnsi="Times New Roman"/>
          <w:sz w:val="24"/>
          <w:szCs w:val="22"/>
          <w:vertAlign w:val="subscript"/>
          <w:lang w:val="sr-Cyrl-CS"/>
        </w:rPr>
        <w:t>2</w:t>
      </w:r>
      <w:r w:rsidR="004F0F07" w:rsidRPr="005303F7">
        <w:rPr>
          <w:rFonts w:ascii="Times New Roman" w:hAnsi="Times New Roman"/>
          <w:sz w:val="24"/>
          <w:szCs w:val="22"/>
          <w:lang w:val="sr-Cyrl-CS"/>
        </w:rPr>
        <w:t xml:space="preserve">O, </w:t>
      </w:r>
      <w:r w:rsidR="003B0023" w:rsidRPr="005303F7">
        <w:rPr>
          <w:rFonts w:ascii="Times New Roman" w:hAnsi="Times New Roman"/>
          <w:sz w:val="24"/>
          <w:szCs w:val="22"/>
          <w:lang w:val="sr-Cyrl-CS"/>
        </w:rPr>
        <w:t>које</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настају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атмосферским</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таложењем</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волатизованог</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азота</w:t>
      </w:r>
      <w:r w:rsidR="004F0F07" w:rsidRPr="005303F7">
        <w:rPr>
          <w:rFonts w:ascii="Times New Roman" w:hAnsi="Times New Roman"/>
          <w:sz w:val="24"/>
          <w:szCs w:val="22"/>
          <w:lang w:val="sr-Cyrl-CS"/>
        </w:rPr>
        <w:t xml:space="preserve"> (N) </w:t>
      </w:r>
      <w:r w:rsidR="003B0023" w:rsidRPr="005303F7">
        <w:rPr>
          <w:rFonts w:ascii="Times New Roman" w:hAnsi="Times New Roman"/>
          <w:sz w:val="24"/>
          <w:szCs w:val="22"/>
          <w:lang w:val="sr-Cyrl-CS"/>
        </w:rPr>
        <w:t>и</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испирањем</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w:t>
      </w:r>
      <w:r w:rsidR="004F0F07" w:rsidRPr="005303F7">
        <w:rPr>
          <w:rFonts w:ascii="Times New Roman" w:hAnsi="Times New Roman"/>
          <w:sz w:val="24"/>
          <w:szCs w:val="22"/>
          <w:lang w:val="sr-Cyrl-CS"/>
        </w:rPr>
        <w:t xml:space="preserve"> </w:t>
      </w:r>
      <w:r w:rsidR="00C07486" w:rsidRPr="005303F7">
        <w:rPr>
          <w:rFonts w:ascii="Times New Roman" w:hAnsi="Times New Roman"/>
          <w:sz w:val="24"/>
          <w:szCs w:val="22"/>
          <w:lang w:val="sr-Cyrl-CS"/>
        </w:rPr>
        <w:t>ис</w:t>
      </w:r>
      <w:r w:rsidR="003B0023" w:rsidRPr="005303F7">
        <w:rPr>
          <w:rFonts w:ascii="Times New Roman" w:hAnsi="Times New Roman"/>
          <w:sz w:val="24"/>
          <w:szCs w:val="22"/>
          <w:lang w:val="sr-Cyrl-CS"/>
        </w:rPr>
        <w:t>пуштањем</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азотних</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једињења</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воду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повећале</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се</w:t>
      </w:r>
      <w:r w:rsidR="004F0F07" w:rsidRPr="005303F7">
        <w:rPr>
          <w:rFonts w:ascii="Times New Roman" w:hAnsi="Times New Roman"/>
          <w:sz w:val="24"/>
          <w:szCs w:val="22"/>
          <w:lang w:val="sr-Cyrl-CS"/>
        </w:rPr>
        <w:t xml:space="preserve"> 47,2% </w:t>
      </w:r>
      <w:r w:rsidR="003B0023" w:rsidRPr="005303F7">
        <w:rPr>
          <w:rFonts w:ascii="Times New Roman" w:hAnsi="Times New Roman"/>
          <w:sz w:val="24"/>
          <w:szCs w:val="22"/>
          <w:lang w:val="sr-Cyrl-CS"/>
        </w:rPr>
        <w:t>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односу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на</w:t>
      </w:r>
      <w:r w:rsidR="004F0F07" w:rsidRPr="005303F7">
        <w:rPr>
          <w:rFonts w:ascii="Times New Roman" w:hAnsi="Times New Roman"/>
          <w:sz w:val="24"/>
          <w:szCs w:val="22"/>
          <w:lang w:val="sr-Cyrl-CS"/>
        </w:rPr>
        <w:t xml:space="preserve"> 1990. </w:t>
      </w:r>
      <w:r w:rsidR="003B0023" w:rsidRPr="005303F7">
        <w:rPr>
          <w:rFonts w:ascii="Times New Roman" w:hAnsi="Times New Roman"/>
          <w:sz w:val="24"/>
          <w:szCs w:val="22"/>
          <w:lang w:val="sr-Cyrl-CS"/>
        </w:rPr>
        <w:t>и</w:t>
      </w:r>
      <w:r w:rsidR="004F0F07" w:rsidRPr="005303F7">
        <w:rPr>
          <w:rFonts w:ascii="Times New Roman" w:hAnsi="Times New Roman"/>
          <w:sz w:val="24"/>
          <w:szCs w:val="22"/>
          <w:lang w:val="sr-Cyrl-CS"/>
        </w:rPr>
        <w:t xml:space="preserve"> 1,7% </w:t>
      </w:r>
      <w:r w:rsidR="003B0023" w:rsidRPr="005303F7">
        <w:rPr>
          <w:rFonts w:ascii="Times New Roman" w:hAnsi="Times New Roman"/>
          <w:sz w:val="24"/>
          <w:szCs w:val="22"/>
          <w:lang w:val="sr-Cyrl-CS"/>
        </w:rPr>
        <w:t>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односу</w:t>
      </w:r>
      <w:r w:rsidR="004F0F0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на</w:t>
      </w:r>
      <w:r w:rsidR="004F0F07" w:rsidRPr="005303F7">
        <w:rPr>
          <w:rFonts w:ascii="Times New Roman" w:hAnsi="Times New Roman"/>
          <w:sz w:val="24"/>
          <w:szCs w:val="22"/>
          <w:lang w:val="sr-Cyrl-CS"/>
        </w:rPr>
        <w:t xml:space="preserve"> 2010.</w:t>
      </w:r>
    </w:p>
    <w:p w14:paraId="71AAE125" w14:textId="4B70C2AD" w:rsidR="007D29AD" w:rsidRPr="005303F7" w:rsidRDefault="002756D9" w:rsidP="00C809B0">
      <w:pPr>
        <w:rPr>
          <w:rFonts w:ascii="Times New Roman" w:hAnsi="Times New Roman"/>
          <w:sz w:val="24"/>
          <w:szCs w:val="22"/>
          <w:lang w:val="sr-Cyrl-CS"/>
        </w:rPr>
      </w:pPr>
      <w:r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сектору</w:t>
      </w:r>
      <w:r w:rsidR="00D24CC4" w:rsidRPr="005303F7">
        <w:rPr>
          <w:rFonts w:ascii="Times New Roman" w:hAnsi="Times New Roman"/>
          <w:sz w:val="24"/>
          <w:szCs w:val="22"/>
          <w:lang w:val="sr-Cyrl-CS"/>
        </w:rPr>
        <w:t xml:space="preserve"> </w:t>
      </w:r>
      <w:r w:rsidR="0059172D" w:rsidRPr="005303F7">
        <w:rPr>
          <w:rFonts w:ascii="Times New Roman" w:hAnsi="Times New Roman"/>
          <w:sz w:val="24"/>
          <w:szCs w:val="22"/>
          <w:lang w:val="sr-Cyrl-CS"/>
        </w:rPr>
        <w:t>LULUCF</w:t>
      </w:r>
      <w:r w:rsidR="003D786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негативне</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емисије</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значе</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да</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је</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секвестрација</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CО</w:t>
      </w:r>
      <w:r w:rsidR="00D24CC4" w:rsidRPr="005303F7">
        <w:rPr>
          <w:rFonts w:ascii="Times New Roman" w:hAnsi="Times New Roman"/>
          <w:sz w:val="24"/>
          <w:szCs w:val="22"/>
          <w:vertAlign w:val="subscript"/>
          <w:lang w:val="sr-Cyrl-CS"/>
        </w:rPr>
        <w:t>2</w:t>
      </w:r>
      <w:r w:rsidR="009550B0" w:rsidRPr="005303F7">
        <w:rPr>
          <w:rFonts w:ascii="Times New Roman" w:hAnsi="Times New Roman"/>
          <w:sz w:val="24"/>
          <w:szCs w:val="22"/>
          <w:vertAlign w:val="superscript"/>
          <w:lang w:val="sr-Cyrl-CS"/>
        </w:rPr>
        <w:footnoteReference w:id="14"/>
      </w:r>
      <w:r w:rsidR="000D7FF6" w:rsidRPr="005303F7">
        <w:rPr>
          <w:rFonts w:ascii="Times New Roman" w:hAnsi="Times New Roman"/>
          <w:sz w:val="24"/>
          <w:szCs w:val="22"/>
          <w:vertAlign w:val="superscript"/>
          <w:lang w:val="sr-Cyrl-CS"/>
        </w:rPr>
        <w:t xml:space="preserve"> </w:t>
      </w:r>
      <w:r w:rsidR="000D7FF6" w:rsidRPr="005303F7">
        <w:rPr>
          <w:rFonts w:ascii="Times New Roman" w:hAnsi="Times New Roman"/>
          <w:sz w:val="24"/>
          <w:szCs w:val="22"/>
          <w:lang w:val="sr-Cyrl-CS"/>
        </w:rPr>
        <w:t>(</w:t>
      </w:r>
      <w:r w:rsidR="003B0023" w:rsidRPr="005303F7">
        <w:rPr>
          <w:rFonts w:ascii="Times New Roman" w:hAnsi="Times New Roman"/>
          <w:sz w:val="24"/>
          <w:szCs w:val="22"/>
          <w:lang w:val="sr-Cyrl-CS"/>
        </w:rPr>
        <w:t>уклањање</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из</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атмосфере</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путем</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на</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пример</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фотосинтезе</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или</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таложења</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тлу</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путем</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органске</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материје</w:t>
      </w:r>
      <w:r w:rsidR="00821A42" w:rsidRPr="005303F7">
        <w:rPr>
          <w:rFonts w:ascii="Times New Roman" w:hAnsi="Times New Roman"/>
          <w:sz w:val="24"/>
          <w:szCs w:val="22"/>
          <w:lang w:val="sr-Cyrl-CS"/>
        </w:rPr>
        <w:t>)</w:t>
      </w:r>
      <w:r w:rsidR="005A3806"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већа</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од</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емисија</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гасова</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са</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ефектом</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стаклене</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баште</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свакој</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категорији</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коришћења</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земљишта</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попут</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шумског</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земљишта</w:t>
      </w:r>
      <w:r w:rsidR="00AC1E7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усева</w:t>
      </w:r>
      <w:r w:rsidR="00AC1E7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травњака</w:t>
      </w:r>
      <w:r w:rsidR="00AC1E7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мочвара</w:t>
      </w:r>
      <w:r w:rsidR="006650FA" w:rsidRPr="005303F7">
        <w:rPr>
          <w:rFonts w:ascii="Times New Roman" w:hAnsi="Times New Roman"/>
          <w:sz w:val="24"/>
          <w:szCs w:val="22"/>
          <w:lang w:val="sr-Cyrl-CS"/>
        </w:rPr>
        <w:t>, насеља</w:t>
      </w:r>
      <w:r w:rsidR="00AC1E7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другог</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земљишта</w:t>
      </w:r>
      <w:r w:rsidR="007A208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Садржај</w:t>
      </w:r>
      <w:r w:rsidR="007A208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угљеника</w:t>
      </w:r>
      <w:r w:rsidR="007A208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7A208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дрвним</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производима</w:t>
      </w:r>
      <w:r w:rsidR="004B667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попут</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намештаја</w:t>
      </w:r>
      <w:r w:rsidR="004B667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рачуна</w:t>
      </w:r>
      <w:r w:rsidR="00AC1E7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се</w:t>
      </w:r>
      <w:r w:rsidR="00AC1E7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AC1E7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укупну</w:t>
      </w:r>
      <w:r w:rsidR="00AC1E7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вредност</w:t>
      </w:r>
      <w:r w:rsidR="00D24CC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овог</w:t>
      </w:r>
      <w:r w:rsidR="00AC1E7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сектора</w:t>
      </w:r>
      <w:r w:rsidR="00AC1E7B" w:rsidRPr="005303F7">
        <w:rPr>
          <w:rFonts w:ascii="Times New Roman" w:hAnsi="Times New Roman"/>
          <w:sz w:val="24"/>
          <w:szCs w:val="22"/>
          <w:lang w:val="sr-Cyrl-CS"/>
        </w:rPr>
        <w:t>.</w:t>
      </w:r>
    </w:p>
    <w:p w14:paraId="69B9793E" w14:textId="171D5F99" w:rsidR="00613CCE" w:rsidRPr="005303F7" w:rsidRDefault="002756D9" w:rsidP="006E09B7">
      <w:pPr>
        <w:rPr>
          <w:rFonts w:ascii="Times New Roman" w:hAnsi="Times New Roman"/>
          <w:sz w:val="24"/>
          <w:szCs w:val="22"/>
          <w:lang w:val="sr-Cyrl-CS"/>
        </w:rPr>
      </w:pPr>
      <w:r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172FB9" w:rsidRPr="005303F7">
        <w:rPr>
          <w:rFonts w:ascii="Times New Roman" w:hAnsi="Times New Roman"/>
          <w:sz w:val="24"/>
          <w:szCs w:val="22"/>
          <w:lang w:val="sr-Cyrl-CS"/>
        </w:rPr>
        <w:t xml:space="preserve"> 2015. </w:t>
      </w:r>
      <w:r w:rsidR="003B0023" w:rsidRPr="005303F7">
        <w:rPr>
          <w:rFonts w:ascii="Times New Roman" w:hAnsi="Times New Roman"/>
          <w:sz w:val="24"/>
          <w:szCs w:val="22"/>
          <w:lang w:val="sr-Cyrl-CS"/>
        </w:rPr>
        <w:t>години</w:t>
      </w:r>
      <w:r w:rsidR="003D786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количина</w:t>
      </w:r>
      <w:r w:rsidR="003D786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CО</w:t>
      </w:r>
      <w:r w:rsidR="003D786B" w:rsidRPr="005303F7">
        <w:rPr>
          <w:rFonts w:ascii="Times New Roman" w:hAnsi="Times New Roman"/>
          <w:sz w:val="24"/>
          <w:szCs w:val="22"/>
          <w:vertAlign w:val="subscript"/>
          <w:lang w:val="sr-Cyrl-CS"/>
        </w:rPr>
        <w:t>2</w:t>
      </w:r>
      <w:r w:rsidR="003D786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уклоњена</w:t>
      </w:r>
      <w:r w:rsidR="00172FB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из</w:t>
      </w:r>
      <w:r w:rsidR="00172FB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атмосфере</w:t>
      </w:r>
      <w:r w:rsidR="003D786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172FB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сектору</w:t>
      </w:r>
      <w:r w:rsidR="003D786B" w:rsidRPr="005303F7">
        <w:rPr>
          <w:rFonts w:ascii="Times New Roman" w:hAnsi="Times New Roman"/>
          <w:sz w:val="24"/>
          <w:szCs w:val="22"/>
          <w:lang w:val="sr-Cyrl-CS"/>
        </w:rPr>
        <w:t xml:space="preserve"> </w:t>
      </w:r>
      <w:r w:rsidR="0059172D" w:rsidRPr="005303F7">
        <w:rPr>
          <w:rFonts w:ascii="Times New Roman" w:hAnsi="Times New Roman"/>
          <w:sz w:val="24"/>
          <w:szCs w:val="22"/>
          <w:lang w:val="sr-Cyrl-CS"/>
        </w:rPr>
        <w:t>LULUCF</w:t>
      </w:r>
      <w:r w:rsidR="003D786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износила</w:t>
      </w:r>
      <w:r w:rsidR="00172FB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је</w:t>
      </w:r>
      <w:r w:rsidR="00986EC3" w:rsidRPr="005303F7">
        <w:rPr>
          <w:rFonts w:ascii="Times New Roman" w:hAnsi="Times New Roman"/>
          <w:sz w:val="24"/>
          <w:szCs w:val="22"/>
          <w:lang w:val="sr-Cyrl-CS"/>
        </w:rPr>
        <w:t xml:space="preserve"> 4</w:t>
      </w:r>
      <w:r w:rsidR="00D45CC0" w:rsidRPr="005303F7">
        <w:rPr>
          <w:rFonts w:ascii="Times New Roman" w:hAnsi="Times New Roman"/>
          <w:sz w:val="24"/>
          <w:szCs w:val="22"/>
          <w:lang w:val="sr-Cyrl-CS"/>
        </w:rPr>
        <w:t>.</w:t>
      </w:r>
      <w:r w:rsidR="00986EC3" w:rsidRPr="005303F7">
        <w:rPr>
          <w:rFonts w:ascii="Times New Roman" w:hAnsi="Times New Roman"/>
          <w:sz w:val="24"/>
          <w:szCs w:val="22"/>
          <w:lang w:val="sr-Cyrl-CS"/>
        </w:rPr>
        <w:t xml:space="preserve">533 </w:t>
      </w:r>
      <w:r w:rsidR="003B0023" w:rsidRPr="005303F7">
        <w:rPr>
          <w:rFonts w:ascii="Times New Roman" w:hAnsi="Times New Roman"/>
          <w:sz w:val="24"/>
          <w:szCs w:val="22"/>
          <w:lang w:val="sr-Cyrl-CS"/>
        </w:rPr>
        <w:t>ktCО</w:t>
      </w:r>
      <w:r w:rsidR="00986EC3" w:rsidRPr="005303F7">
        <w:rPr>
          <w:rFonts w:ascii="Times New Roman" w:hAnsi="Times New Roman"/>
          <w:sz w:val="24"/>
          <w:szCs w:val="22"/>
          <w:vertAlign w:val="subscript"/>
          <w:lang w:val="sr-Cyrl-CS"/>
        </w:rPr>
        <w:t>2</w:t>
      </w:r>
      <w:r w:rsidR="00986EC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што</w:t>
      </w:r>
      <w:r w:rsidR="00172FB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представља</w:t>
      </w:r>
      <w:r w:rsidR="00172FB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смањење</w:t>
      </w:r>
      <w:r w:rsidR="00172FB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од</w:t>
      </w:r>
      <w:r w:rsidR="00986EC3" w:rsidRPr="005303F7">
        <w:rPr>
          <w:rFonts w:ascii="Times New Roman" w:hAnsi="Times New Roman"/>
          <w:sz w:val="24"/>
          <w:szCs w:val="22"/>
          <w:lang w:val="sr-Cyrl-CS"/>
        </w:rPr>
        <w:t xml:space="preserve"> 19,4% </w:t>
      </w:r>
      <w:r w:rsidR="003B0023" w:rsidRPr="005303F7">
        <w:rPr>
          <w:rFonts w:ascii="Times New Roman" w:hAnsi="Times New Roman"/>
          <w:sz w:val="24"/>
          <w:szCs w:val="22"/>
          <w:lang w:val="sr-Cyrl-CS"/>
        </w:rPr>
        <w:t>у</w:t>
      </w:r>
      <w:r w:rsidR="00172FB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поређењу</w:t>
      </w:r>
      <w:r w:rsidR="00172FB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на</w:t>
      </w:r>
      <w:r w:rsidR="00172FB9" w:rsidRPr="005303F7">
        <w:rPr>
          <w:rFonts w:ascii="Times New Roman" w:hAnsi="Times New Roman"/>
          <w:sz w:val="24"/>
          <w:szCs w:val="22"/>
          <w:lang w:val="sr-Cyrl-CS"/>
        </w:rPr>
        <w:t xml:space="preserve"> </w:t>
      </w:r>
      <w:r w:rsidR="00986EC3" w:rsidRPr="005303F7">
        <w:rPr>
          <w:rFonts w:ascii="Times New Roman" w:hAnsi="Times New Roman"/>
          <w:sz w:val="24"/>
          <w:szCs w:val="22"/>
          <w:lang w:val="sr-Cyrl-CS"/>
        </w:rPr>
        <w:t>2010</w:t>
      </w:r>
      <w:r w:rsidR="00172FB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w:t>
      </w:r>
      <w:r w:rsidR="00172FB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повећање</w:t>
      </w:r>
      <w:r w:rsidR="00172FB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од</w:t>
      </w:r>
      <w:r w:rsidR="00172FB9" w:rsidRPr="005303F7">
        <w:rPr>
          <w:rFonts w:ascii="Times New Roman" w:hAnsi="Times New Roman"/>
          <w:sz w:val="24"/>
          <w:szCs w:val="22"/>
          <w:lang w:val="sr-Cyrl-CS"/>
        </w:rPr>
        <w:t xml:space="preserve"> </w:t>
      </w:r>
      <w:r w:rsidR="00986EC3" w:rsidRPr="005303F7">
        <w:rPr>
          <w:rFonts w:ascii="Times New Roman" w:hAnsi="Times New Roman"/>
          <w:sz w:val="24"/>
          <w:szCs w:val="22"/>
          <w:lang w:val="sr-Cyrl-CS"/>
        </w:rPr>
        <w:t xml:space="preserve">216,6% </w:t>
      </w:r>
      <w:r w:rsidR="003B0023" w:rsidRPr="005303F7">
        <w:rPr>
          <w:rFonts w:ascii="Times New Roman" w:hAnsi="Times New Roman"/>
          <w:sz w:val="24"/>
          <w:szCs w:val="22"/>
          <w:lang w:val="sr-Cyrl-CS"/>
        </w:rPr>
        <w:t>у</w:t>
      </w:r>
      <w:r w:rsidR="00172FB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поређењу</w:t>
      </w:r>
      <w:r w:rsidR="00172FB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са</w:t>
      </w:r>
      <w:r w:rsidR="00172FB9" w:rsidRPr="005303F7">
        <w:rPr>
          <w:rFonts w:ascii="Times New Roman" w:hAnsi="Times New Roman"/>
          <w:sz w:val="24"/>
          <w:szCs w:val="22"/>
          <w:lang w:val="sr-Cyrl-CS"/>
        </w:rPr>
        <w:t xml:space="preserve"> </w:t>
      </w:r>
      <w:r w:rsidR="00986EC3" w:rsidRPr="005303F7">
        <w:rPr>
          <w:rFonts w:ascii="Times New Roman" w:hAnsi="Times New Roman"/>
          <w:sz w:val="24"/>
          <w:szCs w:val="22"/>
          <w:lang w:val="sr-Cyrl-CS"/>
        </w:rPr>
        <w:t>1990</w:t>
      </w:r>
      <w:r w:rsidR="003D786B" w:rsidRPr="005303F7">
        <w:rPr>
          <w:rFonts w:ascii="Times New Roman" w:hAnsi="Times New Roman"/>
          <w:sz w:val="24"/>
          <w:szCs w:val="22"/>
          <w:lang w:val="sr-Cyrl-CS"/>
        </w:rPr>
        <w:t>.</w:t>
      </w:r>
      <w:r w:rsidR="00172FB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годином</w:t>
      </w:r>
      <w:r w:rsidR="00172FB9" w:rsidRPr="005303F7">
        <w:rPr>
          <w:rFonts w:ascii="Times New Roman" w:hAnsi="Times New Roman"/>
          <w:sz w:val="24"/>
          <w:szCs w:val="22"/>
          <w:lang w:val="sr-Cyrl-CS"/>
        </w:rPr>
        <w:t xml:space="preserve">. </w:t>
      </w:r>
      <w:r w:rsidR="003B0023" w:rsidRPr="005303F7">
        <w:rPr>
          <w:rFonts w:ascii="Times New Roman" w:hAnsi="Times New Roman"/>
          <w:sz w:val="24"/>
          <w:lang w:val="sr-Cyrl-CS"/>
        </w:rPr>
        <w:t>Нето</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негативне</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емисије</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понор</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углавном</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су</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резултат</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позитивног</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односа</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између</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са</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једне</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стране</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прираста</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шумске</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биомасе</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и</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са</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друге</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стране</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сече</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шума</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пожара</w:t>
      </w:r>
      <w:r w:rsidR="00B0315E" w:rsidRPr="005303F7">
        <w:rPr>
          <w:rFonts w:ascii="Times New Roman" w:hAnsi="Times New Roman"/>
          <w:sz w:val="24"/>
          <w:lang w:val="sr-Cyrl-CS"/>
        </w:rPr>
        <w:t xml:space="preserve"> </w:t>
      </w:r>
      <w:r w:rsidR="003B0023" w:rsidRPr="005303F7">
        <w:rPr>
          <w:rFonts w:ascii="Times New Roman" w:hAnsi="Times New Roman"/>
          <w:sz w:val="24"/>
          <w:lang w:val="sr-Cyrl-CS"/>
        </w:rPr>
        <w:t>и</w:t>
      </w:r>
      <w:r w:rsidR="00B0315E" w:rsidRPr="005303F7">
        <w:rPr>
          <w:rFonts w:ascii="Times New Roman" w:hAnsi="Times New Roman"/>
          <w:sz w:val="24"/>
          <w:lang w:val="sr-Cyrl-CS"/>
        </w:rPr>
        <w:t xml:space="preserve"> др</w:t>
      </w:r>
      <w:r w:rsidR="001D0339" w:rsidRPr="005303F7">
        <w:rPr>
          <w:rFonts w:ascii="Times New Roman" w:hAnsi="Times New Roman"/>
          <w:sz w:val="24"/>
          <w:lang w:val="sr-Cyrl-CS"/>
        </w:rPr>
        <w:t xml:space="preserve">, </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у</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сектору</w:t>
      </w:r>
      <w:r w:rsidR="00524FA0" w:rsidRPr="005303F7">
        <w:rPr>
          <w:rFonts w:ascii="Times New Roman" w:hAnsi="Times New Roman"/>
          <w:sz w:val="24"/>
          <w:lang w:val="sr-Cyrl-CS"/>
        </w:rPr>
        <w:t xml:space="preserve"> </w:t>
      </w:r>
      <w:r w:rsidR="003B0023" w:rsidRPr="005303F7">
        <w:rPr>
          <w:rFonts w:ascii="Times New Roman" w:hAnsi="Times New Roman"/>
          <w:sz w:val="24"/>
          <w:lang w:val="sr-Cyrl-CS"/>
        </w:rPr>
        <w:t>шумарства</w:t>
      </w:r>
      <w:r w:rsidR="00D17F4D" w:rsidRPr="005303F7">
        <w:rPr>
          <w:rFonts w:ascii="Times New Roman" w:hAnsi="Times New Roman"/>
          <w:sz w:val="24"/>
          <w:szCs w:val="22"/>
          <w:lang w:val="sr-Cyrl-CS"/>
        </w:rPr>
        <w:t>, (</w:t>
      </w:r>
      <w:r w:rsidR="003B0023" w:rsidRPr="005303F7">
        <w:rPr>
          <w:rFonts w:ascii="Times New Roman" w:hAnsi="Times New Roman"/>
          <w:sz w:val="24"/>
          <w:szCs w:val="22"/>
          <w:lang w:val="sr-Cyrl-CS"/>
        </w:rPr>
        <w:t>који</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је</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само</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један</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од</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сектора</w:t>
      </w:r>
      <w:r w:rsidR="00D17F4D" w:rsidRPr="005303F7">
        <w:rPr>
          <w:rFonts w:ascii="Times New Roman" w:hAnsi="Times New Roman"/>
          <w:sz w:val="24"/>
          <w:szCs w:val="22"/>
          <w:lang w:val="sr-Cyrl-CS"/>
        </w:rPr>
        <w:t xml:space="preserve"> </w:t>
      </w:r>
      <w:r w:rsidR="0059172D" w:rsidRPr="005303F7">
        <w:rPr>
          <w:rFonts w:ascii="Times New Roman" w:hAnsi="Times New Roman"/>
          <w:sz w:val="24"/>
          <w:szCs w:val="22"/>
          <w:lang w:val="sr-Cyrl-CS"/>
        </w:rPr>
        <w:t>LULUCF</w:t>
      </w:r>
      <w:r w:rsidR="00B829C5" w:rsidRPr="005303F7">
        <w:rPr>
          <w:rFonts w:ascii="Times New Roman" w:hAnsi="Times New Roman"/>
          <w:sz w:val="24"/>
          <w:szCs w:val="22"/>
          <w:lang w:val="sr-Cyrl-CS"/>
        </w:rPr>
        <w:t xml:space="preserve">). </w:t>
      </w:r>
      <w:r w:rsidR="00F93F57" w:rsidRPr="005303F7">
        <w:rPr>
          <w:rFonts w:ascii="Times New Roman" w:hAnsi="Times New Roman"/>
          <w:sz w:val="24"/>
          <w:szCs w:val="22"/>
          <w:lang w:val="sr-Cyrl-CS"/>
        </w:rPr>
        <w:t xml:space="preserve">Према подацима из </w:t>
      </w:r>
      <w:r w:rsidR="00C93826" w:rsidRPr="005303F7">
        <w:rPr>
          <w:rFonts w:ascii="Times New Roman" w:hAnsi="Times New Roman"/>
          <w:sz w:val="24"/>
          <w:szCs w:val="22"/>
          <w:lang w:val="sr-Cyrl-CS"/>
        </w:rPr>
        <w:t>Националног и</w:t>
      </w:r>
      <w:r w:rsidR="00F93F57" w:rsidRPr="005303F7">
        <w:rPr>
          <w:rFonts w:ascii="Times New Roman" w:hAnsi="Times New Roman"/>
          <w:sz w:val="24"/>
          <w:szCs w:val="22"/>
          <w:lang w:val="sr-Cyrl-CS"/>
        </w:rPr>
        <w:t xml:space="preserve">нвентара </w:t>
      </w:r>
      <w:r w:rsidR="00C93826" w:rsidRPr="005303F7">
        <w:rPr>
          <w:rFonts w:ascii="Times New Roman" w:hAnsi="Times New Roman"/>
          <w:sz w:val="24"/>
          <w:szCs w:val="22"/>
          <w:lang w:val="sr-Cyrl-CS"/>
        </w:rPr>
        <w:t>гасова са ефектом стаклене баште</w:t>
      </w:r>
      <w:r w:rsidR="00F93F57" w:rsidRPr="005303F7">
        <w:rPr>
          <w:rFonts w:ascii="Times New Roman" w:hAnsi="Times New Roman"/>
          <w:sz w:val="24"/>
          <w:szCs w:val="22"/>
          <w:lang w:val="sr-Cyrl-CS"/>
        </w:rPr>
        <w:t>,</w:t>
      </w:r>
      <w:r w:rsidRPr="005303F7">
        <w:rPr>
          <w:rFonts w:ascii="Times New Roman" w:hAnsi="Times New Roman"/>
          <w:sz w:val="24"/>
          <w:szCs w:val="22"/>
          <w:lang w:val="sr-Cyrl-CS"/>
        </w:rPr>
        <w:t xml:space="preserve"> </w:t>
      </w:r>
      <w:r w:rsidR="00F93F57" w:rsidRPr="005303F7">
        <w:rPr>
          <w:rFonts w:ascii="Times New Roman" w:hAnsi="Times New Roman"/>
          <w:sz w:val="24"/>
          <w:szCs w:val="22"/>
          <w:lang w:val="sr-Cyrl-CS"/>
        </w:rPr>
        <w:t>који припрема Агенција за заштиту животне средине</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нето</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понори</w:t>
      </w:r>
      <w:r w:rsidR="0025026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сектору</w:t>
      </w:r>
      <w:r w:rsidR="0025026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шумарства</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периоду</w:t>
      </w:r>
      <w:r w:rsidR="00D17F4D" w:rsidRPr="005303F7">
        <w:rPr>
          <w:rFonts w:ascii="Times New Roman" w:hAnsi="Times New Roman"/>
          <w:sz w:val="24"/>
          <w:szCs w:val="22"/>
          <w:lang w:val="sr-Cyrl-CS"/>
        </w:rPr>
        <w:t xml:space="preserve"> 2010-2015. </w:t>
      </w:r>
      <w:r w:rsidR="003B0023" w:rsidRPr="005303F7">
        <w:rPr>
          <w:rFonts w:ascii="Times New Roman" w:hAnsi="Times New Roman"/>
          <w:sz w:val="24"/>
          <w:szCs w:val="22"/>
          <w:lang w:val="sr-Cyrl-CS"/>
        </w:rPr>
        <w:t>године</w:t>
      </w:r>
      <w:r w:rsidR="00250269" w:rsidRPr="005303F7">
        <w:rPr>
          <w:rFonts w:ascii="Times New Roman" w:hAnsi="Times New Roman"/>
          <w:sz w:val="24"/>
          <w:szCs w:val="22"/>
          <w:lang w:val="sr-Cyrl-CS"/>
        </w:rPr>
        <w:t>,</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смањени</w:t>
      </w:r>
      <w:r w:rsidR="0025026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су</w:t>
      </w:r>
      <w:r w:rsidR="0025026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за</w:t>
      </w:r>
      <w:r w:rsidR="00D17F4D" w:rsidRPr="005303F7">
        <w:rPr>
          <w:rFonts w:ascii="Times New Roman" w:hAnsi="Times New Roman"/>
          <w:sz w:val="24"/>
          <w:szCs w:val="22"/>
          <w:lang w:val="sr-Cyrl-CS"/>
        </w:rPr>
        <w:t xml:space="preserve"> 19%, </w:t>
      </w:r>
      <w:r w:rsidR="003B0023" w:rsidRPr="005303F7">
        <w:rPr>
          <w:rFonts w:ascii="Times New Roman" w:hAnsi="Times New Roman"/>
          <w:sz w:val="24"/>
          <w:szCs w:val="22"/>
          <w:lang w:val="sr-Cyrl-CS"/>
        </w:rPr>
        <w:t>услед</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повећане</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потрошње</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чврсте</w:t>
      </w:r>
      <w:r w:rsidR="0025026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биомасе</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огревно</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дрво</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повећаног</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коришћења</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техничког</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дрвета</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Емисије</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гасова</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са</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ефектом</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стаклене</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баште</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из</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сектора</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отпада</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смањиле</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су</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се</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од</w:t>
      </w:r>
      <w:r w:rsidR="00D17F4D" w:rsidRPr="005303F7">
        <w:rPr>
          <w:rFonts w:ascii="Times New Roman" w:hAnsi="Times New Roman"/>
          <w:sz w:val="24"/>
          <w:szCs w:val="22"/>
          <w:lang w:val="sr-Cyrl-CS"/>
        </w:rPr>
        <w:t xml:space="preserve"> 1990.</w:t>
      </w:r>
      <w:r w:rsidR="005F7F83" w:rsidRPr="005303F7">
        <w:rPr>
          <w:rFonts w:ascii="Times New Roman" w:hAnsi="Times New Roman"/>
          <w:sz w:val="24"/>
          <w:szCs w:val="22"/>
          <w:lang w:val="sr-Cyrl-CS"/>
        </w:rPr>
        <w:t xml:space="preserve"> године</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за</w:t>
      </w:r>
      <w:r w:rsidR="00D17F4D" w:rsidRPr="005303F7">
        <w:rPr>
          <w:rFonts w:ascii="Times New Roman" w:hAnsi="Times New Roman"/>
          <w:sz w:val="24"/>
          <w:szCs w:val="22"/>
          <w:lang w:val="sr-Cyrl-CS"/>
        </w:rPr>
        <w:t xml:space="preserve"> 29,9%, </w:t>
      </w:r>
      <w:r w:rsidR="003B0023" w:rsidRPr="005303F7">
        <w:rPr>
          <w:rFonts w:ascii="Times New Roman" w:hAnsi="Times New Roman"/>
          <w:sz w:val="24"/>
          <w:szCs w:val="22"/>
          <w:lang w:val="sr-Cyrl-CS"/>
        </w:rPr>
        <w:t>а</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од</w:t>
      </w:r>
      <w:r w:rsidR="00D17F4D" w:rsidRPr="005303F7">
        <w:rPr>
          <w:rFonts w:ascii="Times New Roman" w:hAnsi="Times New Roman"/>
          <w:sz w:val="24"/>
          <w:szCs w:val="22"/>
          <w:lang w:val="sr-Cyrl-CS"/>
        </w:rPr>
        <w:t xml:space="preserve"> 2007. </w:t>
      </w:r>
      <w:r w:rsidR="005F7F83" w:rsidRPr="005303F7">
        <w:rPr>
          <w:rFonts w:ascii="Times New Roman" w:hAnsi="Times New Roman"/>
          <w:sz w:val="24"/>
          <w:szCs w:val="22"/>
          <w:lang w:val="sr-Cyrl-CS"/>
        </w:rPr>
        <w:t xml:space="preserve">године </w:t>
      </w:r>
      <w:r w:rsidR="003B0023" w:rsidRPr="005303F7">
        <w:rPr>
          <w:rFonts w:ascii="Times New Roman" w:hAnsi="Times New Roman"/>
          <w:sz w:val="24"/>
          <w:szCs w:val="22"/>
          <w:lang w:val="sr-Cyrl-CS"/>
        </w:rPr>
        <w:t>за</w:t>
      </w:r>
      <w:r w:rsidR="00D17F4D" w:rsidRPr="005303F7">
        <w:rPr>
          <w:rFonts w:ascii="Times New Roman" w:hAnsi="Times New Roman"/>
          <w:sz w:val="24"/>
          <w:szCs w:val="22"/>
          <w:lang w:val="sr-Cyrl-CS"/>
        </w:rPr>
        <w:t xml:space="preserve"> 0,7%, </w:t>
      </w:r>
      <w:r w:rsidR="003B0023" w:rsidRPr="005303F7">
        <w:rPr>
          <w:rFonts w:ascii="Times New Roman" w:hAnsi="Times New Roman"/>
          <w:sz w:val="24"/>
          <w:szCs w:val="22"/>
          <w:lang w:val="sr-Cyrl-CS"/>
        </w:rPr>
        <w:t>углавном</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због</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смањења</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одлагања</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индустријског</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отпада</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на</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земљиште</w:t>
      </w:r>
      <w:r w:rsidR="003139EE"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w:t>
      </w:r>
      <w:r w:rsidR="003139EE"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смањења</w:t>
      </w:r>
      <w:r w:rsidR="003139EE"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емисија</w:t>
      </w:r>
      <w:r w:rsidR="003139EE"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из</w:t>
      </w:r>
      <w:r w:rsidR="003139EE"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отпадних</w:t>
      </w:r>
      <w:r w:rsidR="003139EE"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вода</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Наиме</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емисије</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из</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отпадних</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вода</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су</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смањене</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за</w:t>
      </w:r>
      <w:r w:rsidR="00D17F4D" w:rsidRPr="005303F7">
        <w:rPr>
          <w:rFonts w:ascii="Times New Roman" w:hAnsi="Times New Roman"/>
          <w:sz w:val="24"/>
          <w:szCs w:val="22"/>
          <w:lang w:val="sr-Cyrl-CS"/>
        </w:rPr>
        <w:t xml:space="preserve"> 29,9% </w:t>
      </w:r>
      <w:r w:rsidR="003B0023" w:rsidRPr="005303F7">
        <w:rPr>
          <w:rFonts w:ascii="Times New Roman" w:hAnsi="Times New Roman"/>
          <w:sz w:val="24"/>
          <w:szCs w:val="22"/>
          <w:lang w:val="sr-Cyrl-CS"/>
        </w:rPr>
        <w:lastRenderedPageBreak/>
        <w:t>од</w:t>
      </w:r>
      <w:r w:rsidR="00D17F4D" w:rsidRPr="005303F7">
        <w:rPr>
          <w:rFonts w:ascii="Times New Roman" w:hAnsi="Times New Roman"/>
          <w:sz w:val="24"/>
          <w:szCs w:val="22"/>
          <w:lang w:val="sr-Cyrl-CS"/>
        </w:rPr>
        <w:t xml:space="preserve"> 1990. </w:t>
      </w:r>
      <w:r w:rsidR="003B0023" w:rsidRPr="005303F7">
        <w:rPr>
          <w:rFonts w:ascii="Times New Roman" w:hAnsi="Times New Roman"/>
          <w:sz w:val="24"/>
          <w:szCs w:val="22"/>
          <w:lang w:val="sr-Cyrl-CS"/>
        </w:rPr>
        <w:t>године</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w:t>
      </w:r>
      <w:r w:rsidR="00D17F4D" w:rsidRPr="005303F7">
        <w:rPr>
          <w:rFonts w:ascii="Times New Roman" w:hAnsi="Times New Roman"/>
          <w:sz w:val="24"/>
          <w:szCs w:val="22"/>
          <w:lang w:val="sr-Cyrl-CS"/>
        </w:rPr>
        <w:t xml:space="preserve"> 3,9% </w:t>
      </w:r>
      <w:r w:rsidR="003B0023" w:rsidRPr="005303F7">
        <w:rPr>
          <w:rFonts w:ascii="Times New Roman" w:hAnsi="Times New Roman"/>
          <w:sz w:val="24"/>
          <w:szCs w:val="22"/>
          <w:lang w:val="sr-Cyrl-CS"/>
        </w:rPr>
        <w:t>у</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односу</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на</w:t>
      </w:r>
      <w:r w:rsidR="00D17F4D" w:rsidRPr="005303F7">
        <w:rPr>
          <w:rFonts w:ascii="Times New Roman" w:hAnsi="Times New Roman"/>
          <w:sz w:val="24"/>
          <w:szCs w:val="22"/>
          <w:lang w:val="sr-Cyrl-CS"/>
        </w:rPr>
        <w:t xml:space="preserve"> 2010. </w:t>
      </w:r>
      <w:r w:rsidR="003B0023" w:rsidRPr="005303F7">
        <w:rPr>
          <w:rFonts w:ascii="Times New Roman" w:hAnsi="Times New Roman"/>
          <w:sz w:val="24"/>
          <w:szCs w:val="22"/>
          <w:lang w:val="sr-Cyrl-CS"/>
        </w:rPr>
        <w:t>годину</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највише</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због</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смањења</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емисија</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из</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индустријских</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отпадних</w:t>
      </w:r>
      <w:r w:rsidR="00D17F4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вода</w:t>
      </w:r>
      <w:r w:rsidR="003D786B" w:rsidRPr="005303F7">
        <w:rPr>
          <w:rFonts w:ascii="Times New Roman" w:hAnsi="Times New Roman"/>
          <w:sz w:val="24"/>
          <w:szCs w:val="22"/>
          <w:lang w:val="sr-Cyrl-CS"/>
        </w:rPr>
        <w:t>.</w:t>
      </w:r>
    </w:p>
    <w:p w14:paraId="7E818A72" w14:textId="40680AD8" w:rsidR="00F509E4" w:rsidRPr="005303F7" w:rsidRDefault="003B0023" w:rsidP="00D93231">
      <w:pPr>
        <w:pStyle w:val="Heading2"/>
        <w:numPr>
          <w:ilvl w:val="1"/>
          <w:numId w:val="40"/>
        </w:numPr>
        <w:tabs>
          <w:tab w:val="clear" w:pos="3825"/>
          <w:tab w:val="left" w:pos="1134"/>
        </w:tabs>
        <w:spacing w:after="0"/>
        <w:rPr>
          <w:rFonts w:ascii="Times New Roman" w:hAnsi="Times New Roman" w:cs="Times New Roman"/>
          <w:lang w:val="sr-Cyrl-CS"/>
        </w:rPr>
      </w:pPr>
      <w:bookmarkStart w:id="20" w:name="_Toc26686097"/>
      <w:r w:rsidRPr="005303F7">
        <w:rPr>
          <w:rFonts w:ascii="Times New Roman" w:hAnsi="Times New Roman" w:cs="Times New Roman"/>
          <w:lang w:val="sr-Cyrl-CS"/>
        </w:rPr>
        <w:t>Визиј</w:t>
      </w:r>
      <w:bookmarkEnd w:id="20"/>
      <w:r w:rsidRPr="005303F7">
        <w:rPr>
          <w:rFonts w:ascii="Times New Roman" w:hAnsi="Times New Roman" w:cs="Times New Roman"/>
          <w:lang w:val="sr-Cyrl-CS"/>
        </w:rPr>
        <w:t>а</w:t>
      </w:r>
      <w:r w:rsidR="0080000D" w:rsidRPr="005303F7">
        <w:rPr>
          <w:rFonts w:ascii="Times New Roman" w:hAnsi="Times New Roman" w:cs="Times New Roman"/>
          <w:lang w:val="sr-Cyrl-CS"/>
        </w:rPr>
        <w:t xml:space="preserve"> </w:t>
      </w:r>
    </w:p>
    <w:p w14:paraId="4AA93598" w14:textId="111907E9" w:rsidR="00F509E4" w:rsidRPr="005303F7" w:rsidRDefault="002756D9" w:rsidP="002756D9">
      <w:pPr>
        <w:tabs>
          <w:tab w:val="clear" w:pos="3825"/>
        </w:tabs>
        <w:overflowPunct/>
        <w:autoSpaceDE/>
        <w:autoSpaceDN/>
        <w:adjustRightInd/>
        <w:textAlignment w:val="auto"/>
        <w:rPr>
          <w:rFonts w:ascii="Times New Roman" w:hAnsi="Times New Roman"/>
          <w:sz w:val="24"/>
          <w:szCs w:val="22"/>
          <w:lang w:val="sr-Cyrl-CS"/>
        </w:rPr>
      </w:pPr>
      <w:r w:rsidRPr="005303F7">
        <w:rPr>
          <w:rFonts w:ascii="Times New Roman" w:hAnsi="Times New Roman"/>
          <w:sz w:val="24"/>
          <w:szCs w:val="22"/>
          <w:lang w:val="sr-Cyrl-CS"/>
        </w:rPr>
        <w:t xml:space="preserve">            </w:t>
      </w:r>
      <w:r w:rsidR="00F509E4" w:rsidRPr="005303F7">
        <w:rPr>
          <w:rFonts w:ascii="Times New Roman" w:hAnsi="Times New Roman"/>
          <w:sz w:val="24"/>
          <w:szCs w:val="22"/>
          <w:lang w:val="sr-Cyrl-CS"/>
        </w:rPr>
        <w:t>Претходно описана ситуација, дугорочни захтеви Споразума из Париза у погледу уравнотежења глобалних емисија и понора GHG у другој половини 21. века као и процес приступања ЕУ представљају основ за дугорочну визију Стратегије.</w:t>
      </w:r>
    </w:p>
    <w:p w14:paraId="5879DD90" w14:textId="5E39AE32" w:rsidR="00F509E4" w:rsidRPr="005303F7" w:rsidRDefault="00F509E4" w:rsidP="00FE004C">
      <w:pPr>
        <w:tabs>
          <w:tab w:val="clear" w:pos="3825"/>
        </w:tabs>
        <w:overflowPunct/>
        <w:autoSpaceDE/>
        <w:autoSpaceDN/>
        <w:adjustRightInd/>
        <w:ind w:firstLine="720"/>
        <w:textAlignment w:val="auto"/>
        <w:rPr>
          <w:rFonts w:ascii="Times New Roman" w:hAnsi="Times New Roman"/>
          <w:sz w:val="24"/>
          <w:szCs w:val="22"/>
          <w:lang w:val="sr-Cyrl-CS"/>
        </w:rPr>
      </w:pPr>
      <w:r w:rsidRPr="005303F7">
        <w:rPr>
          <w:rFonts w:ascii="Times New Roman" w:hAnsi="Times New Roman"/>
          <w:sz w:val="24"/>
          <w:szCs w:val="22"/>
          <w:lang w:val="sr-Cyrl-CS"/>
        </w:rPr>
        <w:t>Визија је да ће,</w:t>
      </w:r>
      <w:r w:rsidR="00AB0010" w:rsidRPr="005303F7">
        <w:rPr>
          <w:rFonts w:ascii="Times New Roman" w:hAnsi="Times New Roman"/>
          <w:sz w:val="24"/>
          <w:szCs w:val="22"/>
          <w:lang w:val="sr-Cyrl-CS"/>
        </w:rPr>
        <w:t xml:space="preserve"> до</w:t>
      </w:r>
      <w:r w:rsidRPr="005303F7">
        <w:rPr>
          <w:rFonts w:ascii="Times New Roman" w:hAnsi="Times New Roman"/>
          <w:sz w:val="24"/>
          <w:szCs w:val="22"/>
          <w:lang w:val="sr-Cyrl-CS"/>
        </w:rPr>
        <w:t xml:space="preserve"> 2050. године, </w:t>
      </w:r>
      <w:r w:rsidR="00D73AAB" w:rsidRPr="005303F7">
        <w:rPr>
          <w:rFonts w:ascii="Times New Roman" w:hAnsi="Times New Roman"/>
          <w:sz w:val="24"/>
          <w:szCs w:val="22"/>
          <w:lang w:val="sr-Cyrl-CS"/>
        </w:rPr>
        <w:t>Република Србија</w:t>
      </w:r>
      <w:r w:rsidRPr="005303F7">
        <w:rPr>
          <w:rFonts w:ascii="Times New Roman" w:hAnsi="Times New Roman"/>
          <w:sz w:val="24"/>
          <w:szCs w:val="22"/>
          <w:lang w:val="sr-Cyrl-CS"/>
        </w:rPr>
        <w:t xml:space="preserve"> бити нискоугљенично друштво са конкурентном и ресурсно ефикасном економијом која грађанима омогућава нова, зелена радна места и квалитетан живот у климатски отпорном друштву.</w:t>
      </w:r>
    </w:p>
    <w:p w14:paraId="4BC794C8" w14:textId="458271E9" w:rsidR="001A4AF8" w:rsidRPr="005303F7" w:rsidRDefault="00F509E4" w:rsidP="00FE004C">
      <w:pPr>
        <w:tabs>
          <w:tab w:val="clear" w:pos="3825"/>
        </w:tabs>
        <w:overflowPunct/>
        <w:autoSpaceDE/>
        <w:autoSpaceDN/>
        <w:adjustRightInd/>
        <w:ind w:firstLine="720"/>
        <w:textAlignment w:val="auto"/>
        <w:rPr>
          <w:rFonts w:ascii="Times New Roman" w:hAnsi="Times New Roman"/>
          <w:sz w:val="24"/>
          <w:lang w:val="sr-Cyrl-CS"/>
        </w:rPr>
      </w:pPr>
      <w:r w:rsidRPr="005303F7">
        <w:rPr>
          <w:rFonts w:ascii="Times New Roman" w:hAnsi="Times New Roman"/>
          <w:sz w:val="24"/>
          <w:szCs w:val="22"/>
          <w:lang w:val="sr-Cyrl-CS"/>
        </w:rPr>
        <w:t>Визија и стратегија подразумевају да се борба против узрока и последица климатских промена води на друштвено правичан и економс</w:t>
      </w:r>
      <w:r w:rsidR="00C5497D" w:rsidRPr="005303F7">
        <w:rPr>
          <w:rFonts w:ascii="Times New Roman" w:hAnsi="Times New Roman"/>
          <w:sz w:val="24"/>
          <w:szCs w:val="22"/>
          <w:lang w:val="sr-Cyrl-CS"/>
        </w:rPr>
        <w:t>ки исплатив начин начин који укљ</w:t>
      </w:r>
      <w:r w:rsidRPr="005303F7">
        <w:rPr>
          <w:rFonts w:ascii="Times New Roman" w:hAnsi="Times New Roman"/>
          <w:sz w:val="24"/>
          <w:szCs w:val="22"/>
          <w:lang w:val="sr-Cyrl-CS"/>
        </w:rPr>
        <w:t>учује приступ одрживог развоја на основу ког ће бити изграђено</w:t>
      </w:r>
      <w:r w:rsidR="002756D9" w:rsidRPr="005303F7">
        <w:rPr>
          <w:rFonts w:ascii="Times New Roman" w:hAnsi="Times New Roman"/>
          <w:sz w:val="24"/>
          <w:szCs w:val="22"/>
          <w:lang w:val="sr-Cyrl-CS"/>
        </w:rPr>
        <w:t xml:space="preserve"> </w:t>
      </w:r>
      <w:r w:rsidRPr="005303F7">
        <w:rPr>
          <w:rFonts w:ascii="Times New Roman" w:hAnsi="Times New Roman"/>
          <w:sz w:val="24"/>
          <w:szCs w:val="22"/>
          <w:lang w:val="sr-Cyrl-CS"/>
        </w:rPr>
        <w:t>праведније, равноправније и климатски отпорно друштво; привреда под истим условима успешно такмичити са другим економијама, а животна средина ће бити заштићена у корист будућих, али и садашњих генерација.</w:t>
      </w:r>
    </w:p>
    <w:p w14:paraId="330BFEE5" w14:textId="6A54FA10" w:rsidR="000B4A5C" w:rsidRPr="005303F7" w:rsidRDefault="003B0023" w:rsidP="00682F18">
      <w:pPr>
        <w:pStyle w:val="Einzug1"/>
        <w:rPr>
          <w:rFonts w:ascii="Times New Roman" w:hAnsi="Times New Roman" w:cs="Times New Roman"/>
          <w:lang w:val="sr-Cyrl-CS"/>
        </w:rPr>
      </w:pPr>
      <w:bookmarkStart w:id="21" w:name="_Toc26686098"/>
      <w:r w:rsidRPr="005303F7">
        <w:rPr>
          <w:rFonts w:ascii="Times New Roman" w:hAnsi="Times New Roman" w:cs="Times New Roman"/>
          <w:lang w:val="sr-Cyrl-CS"/>
        </w:rPr>
        <w:t>СЦЕНАРИЈ</w:t>
      </w:r>
      <w:r w:rsidR="008967F8" w:rsidRPr="005303F7">
        <w:rPr>
          <w:rFonts w:ascii="Times New Roman" w:hAnsi="Times New Roman" w:cs="Times New Roman"/>
          <w:lang w:val="sr-Cyrl-CS"/>
        </w:rPr>
        <w:t>А</w:t>
      </w:r>
      <w:r w:rsidR="007A7B56" w:rsidRPr="005303F7">
        <w:rPr>
          <w:rFonts w:ascii="Times New Roman" w:hAnsi="Times New Roman" w:cs="Times New Roman"/>
          <w:lang w:val="sr-Cyrl-CS"/>
        </w:rPr>
        <w:t xml:space="preserve"> </w:t>
      </w:r>
      <w:r w:rsidRPr="005303F7">
        <w:rPr>
          <w:rFonts w:ascii="Times New Roman" w:hAnsi="Times New Roman" w:cs="Times New Roman"/>
          <w:lang w:val="sr-Cyrl-CS"/>
        </w:rPr>
        <w:t>ЕМИСИЈА</w:t>
      </w:r>
      <w:r w:rsidR="007A7B56" w:rsidRPr="005303F7">
        <w:rPr>
          <w:rFonts w:ascii="Times New Roman" w:hAnsi="Times New Roman" w:cs="Times New Roman"/>
          <w:lang w:val="sr-Cyrl-CS"/>
        </w:rPr>
        <w:t xml:space="preserve"> </w:t>
      </w:r>
      <w:r w:rsidRPr="005303F7">
        <w:rPr>
          <w:rFonts w:ascii="Times New Roman" w:hAnsi="Times New Roman" w:cs="Times New Roman"/>
          <w:lang w:val="sr-Cyrl-CS"/>
        </w:rPr>
        <w:t>ГАСОВА</w:t>
      </w:r>
      <w:r w:rsidR="007A7B56" w:rsidRPr="005303F7">
        <w:rPr>
          <w:rFonts w:ascii="Times New Roman" w:hAnsi="Times New Roman" w:cs="Times New Roman"/>
          <w:lang w:val="sr-Cyrl-CS"/>
        </w:rPr>
        <w:t xml:space="preserve"> </w:t>
      </w:r>
      <w:r w:rsidRPr="005303F7">
        <w:rPr>
          <w:rFonts w:ascii="Times New Roman" w:hAnsi="Times New Roman" w:cs="Times New Roman"/>
          <w:lang w:val="sr-Cyrl-CS"/>
        </w:rPr>
        <w:t>СА</w:t>
      </w:r>
      <w:r w:rsidR="007A7B56" w:rsidRPr="005303F7">
        <w:rPr>
          <w:rFonts w:ascii="Times New Roman" w:hAnsi="Times New Roman" w:cs="Times New Roman"/>
          <w:lang w:val="sr-Cyrl-CS"/>
        </w:rPr>
        <w:t xml:space="preserve"> </w:t>
      </w:r>
      <w:r w:rsidRPr="005303F7">
        <w:rPr>
          <w:rFonts w:ascii="Times New Roman" w:hAnsi="Times New Roman" w:cs="Times New Roman"/>
          <w:lang w:val="sr-Cyrl-CS"/>
        </w:rPr>
        <w:t>ЕФЕКТОМ</w:t>
      </w:r>
      <w:r w:rsidR="007A7B56" w:rsidRPr="005303F7">
        <w:rPr>
          <w:rFonts w:ascii="Times New Roman" w:hAnsi="Times New Roman" w:cs="Times New Roman"/>
          <w:lang w:val="sr-Cyrl-CS"/>
        </w:rPr>
        <w:t xml:space="preserve"> </w:t>
      </w:r>
      <w:r w:rsidRPr="005303F7">
        <w:rPr>
          <w:rFonts w:ascii="Times New Roman" w:hAnsi="Times New Roman" w:cs="Times New Roman"/>
          <w:lang w:val="sr-Cyrl-CS"/>
        </w:rPr>
        <w:t>СТАКЛЕНЕ</w:t>
      </w:r>
      <w:r w:rsidR="007A7B56" w:rsidRPr="005303F7">
        <w:rPr>
          <w:rFonts w:ascii="Times New Roman" w:hAnsi="Times New Roman" w:cs="Times New Roman"/>
          <w:lang w:val="sr-Cyrl-CS"/>
        </w:rPr>
        <w:t xml:space="preserve"> </w:t>
      </w:r>
      <w:r w:rsidRPr="005303F7">
        <w:rPr>
          <w:rFonts w:ascii="Times New Roman" w:hAnsi="Times New Roman" w:cs="Times New Roman"/>
          <w:lang w:val="sr-Cyrl-CS"/>
        </w:rPr>
        <w:t>БАШТ</w:t>
      </w:r>
      <w:bookmarkEnd w:id="21"/>
      <w:r w:rsidRPr="005303F7">
        <w:rPr>
          <w:rFonts w:ascii="Times New Roman" w:hAnsi="Times New Roman" w:cs="Times New Roman"/>
          <w:lang w:val="sr-Cyrl-CS"/>
        </w:rPr>
        <w:t>Е</w:t>
      </w:r>
    </w:p>
    <w:p w14:paraId="16914EFC" w14:textId="5AD2F297" w:rsidR="00CB1A0D" w:rsidRPr="005303F7" w:rsidRDefault="002756D9" w:rsidP="00CB1A0D">
      <w:pPr>
        <w:rPr>
          <w:rFonts w:ascii="Times New Roman" w:hAnsi="Times New Roman"/>
          <w:sz w:val="24"/>
          <w:szCs w:val="22"/>
          <w:lang w:val="sr-Cyrl-CS"/>
        </w:rPr>
      </w:pPr>
      <w:r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За</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потребе</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Стратегије</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постизање</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климатске</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визије</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анализирано</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је</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шест</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сценарија</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емисија</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гасова</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са</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ефектом</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стаклене</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баште</w:t>
      </w:r>
      <w:r w:rsidR="00F43441" w:rsidRPr="005303F7">
        <w:rPr>
          <w:rStyle w:val="FootnoteReference"/>
          <w:rFonts w:ascii="Times New Roman" w:hAnsi="Times New Roman"/>
          <w:sz w:val="18"/>
          <w:szCs w:val="16"/>
          <w:lang w:val="sr-Cyrl-CS"/>
        </w:rPr>
        <w:footnoteReference w:id="15"/>
      </w:r>
      <w:r w:rsidR="00CB1A0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основни</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сценарији</w:t>
      </w:r>
      <w:r w:rsidR="003F368F" w:rsidRPr="005303F7">
        <w:rPr>
          <w:rFonts w:ascii="Times New Roman" w:hAnsi="Times New Roman"/>
          <w:sz w:val="24"/>
          <w:szCs w:val="22"/>
          <w:lang w:val="sr-Cyrl-CS"/>
        </w:rPr>
        <w:t>,</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Б</w:t>
      </w:r>
      <w:r w:rsidR="00D60FE1" w:rsidRPr="005303F7">
        <w:rPr>
          <w:rFonts w:ascii="Times New Roman" w:hAnsi="Times New Roman"/>
          <w:sz w:val="24"/>
          <w:szCs w:val="22"/>
          <w:lang w:val="sr-Cyrl-CS"/>
        </w:rPr>
        <w:t xml:space="preserve">1 </w:t>
      </w:r>
      <w:r w:rsidR="003B0023" w:rsidRPr="005303F7">
        <w:rPr>
          <w:rFonts w:ascii="Times New Roman" w:hAnsi="Times New Roman"/>
          <w:sz w:val="24"/>
          <w:szCs w:val="22"/>
          <w:lang w:val="sr-Cyrl-CS"/>
        </w:rPr>
        <w:t>и</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Б</w:t>
      </w:r>
      <w:r w:rsidR="00D60FE1" w:rsidRPr="005303F7">
        <w:rPr>
          <w:rFonts w:ascii="Times New Roman" w:hAnsi="Times New Roman"/>
          <w:sz w:val="24"/>
          <w:szCs w:val="22"/>
          <w:lang w:val="sr-Cyrl-CS"/>
        </w:rPr>
        <w:t>2 (</w:t>
      </w:r>
      <w:r w:rsidR="003B0023" w:rsidRPr="005303F7">
        <w:rPr>
          <w:rFonts w:ascii="Times New Roman" w:hAnsi="Times New Roman"/>
          <w:sz w:val="24"/>
          <w:szCs w:val="22"/>
          <w:lang w:val="sr-Cyrl-CS"/>
        </w:rPr>
        <w:t>који</w:t>
      </w:r>
      <w:r w:rsidR="003F368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не</w:t>
      </w:r>
      <w:r w:rsidR="003F368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предвиђају</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увођење</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нових</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мера</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усмерених</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на</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смањење</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емисија</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GHG</w:t>
      </w:r>
      <w:r w:rsidR="00D60FE1" w:rsidRPr="005303F7">
        <w:rPr>
          <w:rFonts w:ascii="Times New Roman" w:hAnsi="Times New Roman"/>
          <w:sz w:val="24"/>
          <w:szCs w:val="22"/>
          <w:lang w:val="sr-Cyrl-CS"/>
        </w:rPr>
        <w:t>)</w:t>
      </w:r>
      <w:r w:rsidR="003F368F" w:rsidRPr="005303F7">
        <w:rPr>
          <w:rFonts w:ascii="Times New Roman" w:hAnsi="Times New Roman"/>
          <w:sz w:val="24"/>
          <w:szCs w:val="22"/>
          <w:lang w:val="sr-Cyrl-CS"/>
        </w:rPr>
        <w:t>,</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четири</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сценарија</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за</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ублажавања</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усмерених</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на</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смањење</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емисија</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GHG</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укључујући</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имплементацију</w:t>
      </w:r>
      <w:r w:rsidR="00290F3A"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законодавства</w:t>
      </w:r>
      <w:r w:rsidR="00D60FE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ЕУ</w:t>
      </w:r>
      <w:r w:rsidR="00F43441" w:rsidRPr="005303F7">
        <w:rPr>
          <w:rFonts w:ascii="Times New Roman" w:hAnsi="Times New Roman"/>
          <w:sz w:val="24"/>
          <w:szCs w:val="22"/>
          <w:lang w:val="sr-Cyrl-CS"/>
        </w:rPr>
        <w:t xml:space="preserve">). </w:t>
      </w:r>
    </w:p>
    <w:p w14:paraId="78471D12" w14:textId="11067881" w:rsidR="008E7460" w:rsidRPr="005303F7" w:rsidRDefault="003B0023" w:rsidP="00FE004C">
      <w:pPr>
        <w:tabs>
          <w:tab w:val="clear" w:pos="3825"/>
        </w:tabs>
        <w:overflowPunct/>
        <w:autoSpaceDE/>
        <w:autoSpaceDN/>
        <w:adjustRightInd/>
        <w:spacing w:before="0"/>
        <w:ind w:firstLine="720"/>
        <w:textAlignment w:val="auto"/>
        <w:rPr>
          <w:rFonts w:ascii="Times New Roman" w:hAnsi="Times New Roman"/>
          <w:sz w:val="24"/>
          <w:szCs w:val="22"/>
          <w:lang w:val="sr-Cyrl-CS"/>
        </w:rPr>
      </w:pPr>
      <w:r w:rsidRPr="005303F7">
        <w:rPr>
          <w:rFonts w:ascii="Times New Roman" w:hAnsi="Times New Roman"/>
          <w:sz w:val="24"/>
          <w:szCs w:val="22"/>
          <w:lang w:val="sr-Cyrl-CS"/>
        </w:rPr>
        <w:t>Сценарији</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Б</w:t>
      </w:r>
      <w:r w:rsidR="00FE1806" w:rsidRPr="005303F7">
        <w:rPr>
          <w:rFonts w:ascii="Times New Roman" w:hAnsi="Times New Roman"/>
          <w:sz w:val="24"/>
          <w:szCs w:val="22"/>
          <w:lang w:val="sr-Cyrl-CS"/>
        </w:rPr>
        <w:t xml:space="preserve">1 </w:t>
      </w:r>
      <w:r w:rsidRPr="005303F7">
        <w:rPr>
          <w:rFonts w:ascii="Times New Roman" w:hAnsi="Times New Roman"/>
          <w:sz w:val="24"/>
          <w:szCs w:val="22"/>
          <w:lang w:val="sr-Cyrl-CS"/>
        </w:rPr>
        <w:t>и</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Б</w:t>
      </w:r>
      <w:r w:rsidR="00FE1806" w:rsidRPr="005303F7">
        <w:rPr>
          <w:rFonts w:ascii="Times New Roman" w:hAnsi="Times New Roman"/>
          <w:sz w:val="24"/>
          <w:szCs w:val="22"/>
          <w:lang w:val="sr-Cyrl-CS"/>
        </w:rPr>
        <w:t xml:space="preserve">2 </w:t>
      </w:r>
      <w:r w:rsidRPr="005303F7">
        <w:rPr>
          <w:rFonts w:ascii="Times New Roman" w:hAnsi="Times New Roman"/>
          <w:sz w:val="24"/>
          <w:szCs w:val="22"/>
          <w:lang w:val="sr-Cyrl-CS"/>
        </w:rPr>
        <w:t>претпостављају</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да</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неће</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бити</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других</w:t>
      </w:r>
      <w:r w:rsidR="00EC32D5" w:rsidRPr="005303F7">
        <w:rPr>
          <w:rFonts w:ascii="Times New Roman" w:hAnsi="Times New Roman"/>
          <w:sz w:val="24"/>
          <w:szCs w:val="22"/>
          <w:lang w:val="sr-Cyrl-CS"/>
        </w:rPr>
        <w:t xml:space="preserve"> </w:t>
      </w:r>
      <w:r w:rsidRPr="005303F7">
        <w:rPr>
          <w:rFonts w:ascii="Times New Roman" w:hAnsi="Times New Roman"/>
          <w:sz w:val="24"/>
          <w:szCs w:val="22"/>
          <w:lang w:val="sr-Cyrl-CS"/>
        </w:rPr>
        <w:t>климатских</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политика</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и</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мера</w:t>
      </w:r>
      <w:r w:rsidR="00EC32D5" w:rsidRPr="005303F7">
        <w:rPr>
          <w:rFonts w:ascii="Times New Roman" w:hAnsi="Times New Roman"/>
          <w:sz w:val="24"/>
          <w:szCs w:val="22"/>
          <w:lang w:val="sr-Cyrl-CS"/>
        </w:rPr>
        <w:t>,</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осим</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оних</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усвојених</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до</w:t>
      </w:r>
      <w:r w:rsidR="00FE1806" w:rsidRPr="005303F7">
        <w:rPr>
          <w:rFonts w:ascii="Times New Roman" w:hAnsi="Times New Roman"/>
          <w:sz w:val="24"/>
          <w:szCs w:val="22"/>
          <w:lang w:val="sr-Cyrl-CS"/>
        </w:rPr>
        <w:t xml:space="preserve"> 2015. </w:t>
      </w:r>
      <w:r w:rsidRPr="005303F7">
        <w:rPr>
          <w:rFonts w:ascii="Times New Roman" w:hAnsi="Times New Roman"/>
          <w:sz w:val="24"/>
          <w:szCs w:val="22"/>
          <w:lang w:val="sr-Cyrl-CS"/>
        </w:rPr>
        <w:t>године</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док</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Б</w:t>
      </w:r>
      <w:r w:rsidR="00FE1806" w:rsidRPr="005303F7">
        <w:rPr>
          <w:rFonts w:ascii="Times New Roman" w:hAnsi="Times New Roman"/>
          <w:sz w:val="24"/>
          <w:szCs w:val="22"/>
          <w:lang w:val="sr-Cyrl-CS"/>
        </w:rPr>
        <w:t xml:space="preserve">1 </w:t>
      </w:r>
      <w:r w:rsidRPr="005303F7">
        <w:rPr>
          <w:rFonts w:ascii="Times New Roman" w:hAnsi="Times New Roman"/>
          <w:sz w:val="24"/>
          <w:szCs w:val="22"/>
          <w:lang w:val="sr-Cyrl-CS"/>
        </w:rPr>
        <w:t>не</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разматра</w:t>
      </w:r>
      <w:r w:rsidR="00EC32D5" w:rsidRPr="005303F7">
        <w:rPr>
          <w:rFonts w:ascii="Times New Roman" w:hAnsi="Times New Roman"/>
          <w:sz w:val="24"/>
          <w:szCs w:val="22"/>
          <w:lang w:val="sr-Cyrl-CS"/>
        </w:rPr>
        <w:t xml:space="preserve"> </w:t>
      </w:r>
      <w:r w:rsidRPr="005303F7">
        <w:rPr>
          <w:rFonts w:ascii="Times New Roman" w:hAnsi="Times New Roman"/>
          <w:sz w:val="24"/>
          <w:szCs w:val="22"/>
          <w:lang w:val="sr-Cyrl-CS"/>
        </w:rPr>
        <w:t>пуну</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примену</w:t>
      </w:r>
      <w:r w:rsidR="00FE1806" w:rsidRPr="005303F7">
        <w:rPr>
          <w:rFonts w:ascii="Times New Roman" w:hAnsi="Times New Roman"/>
          <w:sz w:val="24"/>
          <w:szCs w:val="22"/>
          <w:lang w:val="sr-Cyrl-CS"/>
        </w:rPr>
        <w:t xml:space="preserve"> </w:t>
      </w:r>
      <w:r w:rsidR="00D938B5" w:rsidRPr="005303F7">
        <w:rPr>
          <w:rFonts w:ascii="Times New Roman" w:hAnsi="Times New Roman"/>
          <w:sz w:val="24"/>
          <w:szCs w:val="22"/>
          <w:lang w:val="sr-Cyrl-CS"/>
        </w:rPr>
        <w:t xml:space="preserve">Трећег </w:t>
      </w:r>
      <w:r w:rsidRPr="005303F7">
        <w:rPr>
          <w:rFonts w:ascii="Times New Roman" w:hAnsi="Times New Roman"/>
          <w:sz w:val="24"/>
          <w:szCs w:val="22"/>
          <w:lang w:val="sr-Cyrl-CS"/>
        </w:rPr>
        <w:t>Акционог</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плана</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за</w:t>
      </w:r>
      <w:r w:rsidR="00077FF7" w:rsidRPr="005303F7">
        <w:rPr>
          <w:rFonts w:ascii="Times New Roman" w:hAnsi="Times New Roman"/>
          <w:sz w:val="24"/>
          <w:szCs w:val="22"/>
          <w:lang w:val="sr-Cyrl-CS"/>
        </w:rPr>
        <w:t xml:space="preserve"> </w:t>
      </w:r>
      <w:r w:rsidRPr="005303F7">
        <w:rPr>
          <w:rFonts w:ascii="Times New Roman" w:hAnsi="Times New Roman"/>
          <w:sz w:val="24"/>
          <w:szCs w:val="22"/>
          <w:lang w:val="sr-Cyrl-CS"/>
        </w:rPr>
        <w:t>енергетску</w:t>
      </w:r>
      <w:r w:rsidR="00077FF7" w:rsidRPr="005303F7">
        <w:rPr>
          <w:rFonts w:ascii="Times New Roman" w:hAnsi="Times New Roman"/>
          <w:sz w:val="24"/>
          <w:szCs w:val="22"/>
          <w:lang w:val="sr-Cyrl-CS"/>
        </w:rPr>
        <w:t xml:space="preserve"> </w:t>
      </w:r>
      <w:r w:rsidRPr="005303F7">
        <w:rPr>
          <w:rFonts w:ascii="Times New Roman" w:hAnsi="Times New Roman"/>
          <w:sz w:val="24"/>
          <w:szCs w:val="22"/>
          <w:lang w:val="sr-Cyrl-CS"/>
        </w:rPr>
        <w:t>ефикасност</w:t>
      </w:r>
      <w:r w:rsidR="00FE1806" w:rsidRPr="005303F7">
        <w:rPr>
          <w:rFonts w:ascii="Times New Roman" w:hAnsi="Times New Roman"/>
          <w:sz w:val="24"/>
          <w:szCs w:val="22"/>
          <w:lang w:val="sr-Cyrl-CS"/>
        </w:rPr>
        <w:t xml:space="preserve"> (</w:t>
      </w:r>
      <w:r w:rsidR="00D938B5" w:rsidRPr="005303F7">
        <w:rPr>
          <w:rFonts w:ascii="Times New Roman" w:hAnsi="Times New Roman"/>
          <w:sz w:val="24"/>
          <w:szCs w:val="22"/>
          <w:lang w:val="sr-Cyrl-CS"/>
        </w:rPr>
        <w:t>„</w:t>
      </w:r>
      <w:r w:rsidR="00F54624" w:rsidRPr="005303F7">
        <w:rPr>
          <w:rFonts w:ascii="Times New Roman" w:hAnsi="Times New Roman"/>
          <w:sz w:val="24"/>
          <w:szCs w:val="22"/>
          <w:lang w:val="sr-Cyrl-CS"/>
        </w:rPr>
        <w:t xml:space="preserve">Службени </w:t>
      </w:r>
      <w:r w:rsidR="00D938B5" w:rsidRPr="005303F7">
        <w:rPr>
          <w:rFonts w:ascii="Times New Roman" w:hAnsi="Times New Roman"/>
          <w:sz w:val="24"/>
          <w:szCs w:val="22"/>
          <w:lang w:val="sr-Cyrl-CS"/>
        </w:rPr>
        <w:t>гласник РС</w:t>
      </w:r>
      <w:r w:rsidR="00F54624" w:rsidRPr="005303F7">
        <w:rPr>
          <w:rFonts w:ascii="Times New Roman" w:hAnsi="Times New Roman"/>
          <w:sz w:val="24"/>
          <w:szCs w:val="22"/>
          <w:lang w:val="sr-Cyrl-CS"/>
        </w:rPr>
        <w:t>ˮ,</w:t>
      </w:r>
      <w:r w:rsidR="007D43CB" w:rsidRPr="005303F7">
        <w:rPr>
          <w:rFonts w:ascii="Times New Roman" w:hAnsi="Times New Roman"/>
          <w:sz w:val="24"/>
          <w:szCs w:val="22"/>
          <w:lang w:val="sr-Cyrl-CS"/>
        </w:rPr>
        <w:t xml:space="preserve"> број 1/</w:t>
      </w:r>
      <w:r w:rsidR="00D938B5" w:rsidRPr="005303F7">
        <w:rPr>
          <w:rFonts w:ascii="Times New Roman" w:hAnsi="Times New Roman"/>
          <w:sz w:val="24"/>
          <w:szCs w:val="22"/>
          <w:lang w:val="sr-Cyrl-CS"/>
        </w:rPr>
        <w:t>17</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и</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Националног</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акционог</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плана</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за</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коришћење</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обновљивих</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извора</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енергије</w:t>
      </w:r>
      <w:r w:rsidR="00FE1806" w:rsidRPr="005303F7">
        <w:rPr>
          <w:rFonts w:ascii="Times New Roman" w:hAnsi="Times New Roman"/>
          <w:sz w:val="24"/>
          <w:szCs w:val="22"/>
          <w:lang w:val="sr-Cyrl-CS"/>
        </w:rPr>
        <w:t xml:space="preserve"> (</w:t>
      </w:r>
      <w:r w:rsidR="00D938B5" w:rsidRPr="005303F7">
        <w:rPr>
          <w:rFonts w:ascii="Times New Roman" w:hAnsi="Times New Roman"/>
          <w:sz w:val="24"/>
          <w:szCs w:val="22"/>
          <w:lang w:val="sr-Cyrl-CS"/>
        </w:rPr>
        <w:t>„</w:t>
      </w:r>
      <w:r w:rsidR="007D43CB" w:rsidRPr="005303F7">
        <w:rPr>
          <w:rFonts w:ascii="Times New Roman" w:hAnsi="Times New Roman"/>
          <w:sz w:val="24"/>
          <w:szCs w:val="22"/>
          <w:lang w:val="sr-Cyrl-CS"/>
        </w:rPr>
        <w:t>Службени</w:t>
      </w:r>
      <w:r w:rsidR="00D938B5" w:rsidRPr="005303F7">
        <w:rPr>
          <w:rFonts w:ascii="Times New Roman" w:hAnsi="Times New Roman"/>
          <w:sz w:val="24"/>
          <w:szCs w:val="22"/>
          <w:lang w:val="sr-Cyrl-CS"/>
        </w:rPr>
        <w:t xml:space="preserve"> гласник РС</w:t>
      </w:r>
      <w:r w:rsidR="007D43CB" w:rsidRPr="005303F7">
        <w:rPr>
          <w:rFonts w:ascii="Times New Roman" w:hAnsi="Times New Roman"/>
          <w:sz w:val="24"/>
          <w:szCs w:val="22"/>
          <w:lang w:val="sr-Cyrl-CS"/>
        </w:rPr>
        <w:t xml:space="preserve">ˮ, број </w:t>
      </w:r>
      <w:r w:rsidR="00D938B5" w:rsidRPr="005303F7">
        <w:rPr>
          <w:rFonts w:ascii="Times New Roman" w:hAnsi="Times New Roman"/>
          <w:sz w:val="24"/>
          <w:szCs w:val="22"/>
          <w:lang w:val="sr-Cyrl-CS"/>
        </w:rPr>
        <w:t>53/13)</w:t>
      </w:r>
      <w:r w:rsidR="008E7460" w:rsidRPr="005303F7">
        <w:rPr>
          <w:rFonts w:ascii="Times New Roman" w:hAnsi="Times New Roman"/>
          <w:sz w:val="24"/>
          <w:szCs w:val="22"/>
          <w:lang w:val="sr-Cyrl-CS"/>
        </w:rPr>
        <w:t xml:space="preserve">, </w:t>
      </w:r>
      <w:r w:rsidRPr="005303F7">
        <w:rPr>
          <w:rFonts w:ascii="Times New Roman" w:hAnsi="Times New Roman"/>
          <w:sz w:val="24"/>
          <w:szCs w:val="22"/>
          <w:lang w:val="sr-Cyrl-CS"/>
        </w:rPr>
        <w:t>што</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су</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обавезе</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из</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Уговора</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о</w:t>
      </w:r>
      <w:r w:rsidR="00FE1806" w:rsidRPr="005303F7">
        <w:rPr>
          <w:rFonts w:ascii="Times New Roman" w:hAnsi="Times New Roman"/>
          <w:sz w:val="24"/>
          <w:szCs w:val="22"/>
          <w:lang w:val="sr-Cyrl-CS"/>
        </w:rPr>
        <w:t xml:space="preserve"> </w:t>
      </w:r>
      <w:r w:rsidR="002756D9" w:rsidRPr="005303F7">
        <w:rPr>
          <w:rFonts w:ascii="Times New Roman" w:hAnsi="Times New Roman"/>
          <w:sz w:val="24"/>
          <w:szCs w:val="22"/>
          <w:lang w:val="sr-Cyrl-CS"/>
        </w:rPr>
        <w:t xml:space="preserve">оснивању </w:t>
      </w:r>
      <w:r w:rsidRPr="005303F7">
        <w:rPr>
          <w:rFonts w:ascii="Times New Roman" w:hAnsi="Times New Roman"/>
          <w:sz w:val="24"/>
          <w:szCs w:val="22"/>
          <w:lang w:val="sr-Cyrl-CS"/>
        </w:rPr>
        <w:t>Енергетск</w:t>
      </w:r>
      <w:r w:rsidR="002756D9" w:rsidRPr="005303F7">
        <w:rPr>
          <w:rFonts w:ascii="Times New Roman" w:hAnsi="Times New Roman"/>
          <w:sz w:val="24"/>
          <w:szCs w:val="22"/>
          <w:lang w:val="sr-Cyrl-CS"/>
        </w:rPr>
        <w:t>е</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заједниц</w:t>
      </w:r>
      <w:r w:rsidR="002756D9" w:rsidRPr="005303F7">
        <w:rPr>
          <w:rFonts w:ascii="Times New Roman" w:hAnsi="Times New Roman"/>
          <w:sz w:val="24"/>
          <w:szCs w:val="22"/>
          <w:lang w:val="sr-Cyrl-CS"/>
        </w:rPr>
        <w:t>е</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Стога</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се</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сценарио</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Б</w:t>
      </w:r>
      <w:r w:rsidR="00FE1806" w:rsidRPr="005303F7">
        <w:rPr>
          <w:rFonts w:ascii="Times New Roman" w:hAnsi="Times New Roman"/>
          <w:sz w:val="24"/>
          <w:szCs w:val="22"/>
          <w:lang w:val="sr-Cyrl-CS"/>
        </w:rPr>
        <w:t xml:space="preserve">1 </w:t>
      </w:r>
      <w:r w:rsidRPr="005303F7">
        <w:rPr>
          <w:rFonts w:ascii="Times New Roman" w:hAnsi="Times New Roman"/>
          <w:sz w:val="24"/>
          <w:szCs w:val="22"/>
          <w:lang w:val="sr-Cyrl-CS"/>
        </w:rPr>
        <w:t>неће</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сматрати</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релевантним</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за</w:t>
      </w:r>
      <w:r w:rsidR="00FE1806" w:rsidRPr="005303F7">
        <w:rPr>
          <w:rFonts w:ascii="Times New Roman" w:hAnsi="Times New Roman"/>
          <w:sz w:val="24"/>
          <w:szCs w:val="22"/>
          <w:lang w:val="sr-Cyrl-CS"/>
        </w:rPr>
        <w:t xml:space="preserve"> </w:t>
      </w:r>
      <w:r w:rsidRPr="005303F7">
        <w:rPr>
          <w:rFonts w:ascii="Times New Roman" w:hAnsi="Times New Roman"/>
          <w:sz w:val="24"/>
          <w:szCs w:val="22"/>
          <w:lang w:val="sr-Cyrl-CS"/>
        </w:rPr>
        <w:t>Стратегију</w:t>
      </w:r>
      <w:r w:rsidR="00FE1806" w:rsidRPr="005303F7">
        <w:rPr>
          <w:rFonts w:ascii="Times New Roman" w:hAnsi="Times New Roman"/>
          <w:sz w:val="24"/>
          <w:szCs w:val="22"/>
          <w:lang w:val="sr-Cyrl-CS"/>
        </w:rPr>
        <w:t>.</w:t>
      </w:r>
    </w:p>
    <w:p w14:paraId="18B908EB" w14:textId="7E445751" w:rsidR="00702AD6" w:rsidRPr="005303F7" w:rsidRDefault="00D938B5" w:rsidP="00F65621">
      <w:pPr>
        <w:spacing w:before="0" w:after="0"/>
        <w:rPr>
          <w:rFonts w:ascii="Times New Roman" w:hAnsi="Times New Roman"/>
          <w:sz w:val="24"/>
          <w:szCs w:val="22"/>
          <w:lang w:val="sr-Cyrl-CS"/>
        </w:rPr>
      </w:pPr>
      <w:r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Сви</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сценарији</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разрађени</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су</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помоћу</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модела</w:t>
      </w:r>
      <w:r w:rsidR="00543F51" w:rsidRPr="005303F7">
        <w:rPr>
          <w:rStyle w:val="FootnoteReference"/>
          <w:rFonts w:ascii="Times New Roman" w:hAnsi="Times New Roman"/>
          <w:sz w:val="18"/>
          <w:szCs w:val="22"/>
          <w:lang w:val="sr-Cyrl-CS"/>
        </w:rPr>
        <w:footnoteReference w:id="16"/>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који</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се</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користе</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w:t>
      </w:r>
      <w:r w:rsidR="00793F7A"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793F7A"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ЕУ</w:t>
      </w:r>
      <w:r w:rsidR="00793F7A"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за</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дефинисање</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циљева</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путева</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за</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периоде</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до</w:t>
      </w:r>
      <w:r w:rsidR="00D34563" w:rsidRPr="005303F7">
        <w:rPr>
          <w:rFonts w:ascii="Times New Roman" w:hAnsi="Times New Roman"/>
          <w:sz w:val="24"/>
          <w:szCs w:val="22"/>
          <w:lang w:val="sr-Cyrl-CS"/>
        </w:rPr>
        <w:t xml:space="preserve"> 2020, 2030. </w:t>
      </w:r>
      <w:r w:rsidR="003B0023" w:rsidRPr="005303F7">
        <w:rPr>
          <w:rFonts w:ascii="Times New Roman" w:hAnsi="Times New Roman"/>
          <w:sz w:val="24"/>
          <w:szCs w:val="22"/>
          <w:lang w:val="sr-Cyrl-CS"/>
        </w:rPr>
        <w:t>и</w:t>
      </w:r>
      <w:r w:rsidR="00D34563" w:rsidRPr="005303F7">
        <w:rPr>
          <w:rFonts w:ascii="Times New Roman" w:hAnsi="Times New Roman"/>
          <w:sz w:val="24"/>
          <w:szCs w:val="22"/>
          <w:lang w:val="sr-Cyrl-CS"/>
        </w:rPr>
        <w:t xml:space="preserve"> 2050. </w:t>
      </w:r>
      <w:r w:rsidR="003B0023" w:rsidRPr="005303F7">
        <w:rPr>
          <w:rFonts w:ascii="Times New Roman" w:hAnsi="Times New Roman"/>
          <w:sz w:val="24"/>
          <w:szCs w:val="22"/>
          <w:lang w:val="sr-Cyrl-CS"/>
        </w:rPr>
        <w:t>године</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одговарајућих</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политика</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мера</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док</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су</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w:t>
      </w:r>
      <w:r w:rsidR="00B80658"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националне</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околности</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узете</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обзир</w:t>
      </w:r>
      <w:r w:rsidR="00D3456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Полазна</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година</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која</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је</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узета</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као</w:t>
      </w:r>
      <w:r w:rsidR="00242077" w:rsidRPr="005303F7">
        <w:rPr>
          <w:rFonts w:ascii="Times New Roman" w:hAnsi="Times New Roman"/>
          <w:sz w:val="24"/>
          <w:szCs w:val="22"/>
          <w:lang w:val="sr-Cyrl-CS"/>
        </w:rPr>
        <w:t xml:space="preserve"> </w:t>
      </w:r>
      <w:r w:rsidR="005235E3" w:rsidRPr="005303F7">
        <w:rPr>
          <w:rFonts w:ascii="Times New Roman" w:hAnsi="Times New Roman"/>
          <w:sz w:val="24"/>
          <w:szCs w:val="22"/>
          <w:lang w:val="sr-Cyrl-CS"/>
        </w:rPr>
        <w:t>рефе</w:t>
      </w:r>
      <w:r w:rsidR="003B0023" w:rsidRPr="005303F7">
        <w:rPr>
          <w:rFonts w:ascii="Times New Roman" w:hAnsi="Times New Roman"/>
          <w:sz w:val="24"/>
          <w:szCs w:val="22"/>
          <w:lang w:val="sr-Cyrl-CS"/>
        </w:rPr>
        <w:t>р</w:t>
      </w:r>
      <w:r w:rsidR="005235E3" w:rsidRPr="005303F7">
        <w:rPr>
          <w:rFonts w:ascii="Times New Roman" w:hAnsi="Times New Roman"/>
          <w:sz w:val="24"/>
          <w:szCs w:val="22"/>
          <w:lang w:val="sr-Cyrl-CS"/>
        </w:rPr>
        <w:t>ентна вредност (engl</w:t>
      </w:r>
      <w:r w:rsidR="005235E3" w:rsidRPr="005303F7">
        <w:rPr>
          <w:rFonts w:ascii="Times New Roman" w:hAnsi="Times New Roman"/>
          <w:i/>
          <w:sz w:val="24"/>
          <w:szCs w:val="22"/>
          <w:lang w:val="sr-Cyrl-CS"/>
        </w:rPr>
        <w:t>. benchmark</w:t>
      </w:r>
      <w:r w:rsidR="005235E3" w:rsidRPr="005303F7">
        <w:rPr>
          <w:rFonts w:ascii="Times New Roman" w:hAnsi="Times New Roman"/>
          <w:sz w:val="24"/>
          <w:szCs w:val="22"/>
          <w:lang w:val="sr-Cyrl-CS"/>
        </w:rPr>
        <w:t>)</w:t>
      </w:r>
      <w:r w:rsidR="00242077"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за</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изражавање</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смањења</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емисије</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гасова</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са</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ефектом</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стаклене</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баште</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је</w:t>
      </w:r>
      <w:r w:rsidR="00C30289" w:rsidRPr="005303F7">
        <w:rPr>
          <w:rFonts w:ascii="Times New Roman" w:hAnsi="Times New Roman"/>
          <w:sz w:val="24"/>
          <w:szCs w:val="22"/>
          <w:lang w:val="sr-Cyrl-CS"/>
        </w:rPr>
        <w:t xml:space="preserve"> 2010.</w:t>
      </w:r>
      <w:r w:rsidR="002056A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година</w:t>
      </w:r>
      <w:r w:rsidR="002056AB" w:rsidRPr="005303F7">
        <w:rPr>
          <w:rFonts w:ascii="Times New Roman" w:hAnsi="Times New Roman"/>
          <w:sz w:val="24"/>
          <w:szCs w:val="22"/>
          <w:lang w:val="sr-Cyrl-CS"/>
        </w:rPr>
        <w:t>.</w:t>
      </w:r>
      <w:r w:rsidR="00624B96"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Зато</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су</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напори</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за</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смањење</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емисија</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гасова</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са</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ефектом</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стаклене</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баште</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приказани</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односу</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на</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ниво</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из</w:t>
      </w:r>
      <w:r w:rsidR="00C30289" w:rsidRPr="005303F7">
        <w:rPr>
          <w:rFonts w:ascii="Times New Roman" w:hAnsi="Times New Roman"/>
          <w:sz w:val="24"/>
          <w:szCs w:val="22"/>
          <w:lang w:val="sr-Cyrl-CS"/>
        </w:rPr>
        <w:t xml:space="preserve"> 2010. </w:t>
      </w:r>
      <w:r w:rsidR="003B0023" w:rsidRPr="005303F7">
        <w:rPr>
          <w:rFonts w:ascii="Times New Roman" w:hAnsi="Times New Roman"/>
          <w:sz w:val="24"/>
          <w:szCs w:val="22"/>
          <w:lang w:val="sr-Cyrl-CS"/>
        </w:rPr>
        <w:t>године</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Поред</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тога</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како</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би</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се</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упоредило</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смањење</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емисије</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гасова</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са</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ефектом</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стаклене</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баште</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са</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првим</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NDC</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ови</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напори</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су</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такође</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приказани</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односу</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на</w:t>
      </w:r>
      <w:r w:rsidR="00C30289" w:rsidRPr="005303F7">
        <w:rPr>
          <w:rFonts w:ascii="Times New Roman" w:hAnsi="Times New Roman"/>
          <w:sz w:val="24"/>
          <w:szCs w:val="22"/>
          <w:lang w:val="sr-Cyrl-CS"/>
        </w:rPr>
        <w:t xml:space="preserve"> 1990.</w:t>
      </w:r>
      <w:r w:rsidR="005F7F83" w:rsidRPr="005303F7">
        <w:rPr>
          <w:rFonts w:ascii="Times New Roman" w:hAnsi="Times New Roman"/>
          <w:sz w:val="24"/>
          <w:szCs w:val="22"/>
          <w:lang w:val="sr-Cyrl-CS"/>
        </w:rPr>
        <w:t xml:space="preserve"> годину</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међутим</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постизање</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циљева</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ће</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бити</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праћено</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њима</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ће</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бити</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извештавано</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односу</w:t>
      </w:r>
      <w:r w:rsidR="00C30289"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на</w:t>
      </w:r>
      <w:r w:rsidR="00C30289" w:rsidRPr="005303F7">
        <w:rPr>
          <w:rFonts w:ascii="Times New Roman" w:hAnsi="Times New Roman"/>
          <w:sz w:val="24"/>
          <w:szCs w:val="22"/>
          <w:lang w:val="sr-Cyrl-CS"/>
        </w:rPr>
        <w:t xml:space="preserve"> 2010. </w:t>
      </w:r>
      <w:r w:rsidR="003B0023" w:rsidRPr="005303F7">
        <w:rPr>
          <w:rFonts w:ascii="Times New Roman" w:hAnsi="Times New Roman"/>
          <w:sz w:val="24"/>
          <w:szCs w:val="22"/>
          <w:lang w:val="sr-Cyrl-CS"/>
        </w:rPr>
        <w:t>годину</w:t>
      </w:r>
      <w:r w:rsidR="00624B96" w:rsidRPr="005303F7">
        <w:rPr>
          <w:rFonts w:ascii="Times New Roman" w:hAnsi="Times New Roman"/>
          <w:sz w:val="24"/>
          <w:szCs w:val="22"/>
          <w:lang w:val="sr-Cyrl-CS"/>
        </w:rPr>
        <w:t>.</w:t>
      </w:r>
    </w:p>
    <w:p w14:paraId="09AB6386" w14:textId="6DBA89AD" w:rsidR="00F10311" w:rsidRPr="005303F7" w:rsidRDefault="003B0023" w:rsidP="00D93231">
      <w:pPr>
        <w:pStyle w:val="Heading2"/>
        <w:numPr>
          <w:ilvl w:val="1"/>
          <w:numId w:val="40"/>
        </w:numPr>
        <w:tabs>
          <w:tab w:val="clear" w:pos="3825"/>
          <w:tab w:val="left" w:pos="1134"/>
        </w:tabs>
        <w:rPr>
          <w:rFonts w:ascii="Times New Roman" w:hAnsi="Times New Roman" w:cs="Times New Roman"/>
          <w:lang w:val="sr-Cyrl-CS"/>
        </w:rPr>
      </w:pPr>
      <w:bookmarkStart w:id="22" w:name="_Toc26686099"/>
      <w:r w:rsidRPr="005303F7">
        <w:rPr>
          <w:rFonts w:ascii="Times New Roman" w:hAnsi="Times New Roman" w:cs="Times New Roman"/>
          <w:lang w:val="sr-Cyrl-CS"/>
        </w:rPr>
        <w:lastRenderedPageBreak/>
        <w:t>Б</w:t>
      </w:r>
      <w:r w:rsidR="00E864C8" w:rsidRPr="005303F7">
        <w:rPr>
          <w:rFonts w:ascii="Times New Roman" w:hAnsi="Times New Roman" w:cs="Times New Roman"/>
          <w:lang w:val="sr-Cyrl-CS"/>
        </w:rPr>
        <w:t xml:space="preserve">2 </w:t>
      </w:r>
      <w:r w:rsidR="00E45B23" w:rsidRPr="005303F7">
        <w:rPr>
          <w:rFonts w:ascii="Times New Roman" w:hAnsi="Times New Roman" w:cs="Times New Roman"/>
          <w:lang w:val="sr-Cyrl-CS"/>
        </w:rPr>
        <w:t>–</w:t>
      </w:r>
      <w:r w:rsidR="00E864C8" w:rsidRPr="005303F7">
        <w:rPr>
          <w:rFonts w:ascii="Times New Roman" w:hAnsi="Times New Roman" w:cs="Times New Roman"/>
          <w:lang w:val="sr-Cyrl-CS"/>
        </w:rPr>
        <w:t xml:space="preserve"> </w:t>
      </w:r>
      <w:r w:rsidRPr="005303F7">
        <w:rPr>
          <w:rFonts w:ascii="Times New Roman" w:hAnsi="Times New Roman" w:cs="Times New Roman"/>
          <w:lang w:val="sr-Cyrl-CS"/>
        </w:rPr>
        <w:t>Основни</w:t>
      </w:r>
      <w:r w:rsidR="004C0DEB" w:rsidRPr="005303F7">
        <w:rPr>
          <w:rFonts w:ascii="Times New Roman" w:hAnsi="Times New Roman" w:cs="Times New Roman"/>
          <w:lang w:val="sr-Cyrl-CS"/>
        </w:rPr>
        <w:t xml:space="preserve"> </w:t>
      </w:r>
      <w:r w:rsidRPr="005303F7">
        <w:rPr>
          <w:rFonts w:ascii="Times New Roman" w:hAnsi="Times New Roman" w:cs="Times New Roman"/>
          <w:lang w:val="sr-Cyrl-CS"/>
        </w:rPr>
        <w:t>сценари</w:t>
      </w:r>
      <w:bookmarkEnd w:id="22"/>
      <w:r w:rsidRPr="005303F7">
        <w:rPr>
          <w:rFonts w:ascii="Times New Roman" w:hAnsi="Times New Roman" w:cs="Times New Roman"/>
          <w:lang w:val="sr-Cyrl-CS"/>
        </w:rPr>
        <w:t>о</w:t>
      </w:r>
    </w:p>
    <w:p w14:paraId="5220A427" w14:textId="64B24E38" w:rsidR="00DD0662" w:rsidRPr="005303F7" w:rsidRDefault="003B0023" w:rsidP="00FE004C">
      <w:pPr>
        <w:tabs>
          <w:tab w:val="clear" w:pos="3825"/>
        </w:tabs>
        <w:overflowPunct/>
        <w:autoSpaceDE/>
        <w:autoSpaceDN/>
        <w:adjustRightInd/>
        <w:spacing w:before="0" w:after="0"/>
        <w:ind w:firstLine="720"/>
        <w:textAlignment w:val="auto"/>
        <w:rPr>
          <w:rFonts w:ascii="Times New Roman" w:hAnsi="Times New Roman"/>
          <w:b/>
          <w:bCs/>
          <w:lang w:val="sr-Cyrl-CS"/>
        </w:rPr>
      </w:pPr>
      <w:r w:rsidRPr="005303F7">
        <w:rPr>
          <w:rFonts w:ascii="Times New Roman" w:hAnsi="Times New Roman"/>
          <w:sz w:val="24"/>
          <w:lang w:val="sr-Cyrl-CS"/>
        </w:rPr>
        <w:t>Б</w:t>
      </w:r>
      <w:r w:rsidR="00220047" w:rsidRPr="005303F7">
        <w:rPr>
          <w:rFonts w:ascii="Times New Roman" w:hAnsi="Times New Roman"/>
          <w:sz w:val="24"/>
          <w:lang w:val="sr-Cyrl-CS"/>
        </w:rPr>
        <w:t xml:space="preserve">2 </w:t>
      </w:r>
      <w:r w:rsidRPr="005303F7">
        <w:rPr>
          <w:rFonts w:ascii="Times New Roman" w:hAnsi="Times New Roman"/>
          <w:sz w:val="24"/>
          <w:lang w:val="sr-Cyrl-CS"/>
        </w:rPr>
        <w:t>Основни</w:t>
      </w:r>
      <w:r w:rsidR="004C0DEB" w:rsidRPr="005303F7">
        <w:rPr>
          <w:rFonts w:ascii="Times New Roman" w:hAnsi="Times New Roman"/>
          <w:sz w:val="24"/>
          <w:lang w:val="sr-Cyrl-CS"/>
        </w:rPr>
        <w:t xml:space="preserve"> </w:t>
      </w:r>
      <w:r w:rsidRPr="005303F7">
        <w:rPr>
          <w:rFonts w:ascii="Times New Roman" w:hAnsi="Times New Roman"/>
          <w:sz w:val="24"/>
          <w:lang w:val="sr-Cyrl-CS"/>
        </w:rPr>
        <w:t>сценарио</w:t>
      </w:r>
      <w:r w:rsidR="00C543DA" w:rsidRPr="005303F7">
        <w:rPr>
          <w:rStyle w:val="FootnoteReference"/>
          <w:rFonts w:ascii="Times New Roman" w:hAnsi="Times New Roman"/>
          <w:sz w:val="18"/>
          <w:lang w:val="sr-Cyrl-CS"/>
        </w:rPr>
        <w:footnoteReference w:id="17"/>
      </w:r>
      <w:r w:rsidR="004B6673" w:rsidRPr="005303F7">
        <w:rPr>
          <w:rFonts w:ascii="Times New Roman" w:hAnsi="Times New Roman"/>
          <w:sz w:val="24"/>
          <w:lang w:val="sr-Cyrl-CS"/>
        </w:rPr>
        <w:t>,</w:t>
      </w:r>
      <w:r w:rsidR="00CE38A5" w:rsidRPr="005303F7">
        <w:rPr>
          <w:rFonts w:ascii="Times New Roman" w:hAnsi="Times New Roman"/>
          <w:sz w:val="24"/>
          <w:lang w:val="sr-Cyrl-CS"/>
        </w:rPr>
        <w:t xml:space="preserve"> </w:t>
      </w:r>
      <w:r w:rsidRPr="005303F7">
        <w:rPr>
          <w:rFonts w:ascii="Times New Roman" w:hAnsi="Times New Roman"/>
          <w:sz w:val="24"/>
          <w:lang w:val="sr-Cyrl-CS"/>
        </w:rPr>
        <w:t>претпоставља</w:t>
      </w:r>
      <w:r w:rsidR="00220047" w:rsidRPr="005303F7">
        <w:rPr>
          <w:rFonts w:ascii="Times New Roman" w:hAnsi="Times New Roman"/>
          <w:sz w:val="24"/>
          <w:lang w:val="sr-Cyrl-CS"/>
        </w:rPr>
        <w:t xml:space="preserve"> </w:t>
      </w:r>
      <w:r w:rsidRPr="005303F7">
        <w:rPr>
          <w:rFonts w:ascii="Times New Roman" w:hAnsi="Times New Roman"/>
          <w:sz w:val="24"/>
          <w:lang w:val="sr-Cyrl-CS"/>
        </w:rPr>
        <w:t>да</w:t>
      </w:r>
      <w:r w:rsidR="00220047" w:rsidRPr="005303F7">
        <w:rPr>
          <w:rFonts w:ascii="Times New Roman" w:hAnsi="Times New Roman"/>
          <w:sz w:val="24"/>
          <w:lang w:val="sr-Cyrl-CS"/>
        </w:rPr>
        <w:t xml:space="preserve"> </w:t>
      </w:r>
      <w:r w:rsidRPr="005303F7">
        <w:rPr>
          <w:rFonts w:ascii="Times New Roman" w:hAnsi="Times New Roman"/>
          <w:sz w:val="24"/>
          <w:lang w:val="sr-Cyrl-CS"/>
        </w:rPr>
        <w:t>до</w:t>
      </w:r>
      <w:r w:rsidR="00220047" w:rsidRPr="005303F7">
        <w:rPr>
          <w:rFonts w:ascii="Times New Roman" w:hAnsi="Times New Roman"/>
          <w:sz w:val="24"/>
          <w:lang w:val="sr-Cyrl-CS"/>
        </w:rPr>
        <w:t xml:space="preserve"> 2050. </w:t>
      </w:r>
      <w:r w:rsidRPr="005303F7">
        <w:rPr>
          <w:rFonts w:ascii="Times New Roman" w:hAnsi="Times New Roman"/>
          <w:sz w:val="24"/>
          <w:lang w:val="sr-Cyrl-CS"/>
        </w:rPr>
        <w:t>године</w:t>
      </w:r>
      <w:r w:rsidR="00220047" w:rsidRPr="005303F7">
        <w:rPr>
          <w:rFonts w:ascii="Times New Roman" w:hAnsi="Times New Roman"/>
          <w:sz w:val="24"/>
          <w:lang w:val="sr-Cyrl-CS"/>
        </w:rPr>
        <w:t xml:space="preserve"> </w:t>
      </w:r>
      <w:r w:rsidRPr="005303F7">
        <w:rPr>
          <w:rFonts w:ascii="Times New Roman" w:hAnsi="Times New Roman"/>
          <w:sz w:val="24"/>
          <w:lang w:val="sr-Cyrl-CS"/>
        </w:rPr>
        <w:t>неће</w:t>
      </w:r>
      <w:r w:rsidR="00220047" w:rsidRPr="005303F7">
        <w:rPr>
          <w:rFonts w:ascii="Times New Roman" w:hAnsi="Times New Roman"/>
          <w:sz w:val="24"/>
          <w:lang w:val="sr-Cyrl-CS"/>
        </w:rPr>
        <w:t xml:space="preserve"> </w:t>
      </w:r>
      <w:r w:rsidRPr="005303F7">
        <w:rPr>
          <w:rFonts w:ascii="Times New Roman" w:hAnsi="Times New Roman"/>
          <w:sz w:val="24"/>
          <w:lang w:val="sr-Cyrl-CS"/>
        </w:rPr>
        <w:t>бити</w:t>
      </w:r>
      <w:r w:rsidR="00220047" w:rsidRPr="005303F7">
        <w:rPr>
          <w:rFonts w:ascii="Times New Roman" w:hAnsi="Times New Roman"/>
          <w:sz w:val="24"/>
          <w:lang w:val="sr-Cyrl-CS"/>
        </w:rPr>
        <w:t xml:space="preserve"> </w:t>
      </w:r>
      <w:r w:rsidRPr="005303F7">
        <w:rPr>
          <w:rFonts w:ascii="Times New Roman" w:hAnsi="Times New Roman"/>
          <w:sz w:val="24"/>
          <w:lang w:val="sr-Cyrl-CS"/>
        </w:rPr>
        <w:t>усвојене</w:t>
      </w:r>
      <w:r w:rsidR="00220047" w:rsidRPr="005303F7">
        <w:rPr>
          <w:rFonts w:ascii="Times New Roman" w:hAnsi="Times New Roman"/>
          <w:sz w:val="24"/>
          <w:lang w:val="sr-Cyrl-CS"/>
        </w:rPr>
        <w:t xml:space="preserve"> </w:t>
      </w:r>
      <w:r w:rsidRPr="005303F7">
        <w:rPr>
          <w:rFonts w:ascii="Times New Roman" w:hAnsi="Times New Roman"/>
          <w:sz w:val="24"/>
          <w:lang w:val="sr-Cyrl-CS"/>
        </w:rPr>
        <w:t>друге</w:t>
      </w:r>
      <w:r w:rsidR="00220047" w:rsidRPr="005303F7">
        <w:rPr>
          <w:rFonts w:ascii="Times New Roman" w:hAnsi="Times New Roman"/>
          <w:sz w:val="24"/>
          <w:lang w:val="sr-Cyrl-CS"/>
        </w:rPr>
        <w:t xml:space="preserve"> </w:t>
      </w:r>
      <w:r w:rsidRPr="005303F7">
        <w:rPr>
          <w:rFonts w:ascii="Times New Roman" w:hAnsi="Times New Roman"/>
          <w:sz w:val="24"/>
          <w:lang w:val="sr-Cyrl-CS"/>
        </w:rPr>
        <w:t>политике</w:t>
      </w:r>
      <w:r w:rsidR="00220047" w:rsidRPr="005303F7">
        <w:rPr>
          <w:rFonts w:ascii="Times New Roman" w:hAnsi="Times New Roman"/>
          <w:sz w:val="24"/>
          <w:lang w:val="sr-Cyrl-CS"/>
        </w:rPr>
        <w:t xml:space="preserve"> </w:t>
      </w:r>
      <w:r w:rsidRPr="005303F7">
        <w:rPr>
          <w:rFonts w:ascii="Times New Roman" w:hAnsi="Times New Roman"/>
          <w:sz w:val="24"/>
          <w:lang w:val="sr-Cyrl-CS"/>
        </w:rPr>
        <w:t>и</w:t>
      </w:r>
      <w:r w:rsidR="00220047" w:rsidRPr="005303F7">
        <w:rPr>
          <w:rFonts w:ascii="Times New Roman" w:hAnsi="Times New Roman"/>
          <w:sz w:val="24"/>
          <w:lang w:val="sr-Cyrl-CS"/>
        </w:rPr>
        <w:t xml:space="preserve"> </w:t>
      </w:r>
      <w:r w:rsidRPr="005303F7">
        <w:rPr>
          <w:rFonts w:ascii="Times New Roman" w:hAnsi="Times New Roman"/>
          <w:sz w:val="24"/>
          <w:lang w:val="sr-Cyrl-CS"/>
        </w:rPr>
        <w:t>мере</w:t>
      </w:r>
      <w:r w:rsidR="00220047" w:rsidRPr="005303F7">
        <w:rPr>
          <w:rFonts w:ascii="Times New Roman" w:hAnsi="Times New Roman"/>
          <w:sz w:val="24"/>
          <w:lang w:val="sr-Cyrl-CS"/>
        </w:rPr>
        <w:t xml:space="preserve"> </w:t>
      </w:r>
      <w:r w:rsidRPr="005303F7">
        <w:rPr>
          <w:rFonts w:ascii="Times New Roman" w:hAnsi="Times New Roman"/>
          <w:sz w:val="24"/>
          <w:lang w:val="sr-Cyrl-CS"/>
        </w:rPr>
        <w:t>које</w:t>
      </w:r>
      <w:r w:rsidR="00220047" w:rsidRPr="005303F7">
        <w:rPr>
          <w:rFonts w:ascii="Times New Roman" w:hAnsi="Times New Roman"/>
          <w:sz w:val="24"/>
          <w:lang w:val="sr-Cyrl-CS"/>
        </w:rPr>
        <w:t xml:space="preserve"> </w:t>
      </w:r>
      <w:r w:rsidRPr="005303F7">
        <w:rPr>
          <w:rFonts w:ascii="Times New Roman" w:hAnsi="Times New Roman"/>
          <w:sz w:val="24"/>
          <w:lang w:val="sr-Cyrl-CS"/>
        </w:rPr>
        <w:t>утичу</w:t>
      </w:r>
      <w:r w:rsidR="00220047" w:rsidRPr="005303F7">
        <w:rPr>
          <w:rFonts w:ascii="Times New Roman" w:hAnsi="Times New Roman"/>
          <w:sz w:val="24"/>
          <w:lang w:val="sr-Cyrl-CS"/>
        </w:rPr>
        <w:t xml:space="preserve"> </w:t>
      </w:r>
      <w:r w:rsidRPr="005303F7">
        <w:rPr>
          <w:rFonts w:ascii="Times New Roman" w:hAnsi="Times New Roman"/>
          <w:sz w:val="24"/>
          <w:lang w:val="sr-Cyrl-CS"/>
        </w:rPr>
        <w:t>на</w:t>
      </w:r>
      <w:r w:rsidR="00220047" w:rsidRPr="005303F7">
        <w:rPr>
          <w:rFonts w:ascii="Times New Roman" w:hAnsi="Times New Roman"/>
          <w:sz w:val="24"/>
          <w:lang w:val="sr-Cyrl-CS"/>
        </w:rPr>
        <w:t xml:space="preserve"> </w:t>
      </w:r>
      <w:r w:rsidRPr="005303F7">
        <w:rPr>
          <w:rFonts w:ascii="Times New Roman" w:hAnsi="Times New Roman"/>
          <w:sz w:val="24"/>
          <w:lang w:val="sr-Cyrl-CS"/>
        </w:rPr>
        <w:t>емисије</w:t>
      </w:r>
      <w:r w:rsidR="00220047" w:rsidRPr="005303F7">
        <w:rPr>
          <w:rFonts w:ascii="Times New Roman" w:hAnsi="Times New Roman"/>
          <w:sz w:val="24"/>
          <w:lang w:val="sr-Cyrl-CS"/>
        </w:rPr>
        <w:t xml:space="preserve"> </w:t>
      </w:r>
      <w:r w:rsidRPr="005303F7">
        <w:rPr>
          <w:rFonts w:ascii="Times New Roman" w:hAnsi="Times New Roman"/>
          <w:sz w:val="24"/>
          <w:lang w:val="sr-Cyrl-CS"/>
        </w:rPr>
        <w:t>гасова</w:t>
      </w:r>
      <w:r w:rsidR="00220047" w:rsidRPr="005303F7">
        <w:rPr>
          <w:rFonts w:ascii="Times New Roman" w:hAnsi="Times New Roman"/>
          <w:sz w:val="24"/>
          <w:lang w:val="sr-Cyrl-CS"/>
        </w:rPr>
        <w:t xml:space="preserve"> </w:t>
      </w:r>
      <w:r w:rsidRPr="005303F7">
        <w:rPr>
          <w:rFonts w:ascii="Times New Roman" w:hAnsi="Times New Roman"/>
          <w:sz w:val="24"/>
          <w:lang w:val="sr-Cyrl-CS"/>
        </w:rPr>
        <w:t>са</w:t>
      </w:r>
      <w:r w:rsidR="00220047" w:rsidRPr="005303F7">
        <w:rPr>
          <w:rFonts w:ascii="Times New Roman" w:hAnsi="Times New Roman"/>
          <w:sz w:val="24"/>
          <w:lang w:val="sr-Cyrl-CS"/>
        </w:rPr>
        <w:t xml:space="preserve"> </w:t>
      </w:r>
      <w:r w:rsidRPr="005303F7">
        <w:rPr>
          <w:rFonts w:ascii="Times New Roman" w:hAnsi="Times New Roman"/>
          <w:sz w:val="24"/>
          <w:lang w:val="sr-Cyrl-CS"/>
        </w:rPr>
        <w:t>ефектом</w:t>
      </w:r>
      <w:r w:rsidR="00220047" w:rsidRPr="005303F7">
        <w:rPr>
          <w:rFonts w:ascii="Times New Roman" w:hAnsi="Times New Roman"/>
          <w:sz w:val="24"/>
          <w:lang w:val="sr-Cyrl-CS"/>
        </w:rPr>
        <w:t xml:space="preserve"> </w:t>
      </w:r>
      <w:r w:rsidRPr="005303F7">
        <w:rPr>
          <w:rFonts w:ascii="Times New Roman" w:hAnsi="Times New Roman"/>
          <w:sz w:val="24"/>
          <w:lang w:val="sr-Cyrl-CS"/>
        </w:rPr>
        <w:t>стаклене</w:t>
      </w:r>
      <w:r w:rsidR="00220047" w:rsidRPr="005303F7">
        <w:rPr>
          <w:rFonts w:ascii="Times New Roman" w:hAnsi="Times New Roman"/>
          <w:sz w:val="24"/>
          <w:lang w:val="sr-Cyrl-CS"/>
        </w:rPr>
        <w:t xml:space="preserve"> </w:t>
      </w:r>
      <w:r w:rsidRPr="005303F7">
        <w:rPr>
          <w:rFonts w:ascii="Times New Roman" w:hAnsi="Times New Roman"/>
          <w:sz w:val="24"/>
          <w:lang w:val="sr-Cyrl-CS"/>
        </w:rPr>
        <w:t>баште</w:t>
      </w:r>
      <w:r w:rsidR="00761DE5" w:rsidRPr="005303F7">
        <w:rPr>
          <w:rStyle w:val="FootnoteReference"/>
          <w:rFonts w:ascii="Times New Roman" w:hAnsi="Times New Roman"/>
          <w:sz w:val="18"/>
          <w:lang w:val="sr-Cyrl-CS"/>
        </w:rPr>
        <w:footnoteReference w:id="18"/>
      </w:r>
      <w:r w:rsidR="00DD0662" w:rsidRPr="005303F7">
        <w:rPr>
          <w:rFonts w:ascii="Times New Roman" w:hAnsi="Times New Roman"/>
          <w:sz w:val="24"/>
          <w:szCs w:val="21"/>
          <w:lang w:val="sr-Cyrl-CS"/>
        </w:rPr>
        <w:t xml:space="preserve"> </w:t>
      </w:r>
      <w:r w:rsidRPr="005303F7">
        <w:rPr>
          <w:rFonts w:ascii="Times New Roman" w:hAnsi="Times New Roman"/>
          <w:sz w:val="24"/>
          <w:szCs w:val="21"/>
          <w:lang w:val="sr-Cyrl-CS"/>
        </w:rPr>
        <w:t>осим</w:t>
      </w:r>
      <w:r w:rsidR="00220047" w:rsidRPr="005303F7">
        <w:rPr>
          <w:rFonts w:ascii="Times New Roman" w:hAnsi="Times New Roman"/>
          <w:sz w:val="24"/>
          <w:szCs w:val="21"/>
          <w:lang w:val="sr-Cyrl-CS"/>
        </w:rPr>
        <w:t xml:space="preserve"> </w:t>
      </w:r>
      <w:r w:rsidRPr="005303F7">
        <w:rPr>
          <w:rFonts w:ascii="Times New Roman" w:hAnsi="Times New Roman"/>
          <w:sz w:val="24"/>
          <w:szCs w:val="21"/>
          <w:lang w:val="sr-Cyrl-CS"/>
        </w:rPr>
        <w:t>оних</w:t>
      </w:r>
      <w:r w:rsidR="00220047" w:rsidRPr="005303F7">
        <w:rPr>
          <w:rFonts w:ascii="Times New Roman" w:hAnsi="Times New Roman"/>
          <w:sz w:val="24"/>
          <w:szCs w:val="21"/>
          <w:lang w:val="sr-Cyrl-CS"/>
        </w:rPr>
        <w:t xml:space="preserve"> </w:t>
      </w:r>
      <w:r w:rsidRPr="005303F7">
        <w:rPr>
          <w:rFonts w:ascii="Times New Roman" w:hAnsi="Times New Roman"/>
          <w:sz w:val="24"/>
          <w:szCs w:val="21"/>
          <w:lang w:val="sr-Cyrl-CS"/>
        </w:rPr>
        <w:t>из</w:t>
      </w:r>
      <w:r w:rsidR="00DD0662" w:rsidRPr="005303F7">
        <w:rPr>
          <w:rFonts w:ascii="Times New Roman" w:hAnsi="Times New Roman"/>
          <w:sz w:val="24"/>
          <w:lang w:val="sr-Cyrl-CS"/>
        </w:rPr>
        <w:t xml:space="preserve"> </w:t>
      </w:r>
      <w:r w:rsidR="00DD0662" w:rsidRPr="005303F7">
        <w:rPr>
          <w:rFonts w:ascii="Times New Roman" w:hAnsi="Times New Roman"/>
          <w:sz w:val="24"/>
          <w:szCs w:val="21"/>
          <w:lang w:val="sr-Cyrl-CS"/>
        </w:rPr>
        <w:t>2015</w:t>
      </w:r>
      <w:r w:rsidR="00220047" w:rsidRPr="005303F7">
        <w:rPr>
          <w:rFonts w:ascii="Times New Roman" w:hAnsi="Times New Roman"/>
          <w:sz w:val="24"/>
          <w:szCs w:val="21"/>
          <w:lang w:val="sr-Cyrl-CS"/>
        </w:rPr>
        <w:t xml:space="preserve">. </w:t>
      </w:r>
      <w:r w:rsidRPr="005303F7">
        <w:rPr>
          <w:rFonts w:ascii="Times New Roman" w:hAnsi="Times New Roman"/>
          <w:sz w:val="24"/>
          <w:szCs w:val="21"/>
          <w:lang w:val="sr-Cyrl-CS"/>
        </w:rPr>
        <w:t>године</w:t>
      </w:r>
      <w:r w:rsidR="00DD0662" w:rsidRPr="005303F7">
        <w:rPr>
          <w:rFonts w:ascii="Times New Roman" w:hAnsi="Times New Roman"/>
          <w:sz w:val="24"/>
          <w:szCs w:val="21"/>
          <w:lang w:val="sr-Cyrl-CS"/>
        </w:rPr>
        <w:t xml:space="preserve"> </w:t>
      </w:r>
      <w:r w:rsidRPr="005303F7">
        <w:rPr>
          <w:rFonts w:ascii="Times New Roman" w:hAnsi="Times New Roman"/>
          <w:sz w:val="24"/>
          <w:szCs w:val="21"/>
          <w:lang w:val="sr-Cyrl-CS"/>
        </w:rPr>
        <w:t>и</w:t>
      </w:r>
      <w:r w:rsidR="00220047" w:rsidRPr="005303F7">
        <w:rPr>
          <w:rFonts w:ascii="Times New Roman" w:hAnsi="Times New Roman"/>
          <w:sz w:val="24"/>
          <w:szCs w:val="21"/>
          <w:lang w:val="sr-Cyrl-CS"/>
        </w:rPr>
        <w:t xml:space="preserve"> </w:t>
      </w:r>
      <w:r w:rsidRPr="005303F7">
        <w:rPr>
          <w:rFonts w:ascii="Times New Roman" w:hAnsi="Times New Roman"/>
          <w:sz w:val="24"/>
          <w:szCs w:val="21"/>
          <w:lang w:val="sr-Cyrl-CS"/>
        </w:rPr>
        <w:t>пуне</w:t>
      </w:r>
      <w:r w:rsidR="00220047" w:rsidRPr="005303F7">
        <w:rPr>
          <w:rFonts w:ascii="Times New Roman" w:hAnsi="Times New Roman"/>
          <w:sz w:val="24"/>
          <w:szCs w:val="21"/>
          <w:lang w:val="sr-Cyrl-CS"/>
        </w:rPr>
        <w:t xml:space="preserve"> </w:t>
      </w:r>
      <w:r w:rsidRPr="005303F7">
        <w:rPr>
          <w:rFonts w:ascii="Times New Roman" w:hAnsi="Times New Roman"/>
          <w:sz w:val="24"/>
          <w:szCs w:val="21"/>
          <w:lang w:val="sr-Cyrl-CS"/>
        </w:rPr>
        <w:t>примене</w:t>
      </w:r>
      <w:r w:rsidR="00DD0662" w:rsidRPr="005303F7">
        <w:rPr>
          <w:rFonts w:ascii="Times New Roman" w:hAnsi="Times New Roman"/>
          <w:sz w:val="24"/>
          <w:szCs w:val="21"/>
          <w:lang w:val="sr-Cyrl-CS"/>
        </w:rPr>
        <w:t xml:space="preserve"> </w:t>
      </w:r>
      <w:r w:rsidR="00D938B5" w:rsidRPr="005303F7">
        <w:rPr>
          <w:rFonts w:ascii="Times New Roman" w:hAnsi="Times New Roman"/>
          <w:sz w:val="24"/>
          <w:szCs w:val="21"/>
          <w:lang w:val="sr-Cyrl-CS"/>
        </w:rPr>
        <w:t>Трећег а</w:t>
      </w:r>
      <w:r w:rsidRPr="005303F7">
        <w:rPr>
          <w:rFonts w:ascii="Times New Roman" w:hAnsi="Times New Roman"/>
          <w:sz w:val="24"/>
          <w:szCs w:val="21"/>
          <w:lang w:val="sr-Cyrl-CS"/>
        </w:rPr>
        <w:t>кционог</w:t>
      </w:r>
      <w:r w:rsidR="00220047" w:rsidRPr="005303F7">
        <w:rPr>
          <w:rFonts w:ascii="Times New Roman" w:hAnsi="Times New Roman"/>
          <w:sz w:val="24"/>
          <w:szCs w:val="21"/>
          <w:lang w:val="sr-Cyrl-CS"/>
        </w:rPr>
        <w:t xml:space="preserve"> </w:t>
      </w:r>
      <w:r w:rsidRPr="005303F7">
        <w:rPr>
          <w:rFonts w:ascii="Times New Roman" w:hAnsi="Times New Roman"/>
          <w:sz w:val="24"/>
          <w:szCs w:val="21"/>
          <w:lang w:val="sr-Cyrl-CS"/>
        </w:rPr>
        <w:t>плана</w:t>
      </w:r>
      <w:r w:rsidR="00220047" w:rsidRPr="005303F7">
        <w:rPr>
          <w:rFonts w:ascii="Times New Roman" w:hAnsi="Times New Roman"/>
          <w:sz w:val="24"/>
          <w:szCs w:val="21"/>
          <w:lang w:val="sr-Cyrl-CS"/>
        </w:rPr>
        <w:t xml:space="preserve"> </w:t>
      </w:r>
      <w:r w:rsidRPr="005303F7">
        <w:rPr>
          <w:rFonts w:ascii="Times New Roman" w:hAnsi="Times New Roman"/>
          <w:sz w:val="24"/>
          <w:szCs w:val="21"/>
          <w:lang w:val="sr-Cyrl-CS"/>
        </w:rPr>
        <w:t>за</w:t>
      </w:r>
      <w:r w:rsidR="00220047" w:rsidRPr="005303F7">
        <w:rPr>
          <w:rFonts w:ascii="Times New Roman" w:hAnsi="Times New Roman"/>
          <w:sz w:val="24"/>
          <w:szCs w:val="21"/>
          <w:lang w:val="sr-Cyrl-CS"/>
        </w:rPr>
        <w:t xml:space="preserve"> </w:t>
      </w:r>
      <w:r w:rsidRPr="005303F7">
        <w:rPr>
          <w:rFonts w:ascii="Times New Roman" w:hAnsi="Times New Roman"/>
          <w:sz w:val="24"/>
          <w:szCs w:val="21"/>
          <w:lang w:val="sr-Cyrl-CS"/>
        </w:rPr>
        <w:t>енергетску</w:t>
      </w:r>
      <w:r w:rsidR="00220047" w:rsidRPr="005303F7">
        <w:rPr>
          <w:rFonts w:ascii="Times New Roman" w:hAnsi="Times New Roman"/>
          <w:sz w:val="24"/>
          <w:szCs w:val="21"/>
          <w:lang w:val="sr-Cyrl-CS"/>
        </w:rPr>
        <w:t xml:space="preserve"> </w:t>
      </w:r>
      <w:r w:rsidRPr="005303F7">
        <w:rPr>
          <w:rFonts w:ascii="Times New Roman" w:hAnsi="Times New Roman"/>
          <w:sz w:val="24"/>
          <w:szCs w:val="21"/>
          <w:lang w:val="sr-Cyrl-CS"/>
        </w:rPr>
        <w:t>ефикасност</w:t>
      </w:r>
      <w:r w:rsidR="00220047" w:rsidRPr="005303F7">
        <w:rPr>
          <w:rFonts w:ascii="Times New Roman" w:hAnsi="Times New Roman"/>
          <w:sz w:val="24"/>
          <w:szCs w:val="21"/>
          <w:lang w:val="sr-Cyrl-CS"/>
        </w:rPr>
        <w:t xml:space="preserve"> </w:t>
      </w:r>
      <w:r w:rsidR="00DD0662" w:rsidRPr="005303F7">
        <w:rPr>
          <w:rFonts w:ascii="Times New Roman" w:hAnsi="Times New Roman"/>
          <w:sz w:val="24"/>
          <w:lang w:val="sr-Cyrl-CS"/>
        </w:rPr>
        <w:t>(</w:t>
      </w:r>
      <w:r w:rsidR="00A509F8" w:rsidRPr="005303F7">
        <w:rPr>
          <w:rFonts w:ascii="Times New Roman" w:hAnsi="Times New Roman"/>
          <w:sz w:val="24"/>
          <w:lang w:val="sr-Cyrl-CS"/>
        </w:rPr>
        <w:t xml:space="preserve">у даљем тексту: </w:t>
      </w:r>
      <w:r w:rsidRPr="005303F7">
        <w:rPr>
          <w:rFonts w:ascii="Times New Roman" w:hAnsi="Times New Roman"/>
          <w:sz w:val="24"/>
          <w:lang w:val="sr-Cyrl-CS"/>
        </w:rPr>
        <w:t>АПЕЕ</w:t>
      </w:r>
      <w:r w:rsidR="00DD0662" w:rsidRPr="005303F7">
        <w:rPr>
          <w:rFonts w:ascii="Times New Roman" w:hAnsi="Times New Roman"/>
          <w:sz w:val="24"/>
          <w:lang w:val="sr-Cyrl-CS"/>
        </w:rPr>
        <w:t xml:space="preserve">) </w:t>
      </w:r>
      <w:r w:rsidRPr="005303F7">
        <w:rPr>
          <w:rFonts w:ascii="Times New Roman" w:hAnsi="Times New Roman"/>
          <w:sz w:val="24"/>
          <w:lang w:val="sr-Cyrl-CS"/>
        </w:rPr>
        <w:t>и</w:t>
      </w:r>
      <w:r w:rsidR="00415473" w:rsidRPr="005303F7">
        <w:rPr>
          <w:rFonts w:ascii="Times New Roman" w:hAnsi="Times New Roman"/>
          <w:sz w:val="24"/>
          <w:lang w:val="sr-Cyrl-CS"/>
        </w:rPr>
        <w:t xml:space="preserve"> </w:t>
      </w:r>
      <w:r w:rsidRPr="005303F7">
        <w:rPr>
          <w:rFonts w:ascii="Times New Roman" w:hAnsi="Times New Roman"/>
          <w:sz w:val="24"/>
          <w:lang w:val="sr-Cyrl-CS"/>
        </w:rPr>
        <w:t>Националног</w:t>
      </w:r>
      <w:r w:rsidR="009D0194" w:rsidRPr="005303F7">
        <w:rPr>
          <w:rFonts w:ascii="Times New Roman" w:hAnsi="Times New Roman"/>
          <w:sz w:val="24"/>
          <w:lang w:val="sr-Cyrl-CS"/>
        </w:rPr>
        <w:t xml:space="preserve"> </w:t>
      </w:r>
      <w:r w:rsidRPr="005303F7">
        <w:rPr>
          <w:rFonts w:ascii="Times New Roman" w:hAnsi="Times New Roman"/>
          <w:sz w:val="24"/>
          <w:lang w:val="sr-Cyrl-CS"/>
        </w:rPr>
        <w:t>акционог</w:t>
      </w:r>
      <w:r w:rsidR="009D0194" w:rsidRPr="005303F7">
        <w:rPr>
          <w:rFonts w:ascii="Times New Roman" w:hAnsi="Times New Roman"/>
          <w:sz w:val="24"/>
          <w:lang w:val="sr-Cyrl-CS"/>
        </w:rPr>
        <w:t xml:space="preserve"> </w:t>
      </w:r>
      <w:r w:rsidRPr="005303F7">
        <w:rPr>
          <w:rFonts w:ascii="Times New Roman" w:hAnsi="Times New Roman"/>
          <w:sz w:val="24"/>
          <w:lang w:val="sr-Cyrl-CS"/>
        </w:rPr>
        <w:t>плана</w:t>
      </w:r>
      <w:r w:rsidR="009D0194" w:rsidRPr="005303F7">
        <w:rPr>
          <w:rFonts w:ascii="Times New Roman" w:hAnsi="Times New Roman"/>
          <w:sz w:val="24"/>
          <w:lang w:val="sr-Cyrl-CS"/>
        </w:rPr>
        <w:t xml:space="preserve"> </w:t>
      </w:r>
      <w:r w:rsidRPr="005303F7">
        <w:rPr>
          <w:rFonts w:ascii="Times New Roman" w:hAnsi="Times New Roman"/>
          <w:sz w:val="24"/>
          <w:lang w:val="sr-Cyrl-CS"/>
        </w:rPr>
        <w:t>за</w:t>
      </w:r>
      <w:r w:rsidR="009D0194" w:rsidRPr="005303F7">
        <w:rPr>
          <w:rFonts w:ascii="Times New Roman" w:hAnsi="Times New Roman"/>
          <w:sz w:val="24"/>
          <w:lang w:val="sr-Cyrl-CS"/>
        </w:rPr>
        <w:t xml:space="preserve"> </w:t>
      </w:r>
      <w:r w:rsidRPr="005303F7">
        <w:rPr>
          <w:rFonts w:ascii="Times New Roman" w:hAnsi="Times New Roman"/>
          <w:sz w:val="24"/>
          <w:lang w:val="sr-Cyrl-CS"/>
        </w:rPr>
        <w:t>коришћење</w:t>
      </w:r>
      <w:r w:rsidR="009D0194" w:rsidRPr="005303F7">
        <w:rPr>
          <w:rFonts w:ascii="Times New Roman" w:hAnsi="Times New Roman"/>
          <w:sz w:val="24"/>
          <w:lang w:val="sr-Cyrl-CS"/>
        </w:rPr>
        <w:t xml:space="preserve"> </w:t>
      </w:r>
      <w:r w:rsidRPr="005303F7">
        <w:rPr>
          <w:rFonts w:ascii="Times New Roman" w:hAnsi="Times New Roman"/>
          <w:sz w:val="24"/>
          <w:lang w:val="sr-Cyrl-CS"/>
        </w:rPr>
        <w:t>обновљивих</w:t>
      </w:r>
      <w:r w:rsidR="009D0194" w:rsidRPr="005303F7">
        <w:rPr>
          <w:rFonts w:ascii="Times New Roman" w:hAnsi="Times New Roman"/>
          <w:sz w:val="24"/>
          <w:lang w:val="sr-Cyrl-CS"/>
        </w:rPr>
        <w:t xml:space="preserve"> </w:t>
      </w:r>
      <w:r w:rsidRPr="005303F7">
        <w:rPr>
          <w:rFonts w:ascii="Times New Roman" w:hAnsi="Times New Roman"/>
          <w:sz w:val="24"/>
          <w:lang w:val="sr-Cyrl-CS"/>
        </w:rPr>
        <w:t>извора</w:t>
      </w:r>
      <w:r w:rsidR="009D0194" w:rsidRPr="005303F7">
        <w:rPr>
          <w:rFonts w:ascii="Times New Roman" w:hAnsi="Times New Roman"/>
          <w:sz w:val="24"/>
          <w:lang w:val="sr-Cyrl-CS"/>
        </w:rPr>
        <w:t xml:space="preserve"> </w:t>
      </w:r>
      <w:r w:rsidRPr="005303F7">
        <w:rPr>
          <w:rFonts w:ascii="Times New Roman" w:hAnsi="Times New Roman"/>
          <w:sz w:val="24"/>
          <w:lang w:val="sr-Cyrl-CS"/>
        </w:rPr>
        <w:t>енергије</w:t>
      </w:r>
      <w:r w:rsidR="009D0194" w:rsidRPr="005303F7">
        <w:rPr>
          <w:rFonts w:ascii="Times New Roman" w:hAnsi="Times New Roman"/>
          <w:sz w:val="24"/>
          <w:lang w:val="sr-Cyrl-CS"/>
        </w:rPr>
        <w:t xml:space="preserve"> (</w:t>
      </w:r>
      <w:r w:rsidR="00D938B5" w:rsidRPr="005303F7">
        <w:rPr>
          <w:rFonts w:ascii="Times New Roman" w:hAnsi="Times New Roman"/>
          <w:sz w:val="24"/>
          <w:lang w:val="sr-Cyrl-CS"/>
        </w:rPr>
        <w:t xml:space="preserve"> у даљем тексту: </w:t>
      </w:r>
      <w:r w:rsidRPr="005303F7">
        <w:rPr>
          <w:rFonts w:ascii="Times New Roman" w:hAnsi="Times New Roman"/>
          <w:sz w:val="24"/>
          <w:lang w:val="sr-Cyrl-CS"/>
        </w:rPr>
        <w:t>НАПОИЕ</w:t>
      </w:r>
      <w:r w:rsidR="009D0194" w:rsidRPr="005303F7">
        <w:rPr>
          <w:rFonts w:ascii="Times New Roman" w:hAnsi="Times New Roman"/>
          <w:sz w:val="24"/>
          <w:lang w:val="sr-Cyrl-CS"/>
        </w:rPr>
        <w:t xml:space="preserve">), </w:t>
      </w:r>
      <w:r w:rsidRPr="005303F7">
        <w:rPr>
          <w:rFonts w:ascii="Times New Roman" w:hAnsi="Times New Roman"/>
          <w:sz w:val="24"/>
          <w:lang w:val="sr-Cyrl-CS"/>
        </w:rPr>
        <w:t>у</w:t>
      </w:r>
      <w:r w:rsidR="009D0194" w:rsidRPr="005303F7">
        <w:rPr>
          <w:rFonts w:ascii="Times New Roman" w:hAnsi="Times New Roman"/>
          <w:sz w:val="24"/>
          <w:lang w:val="sr-Cyrl-CS"/>
        </w:rPr>
        <w:t xml:space="preserve"> </w:t>
      </w:r>
      <w:r w:rsidRPr="005303F7">
        <w:rPr>
          <w:rFonts w:ascii="Times New Roman" w:hAnsi="Times New Roman"/>
          <w:sz w:val="24"/>
          <w:lang w:val="sr-Cyrl-CS"/>
        </w:rPr>
        <w:t>складу</w:t>
      </w:r>
      <w:r w:rsidR="009D0194" w:rsidRPr="005303F7">
        <w:rPr>
          <w:rFonts w:ascii="Times New Roman" w:hAnsi="Times New Roman"/>
          <w:sz w:val="24"/>
          <w:lang w:val="sr-Cyrl-CS"/>
        </w:rPr>
        <w:t xml:space="preserve"> </w:t>
      </w:r>
      <w:r w:rsidRPr="005303F7">
        <w:rPr>
          <w:rFonts w:ascii="Times New Roman" w:hAnsi="Times New Roman"/>
          <w:sz w:val="24"/>
          <w:lang w:val="sr-Cyrl-CS"/>
        </w:rPr>
        <w:t>са</w:t>
      </w:r>
      <w:r w:rsidR="009D0194" w:rsidRPr="005303F7">
        <w:rPr>
          <w:rFonts w:ascii="Times New Roman" w:hAnsi="Times New Roman"/>
          <w:sz w:val="24"/>
          <w:lang w:val="sr-Cyrl-CS"/>
        </w:rPr>
        <w:t xml:space="preserve"> </w:t>
      </w:r>
      <w:r w:rsidRPr="005303F7">
        <w:rPr>
          <w:rFonts w:ascii="Times New Roman" w:hAnsi="Times New Roman"/>
          <w:sz w:val="24"/>
          <w:lang w:val="sr-Cyrl-CS"/>
        </w:rPr>
        <w:t>обавезама</w:t>
      </w:r>
      <w:r w:rsidR="00DD0662" w:rsidRPr="005303F7">
        <w:rPr>
          <w:rFonts w:ascii="Times New Roman" w:hAnsi="Times New Roman"/>
          <w:sz w:val="24"/>
          <w:lang w:val="sr-Cyrl-CS"/>
        </w:rPr>
        <w:t xml:space="preserve">. </w:t>
      </w:r>
    </w:p>
    <w:p w14:paraId="667DD402" w14:textId="444570F8" w:rsidR="004B6673" w:rsidRPr="005303F7" w:rsidRDefault="0039680D" w:rsidP="004B6673">
      <w:pPr>
        <w:rPr>
          <w:rFonts w:ascii="Times New Roman" w:hAnsi="Times New Roman"/>
          <w:sz w:val="24"/>
          <w:szCs w:val="22"/>
          <w:lang w:val="sr-Cyrl-CS"/>
        </w:rPr>
      </w:pPr>
      <w:r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Према</w:t>
      </w:r>
      <w:r w:rsidR="00A26C0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сценарију</w:t>
      </w:r>
      <w:r w:rsidR="00A26C0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Б</w:t>
      </w:r>
      <w:r w:rsidR="00A26C0B" w:rsidRPr="005303F7">
        <w:rPr>
          <w:rFonts w:ascii="Times New Roman" w:hAnsi="Times New Roman"/>
          <w:sz w:val="24"/>
          <w:szCs w:val="22"/>
          <w:lang w:val="sr-Cyrl-CS"/>
        </w:rPr>
        <w:t>2,</w:t>
      </w:r>
      <w:r w:rsidR="004B667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емисије</w:t>
      </w:r>
      <w:r w:rsidR="00A26C0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ће</w:t>
      </w:r>
      <w:r w:rsidR="00A26C0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се</w:t>
      </w:r>
      <w:r w:rsidR="00A26C0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повећати</w:t>
      </w:r>
      <w:r w:rsidR="00A26C0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за</w:t>
      </w:r>
      <w:r w:rsidR="00A26C0B" w:rsidRPr="005303F7">
        <w:rPr>
          <w:rFonts w:ascii="Times New Roman" w:hAnsi="Times New Roman"/>
          <w:sz w:val="24"/>
          <w:szCs w:val="22"/>
          <w:lang w:val="sr-Cyrl-CS"/>
        </w:rPr>
        <w:t xml:space="preserve"> </w:t>
      </w:r>
      <w:r w:rsidR="004B6673" w:rsidRPr="005303F7">
        <w:rPr>
          <w:rFonts w:ascii="Times New Roman" w:hAnsi="Times New Roman"/>
          <w:sz w:val="24"/>
          <w:szCs w:val="22"/>
          <w:lang w:val="sr-Cyrl-CS"/>
        </w:rPr>
        <w:t xml:space="preserve">0,9% </w:t>
      </w:r>
      <w:r w:rsidR="003B0023" w:rsidRPr="005303F7">
        <w:rPr>
          <w:rFonts w:ascii="Times New Roman" w:hAnsi="Times New Roman"/>
          <w:sz w:val="24"/>
          <w:szCs w:val="22"/>
          <w:lang w:val="sr-Cyrl-CS"/>
        </w:rPr>
        <w:t>у</w:t>
      </w:r>
      <w:r w:rsidR="004B6673" w:rsidRPr="005303F7">
        <w:rPr>
          <w:rFonts w:ascii="Times New Roman" w:hAnsi="Times New Roman"/>
          <w:sz w:val="24"/>
          <w:szCs w:val="22"/>
          <w:lang w:val="sr-Cyrl-CS"/>
        </w:rPr>
        <w:t xml:space="preserve"> 2020</w:t>
      </w:r>
      <w:r w:rsidR="00A26C0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години</w:t>
      </w:r>
      <w:r w:rsidR="00A26C0B" w:rsidRPr="005303F7">
        <w:rPr>
          <w:rFonts w:ascii="Times New Roman" w:hAnsi="Times New Roman"/>
          <w:sz w:val="24"/>
          <w:szCs w:val="22"/>
          <w:lang w:val="sr-Cyrl-CS"/>
        </w:rPr>
        <w:t>,</w:t>
      </w:r>
      <w:r w:rsidR="004B6673" w:rsidRPr="005303F7">
        <w:rPr>
          <w:rFonts w:ascii="Times New Roman" w:hAnsi="Times New Roman"/>
          <w:sz w:val="24"/>
          <w:szCs w:val="22"/>
          <w:lang w:val="sr-Cyrl-CS"/>
        </w:rPr>
        <w:t xml:space="preserve"> 2,5% </w:t>
      </w:r>
      <w:r w:rsidR="003B0023" w:rsidRPr="005303F7">
        <w:rPr>
          <w:rFonts w:ascii="Times New Roman" w:hAnsi="Times New Roman"/>
          <w:sz w:val="24"/>
          <w:szCs w:val="22"/>
          <w:lang w:val="sr-Cyrl-CS"/>
        </w:rPr>
        <w:t>до</w:t>
      </w:r>
      <w:r w:rsidR="004B6673" w:rsidRPr="005303F7">
        <w:rPr>
          <w:rFonts w:ascii="Times New Roman" w:hAnsi="Times New Roman"/>
          <w:sz w:val="24"/>
          <w:szCs w:val="22"/>
          <w:lang w:val="sr-Cyrl-CS"/>
        </w:rPr>
        <w:t xml:space="preserve"> 2025</w:t>
      </w:r>
      <w:r w:rsidR="00A26C0B" w:rsidRPr="005303F7">
        <w:rPr>
          <w:rFonts w:ascii="Times New Roman" w:hAnsi="Times New Roman"/>
          <w:sz w:val="24"/>
          <w:szCs w:val="22"/>
          <w:lang w:val="sr-Cyrl-CS"/>
        </w:rPr>
        <w:t>,</w:t>
      </w:r>
      <w:r w:rsidR="004B6673" w:rsidRPr="005303F7">
        <w:rPr>
          <w:rFonts w:ascii="Times New Roman" w:hAnsi="Times New Roman"/>
          <w:sz w:val="24"/>
          <w:szCs w:val="22"/>
          <w:lang w:val="sr-Cyrl-CS"/>
        </w:rPr>
        <w:t xml:space="preserve"> 3,2% </w:t>
      </w:r>
      <w:r w:rsidR="003B0023" w:rsidRPr="005303F7">
        <w:rPr>
          <w:rFonts w:ascii="Times New Roman" w:hAnsi="Times New Roman"/>
          <w:sz w:val="24"/>
          <w:szCs w:val="22"/>
          <w:lang w:val="sr-Cyrl-CS"/>
        </w:rPr>
        <w:t>до</w:t>
      </w:r>
      <w:r w:rsidR="004B6673" w:rsidRPr="005303F7">
        <w:rPr>
          <w:rFonts w:ascii="Times New Roman" w:hAnsi="Times New Roman"/>
          <w:sz w:val="24"/>
          <w:szCs w:val="22"/>
          <w:lang w:val="sr-Cyrl-CS"/>
        </w:rPr>
        <w:t xml:space="preserve"> 2030</w:t>
      </w:r>
      <w:r w:rsidR="00A26C0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w:t>
      </w:r>
      <w:r w:rsidR="004B6673" w:rsidRPr="005303F7">
        <w:rPr>
          <w:rFonts w:ascii="Times New Roman" w:hAnsi="Times New Roman"/>
          <w:sz w:val="24"/>
          <w:szCs w:val="22"/>
          <w:lang w:val="sr-Cyrl-CS"/>
        </w:rPr>
        <w:t xml:space="preserve"> 10,7% </w:t>
      </w:r>
      <w:r w:rsidR="003B0023" w:rsidRPr="005303F7">
        <w:rPr>
          <w:rFonts w:ascii="Times New Roman" w:hAnsi="Times New Roman"/>
          <w:sz w:val="24"/>
          <w:szCs w:val="22"/>
          <w:lang w:val="sr-Cyrl-CS"/>
        </w:rPr>
        <w:t>до</w:t>
      </w:r>
      <w:r w:rsidR="004B6673" w:rsidRPr="005303F7">
        <w:rPr>
          <w:rFonts w:ascii="Times New Roman" w:hAnsi="Times New Roman"/>
          <w:sz w:val="24"/>
          <w:szCs w:val="22"/>
          <w:lang w:val="sr-Cyrl-CS"/>
        </w:rPr>
        <w:t xml:space="preserve"> 2050</w:t>
      </w:r>
      <w:r w:rsidR="00A26C0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године</w:t>
      </w:r>
      <w:r w:rsidR="00A26C0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A26C0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поређењу</w:t>
      </w:r>
      <w:r w:rsidR="00A26C0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са</w:t>
      </w:r>
      <w:r w:rsidR="00A26C0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нивоом</w:t>
      </w:r>
      <w:r w:rsidR="00A26C0B"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из</w:t>
      </w:r>
      <w:r w:rsidR="00415473" w:rsidRPr="005303F7">
        <w:rPr>
          <w:rFonts w:ascii="Times New Roman" w:hAnsi="Times New Roman"/>
          <w:sz w:val="24"/>
          <w:szCs w:val="22"/>
          <w:lang w:val="sr-Cyrl-CS"/>
        </w:rPr>
        <w:t xml:space="preserve"> </w:t>
      </w:r>
      <w:r w:rsidR="00A26C0B" w:rsidRPr="005303F7">
        <w:rPr>
          <w:rFonts w:ascii="Times New Roman" w:hAnsi="Times New Roman"/>
          <w:sz w:val="24"/>
          <w:szCs w:val="22"/>
          <w:lang w:val="sr-Cyrl-CS"/>
        </w:rPr>
        <w:t>2010.</w:t>
      </w:r>
      <w:r w:rsidR="000E5107" w:rsidRPr="005303F7">
        <w:rPr>
          <w:rFonts w:ascii="Times New Roman" w:hAnsi="Times New Roman"/>
          <w:sz w:val="24"/>
          <w:szCs w:val="22"/>
          <w:lang w:val="sr-Cyrl-CS"/>
        </w:rPr>
        <w:t xml:space="preserve"> </w:t>
      </w:r>
      <w:r w:rsidR="00890E1F" w:rsidRPr="005303F7">
        <w:rPr>
          <w:rFonts w:ascii="Times New Roman" w:hAnsi="Times New Roman"/>
          <w:sz w:val="24"/>
          <w:szCs w:val="22"/>
          <w:lang w:val="sr-Cyrl-CS"/>
        </w:rPr>
        <w:t>(</w:t>
      </w:r>
      <w:r w:rsidR="003B0023" w:rsidRPr="005303F7">
        <w:rPr>
          <w:rFonts w:ascii="Times New Roman" w:hAnsi="Times New Roman"/>
          <w:sz w:val="24"/>
          <w:szCs w:val="22"/>
          <w:lang w:val="sr-Cyrl-CS"/>
        </w:rPr>
        <w:t>Графикон</w:t>
      </w:r>
      <w:r w:rsidR="00890E1F" w:rsidRPr="005303F7">
        <w:rPr>
          <w:rFonts w:ascii="Times New Roman" w:hAnsi="Times New Roman"/>
          <w:sz w:val="24"/>
          <w:szCs w:val="22"/>
          <w:lang w:val="sr-Cyrl-CS"/>
        </w:rPr>
        <w:t xml:space="preserve"> 2)</w:t>
      </w:r>
      <w:r w:rsidR="003B695C" w:rsidRPr="005303F7">
        <w:rPr>
          <w:rFonts w:ascii="Times New Roman" w:hAnsi="Times New Roman"/>
          <w:sz w:val="24"/>
          <w:szCs w:val="22"/>
          <w:lang w:val="sr-Cyrl-CS"/>
        </w:rPr>
        <w:t>.</w:t>
      </w:r>
      <w:r w:rsidR="00890E1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За</w:t>
      </w:r>
      <w:r w:rsidR="00787AD7" w:rsidRPr="005303F7">
        <w:rPr>
          <w:rFonts w:ascii="Times New Roman" w:hAnsi="Times New Roman"/>
          <w:sz w:val="24"/>
          <w:szCs w:val="22"/>
          <w:lang w:val="sr-Cyrl-CS"/>
        </w:rPr>
        <w:t xml:space="preserve"> 2030. </w:t>
      </w:r>
      <w:r w:rsidR="003B0023" w:rsidRPr="005303F7">
        <w:rPr>
          <w:rFonts w:ascii="Times New Roman" w:hAnsi="Times New Roman"/>
          <w:sz w:val="24"/>
          <w:szCs w:val="22"/>
          <w:lang w:val="sr-Cyrl-CS"/>
        </w:rPr>
        <w:t>годину</w:t>
      </w:r>
      <w:r w:rsidR="004B6673" w:rsidRPr="005303F7">
        <w:rPr>
          <w:rFonts w:ascii="Times New Roman" w:hAnsi="Times New Roman"/>
          <w:sz w:val="24"/>
          <w:szCs w:val="22"/>
          <w:lang w:val="sr-Cyrl-CS"/>
        </w:rPr>
        <w:t xml:space="preserve">, </w:t>
      </w:r>
      <w:r w:rsidR="00BB0AA2" w:rsidRPr="005303F7">
        <w:rPr>
          <w:rFonts w:ascii="Times New Roman" w:hAnsi="Times New Roman"/>
          <w:sz w:val="24"/>
          <w:szCs w:val="22"/>
          <w:lang w:val="sr-Cyrl-CS"/>
        </w:rPr>
        <w:t>после</w:t>
      </w:r>
      <w:r w:rsidR="00FC46B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раздвајања</w:t>
      </w:r>
      <w:r w:rsidR="00E12D40" w:rsidRPr="005303F7">
        <w:rPr>
          <w:rStyle w:val="FootnoteReference"/>
          <w:rFonts w:ascii="Times New Roman" w:hAnsi="Times New Roman"/>
          <w:sz w:val="18"/>
          <w:szCs w:val="22"/>
          <w:lang w:val="sr-Cyrl-CS"/>
        </w:rPr>
        <w:footnoteReference w:id="19"/>
      </w:r>
      <w:r w:rsidR="004B667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емисија</w:t>
      </w:r>
      <w:r w:rsidR="00FC46B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w:t>
      </w:r>
      <w:r w:rsidR="00FC46B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секторима</w:t>
      </w:r>
      <w:r w:rsidR="00FC46B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пројектовано</w:t>
      </w:r>
      <w:r w:rsidR="00FC46B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је</w:t>
      </w:r>
      <w:r w:rsidR="00FC46B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повећање</w:t>
      </w:r>
      <w:r w:rsidR="00FC46B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FC46B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енергетској</w:t>
      </w:r>
      <w:r w:rsidR="00FC46B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индустрији</w:t>
      </w:r>
      <w:r w:rsidR="00FC46B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саобраћају</w:t>
      </w:r>
      <w:r w:rsidR="00FC46B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повећање</w:t>
      </w:r>
      <w:r w:rsidR="00FC46B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фугитивних</w:t>
      </w:r>
      <w:r w:rsidR="00FC46B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w:t>
      </w:r>
      <w:r w:rsidR="00FC46B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емисија</w:t>
      </w:r>
      <w:r w:rsidR="00FC46B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из</w:t>
      </w:r>
      <w:r w:rsidR="00FC46B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сектора</w:t>
      </w:r>
      <w:r w:rsidR="00FC46B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IPPU</w:t>
      </w:r>
      <w:r w:rsidR="00FC46B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Показује</w:t>
      </w:r>
      <w:r w:rsidR="0080534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се</w:t>
      </w:r>
      <w:r w:rsidR="0080534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да</w:t>
      </w:r>
      <w:r w:rsidR="0080534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ће</w:t>
      </w:r>
      <w:r w:rsidR="0080534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се</w:t>
      </w:r>
      <w:r w:rsidR="0080534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80534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истом</w:t>
      </w:r>
      <w:r w:rsidR="0080534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периоду</w:t>
      </w:r>
      <w:r w:rsidR="0080534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емисије</w:t>
      </w:r>
      <w:r w:rsidR="0080534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смањити</w:t>
      </w:r>
      <w:r w:rsidR="0080534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80534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производној</w:t>
      </w:r>
      <w:r w:rsidR="00FC6EEC"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индустрији</w:t>
      </w:r>
      <w:r w:rsidR="00FC6EEC"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w:t>
      </w:r>
      <w:r w:rsidR="0080534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грађевинарству</w:t>
      </w:r>
      <w:r w:rsidR="0080534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другим</w:t>
      </w:r>
      <w:r w:rsidR="0080534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секторима</w:t>
      </w:r>
      <w:r w:rsidR="0080534F" w:rsidRPr="005303F7">
        <w:rPr>
          <w:rFonts w:ascii="Times New Roman" w:hAnsi="Times New Roman"/>
          <w:sz w:val="24"/>
          <w:szCs w:val="22"/>
          <w:lang w:val="sr-Cyrl-CS"/>
        </w:rPr>
        <w:t xml:space="preserve"> </w:t>
      </w:r>
      <w:r w:rsidR="004B6673" w:rsidRPr="005303F7">
        <w:rPr>
          <w:rFonts w:ascii="Times New Roman" w:hAnsi="Times New Roman"/>
          <w:sz w:val="24"/>
          <w:szCs w:val="22"/>
          <w:lang w:val="sr-Cyrl-CS"/>
        </w:rPr>
        <w:t>(</w:t>
      </w:r>
      <w:r w:rsidR="003B0023" w:rsidRPr="005303F7">
        <w:rPr>
          <w:rFonts w:ascii="Times New Roman" w:hAnsi="Times New Roman"/>
          <w:sz w:val="24"/>
          <w:szCs w:val="22"/>
          <w:lang w:val="sr-Cyrl-CS"/>
        </w:rPr>
        <w:t>стамбени</w:t>
      </w:r>
      <w:r w:rsidR="0080534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w:t>
      </w:r>
      <w:r w:rsidR="0080534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пословни</w:t>
      </w:r>
      <w:r w:rsidR="004B667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пољопривреди</w:t>
      </w:r>
      <w:r w:rsidR="0080534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w:t>
      </w:r>
      <w:r w:rsidR="0080534F"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отпаду</w:t>
      </w:r>
      <w:r w:rsidR="004B6673" w:rsidRPr="005303F7">
        <w:rPr>
          <w:rFonts w:ascii="Times New Roman" w:hAnsi="Times New Roman"/>
          <w:sz w:val="24"/>
          <w:szCs w:val="22"/>
          <w:lang w:val="sr-Cyrl-CS"/>
        </w:rPr>
        <w:t>.</w:t>
      </w:r>
      <w:r w:rsidR="004B6673" w:rsidRPr="005303F7" w:rsidDel="00263210">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4B6673" w:rsidRPr="005303F7">
        <w:rPr>
          <w:rFonts w:ascii="Times New Roman" w:hAnsi="Times New Roman"/>
          <w:sz w:val="24"/>
          <w:szCs w:val="22"/>
          <w:lang w:val="sr-Cyrl-CS"/>
        </w:rPr>
        <w:t xml:space="preserve"> 2050</w:t>
      </w:r>
      <w:r w:rsidR="00DF2B2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години</w:t>
      </w:r>
      <w:r w:rsidR="004B6673" w:rsidRPr="005303F7">
        <w:rPr>
          <w:rFonts w:ascii="Times New Roman" w:hAnsi="Times New Roman"/>
          <w:sz w:val="24"/>
          <w:szCs w:val="22"/>
          <w:lang w:val="sr-Cyrl-CS"/>
        </w:rPr>
        <w:t>,</w:t>
      </w:r>
      <w:r w:rsidR="00DF2B2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доћи</w:t>
      </w:r>
      <w:r w:rsidR="00DF2B2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ће</w:t>
      </w:r>
      <w:r w:rsidR="00DF2B2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до</w:t>
      </w:r>
      <w:r w:rsidR="00DF2B2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смањења</w:t>
      </w:r>
      <w:r w:rsidR="00DF2B2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емисија</w:t>
      </w:r>
      <w:r w:rsidR="00DF2B2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из</w:t>
      </w:r>
      <w:r w:rsidR="004B667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производне</w:t>
      </w:r>
      <w:r w:rsidR="00DF6E1D"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индустрије</w:t>
      </w:r>
      <w:r w:rsidR="00DF2B2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других</w:t>
      </w:r>
      <w:r w:rsidR="00DF2B2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сектора</w:t>
      </w:r>
      <w:r w:rsidR="00DF2B2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w:t>
      </w:r>
      <w:r w:rsidR="00DF2B2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отпада</w:t>
      </w:r>
      <w:r w:rsidR="004B667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DF2B2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свим</w:t>
      </w:r>
      <w:r w:rsidR="00D7361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осталим</w:t>
      </w:r>
      <w:r w:rsidR="00DF2B2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секторима</w:t>
      </w:r>
      <w:r w:rsidR="00DF2B2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оне</w:t>
      </w:r>
      <w:r w:rsidR="00DF2B2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ће</w:t>
      </w:r>
      <w:r w:rsidR="00DF2B2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се</w:t>
      </w:r>
      <w:r w:rsidR="00DF2B24"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повећати</w:t>
      </w:r>
      <w:r w:rsidR="004B6673" w:rsidRPr="005303F7">
        <w:rPr>
          <w:rFonts w:ascii="Times New Roman" w:hAnsi="Times New Roman"/>
          <w:sz w:val="24"/>
          <w:szCs w:val="22"/>
          <w:lang w:val="sr-Cyrl-CS"/>
        </w:rPr>
        <w:t xml:space="preserve">. </w:t>
      </w:r>
    </w:p>
    <w:p w14:paraId="7C06747C" w14:textId="17547294" w:rsidR="00263210" w:rsidRPr="005303F7" w:rsidRDefault="0039680D" w:rsidP="0029378D">
      <w:pPr>
        <w:spacing w:after="0"/>
        <w:rPr>
          <w:rFonts w:ascii="Times New Roman" w:hAnsi="Times New Roman"/>
          <w:sz w:val="24"/>
          <w:szCs w:val="22"/>
          <w:lang w:val="sr-Cyrl-CS"/>
        </w:rPr>
      </w:pPr>
      <w:r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CA0D0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поређењу</w:t>
      </w:r>
      <w:r w:rsidR="00CA0D0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са</w:t>
      </w:r>
      <w:r w:rsidR="004B6673" w:rsidRPr="005303F7">
        <w:rPr>
          <w:rFonts w:ascii="Times New Roman" w:hAnsi="Times New Roman"/>
          <w:sz w:val="24"/>
          <w:szCs w:val="22"/>
          <w:lang w:val="sr-Cyrl-CS"/>
        </w:rPr>
        <w:t xml:space="preserve"> 2005</w:t>
      </w:r>
      <w:r w:rsidR="00CA0D0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годином</w:t>
      </w:r>
      <w:r w:rsidR="004B6673"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израчунато</w:t>
      </w:r>
      <w:r w:rsidR="00CA0D0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је</w:t>
      </w:r>
      <w:r w:rsidR="00CA0D0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да</w:t>
      </w:r>
      <w:r w:rsidR="00CA0D0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се</w:t>
      </w:r>
      <w:r w:rsidR="00CA0D0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емисије</w:t>
      </w:r>
      <w:r w:rsidR="00CA0D0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смање</w:t>
      </w:r>
      <w:r w:rsidR="00CA0D0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за</w:t>
      </w:r>
      <w:r w:rsidR="004B6673" w:rsidRPr="005303F7">
        <w:rPr>
          <w:rFonts w:ascii="Times New Roman" w:hAnsi="Times New Roman"/>
          <w:sz w:val="24"/>
          <w:szCs w:val="22"/>
          <w:lang w:val="sr-Cyrl-CS"/>
        </w:rPr>
        <w:t xml:space="preserve"> 5,1% </w:t>
      </w:r>
      <w:r w:rsidR="003B0023" w:rsidRPr="005303F7">
        <w:rPr>
          <w:rFonts w:ascii="Times New Roman" w:hAnsi="Times New Roman"/>
          <w:sz w:val="24"/>
          <w:szCs w:val="22"/>
          <w:lang w:val="sr-Cyrl-CS"/>
        </w:rPr>
        <w:t>до</w:t>
      </w:r>
      <w:r w:rsidR="004B6673" w:rsidRPr="005303F7">
        <w:rPr>
          <w:rFonts w:ascii="Times New Roman" w:hAnsi="Times New Roman"/>
          <w:sz w:val="24"/>
          <w:szCs w:val="22"/>
          <w:lang w:val="sr-Cyrl-CS"/>
        </w:rPr>
        <w:t xml:space="preserve"> 203</w:t>
      </w:r>
      <w:r w:rsidR="00195C14" w:rsidRPr="005303F7">
        <w:rPr>
          <w:rFonts w:ascii="Times New Roman" w:hAnsi="Times New Roman"/>
          <w:sz w:val="24"/>
          <w:szCs w:val="22"/>
          <w:lang w:val="sr-Cyrl-CS"/>
        </w:rPr>
        <w:t>0</w:t>
      </w:r>
      <w:r w:rsidR="00CA0D01" w:rsidRPr="005303F7">
        <w:rPr>
          <w:rFonts w:ascii="Times New Roman" w:hAnsi="Times New Roman"/>
          <w:sz w:val="24"/>
          <w:szCs w:val="22"/>
          <w:lang w:val="sr-Cyrl-CS"/>
        </w:rPr>
        <w:t>.</w:t>
      </w:r>
      <w:r w:rsidR="00195C14" w:rsidRPr="005303F7">
        <w:rPr>
          <w:rFonts w:ascii="Times New Roman" w:hAnsi="Times New Roman"/>
          <w:sz w:val="24"/>
          <w:szCs w:val="22"/>
          <w:lang w:val="sr-Cyrl-CS"/>
        </w:rPr>
        <w:t xml:space="preserve"> </w:t>
      </w:r>
      <w:r w:rsidR="005F7F83" w:rsidRPr="005303F7">
        <w:rPr>
          <w:rFonts w:ascii="Times New Roman" w:hAnsi="Times New Roman"/>
          <w:sz w:val="24"/>
          <w:szCs w:val="22"/>
          <w:lang w:val="sr-Cyrl-CS"/>
        </w:rPr>
        <w:t xml:space="preserve">године </w:t>
      </w:r>
      <w:r w:rsidR="003B0023" w:rsidRPr="005303F7">
        <w:rPr>
          <w:rFonts w:ascii="Times New Roman" w:hAnsi="Times New Roman"/>
          <w:sz w:val="24"/>
          <w:szCs w:val="22"/>
          <w:lang w:val="sr-Cyrl-CS"/>
        </w:rPr>
        <w:t>и</w:t>
      </w:r>
      <w:r w:rsidR="00CA0D0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повећају</w:t>
      </w:r>
      <w:r w:rsidR="00CA0D0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за</w:t>
      </w:r>
      <w:r w:rsidR="00195C14" w:rsidRPr="005303F7">
        <w:rPr>
          <w:rFonts w:ascii="Times New Roman" w:hAnsi="Times New Roman"/>
          <w:sz w:val="24"/>
          <w:szCs w:val="22"/>
          <w:lang w:val="sr-Cyrl-CS"/>
        </w:rPr>
        <w:t xml:space="preserve"> 1,9 % </w:t>
      </w:r>
      <w:r w:rsidR="003B0023" w:rsidRPr="005303F7">
        <w:rPr>
          <w:rFonts w:ascii="Times New Roman" w:hAnsi="Times New Roman"/>
          <w:sz w:val="24"/>
          <w:szCs w:val="22"/>
          <w:lang w:val="sr-Cyrl-CS"/>
        </w:rPr>
        <w:t>до</w:t>
      </w:r>
      <w:r w:rsidR="00CA0D01" w:rsidRPr="005303F7">
        <w:rPr>
          <w:rFonts w:ascii="Times New Roman" w:hAnsi="Times New Roman"/>
          <w:sz w:val="24"/>
          <w:szCs w:val="22"/>
          <w:lang w:val="sr-Cyrl-CS"/>
        </w:rPr>
        <w:t xml:space="preserve"> 2050. </w:t>
      </w:r>
      <w:r w:rsidR="003B0023" w:rsidRPr="005303F7">
        <w:rPr>
          <w:rFonts w:ascii="Times New Roman" w:hAnsi="Times New Roman"/>
          <w:sz w:val="24"/>
          <w:szCs w:val="22"/>
          <w:lang w:val="sr-Cyrl-CS"/>
        </w:rPr>
        <w:t>године</w:t>
      </w:r>
      <w:r w:rsidR="00655240"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док</w:t>
      </w:r>
      <w:r w:rsidR="00CA0D0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у</w:t>
      </w:r>
      <w:r w:rsidR="00CA0D0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поређењу</w:t>
      </w:r>
      <w:r w:rsidR="00CA0D0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са</w:t>
      </w:r>
      <w:r w:rsidR="00BB54ED" w:rsidRPr="005303F7">
        <w:rPr>
          <w:rFonts w:ascii="Times New Roman" w:hAnsi="Times New Roman"/>
          <w:sz w:val="24"/>
          <w:szCs w:val="22"/>
          <w:lang w:val="sr-Cyrl-CS"/>
        </w:rPr>
        <w:t xml:space="preserve"> </w:t>
      </w:r>
      <w:r w:rsidR="00263210" w:rsidRPr="005303F7">
        <w:rPr>
          <w:rFonts w:ascii="Times New Roman" w:hAnsi="Times New Roman"/>
          <w:sz w:val="24"/>
          <w:szCs w:val="22"/>
          <w:lang w:val="sr-Cyrl-CS"/>
        </w:rPr>
        <w:t>1990</w:t>
      </w:r>
      <w:r w:rsidR="00CA0D0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годином</w:t>
      </w:r>
      <w:r w:rsidR="00263210"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пројектовано</w:t>
      </w:r>
      <w:r w:rsidR="00CA0D0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је</w:t>
      </w:r>
      <w:r w:rsidR="00CA0D0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да</w:t>
      </w:r>
      <w:r w:rsidR="00CA0D0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се</w:t>
      </w:r>
      <w:r w:rsidR="00CA0D0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емисије</w:t>
      </w:r>
      <w:r w:rsidR="00CA0D0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смање</w:t>
      </w:r>
      <w:r w:rsidR="00CA0D0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за</w:t>
      </w:r>
      <w:r w:rsidR="00B23EE0" w:rsidRPr="005303F7">
        <w:rPr>
          <w:rFonts w:ascii="Times New Roman" w:hAnsi="Times New Roman"/>
          <w:sz w:val="24"/>
          <w:szCs w:val="22"/>
          <w:lang w:val="sr-Cyrl-CS"/>
        </w:rPr>
        <w:t xml:space="preserve"> 20,7</w:t>
      </w:r>
      <w:r w:rsidR="00263210"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до</w:t>
      </w:r>
      <w:r w:rsidR="003A0DB9" w:rsidRPr="005303F7">
        <w:rPr>
          <w:rFonts w:ascii="Times New Roman" w:hAnsi="Times New Roman"/>
          <w:sz w:val="24"/>
          <w:szCs w:val="22"/>
          <w:lang w:val="sr-Cyrl-CS"/>
        </w:rPr>
        <w:t xml:space="preserve"> </w:t>
      </w:r>
      <w:r w:rsidR="00263210" w:rsidRPr="005303F7">
        <w:rPr>
          <w:rFonts w:ascii="Times New Roman" w:hAnsi="Times New Roman"/>
          <w:sz w:val="24"/>
          <w:szCs w:val="22"/>
          <w:lang w:val="sr-Cyrl-CS"/>
        </w:rPr>
        <w:t>2030</w:t>
      </w:r>
      <w:r w:rsidR="00CA0D01" w:rsidRPr="005303F7">
        <w:rPr>
          <w:rFonts w:ascii="Times New Roman" w:hAnsi="Times New Roman"/>
          <w:sz w:val="24"/>
          <w:szCs w:val="22"/>
          <w:lang w:val="sr-Cyrl-CS"/>
        </w:rPr>
        <w:t xml:space="preserve">. </w:t>
      </w:r>
      <w:r w:rsidR="005F7F83" w:rsidRPr="005303F7">
        <w:rPr>
          <w:rFonts w:ascii="Times New Roman" w:hAnsi="Times New Roman"/>
          <w:sz w:val="24"/>
          <w:szCs w:val="22"/>
          <w:lang w:val="sr-Cyrl-CS"/>
        </w:rPr>
        <w:t xml:space="preserve">године </w:t>
      </w:r>
      <w:r w:rsidR="003B0023" w:rsidRPr="005303F7">
        <w:rPr>
          <w:rFonts w:ascii="Times New Roman" w:hAnsi="Times New Roman"/>
          <w:sz w:val="24"/>
          <w:szCs w:val="22"/>
          <w:lang w:val="sr-Cyrl-CS"/>
        </w:rPr>
        <w:t>и</w:t>
      </w:r>
      <w:r w:rsidR="00CA0D0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за</w:t>
      </w:r>
      <w:r w:rsidR="00B23EE0" w:rsidRPr="005303F7">
        <w:rPr>
          <w:rFonts w:ascii="Times New Roman" w:hAnsi="Times New Roman"/>
          <w:sz w:val="24"/>
          <w:szCs w:val="22"/>
          <w:lang w:val="sr-Cyrl-CS"/>
        </w:rPr>
        <w:t xml:space="preserve"> 14,9%</w:t>
      </w:r>
      <w:r w:rsidR="00263210"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до</w:t>
      </w:r>
      <w:r w:rsidR="00655240" w:rsidRPr="005303F7">
        <w:rPr>
          <w:rFonts w:ascii="Times New Roman" w:hAnsi="Times New Roman"/>
          <w:sz w:val="24"/>
          <w:szCs w:val="22"/>
          <w:lang w:val="sr-Cyrl-CS"/>
        </w:rPr>
        <w:t xml:space="preserve"> </w:t>
      </w:r>
      <w:r w:rsidR="00263210" w:rsidRPr="005303F7">
        <w:rPr>
          <w:rFonts w:ascii="Times New Roman" w:hAnsi="Times New Roman"/>
          <w:sz w:val="24"/>
          <w:szCs w:val="22"/>
          <w:lang w:val="sr-Cyrl-CS"/>
        </w:rPr>
        <w:t>2050.</w:t>
      </w:r>
      <w:r w:rsidR="00CA0D01" w:rsidRPr="005303F7">
        <w:rPr>
          <w:rFonts w:ascii="Times New Roman" w:hAnsi="Times New Roman"/>
          <w:sz w:val="24"/>
          <w:szCs w:val="22"/>
          <w:lang w:val="sr-Cyrl-CS"/>
        </w:rPr>
        <w:t xml:space="preserve"> </w:t>
      </w:r>
      <w:r w:rsidR="003B0023" w:rsidRPr="005303F7">
        <w:rPr>
          <w:rFonts w:ascii="Times New Roman" w:hAnsi="Times New Roman"/>
          <w:sz w:val="24"/>
          <w:szCs w:val="22"/>
          <w:lang w:val="sr-Cyrl-CS"/>
        </w:rPr>
        <w:t>године</w:t>
      </w:r>
      <w:r w:rsidR="00CA0D01" w:rsidRPr="005303F7">
        <w:rPr>
          <w:rFonts w:ascii="Times New Roman" w:hAnsi="Times New Roman"/>
          <w:sz w:val="24"/>
          <w:szCs w:val="22"/>
          <w:lang w:val="sr-Cyrl-CS"/>
        </w:rPr>
        <w:t>.</w:t>
      </w:r>
      <w:r w:rsidR="00263210" w:rsidRPr="005303F7">
        <w:rPr>
          <w:rFonts w:ascii="Times New Roman" w:hAnsi="Times New Roman"/>
          <w:sz w:val="24"/>
          <w:szCs w:val="22"/>
          <w:lang w:val="sr-Cyrl-CS"/>
        </w:rPr>
        <w:t xml:space="preserve"> </w:t>
      </w:r>
    </w:p>
    <w:p w14:paraId="7E3F2BA2" w14:textId="77777777" w:rsidR="00626878" w:rsidRPr="005303F7" w:rsidRDefault="00626878" w:rsidP="0029378D">
      <w:pPr>
        <w:spacing w:after="0"/>
        <w:rPr>
          <w:rFonts w:ascii="Times New Roman" w:hAnsi="Times New Roman"/>
          <w:sz w:val="24"/>
          <w:szCs w:val="22"/>
          <w:lang w:val="sr-Cyrl-CS"/>
        </w:rPr>
      </w:pPr>
    </w:p>
    <w:p w14:paraId="3E8F9760" w14:textId="387D5F29" w:rsidR="00195C14" w:rsidRPr="005303F7" w:rsidRDefault="00283243" w:rsidP="00BF0787">
      <w:pPr>
        <w:spacing w:before="60"/>
        <w:rPr>
          <w:rFonts w:ascii="Times New Roman" w:hAnsi="Times New Roman"/>
          <w:sz w:val="24"/>
          <w:lang w:val="sr-Cyrl-CS"/>
        </w:rPr>
      </w:pPr>
      <w:r w:rsidRPr="005303F7">
        <w:rPr>
          <w:rFonts w:ascii="Times New Roman" w:hAnsi="Times New Roman"/>
          <w:noProof/>
          <w:sz w:val="24"/>
          <w:lang w:val="sr-Cyrl-CS" w:eastAsia="en-US"/>
        </w:rPr>
        <mc:AlternateContent>
          <mc:Choice Requires="wps">
            <w:drawing>
              <wp:anchor distT="0" distB="0" distL="114300" distR="114300" simplePos="0" relativeHeight="251661312" behindDoc="0" locked="0" layoutInCell="1" allowOverlap="1" wp14:anchorId="51CA5B2C" wp14:editId="6315DEE9">
                <wp:simplePos x="0" y="0"/>
                <wp:positionH relativeFrom="column">
                  <wp:posOffset>4084985</wp:posOffset>
                </wp:positionH>
                <wp:positionV relativeFrom="paragraph">
                  <wp:posOffset>921252</wp:posOffset>
                </wp:positionV>
                <wp:extent cx="797357" cy="424281"/>
                <wp:effectExtent l="0" t="0" r="0" b="0"/>
                <wp:wrapNone/>
                <wp:docPr id="30" name="Text Box 30"/>
                <wp:cNvGraphicFramePr/>
                <a:graphic xmlns:a="http://schemas.openxmlformats.org/drawingml/2006/main">
                  <a:graphicData uri="http://schemas.microsoft.com/office/word/2010/wordprocessingShape">
                    <wps:wsp>
                      <wps:cNvSpPr txBox="1"/>
                      <wps:spPr>
                        <a:xfrm>
                          <a:off x="0" y="0"/>
                          <a:ext cx="797357" cy="424281"/>
                        </a:xfrm>
                        <a:prstGeom prst="rect">
                          <a:avLst/>
                        </a:prstGeom>
                        <a:noFill/>
                        <a:ln w="6350">
                          <a:noFill/>
                        </a:ln>
                      </wps:spPr>
                      <wps:txbx>
                        <w:txbxContent>
                          <w:p w14:paraId="5E002D67" w14:textId="14AA010C" w:rsidR="008B73DA" w:rsidRPr="00714F53" w:rsidRDefault="008B73DA" w:rsidP="00283243">
                            <w:pPr>
                              <w:rPr>
                                <w:sz w:val="16"/>
                                <w:szCs w:val="16"/>
                                <w:lang w:val="sl-SI"/>
                              </w:rPr>
                            </w:pPr>
                            <w:r w:rsidRPr="00714F53">
                              <w:rPr>
                                <w:sz w:val="16"/>
                                <w:szCs w:val="16"/>
                                <w:lang w:val="sl-SI"/>
                              </w:rPr>
                              <w:t>+</w:t>
                            </w:r>
                            <w:r>
                              <w:rPr>
                                <w:sz w:val="16"/>
                                <w:szCs w:val="16"/>
                                <w:lang w:val="sl-SI"/>
                              </w:rPr>
                              <w:t>3,2</w:t>
                            </w:r>
                            <w:r w:rsidRPr="00714F53">
                              <w:rPr>
                                <w:sz w:val="16"/>
                                <w:szCs w:val="16"/>
                                <w:lang w:val="sl-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51CA5B2C" id="_x0000_t202" coordsize="21600,21600" o:spt="202" path="m,l,21600r21600,l21600,xe">
                <v:stroke joinstyle="miter"/>
                <v:path gradientshapeok="t" o:connecttype="rect"/>
              </v:shapetype>
              <v:shape id="Text Box 30" o:spid="_x0000_s1026" type="#_x0000_t202" style="position:absolute;left:0;text-align:left;margin-left:321.65pt;margin-top:72.55pt;width:62.8pt;height:33.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EMFwIAACsEAAAOAAAAZHJzL2Uyb0RvYy54bWysU01vGyEQvVfqf0Dc67UdO05WXkduIleV&#10;rCSSU+WMWfCuBAwF7F3313dg1x9K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" filled="f" stroked="f" strokeweight=".5pt">
                <v:textbox>
                  <w:txbxContent>
                    <w:p w14:paraId="5E002D67" w14:textId="14AA010C" w:rsidR="008B73DA" w:rsidRPr="00714F53" w:rsidRDefault="008B73DA" w:rsidP="00283243">
                      <w:pPr>
                        <w:rPr>
                          <w:sz w:val="16"/>
                          <w:szCs w:val="16"/>
                          <w:lang w:val="sl-SI"/>
                        </w:rPr>
                      </w:pPr>
                      <w:r w:rsidRPr="00714F53">
                        <w:rPr>
                          <w:sz w:val="16"/>
                          <w:szCs w:val="16"/>
                          <w:lang w:val="sl-SI"/>
                        </w:rPr>
                        <w:t>+</w:t>
                      </w:r>
                      <w:r>
                        <w:rPr>
                          <w:sz w:val="16"/>
                          <w:szCs w:val="16"/>
                          <w:lang w:val="sl-SI"/>
                        </w:rPr>
                        <w:t>3,2</w:t>
                      </w:r>
                      <w:r w:rsidRPr="00714F53">
                        <w:rPr>
                          <w:sz w:val="16"/>
                          <w:szCs w:val="16"/>
                          <w:lang w:val="sl-SI"/>
                        </w:rPr>
                        <w:t>%</w:t>
                      </w:r>
                    </w:p>
                  </w:txbxContent>
                </v:textbox>
              </v:shape>
            </w:pict>
          </mc:Fallback>
        </mc:AlternateContent>
      </w:r>
      <w:r w:rsidRPr="005303F7">
        <w:rPr>
          <w:rFonts w:ascii="Times New Roman" w:hAnsi="Times New Roman"/>
          <w:noProof/>
          <w:sz w:val="24"/>
          <w:lang w:val="sr-Cyrl-CS" w:eastAsia="en-US"/>
        </w:rPr>
        <mc:AlternateContent>
          <mc:Choice Requires="wps">
            <w:drawing>
              <wp:anchor distT="0" distB="0" distL="114300" distR="114300" simplePos="0" relativeHeight="251660288" behindDoc="0" locked="0" layoutInCell="1" allowOverlap="1" wp14:anchorId="7878CD9D" wp14:editId="015735E2">
                <wp:simplePos x="0" y="0"/>
                <wp:positionH relativeFrom="column">
                  <wp:posOffset>3851969</wp:posOffset>
                </wp:positionH>
                <wp:positionV relativeFrom="paragraph">
                  <wp:posOffset>414345</wp:posOffset>
                </wp:positionV>
                <wp:extent cx="797357" cy="34381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797357" cy="343815"/>
                        </a:xfrm>
                        <a:prstGeom prst="rect">
                          <a:avLst/>
                        </a:prstGeom>
                        <a:noFill/>
                        <a:ln w="6350">
                          <a:noFill/>
                        </a:ln>
                      </wps:spPr>
                      <wps:txbx>
                        <w:txbxContent>
                          <w:p w14:paraId="59DD8401" w14:textId="5E4753C8" w:rsidR="008B73DA" w:rsidRPr="00714F53" w:rsidRDefault="008B73DA" w:rsidP="00283243">
                            <w:pPr>
                              <w:rPr>
                                <w:sz w:val="16"/>
                                <w:szCs w:val="16"/>
                                <w:lang w:val="sl-SI"/>
                              </w:rPr>
                            </w:pPr>
                            <w:r>
                              <w:rPr>
                                <w:sz w:val="16"/>
                                <w:szCs w:val="16"/>
                                <w:lang w:val="sl-SI"/>
                              </w:rPr>
                              <w:t>2030/2010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78CD9D" id="Text Box 29" o:spid="_x0000_s1027" type="#_x0000_t202" style="position:absolute;left:0;text-align:left;margin-left:303.3pt;margin-top:32.65pt;width:62.8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" filled="f" stroked="f" strokeweight=".5pt">
                <v:textbox>
                  <w:txbxContent>
                    <w:p w14:paraId="59DD8401" w14:textId="5E4753C8" w:rsidR="008B73DA" w:rsidRPr="00714F53" w:rsidRDefault="008B73DA" w:rsidP="00283243">
                      <w:pPr>
                        <w:rPr>
                          <w:sz w:val="16"/>
                          <w:szCs w:val="16"/>
                          <w:lang w:val="sl-SI"/>
                        </w:rPr>
                      </w:pPr>
                      <w:r>
                        <w:rPr>
                          <w:sz w:val="16"/>
                          <w:szCs w:val="16"/>
                          <w:lang w:val="sl-SI"/>
                        </w:rPr>
                        <w:t>2030/2010</w:t>
                      </w:r>
                    </w:p>
                  </w:txbxContent>
                </v:textbox>
              </v:shape>
            </w:pict>
          </mc:Fallback>
        </mc:AlternateContent>
      </w:r>
      <w:r w:rsidRPr="005303F7">
        <w:rPr>
          <w:rFonts w:ascii="Times New Roman" w:hAnsi="Times New Roman"/>
          <w:noProof/>
          <w:sz w:val="24"/>
          <w:lang w:val="sr-Cyrl-CS" w:eastAsia="en-US"/>
        </w:rPr>
        <mc:AlternateContent>
          <mc:Choice Requires="wps">
            <w:drawing>
              <wp:anchor distT="0" distB="0" distL="114300" distR="114300" simplePos="0" relativeHeight="251659264" behindDoc="0" locked="0" layoutInCell="1" allowOverlap="1" wp14:anchorId="35D16B28" wp14:editId="6877CC34">
                <wp:simplePos x="0" y="0"/>
                <wp:positionH relativeFrom="column">
                  <wp:posOffset>3999865</wp:posOffset>
                </wp:positionH>
                <wp:positionV relativeFrom="paragraph">
                  <wp:posOffset>675802</wp:posOffset>
                </wp:positionV>
                <wp:extent cx="0" cy="2267712"/>
                <wp:effectExtent l="0" t="0" r="38100" b="37465"/>
                <wp:wrapNone/>
                <wp:docPr id="6" name="Straight Connector 6"/>
                <wp:cNvGraphicFramePr/>
                <a:graphic xmlns:a="http://schemas.openxmlformats.org/drawingml/2006/main">
                  <a:graphicData uri="http://schemas.microsoft.com/office/word/2010/wordprocessingShape">
                    <wps:wsp>
                      <wps:cNvCnPr/>
                      <wps:spPr>
                        <a:xfrm>
                          <a:off x="0" y="0"/>
                          <a:ext cx="0" cy="22677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868BCB8"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4.95pt,53.2pt" to="314.95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" strokecolor="#1385c2 [3044]"/>
            </w:pict>
          </mc:Fallback>
        </mc:AlternateContent>
      </w:r>
      <w:r w:rsidR="00714F53" w:rsidRPr="005303F7">
        <w:rPr>
          <w:rFonts w:ascii="Times New Roman" w:hAnsi="Times New Roman"/>
          <w:noProof/>
          <w:sz w:val="24"/>
          <w:lang w:val="sr-Cyrl-CS" w:eastAsia="en-US"/>
        </w:rPr>
        <mc:AlternateContent>
          <mc:Choice Requires="wps">
            <w:drawing>
              <wp:anchor distT="0" distB="0" distL="114300" distR="114300" simplePos="0" relativeHeight="251653120" behindDoc="0" locked="0" layoutInCell="1" allowOverlap="1" wp14:anchorId="43AA6033" wp14:editId="683CBA6A">
                <wp:simplePos x="0" y="0"/>
                <wp:positionH relativeFrom="column">
                  <wp:posOffset>5149189</wp:posOffset>
                </wp:positionH>
                <wp:positionV relativeFrom="paragraph">
                  <wp:posOffset>846963</wp:posOffset>
                </wp:positionV>
                <wp:extent cx="797357" cy="424281"/>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97357" cy="424281"/>
                        </a:xfrm>
                        <a:prstGeom prst="rect">
                          <a:avLst/>
                        </a:prstGeom>
                        <a:noFill/>
                        <a:ln w="6350">
                          <a:noFill/>
                        </a:ln>
                      </wps:spPr>
                      <wps:txbx>
                        <w:txbxContent>
                          <w:p w14:paraId="05718BF5" w14:textId="19DF3678" w:rsidR="008B73DA" w:rsidRPr="00714F53" w:rsidRDefault="008B73DA">
                            <w:pPr>
                              <w:rPr>
                                <w:sz w:val="16"/>
                                <w:szCs w:val="16"/>
                                <w:lang w:val="sl-SI"/>
                              </w:rPr>
                            </w:pPr>
                            <w:r w:rsidRPr="00714F53">
                              <w:rPr>
                                <w:sz w:val="16"/>
                                <w:szCs w:val="16"/>
                                <w:lang w:val="sl-SI"/>
                              </w:rPr>
                              <w:t>+10,7%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43AA6033" id="Text Box 20" o:spid="_x0000_s1028" type="#_x0000_t202" style="position:absolute;left:0;text-align:left;margin-left:405.45pt;margin-top:66.7pt;width:62.8pt;height:33.4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" filled="f" stroked="f" strokeweight=".5pt">
                <v:textbox>
                  <w:txbxContent>
                    <w:p w14:paraId="05718BF5" w14:textId="19DF3678" w:rsidR="008B73DA" w:rsidRPr="00714F53" w:rsidRDefault="008B73DA">
                      <w:pPr>
                        <w:rPr>
                          <w:sz w:val="16"/>
                          <w:szCs w:val="16"/>
                          <w:lang w:val="sl-SI"/>
                        </w:rPr>
                      </w:pPr>
                      <w:r w:rsidRPr="00714F53">
                        <w:rPr>
                          <w:sz w:val="16"/>
                          <w:szCs w:val="16"/>
                          <w:lang w:val="sl-SI"/>
                        </w:rPr>
                        <w:t>+10,7%</w:t>
                      </w:r>
                    </w:p>
                  </w:txbxContent>
                </v:textbox>
              </v:shape>
            </w:pict>
          </mc:Fallback>
        </mc:AlternateContent>
      </w:r>
      <w:r w:rsidR="00714F53" w:rsidRPr="005303F7">
        <w:rPr>
          <w:rFonts w:ascii="Times New Roman" w:hAnsi="Times New Roman"/>
          <w:noProof/>
          <w:sz w:val="24"/>
          <w:lang w:val="sr-Cyrl-CS" w:eastAsia="en-US"/>
        </w:rPr>
        <mc:AlternateContent>
          <mc:Choice Requires="wps">
            <w:drawing>
              <wp:anchor distT="0" distB="0" distL="114300" distR="114300" simplePos="0" relativeHeight="251654144" behindDoc="0" locked="0" layoutInCell="1" allowOverlap="1" wp14:anchorId="059CBA57" wp14:editId="292AEE51">
                <wp:simplePos x="0" y="0"/>
                <wp:positionH relativeFrom="column">
                  <wp:posOffset>5237404</wp:posOffset>
                </wp:positionH>
                <wp:positionV relativeFrom="paragraph">
                  <wp:posOffset>400659</wp:posOffset>
                </wp:positionV>
                <wp:extent cx="797357" cy="34381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97357" cy="343815"/>
                        </a:xfrm>
                        <a:prstGeom prst="rect">
                          <a:avLst/>
                        </a:prstGeom>
                        <a:noFill/>
                        <a:ln w="6350">
                          <a:noFill/>
                        </a:ln>
                      </wps:spPr>
                      <wps:txbx>
                        <w:txbxContent>
                          <w:p w14:paraId="12409BFB" w14:textId="67B39AE7" w:rsidR="008B73DA" w:rsidRPr="00714F53" w:rsidRDefault="008B73DA" w:rsidP="00714F53">
                            <w:pPr>
                              <w:rPr>
                                <w:sz w:val="16"/>
                                <w:szCs w:val="16"/>
                                <w:lang w:val="sl-SI"/>
                              </w:rPr>
                            </w:pPr>
                            <w:r>
                              <w:rPr>
                                <w:sz w:val="16"/>
                                <w:szCs w:val="16"/>
                                <w:lang w:val="sl-SI"/>
                              </w:rPr>
                              <w:t>2050/2010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59CBA57" id="Text Box 22" o:spid="_x0000_s1029" type="#_x0000_t202" style="position:absolute;left:0;text-align:left;margin-left:412.4pt;margin-top:31.55pt;width:62.8pt;height:2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" filled="f" stroked="f" strokeweight=".5pt">
                <v:textbox>
                  <w:txbxContent>
                    <w:p w14:paraId="12409BFB" w14:textId="67B39AE7" w:rsidR="008B73DA" w:rsidRPr="00714F53" w:rsidRDefault="008B73DA" w:rsidP="00714F53">
                      <w:pPr>
                        <w:rPr>
                          <w:sz w:val="16"/>
                          <w:szCs w:val="16"/>
                          <w:lang w:val="sl-SI"/>
                        </w:rPr>
                      </w:pPr>
                      <w:r>
                        <w:rPr>
                          <w:sz w:val="16"/>
                          <w:szCs w:val="16"/>
                          <w:lang w:val="sl-SI"/>
                        </w:rPr>
                        <w:t>2050/2010</w:t>
                      </w:r>
                    </w:p>
                  </w:txbxContent>
                </v:textbox>
              </v:shape>
            </w:pict>
          </mc:Fallback>
        </mc:AlternateContent>
      </w:r>
      <w:r w:rsidR="00714F53" w:rsidRPr="005303F7">
        <w:rPr>
          <w:rFonts w:ascii="Times New Roman" w:hAnsi="Times New Roman"/>
          <w:noProof/>
          <w:sz w:val="24"/>
          <w:lang w:val="sr-Cyrl-CS" w:eastAsia="en-US"/>
        </w:rPr>
        <mc:AlternateContent>
          <mc:Choice Requires="wps">
            <w:drawing>
              <wp:anchor distT="0" distB="0" distL="114300" distR="114300" simplePos="0" relativeHeight="251657216" behindDoc="0" locked="0" layoutInCell="1" allowOverlap="1" wp14:anchorId="6759B9C3" wp14:editId="27C9AA92">
                <wp:simplePos x="0" y="0"/>
                <wp:positionH relativeFrom="column">
                  <wp:posOffset>5603443</wp:posOffset>
                </wp:positionH>
                <wp:positionV relativeFrom="paragraph">
                  <wp:posOffset>671728</wp:posOffset>
                </wp:positionV>
                <wp:extent cx="0" cy="2267712"/>
                <wp:effectExtent l="0" t="0" r="38100" b="37465"/>
                <wp:wrapNone/>
                <wp:docPr id="24" name="Straight Connector 24"/>
                <wp:cNvGraphicFramePr/>
                <a:graphic xmlns:a="http://schemas.openxmlformats.org/drawingml/2006/main">
                  <a:graphicData uri="http://schemas.microsoft.com/office/word/2010/wordprocessingShape">
                    <wps:wsp>
                      <wps:cNvCnPr/>
                      <wps:spPr>
                        <a:xfrm>
                          <a:off x="0" y="0"/>
                          <a:ext cx="0" cy="22677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7F94DF3" id="Straight Connector 2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41.2pt,52.9pt" to="441.2pt,2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" strokecolor="#1385c2 [3044]"/>
            </w:pict>
          </mc:Fallback>
        </mc:AlternateContent>
      </w:r>
      <w:bookmarkStart w:id="23" w:name="_Toc12858027"/>
      <w:bookmarkStart w:id="24" w:name="_Toc12880358"/>
      <w:bookmarkStart w:id="25" w:name="_Toc13088705"/>
      <w:bookmarkStart w:id="26" w:name="_Toc13089650"/>
      <w:bookmarkStart w:id="27" w:name="_Toc12858028"/>
      <w:bookmarkStart w:id="28" w:name="_Toc12880359"/>
      <w:bookmarkStart w:id="29" w:name="_Toc13088706"/>
      <w:bookmarkStart w:id="30" w:name="_Toc13089651"/>
      <w:bookmarkStart w:id="31" w:name="_Toc12858029"/>
      <w:bookmarkStart w:id="32" w:name="_Toc12880360"/>
      <w:bookmarkStart w:id="33" w:name="_Toc13088707"/>
      <w:bookmarkStart w:id="34" w:name="_Toc13089652"/>
      <w:bookmarkStart w:id="35" w:name="_Toc12858030"/>
      <w:bookmarkStart w:id="36" w:name="_Toc12880361"/>
      <w:bookmarkStart w:id="37" w:name="_Toc13088708"/>
      <w:bookmarkStart w:id="38" w:name="_Toc13089653"/>
      <w:bookmarkStart w:id="39" w:name="_Toc12858031"/>
      <w:bookmarkStart w:id="40" w:name="_Toc12880362"/>
      <w:bookmarkStart w:id="41" w:name="_Toc13088709"/>
      <w:bookmarkStart w:id="42" w:name="_Toc13089654"/>
      <w:bookmarkStart w:id="43" w:name="_Toc12858032"/>
      <w:bookmarkStart w:id="44" w:name="_Toc12880363"/>
      <w:bookmarkStart w:id="45" w:name="_Toc13088710"/>
      <w:bookmarkStart w:id="46" w:name="_Toc13089655"/>
      <w:bookmarkStart w:id="47" w:name="_Toc12858033"/>
      <w:bookmarkStart w:id="48" w:name="_Toc12880364"/>
      <w:bookmarkStart w:id="49" w:name="_Toc13088711"/>
      <w:bookmarkStart w:id="50" w:name="_Toc13089656"/>
      <w:bookmarkStart w:id="51" w:name="_Toc12858034"/>
      <w:bookmarkStart w:id="52" w:name="_Toc12880365"/>
      <w:bookmarkStart w:id="53" w:name="_Toc13088712"/>
      <w:bookmarkStart w:id="54" w:name="_Toc13089657"/>
      <w:bookmarkStart w:id="55" w:name="_Toc12858035"/>
      <w:bookmarkStart w:id="56" w:name="_Toc12880366"/>
      <w:bookmarkStart w:id="57" w:name="_Toc13088713"/>
      <w:bookmarkStart w:id="58" w:name="_Toc13089658"/>
      <w:bookmarkStart w:id="59" w:name="_Toc12858036"/>
      <w:bookmarkStart w:id="60" w:name="_Toc12880367"/>
      <w:bookmarkStart w:id="61" w:name="_Toc13088714"/>
      <w:bookmarkStart w:id="62" w:name="_Toc13089659"/>
      <w:bookmarkStart w:id="63" w:name="_Toc12858037"/>
      <w:bookmarkStart w:id="64" w:name="_Toc12880368"/>
      <w:bookmarkStart w:id="65" w:name="_Toc13088715"/>
      <w:bookmarkStart w:id="66" w:name="_Toc13089660"/>
      <w:bookmarkStart w:id="67" w:name="_Toc12858038"/>
      <w:bookmarkStart w:id="68" w:name="_Toc12880369"/>
      <w:bookmarkStart w:id="69" w:name="_Toc13088716"/>
      <w:bookmarkStart w:id="70" w:name="_Toc13089661"/>
      <w:bookmarkStart w:id="71" w:name="_Toc12858039"/>
      <w:bookmarkStart w:id="72" w:name="_Toc12880370"/>
      <w:bookmarkStart w:id="73" w:name="_Toc13088717"/>
      <w:bookmarkStart w:id="74" w:name="_Toc13089662"/>
      <w:bookmarkStart w:id="75" w:name="_Toc12858040"/>
      <w:bookmarkStart w:id="76" w:name="_Toc12880371"/>
      <w:bookmarkStart w:id="77" w:name="_Toc13088718"/>
      <w:bookmarkStart w:id="78" w:name="_Toc13089663"/>
      <w:bookmarkStart w:id="79" w:name="_Toc12858041"/>
      <w:bookmarkStart w:id="80" w:name="_Toc12880372"/>
      <w:bookmarkStart w:id="81" w:name="_Toc13088719"/>
      <w:bookmarkStart w:id="82" w:name="_Toc13089664"/>
      <w:bookmarkStart w:id="83" w:name="_Toc12858042"/>
      <w:bookmarkStart w:id="84" w:name="_Toc12880373"/>
      <w:bookmarkStart w:id="85" w:name="_Toc13088720"/>
      <w:bookmarkStart w:id="86" w:name="_Toc13089665"/>
      <w:bookmarkStart w:id="87" w:name="_Toc12858043"/>
      <w:bookmarkStart w:id="88" w:name="_Toc12880374"/>
      <w:bookmarkStart w:id="89" w:name="_Toc13088721"/>
      <w:bookmarkStart w:id="90" w:name="_Toc13089666"/>
      <w:bookmarkStart w:id="91" w:name="_Toc12858044"/>
      <w:bookmarkStart w:id="92" w:name="_Toc12880375"/>
      <w:bookmarkStart w:id="93" w:name="_Toc13088722"/>
      <w:bookmarkStart w:id="94" w:name="_Toc13089667"/>
      <w:bookmarkStart w:id="95" w:name="_Toc12858045"/>
      <w:bookmarkStart w:id="96" w:name="_Toc12880376"/>
      <w:bookmarkStart w:id="97" w:name="_Toc13088723"/>
      <w:bookmarkStart w:id="98" w:name="_Toc13089668"/>
      <w:bookmarkStart w:id="99" w:name="_Toc12858046"/>
      <w:bookmarkStart w:id="100" w:name="_Toc12880377"/>
      <w:bookmarkStart w:id="101" w:name="_Toc13088724"/>
      <w:bookmarkStart w:id="102" w:name="_Toc13089669"/>
      <w:bookmarkStart w:id="103" w:name="_Toc12858047"/>
      <w:bookmarkStart w:id="104" w:name="_Toc12880378"/>
      <w:bookmarkStart w:id="105" w:name="_Toc13088725"/>
      <w:bookmarkStart w:id="106" w:name="_Toc13089670"/>
      <w:bookmarkStart w:id="107" w:name="_Toc12858048"/>
      <w:bookmarkStart w:id="108" w:name="_Toc12880379"/>
      <w:bookmarkStart w:id="109" w:name="_Toc13088726"/>
      <w:bookmarkStart w:id="110" w:name="_Toc13089671"/>
      <w:bookmarkStart w:id="111" w:name="_Toc12858049"/>
      <w:bookmarkStart w:id="112" w:name="_Toc12880380"/>
      <w:bookmarkStart w:id="113" w:name="_Toc13088727"/>
      <w:bookmarkStart w:id="114" w:name="_Toc13089672"/>
      <w:bookmarkStart w:id="115" w:name="_Toc12858050"/>
      <w:bookmarkStart w:id="116" w:name="_Toc12880381"/>
      <w:bookmarkStart w:id="117" w:name="_Toc13088728"/>
      <w:bookmarkStart w:id="118" w:name="_Toc13089673"/>
      <w:bookmarkStart w:id="119" w:name="_Toc12858051"/>
      <w:bookmarkStart w:id="120" w:name="_Toc12880382"/>
      <w:bookmarkStart w:id="121" w:name="_Toc13088729"/>
      <w:bookmarkStart w:id="122" w:name="_Toc13089674"/>
      <w:bookmarkStart w:id="123" w:name="_Toc12858052"/>
      <w:bookmarkStart w:id="124" w:name="_Toc12880383"/>
      <w:bookmarkStart w:id="125" w:name="_Toc13088730"/>
      <w:bookmarkStart w:id="126" w:name="_Toc13089675"/>
      <w:bookmarkStart w:id="127" w:name="_Toc12858053"/>
      <w:bookmarkStart w:id="128" w:name="_Toc12880384"/>
      <w:bookmarkStart w:id="129" w:name="_Toc13088731"/>
      <w:bookmarkStart w:id="130" w:name="_Toc13089676"/>
      <w:bookmarkStart w:id="131" w:name="_Toc12858054"/>
      <w:bookmarkStart w:id="132" w:name="_Toc12880385"/>
      <w:bookmarkStart w:id="133" w:name="_Toc13088732"/>
      <w:bookmarkStart w:id="134" w:name="_Toc1308967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00BF0787" w:rsidRPr="005303F7">
        <w:rPr>
          <w:rFonts w:ascii="Times New Roman" w:hAnsi="Times New Roman"/>
          <w:noProof/>
          <w:sz w:val="24"/>
          <w:lang w:val="sr-Cyrl-CS" w:eastAsia="en-US"/>
        </w:rPr>
        <w:drawing>
          <wp:inline distT="0" distB="0" distL="0" distR="0" wp14:anchorId="698ACDFE" wp14:editId="6F221999">
            <wp:extent cx="5855970" cy="3432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5970" cy="3432175"/>
                    </a:xfrm>
                    <a:prstGeom prst="rect">
                      <a:avLst/>
                    </a:prstGeom>
                    <a:noFill/>
                    <a:ln>
                      <a:noFill/>
                    </a:ln>
                  </pic:spPr>
                </pic:pic>
              </a:graphicData>
            </a:graphic>
          </wp:inline>
        </w:drawing>
      </w:r>
    </w:p>
    <w:p w14:paraId="4CFE88B1" w14:textId="6C370060" w:rsidR="00545F61" w:rsidRPr="005303F7" w:rsidRDefault="003B0023" w:rsidP="00545F61">
      <w:pPr>
        <w:keepNext/>
        <w:spacing w:after="60"/>
        <w:rPr>
          <w:rFonts w:ascii="Times New Roman" w:hAnsi="Times New Roman"/>
          <w:i/>
          <w:iCs/>
          <w:szCs w:val="18"/>
          <w:lang w:val="sr-Cyrl-CS"/>
        </w:rPr>
      </w:pPr>
      <w:bookmarkStart w:id="135" w:name="_Toc26759705"/>
      <w:r w:rsidRPr="005303F7">
        <w:rPr>
          <w:rFonts w:ascii="Times New Roman" w:hAnsi="Times New Roman"/>
          <w:b/>
          <w:bCs/>
          <w:i/>
          <w:iCs/>
          <w:szCs w:val="18"/>
          <w:lang w:val="sr-Cyrl-CS"/>
        </w:rPr>
        <w:t>Графикон</w:t>
      </w:r>
      <w:r w:rsidR="00545F61" w:rsidRPr="005303F7">
        <w:rPr>
          <w:rFonts w:ascii="Times New Roman" w:hAnsi="Times New Roman"/>
          <w:b/>
          <w:bCs/>
          <w:i/>
          <w:iCs/>
          <w:szCs w:val="18"/>
          <w:lang w:val="sr-Cyrl-CS"/>
        </w:rPr>
        <w:t xml:space="preserve"> </w:t>
      </w:r>
      <w:r w:rsidR="00545F61" w:rsidRPr="005303F7">
        <w:rPr>
          <w:rFonts w:ascii="Times New Roman" w:hAnsi="Times New Roman"/>
          <w:b/>
          <w:bCs/>
          <w:i/>
          <w:iCs/>
          <w:szCs w:val="18"/>
          <w:lang w:val="sr-Cyrl-CS"/>
        </w:rPr>
        <w:fldChar w:fldCharType="begin"/>
      </w:r>
      <w:r w:rsidR="00545F61" w:rsidRPr="005303F7">
        <w:rPr>
          <w:rFonts w:ascii="Times New Roman" w:hAnsi="Times New Roman"/>
          <w:b/>
          <w:bCs/>
          <w:i/>
          <w:iCs/>
          <w:szCs w:val="18"/>
          <w:lang w:val="sr-Cyrl-CS"/>
        </w:rPr>
        <w:instrText xml:space="preserve"> SEQ Figure \* ARABIC </w:instrText>
      </w:r>
      <w:r w:rsidR="00545F61" w:rsidRPr="005303F7">
        <w:rPr>
          <w:rFonts w:ascii="Times New Roman" w:hAnsi="Times New Roman"/>
          <w:b/>
          <w:bCs/>
          <w:i/>
          <w:iCs/>
          <w:szCs w:val="18"/>
          <w:lang w:val="sr-Cyrl-CS"/>
        </w:rPr>
        <w:fldChar w:fldCharType="separate"/>
      </w:r>
      <w:r w:rsidR="00DA2595" w:rsidRPr="005303F7">
        <w:rPr>
          <w:rFonts w:ascii="Times New Roman" w:hAnsi="Times New Roman"/>
          <w:b/>
          <w:bCs/>
          <w:i/>
          <w:iCs/>
          <w:noProof/>
          <w:szCs w:val="18"/>
          <w:lang w:val="sr-Cyrl-CS"/>
        </w:rPr>
        <w:t>2</w:t>
      </w:r>
      <w:r w:rsidR="00545F61" w:rsidRPr="005303F7">
        <w:rPr>
          <w:rFonts w:ascii="Times New Roman" w:hAnsi="Times New Roman"/>
          <w:b/>
          <w:bCs/>
          <w:i/>
          <w:iCs/>
          <w:szCs w:val="18"/>
          <w:lang w:val="sr-Cyrl-CS"/>
        </w:rPr>
        <w:fldChar w:fldCharType="end"/>
      </w:r>
      <w:r w:rsidR="00545F61" w:rsidRPr="005303F7">
        <w:rPr>
          <w:rFonts w:ascii="Times New Roman" w:hAnsi="Times New Roman"/>
          <w:b/>
          <w:bCs/>
          <w:i/>
          <w:iCs/>
          <w:szCs w:val="18"/>
          <w:lang w:val="sr-Cyrl-CS"/>
        </w:rPr>
        <w:t xml:space="preserve">: </w:t>
      </w:r>
      <w:r w:rsidRPr="005303F7">
        <w:rPr>
          <w:rFonts w:ascii="Times New Roman" w:hAnsi="Times New Roman"/>
          <w:b/>
          <w:bCs/>
          <w:i/>
          <w:iCs/>
          <w:szCs w:val="18"/>
          <w:lang w:val="sr-Cyrl-CS"/>
        </w:rPr>
        <w:t>Емисије</w:t>
      </w:r>
      <w:r w:rsidR="00545F61" w:rsidRPr="005303F7">
        <w:rPr>
          <w:rFonts w:ascii="Times New Roman" w:hAnsi="Times New Roman"/>
          <w:b/>
          <w:bCs/>
          <w:i/>
          <w:iCs/>
          <w:szCs w:val="18"/>
          <w:lang w:val="sr-Cyrl-CS"/>
        </w:rPr>
        <w:t xml:space="preserve"> </w:t>
      </w:r>
      <w:r w:rsidRPr="005303F7">
        <w:rPr>
          <w:rFonts w:ascii="Times New Roman" w:hAnsi="Times New Roman"/>
          <w:b/>
          <w:bCs/>
          <w:i/>
          <w:iCs/>
          <w:szCs w:val="18"/>
          <w:lang w:val="sr-Cyrl-CS"/>
        </w:rPr>
        <w:t>GHG</w:t>
      </w:r>
      <w:r w:rsidR="00545F61" w:rsidRPr="005303F7">
        <w:rPr>
          <w:rFonts w:ascii="Times New Roman" w:hAnsi="Times New Roman"/>
          <w:b/>
          <w:bCs/>
          <w:i/>
          <w:iCs/>
          <w:szCs w:val="18"/>
          <w:lang w:val="sr-Cyrl-CS"/>
        </w:rPr>
        <w:t xml:space="preserve"> </w:t>
      </w:r>
      <w:r w:rsidRPr="005303F7">
        <w:rPr>
          <w:rFonts w:ascii="Times New Roman" w:hAnsi="Times New Roman"/>
          <w:b/>
          <w:bCs/>
          <w:i/>
          <w:iCs/>
          <w:szCs w:val="18"/>
          <w:lang w:val="sr-Cyrl-CS"/>
        </w:rPr>
        <w:t>у</w:t>
      </w:r>
      <w:r w:rsidR="00545F61" w:rsidRPr="005303F7">
        <w:rPr>
          <w:rFonts w:ascii="Times New Roman" w:hAnsi="Times New Roman"/>
          <w:b/>
          <w:bCs/>
          <w:i/>
          <w:iCs/>
          <w:szCs w:val="18"/>
          <w:lang w:val="sr-Cyrl-CS"/>
        </w:rPr>
        <w:t xml:space="preserve"> </w:t>
      </w:r>
      <w:r w:rsidRPr="005303F7">
        <w:rPr>
          <w:rFonts w:ascii="Times New Roman" w:hAnsi="Times New Roman"/>
          <w:b/>
          <w:bCs/>
          <w:i/>
          <w:iCs/>
          <w:szCs w:val="18"/>
          <w:lang w:val="sr-Cyrl-CS"/>
        </w:rPr>
        <w:t>основном</w:t>
      </w:r>
      <w:r w:rsidR="00545F61" w:rsidRPr="005303F7">
        <w:rPr>
          <w:rFonts w:ascii="Times New Roman" w:hAnsi="Times New Roman"/>
          <w:b/>
          <w:bCs/>
          <w:i/>
          <w:iCs/>
          <w:szCs w:val="18"/>
          <w:lang w:val="sr-Cyrl-CS"/>
        </w:rPr>
        <w:t xml:space="preserve"> </w:t>
      </w:r>
      <w:r w:rsidRPr="005303F7">
        <w:rPr>
          <w:rFonts w:ascii="Times New Roman" w:hAnsi="Times New Roman"/>
          <w:b/>
          <w:bCs/>
          <w:i/>
          <w:iCs/>
          <w:szCs w:val="18"/>
          <w:lang w:val="sr-Cyrl-CS"/>
        </w:rPr>
        <w:t>сценарију</w:t>
      </w:r>
      <w:r w:rsidR="00545F61" w:rsidRPr="005303F7">
        <w:rPr>
          <w:rFonts w:ascii="Times New Roman" w:hAnsi="Times New Roman"/>
          <w:b/>
          <w:bCs/>
          <w:i/>
          <w:iCs/>
          <w:szCs w:val="18"/>
          <w:lang w:val="sr-Cyrl-CS"/>
        </w:rPr>
        <w:t xml:space="preserve"> </w:t>
      </w:r>
      <w:r w:rsidRPr="005303F7">
        <w:rPr>
          <w:rFonts w:ascii="Times New Roman" w:hAnsi="Times New Roman"/>
          <w:b/>
          <w:bCs/>
          <w:i/>
          <w:iCs/>
          <w:szCs w:val="18"/>
          <w:lang w:val="sr-Cyrl-CS"/>
        </w:rPr>
        <w:t>Б</w:t>
      </w:r>
      <w:r w:rsidR="00545F61" w:rsidRPr="005303F7">
        <w:rPr>
          <w:rFonts w:ascii="Times New Roman" w:hAnsi="Times New Roman"/>
          <w:b/>
          <w:bCs/>
          <w:i/>
          <w:iCs/>
          <w:szCs w:val="18"/>
          <w:lang w:val="sr-Cyrl-CS"/>
        </w:rPr>
        <w:t>2 (</w:t>
      </w:r>
      <w:r w:rsidRPr="005303F7">
        <w:rPr>
          <w:rFonts w:ascii="Times New Roman" w:hAnsi="Times New Roman"/>
          <w:b/>
          <w:bCs/>
          <w:i/>
          <w:iCs/>
          <w:szCs w:val="18"/>
          <w:lang w:val="sr-Cyrl-CS"/>
        </w:rPr>
        <w:t>kt</w:t>
      </w:r>
      <w:r w:rsidR="00545F61" w:rsidRPr="005303F7">
        <w:rPr>
          <w:rFonts w:ascii="Times New Roman" w:hAnsi="Times New Roman"/>
          <w:b/>
          <w:bCs/>
          <w:i/>
          <w:iCs/>
          <w:szCs w:val="18"/>
          <w:lang w:val="sr-Cyrl-CS"/>
        </w:rPr>
        <w:t xml:space="preserve"> </w:t>
      </w:r>
      <w:r w:rsidRPr="005303F7">
        <w:rPr>
          <w:rFonts w:ascii="Times New Roman" w:hAnsi="Times New Roman"/>
          <w:b/>
          <w:bCs/>
          <w:i/>
          <w:iCs/>
          <w:szCs w:val="18"/>
          <w:lang w:val="sr-Cyrl-CS"/>
        </w:rPr>
        <w:t>CО</w:t>
      </w:r>
      <w:r w:rsidR="00545F61" w:rsidRPr="005303F7">
        <w:rPr>
          <w:rFonts w:ascii="Times New Roman" w:hAnsi="Times New Roman"/>
          <w:b/>
          <w:bCs/>
          <w:i/>
          <w:iCs/>
          <w:szCs w:val="18"/>
          <w:vertAlign w:val="subscript"/>
          <w:lang w:val="sr-Cyrl-CS"/>
        </w:rPr>
        <w:t>2</w:t>
      </w:r>
      <w:r w:rsidRPr="005303F7">
        <w:rPr>
          <w:rFonts w:ascii="Times New Roman" w:hAnsi="Times New Roman"/>
          <w:b/>
          <w:bCs/>
          <w:i/>
          <w:iCs/>
          <w:szCs w:val="18"/>
          <w:lang w:val="sr-Cyrl-CS"/>
        </w:rPr>
        <w:t>е</w:t>
      </w:r>
      <w:r w:rsidR="00545F61" w:rsidRPr="005303F7">
        <w:rPr>
          <w:rFonts w:ascii="Times New Roman" w:hAnsi="Times New Roman"/>
          <w:b/>
          <w:bCs/>
          <w:i/>
          <w:iCs/>
          <w:szCs w:val="18"/>
          <w:lang w:val="sr-Cyrl-CS"/>
        </w:rPr>
        <w:t>q)</w:t>
      </w:r>
      <w:bookmarkEnd w:id="135"/>
    </w:p>
    <w:p w14:paraId="6AF871E3" w14:textId="547346FB" w:rsidR="00DC756D" w:rsidRPr="005303F7" w:rsidRDefault="0039680D" w:rsidP="00DC756D">
      <w:pPr>
        <w:rPr>
          <w:rFonts w:ascii="Times New Roman" w:hAnsi="Times New Roman"/>
          <w:sz w:val="24"/>
          <w:lang w:val="sr-Cyrl-CS"/>
        </w:rPr>
      </w:pPr>
      <w:r w:rsidRPr="005303F7">
        <w:rPr>
          <w:rFonts w:ascii="Times New Roman" w:hAnsi="Times New Roman"/>
          <w:sz w:val="24"/>
          <w:lang w:val="sr-Cyrl-CS"/>
        </w:rPr>
        <w:t xml:space="preserve">          </w:t>
      </w:r>
      <w:r w:rsidR="003B0023" w:rsidRPr="005303F7">
        <w:rPr>
          <w:rFonts w:ascii="Times New Roman" w:hAnsi="Times New Roman"/>
          <w:sz w:val="24"/>
          <w:lang w:val="sr-Cyrl-CS"/>
        </w:rPr>
        <w:t>Б</w:t>
      </w:r>
      <w:r w:rsidR="00E45F8A" w:rsidRPr="005303F7">
        <w:rPr>
          <w:rFonts w:ascii="Times New Roman" w:hAnsi="Times New Roman"/>
          <w:sz w:val="24"/>
          <w:lang w:val="sr-Cyrl-CS"/>
        </w:rPr>
        <w:t xml:space="preserve">2 </w:t>
      </w:r>
      <w:r w:rsidR="003B0023" w:rsidRPr="005303F7">
        <w:rPr>
          <w:rFonts w:ascii="Times New Roman" w:hAnsi="Times New Roman"/>
          <w:sz w:val="24"/>
          <w:lang w:val="sr-Cyrl-CS"/>
        </w:rPr>
        <w:t>сценарио</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показује</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очекивани</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стални</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пораст</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емисија</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GHG</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у</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периоду</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од</w:t>
      </w:r>
      <w:r w:rsidR="00E45F8A" w:rsidRPr="005303F7">
        <w:rPr>
          <w:rFonts w:ascii="Times New Roman" w:hAnsi="Times New Roman"/>
          <w:sz w:val="24"/>
          <w:lang w:val="sr-Cyrl-CS"/>
        </w:rPr>
        <w:t xml:space="preserve"> 2020. </w:t>
      </w:r>
      <w:r w:rsidR="005F7F83" w:rsidRPr="005303F7">
        <w:rPr>
          <w:rFonts w:ascii="Times New Roman" w:hAnsi="Times New Roman"/>
          <w:sz w:val="24"/>
          <w:lang w:val="sr-Cyrl-CS"/>
        </w:rPr>
        <w:t xml:space="preserve">године </w:t>
      </w:r>
      <w:r w:rsidR="003B0023" w:rsidRPr="005303F7">
        <w:rPr>
          <w:rFonts w:ascii="Times New Roman" w:hAnsi="Times New Roman"/>
          <w:sz w:val="24"/>
          <w:lang w:val="sr-Cyrl-CS"/>
        </w:rPr>
        <w:t>током</w:t>
      </w:r>
      <w:r w:rsidR="00E45F8A" w:rsidRPr="005303F7">
        <w:rPr>
          <w:rFonts w:ascii="Times New Roman" w:hAnsi="Times New Roman"/>
          <w:sz w:val="24"/>
          <w:lang w:val="sr-Cyrl-CS"/>
        </w:rPr>
        <w:t xml:space="preserve"> 2030. </w:t>
      </w:r>
      <w:r w:rsidR="003B0023" w:rsidRPr="005303F7">
        <w:rPr>
          <w:rFonts w:ascii="Times New Roman" w:hAnsi="Times New Roman"/>
          <w:sz w:val="24"/>
          <w:lang w:val="sr-Cyrl-CS"/>
        </w:rPr>
        <w:t>до</w:t>
      </w:r>
      <w:r w:rsidR="00E45F8A" w:rsidRPr="005303F7">
        <w:rPr>
          <w:rFonts w:ascii="Times New Roman" w:hAnsi="Times New Roman"/>
          <w:sz w:val="24"/>
          <w:lang w:val="sr-Cyrl-CS"/>
        </w:rPr>
        <w:t xml:space="preserve"> 2045. </w:t>
      </w:r>
      <w:r w:rsidR="003B0023" w:rsidRPr="005303F7">
        <w:rPr>
          <w:rFonts w:ascii="Times New Roman" w:hAnsi="Times New Roman"/>
          <w:sz w:val="24"/>
          <w:lang w:val="sr-Cyrl-CS"/>
        </w:rPr>
        <w:t>године</w:t>
      </w:r>
      <w:r w:rsidR="00E45F8A" w:rsidRPr="005303F7">
        <w:rPr>
          <w:rFonts w:ascii="Times New Roman" w:hAnsi="Times New Roman"/>
          <w:sz w:val="24"/>
          <w:lang w:val="sr-Cyrl-CS"/>
        </w:rPr>
        <w:t xml:space="preserve">, </w:t>
      </w:r>
      <w:r w:rsidR="00BB0AA2" w:rsidRPr="005303F7">
        <w:rPr>
          <w:rFonts w:ascii="Times New Roman" w:hAnsi="Times New Roman"/>
          <w:sz w:val="24"/>
          <w:lang w:val="sr-Cyrl-CS"/>
        </w:rPr>
        <w:t>после</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чега</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следи</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привремени</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пад</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емисија</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до</w:t>
      </w:r>
      <w:r w:rsidR="00E45F8A" w:rsidRPr="005303F7">
        <w:rPr>
          <w:rFonts w:ascii="Times New Roman" w:hAnsi="Times New Roman"/>
          <w:sz w:val="24"/>
          <w:lang w:val="sr-Cyrl-CS"/>
        </w:rPr>
        <w:t xml:space="preserve"> 2050. </w:t>
      </w:r>
      <w:r w:rsidR="003B0023" w:rsidRPr="005303F7">
        <w:rPr>
          <w:rFonts w:ascii="Times New Roman" w:hAnsi="Times New Roman"/>
          <w:sz w:val="24"/>
          <w:lang w:val="sr-Cyrl-CS"/>
        </w:rPr>
        <w:lastRenderedPageBreak/>
        <w:t>године</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Привремени</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тренд</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пада</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резултат</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је</w:t>
      </w:r>
      <w:r w:rsidR="00E65EDA" w:rsidRPr="005303F7">
        <w:rPr>
          <w:rFonts w:ascii="Times New Roman" w:hAnsi="Times New Roman"/>
          <w:sz w:val="24"/>
          <w:lang w:val="sr-Cyrl-CS"/>
        </w:rPr>
        <w:t xml:space="preserve"> </w:t>
      </w:r>
      <w:r w:rsidR="003B0023" w:rsidRPr="005303F7">
        <w:rPr>
          <w:rFonts w:ascii="Times New Roman" w:hAnsi="Times New Roman"/>
          <w:sz w:val="24"/>
          <w:lang w:val="sr-Cyrl-CS"/>
        </w:rPr>
        <w:t>очекиваног</w:t>
      </w:r>
      <w:r w:rsidR="00E65EDA" w:rsidRPr="005303F7">
        <w:rPr>
          <w:rFonts w:ascii="Times New Roman" w:hAnsi="Times New Roman"/>
          <w:sz w:val="24"/>
          <w:lang w:val="sr-Cyrl-CS"/>
        </w:rPr>
        <w:t xml:space="preserve"> </w:t>
      </w:r>
      <w:r w:rsidR="003B0023" w:rsidRPr="005303F7">
        <w:rPr>
          <w:rFonts w:ascii="Times New Roman" w:hAnsi="Times New Roman"/>
          <w:sz w:val="24"/>
          <w:lang w:val="sr-Cyrl-CS"/>
        </w:rPr>
        <w:t>престанка</w:t>
      </w:r>
      <w:r w:rsidR="00E65EDA" w:rsidRPr="005303F7">
        <w:rPr>
          <w:rFonts w:ascii="Times New Roman" w:hAnsi="Times New Roman"/>
          <w:sz w:val="24"/>
          <w:lang w:val="sr-Cyrl-CS"/>
        </w:rPr>
        <w:t xml:space="preserve"> </w:t>
      </w:r>
      <w:r w:rsidR="003B0023" w:rsidRPr="005303F7">
        <w:rPr>
          <w:rFonts w:ascii="Times New Roman" w:hAnsi="Times New Roman"/>
          <w:sz w:val="24"/>
          <w:lang w:val="sr-Cyrl-CS"/>
        </w:rPr>
        <w:t>рада</w:t>
      </w:r>
      <w:r w:rsidR="00470532" w:rsidRPr="005303F7">
        <w:rPr>
          <w:rStyle w:val="FootnoteReference"/>
          <w:rFonts w:ascii="Times New Roman" w:hAnsi="Times New Roman"/>
          <w:sz w:val="18"/>
          <w:lang w:val="sr-Cyrl-CS"/>
        </w:rPr>
        <w:footnoteReference w:id="20"/>
      </w:r>
      <w:r w:rsidR="00E65EDA" w:rsidRPr="005303F7">
        <w:rPr>
          <w:rFonts w:ascii="Times New Roman" w:hAnsi="Times New Roman"/>
          <w:sz w:val="24"/>
          <w:lang w:val="sr-Cyrl-CS"/>
        </w:rPr>
        <w:t xml:space="preserve"> </w:t>
      </w:r>
      <w:r w:rsidR="003B0023" w:rsidRPr="005303F7">
        <w:rPr>
          <w:rFonts w:ascii="Times New Roman" w:hAnsi="Times New Roman"/>
          <w:sz w:val="24"/>
          <w:lang w:val="sr-Cyrl-CS"/>
        </w:rPr>
        <w:t>постојећих</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главних</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електрана</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на</w:t>
      </w:r>
      <w:r w:rsidR="00E45F8A" w:rsidRPr="005303F7">
        <w:rPr>
          <w:rFonts w:ascii="Times New Roman" w:hAnsi="Times New Roman"/>
          <w:sz w:val="24"/>
          <w:lang w:val="sr-Cyrl-CS"/>
        </w:rPr>
        <w:t xml:space="preserve"> </w:t>
      </w:r>
      <w:r w:rsidR="003B0023" w:rsidRPr="005303F7">
        <w:rPr>
          <w:rFonts w:ascii="Times New Roman" w:hAnsi="Times New Roman"/>
          <w:sz w:val="24"/>
          <w:lang w:val="sr-Cyrl-CS"/>
        </w:rPr>
        <w:t>лигнит</w:t>
      </w:r>
      <w:r w:rsidR="00ED0301" w:rsidRPr="005303F7">
        <w:rPr>
          <w:rFonts w:ascii="Times New Roman" w:hAnsi="Times New Roman"/>
          <w:sz w:val="24"/>
          <w:lang w:val="sr-Cyrl-CS"/>
        </w:rPr>
        <w:t>,</w:t>
      </w:r>
      <w:r w:rsidR="00E45F8A" w:rsidRPr="005303F7">
        <w:rPr>
          <w:rFonts w:ascii="Times New Roman" w:hAnsi="Times New Roman"/>
          <w:sz w:val="24"/>
          <w:lang w:val="sr-Cyrl-CS"/>
        </w:rPr>
        <w:t xml:space="preserve"> </w:t>
      </w:r>
      <w:r w:rsidR="00ED0301" w:rsidRPr="005303F7">
        <w:rPr>
          <w:rFonts w:ascii="Times New Roman" w:hAnsi="Times New Roman"/>
          <w:sz w:val="24"/>
          <w:lang w:val="sr-Cyrl-CS"/>
        </w:rPr>
        <w:t>њихове постепене замене новим електранама са вишим стандардима у погледу ефикасности током периода 2040-2050, као и због непостојања климатских политика</w:t>
      </w:r>
      <w:r w:rsidR="00B14318" w:rsidRPr="005303F7">
        <w:rPr>
          <w:rFonts w:ascii="Times New Roman" w:hAnsi="Times New Roman"/>
          <w:sz w:val="24"/>
          <w:lang w:val="sr-Cyrl-CS"/>
        </w:rPr>
        <w:t xml:space="preserve"> </w:t>
      </w:r>
      <w:r w:rsidR="00ED0301" w:rsidRPr="005303F7">
        <w:rPr>
          <w:rFonts w:ascii="Times New Roman" w:hAnsi="Times New Roman"/>
          <w:sz w:val="24"/>
          <w:lang w:val="sr-Cyrl-CS"/>
        </w:rPr>
        <w:t xml:space="preserve">и недостатка мера за подстицај обновљивих извора енергије. </w:t>
      </w:r>
    </w:p>
    <w:p w14:paraId="679D4B50" w14:textId="52362F28" w:rsidR="00F30D84" w:rsidRPr="005303F7" w:rsidRDefault="00607CBA" w:rsidP="00D93231">
      <w:pPr>
        <w:pStyle w:val="Heading2"/>
        <w:numPr>
          <w:ilvl w:val="1"/>
          <w:numId w:val="40"/>
        </w:numPr>
        <w:tabs>
          <w:tab w:val="clear" w:pos="3825"/>
          <w:tab w:val="left" w:pos="1134"/>
        </w:tabs>
        <w:rPr>
          <w:rFonts w:ascii="Times New Roman" w:hAnsi="Times New Roman" w:cs="Times New Roman"/>
          <w:szCs w:val="24"/>
          <w:lang w:val="sr-Cyrl-CS"/>
        </w:rPr>
      </w:pPr>
      <w:bookmarkStart w:id="136" w:name="_Toc26686100"/>
      <w:r w:rsidRPr="005303F7">
        <w:rPr>
          <w:rFonts w:ascii="Times New Roman" w:hAnsi="Times New Roman" w:cs="Times New Roman"/>
          <w:szCs w:val="24"/>
          <w:lang w:val="sr-Cyrl-CS"/>
        </w:rPr>
        <w:t>Сценарији</w:t>
      </w:r>
      <w:r w:rsidR="00CD74AB" w:rsidRPr="005303F7">
        <w:rPr>
          <w:rFonts w:ascii="Times New Roman" w:hAnsi="Times New Roman" w:cs="Times New Roman"/>
          <w:szCs w:val="24"/>
          <w:lang w:val="sr-Cyrl-CS"/>
        </w:rPr>
        <w:t xml:space="preserve"> </w:t>
      </w:r>
      <w:r w:rsidRPr="005303F7">
        <w:rPr>
          <w:rFonts w:ascii="Times New Roman" w:hAnsi="Times New Roman" w:cs="Times New Roman"/>
          <w:szCs w:val="24"/>
          <w:lang w:val="sr-Cyrl-CS"/>
        </w:rPr>
        <w:t>ублажавања</w:t>
      </w:r>
      <w:r w:rsidR="00DF6E1D" w:rsidRPr="005303F7">
        <w:rPr>
          <w:rFonts w:ascii="Times New Roman" w:hAnsi="Times New Roman" w:cs="Times New Roman"/>
          <w:szCs w:val="24"/>
          <w:lang w:val="sr-Cyrl-CS"/>
        </w:rPr>
        <w:t xml:space="preserve"> </w:t>
      </w:r>
      <w:r w:rsidRPr="005303F7">
        <w:rPr>
          <w:rFonts w:ascii="Times New Roman" w:hAnsi="Times New Roman" w:cs="Times New Roman"/>
          <w:szCs w:val="24"/>
          <w:lang w:val="sr-Cyrl-CS"/>
        </w:rPr>
        <w:t>GHG</w:t>
      </w:r>
      <w:bookmarkEnd w:id="136"/>
    </w:p>
    <w:p w14:paraId="697967C0" w14:textId="6343C74B" w:rsidR="00C500D3" w:rsidRPr="005303F7" w:rsidRDefault="0039680D" w:rsidP="00C500D3">
      <w:pPr>
        <w:rPr>
          <w:rFonts w:ascii="Times New Roman" w:hAnsi="Times New Roman"/>
          <w:sz w:val="24"/>
          <w:szCs w:val="24"/>
          <w:lang w:val="sr-Cyrl-CS"/>
        </w:rPr>
      </w:pPr>
      <w:r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Сценарији</w:t>
      </w:r>
      <w:r w:rsidR="00CD74A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ублажавања</w:t>
      </w:r>
      <w:r w:rsidR="00DF6E1D"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значајно</w:t>
      </w:r>
      <w:r w:rsidR="00CD74A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одступају</w:t>
      </w:r>
      <w:r w:rsidR="00CD74A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од</w:t>
      </w:r>
      <w:r w:rsidR="00CD74A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путање</w:t>
      </w:r>
      <w:r w:rsidR="00CD74A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емисија</w:t>
      </w:r>
      <w:r w:rsidR="00CD74AB" w:rsidRPr="005303F7">
        <w:rPr>
          <w:rFonts w:ascii="Times New Roman" w:hAnsi="Times New Roman"/>
          <w:sz w:val="24"/>
          <w:szCs w:val="24"/>
          <w:lang w:val="sr-Cyrl-CS"/>
        </w:rPr>
        <w:t xml:space="preserve"> </w:t>
      </w:r>
      <w:r w:rsidR="00D73AAB" w:rsidRPr="005303F7">
        <w:rPr>
          <w:rFonts w:ascii="Times New Roman" w:hAnsi="Times New Roman"/>
          <w:sz w:val="24"/>
          <w:szCs w:val="24"/>
          <w:lang w:val="sr-Cyrl-CS"/>
        </w:rPr>
        <w:t>Републике Србије</w:t>
      </w:r>
      <w:r w:rsidR="00CD74A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из</w:t>
      </w:r>
      <w:r w:rsidR="00CD74A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основног</w:t>
      </w:r>
      <w:r w:rsidR="00CD74A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сценарија</w:t>
      </w:r>
      <w:r w:rsidR="00CD74A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Б</w:t>
      </w:r>
      <w:r w:rsidR="00CD74AB" w:rsidRPr="005303F7">
        <w:rPr>
          <w:rFonts w:ascii="Times New Roman" w:hAnsi="Times New Roman"/>
          <w:sz w:val="24"/>
          <w:szCs w:val="24"/>
          <w:lang w:val="sr-Cyrl-CS"/>
        </w:rPr>
        <w:t xml:space="preserve">2, </w:t>
      </w:r>
      <w:r w:rsidR="00607CBA" w:rsidRPr="005303F7">
        <w:rPr>
          <w:rFonts w:ascii="Times New Roman" w:hAnsi="Times New Roman"/>
          <w:sz w:val="24"/>
          <w:szCs w:val="24"/>
          <w:lang w:val="sr-Cyrl-CS"/>
        </w:rPr>
        <w:t>почевши</w:t>
      </w:r>
      <w:r w:rsidR="00CD74A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од</w:t>
      </w:r>
      <w:r w:rsidR="00CD74A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смањења</w:t>
      </w:r>
      <w:r w:rsidR="00CD74A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емисија</w:t>
      </w:r>
      <w:r w:rsidR="00CD74A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гасова</w:t>
      </w:r>
      <w:r w:rsidR="00CD74A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са</w:t>
      </w:r>
      <w:r w:rsidR="00CD74A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ефектом</w:t>
      </w:r>
      <w:r w:rsidR="00CD74A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стаклене</w:t>
      </w:r>
      <w:r w:rsidR="00CD74A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баште</w:t>
      </w:r>
      <w:r w:rsidR="00CD74A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од</w:t>
      </w:r>
      <w:r w:rsidR="00CD74AB" w:rsidRPr="005303F7">
        <w:rPr>
          <w:rFonts w:ascii="Times New Roman" w:hAnsi="Times New Roman"/>
          <w:sz w:val="24"/>
          <w:szCs w:val="24"/>
          <w:lang w:val="sr-Cyrl-CS"/>
        </w:rPr>
        <w:t xml:space="preserve"> 2020</w:t>
      </w:r>
      <w:r w:rsidR="00C500D3" w:rsidRPr="005303F7">
        <w:rPr>
          <w:rFonts w:ascii="Times New Roman" w:hAnsi="Times New Roman"/>
          <w:sz w:val="24"/>
          <w:szCs w:val="24"/>
          <w:lang w:val="sr-Cyrl-CS"/>
        </w:rPr>
        <w:t>.</w:t>
      </w:r>
      <w:r w:rsidR="00CD74A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године</w:t>
      </w:r>
      <w:r w:rsidR="00CD74AB" w:rsidRPr="005303F7">
        <w:rPr>
          <w:rFonts w:ascii="Times New Roman" w:hAnsi="Times New Roman"/>
          <w:sz w:val="24"/>
          <w:szCs w:val="24"/>
          <w:lang w:val="sr-Cyrl-CS"/>
        </w:rPr>
        <w:t>.</w:t>
      </w:r>
      <w:r w:rsidR="00C500D3"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То</w:t>
      </w:r>
      <w:r w:rsidR="00CD74A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су</w:t>
      </w:r>
      <w:r w:rsidR="001C2B42" w:rsidRPr="005303F7">
        <w:rPr>
          <w:rFonts w:ascii="Times New Roman" w:hAnsi="Times New Roman"/>
          <w:sz w:val="24"/>
          <w:szCs w:val="24"/>
          <w:lang w:val="sr-Cyrl-CS"/>
        </w:rPr>
        <w:t xml:space="preserve">: </w:t>
      </w:r>
    </w:p>
    <w:p w14:paraId="622746AC" w14:textId="77777777" w:rsidR="00072D0B" w:rsidRPr="005303F7" w:rsidRDefault="00607CBA" w:rsidP="0097460E">
      <w:pPr>
        <w:pStyle w:val="ListParagraph"/>
        <w:numPr>
          <w:ilvl w:val="0"/>
          <w:numId w:val="48"/>
        </w:numPr>
        <w:tabs>
          <w:tab w:val="clear" w:pos="3825"/>
        </w:tabs>
        <w:overflowPunct/>
        <w:autoSpaceDE/>
        <w:autoSpaceDN/>
        <w:adjustRightInd/>
        <w:ind w:left="0" w:firstLine="360"/>
        <w:textAlignment w:val="auto"/>
        <w:rPr>
          <w:rFonts w:ascii="Times New Roman" w:hAnsi="Times New Roman"/>
          <w:sz w:val="24"/>
          <w:szCs w:val="24"/>
          <w:lang w:val="sr-Cyrl-CS"/>
        </w:rPr>
      </w:pPr>
      <w:r w:rsidRPr="005303F7">
        <w:rPr>
          <w:rFonts w:ascii="Times New Roman" w:hAnsi="Times New Roman"/>
          <w:b/>
          <w:bCs/>
          <w:sz w:val="24"/>
          <w:szCs w:val="24"/>
          <w:lang w:val="sr-Cyrl-CS"/>
        </w:rPr>
        <w:t>Сценарио</w:t>
      </w:r>
      <w:r w:rsidR="00F73DC6" w:rsidRPr="005303F7">
        <w:rPr>
          <w:rFonts w:ascii="Times New Roman" w:hAnsi="Times New Roman"/>
          <w:b/>
          <w:bCs/>
          <w:sz w:val="24"/>
          <w:szCs w:val="24"/>
          <w:lang w:val="sr-Cyrl-CS"/>
        </w:rPr>
        <w:t xml:space="preserve"> </w:t>
      </w:r>
      <w:r w:rsidRPr="005303F7">
        <w:rPr>
          <w:rFonts w:ascii="Times New Roman" w:hAnsi="Times New Roman"/>
          <w:b/>
          <w:bCs/>
          <w:sz w:val="24"/>
          <w:szCs w:val="24"/>
          <w:lang w:val="sr-Cyrl-CS"/>
        </w:rPr>
        <w:t>М</w:t>
      </w:r>
      <w:r w:rsidR="00F73DC6" w:rsidRPr="005303F7">
        <w:rPr>
          <w:rFonts w:ascii="Times New Roman" w:hAnsi="Times New Roman"/>
          <w:b/>
          <w:bCs/>
          <w:sz w:val="24"/>
          <w:szCs w:val="24"/>
          <w:lang w:val="sr-Cyrl-CS"/>
        </w:rPr>
        <w:t>1</w:t>
      </w:r>
      <w:r w:rsidR="001C2B42" w:rsidRPr="005303F7">
        <w:rPr>
          <w:rFonts w:ascii="Times New Roman" w:hAnsi="Times New Roman"/>
          <w:sz w:val="24"/>
          <w:szCs w:val="24"/>
          <w:lang w:val="sr-Cyrl-CS"/>
        </w:rPr>
        <w:t xml:space="preserve">: </w:t>
      </w:r>
      <w:r w:rsidRPr="005303F7">
        <w:rPr>
          <w:rFonts w:ascii="Times New Roman" w:hAnsi="Times New Roman"/>
          <w:sz w:val="24"/>
          <w:szCs w:val="24"/>
          <w:lang w:val="sr-Cyrl-CS"/>
        </w:rPr>
        <w:t>Основни</w:t>
      </w:r>
      <w:r w:rsidR="004D13D7" w:rsidRPr="005303F7">
        <w:rPr>
          <w:rFonts w:ascii="Times New Roman" w:hAnsi="Times New Roman"/>
          <w:sz w:val="24"/>
          <w:szCs w:val="24"/>
          <w:lang w:val="sr-Cyrl-CS"/>
        </w:rPr>
        <w:t xml:space="preserve"> </w:t>
      </w:r>
      <w:r w:rsidRPr="005303F7">
        <w:rPr>
          <w:rFonts w:ascii="Times New Roman" w:hAnsi="Times New Roman"/>
          <w:sz w:val="24"/>
          <w:szCs w:val="24"/>
          <w:lang w:val="sr-Cyrl-CS"/>
        </w:rPr>
        <w:t>сценарио</w:t>
      </w:r>
      <w:r w:rsidR="004D13D7" w:rsidRPr="005303F7">
        <w:rPr>
          <w:rFonts w:ascii="Times New Roman" w:hAnsi="Times New Roman"/>
          <w:sz w:val="24"/>
          <w:szCs w:val="24"/>
          <w:lang w:val="sr-Cyrl-CS"/>
        </w:rPr>
        <w:t xml:space="preserve"> </w:t>
      </w:r>
      <w:r w:rsidRPr="005303F7">
        <w:rPr>
          <w:rFonts w:ascii="Times New Roman" w:hAnsi="Times New Roman"/>
          <w:sz w:val="24"/>
          <w:szCs w:val="24"/>
          <w:lang w:val="sr-Cyrl-CS"/>
        </w:rPr>
        <w:t>Б</w:t>
      </w:r>
      <w:r w:rsidR="00C60640" w:rsidRPr="005303F7">
        <w:rPr>
          <w:rFonts w:ascii="Times New Roman" w:hAnsi="Times New Roman"/>
          <w:sz w:val="24"/>
          <w:szCs w:val="24"/>
          <w:lang w:val="sr-Cyrl-CS"/>
        </w:rPr>
        <w:t xml:space="preserve">2 </w:t>
      </w:r>
      <w:r w:rsidRPr="005303F7">
        <w:rPr>
          <w:rFonts w:ascii="Times New Roman" w:hAnsi="Times New Roman"/>
          <w:sz w:val="24"/>
          <w:szCs w:val="24"/>
          <w:lang w:val="sr-Cyrl-CS"/>
        </w:rPr>
        <w:t>уз</w:t>
      </w:r>
      <w:r w:rsidR="004D13D7" w:rsidRPr="005303F7">
        <w:rPr>
          <w:rFonts w:ascii="Times New Roman" w:hAnsi="Times New Roman"/>
          <w:sz w:val="24"/>
          <w:szCs w:val="24"/>
          <w:lang w:val="sr-Cyrl-CS"/>
        </w:rPr>
        <w:t xml:space="preserve"> </w:t>
      </w:r>
      <w:r w:rsidRPr="005303F7">
        <w:rPr>
          <w:rFonts w:ascii="Times New Roman" w:hAnsi="Times New Roman"/>
          <w:sz w:val="24"/>
          <w:szCs w:val="24"/>
          <w:lang w:val="sr-Cyrl-CS"/>
        </w:rPr>
        <w:t>имплементацију</w:t>
      </w:r>
      <w:r w:rsidR="008539F2" w:rsidRPr="005303F7">
        <w:rPr>
          <w:rFonts w:ascii="Times New Roman" w:hAnsi="Times New Roman"/>
          <w:sz w:val="24"/>
          <w:szCs w:val="24"/>
          <w:lang w:val="sr-Cyrl-CS"/>
        </w:rPr>
        <w:t xml:space="preserve"> </w:t>
      </w:r>
      <w:r w:rsidRPr="005303F7">
        <w:rPr>
          <w:rFonts w:ascii="Times New Roman" w:hAnsi="Times New Roman"/>
          <w:sz w:val="24"/>
          <w:szCs w:val="24"/>
          <w:lang w:val="sr-Cyrl-CS"/>
        </w:rPr>
        <w:t>EU-ETS</w:t>
      </w:r>
      <w:r w:rsidRPr="005303F7" w:rsidDel="00607CBA">
        <w:rPr>
          <w:rFonts w:ascii="Times New Roman" w:hAnsi="Times New Roman"/>
          <w:sz w:val="24"/>
          <w:szCs w:val="24"/>
          <w:lang w:val="sr-Cyrl-CS"/>
        </w:rPr>
        <w:t xml:space="preserve"> </w:t>
      </w:r>
      <w:r w:rsidR="004D13D7" w:rsidRPr="005303F7">
        <w:rPr>
          <w:rFonts w:ascii="Times New Roman" w:hAnsi="Times New Roman"/>
          <w:sz w:val="24"/>
          <w:szCs w:val="24"/>
          <w:lang w:val="sr-Cyrl-CS"/>
        </w:rPr>
        <w:t>-</w:t>
      </w:r>
      <w:r w:rsidRPr="005303F7">
        <w:rPr>
          <w:rFonts w:ascii="Times New Roman" w:hAnsi="Times New Roman"/>
          <w:sz w:val="24"/>
          <w:szCs w:val="24"/>
          <w:lang w:val="sr-Cyrl-CS"/>
        </w:rPr>
        <w:t>а</w:t>
      </w:r>
      <w:r w:rsidR="004D13D7" w:rsidRPr="005303F7">
        <w:rPr>
          <w:rFonts w:ascii="Times New Roman" w:hAnsi="Times New Roman"/>
          <w:sz w:val="24"/>
          <w:szCs w:val="24"/>
          <w:lang w:val="sr-Cyrl-CS"/>
        </w:rPr>
        <w:t xml:space="preserve"> (</w:t>
      </w:r>
      <w:r w:rsidRPr="005303F7">
        <w:rPr>
          <w:rFonts w:ascii="Times New Roman" w:hAnsi="Times New Roman"/>
          <w:sz w:val="24"/>
          <w:szCs w:val="24"/>
          <w:lang w:val="sr-Cyrl-CS"/>
        </w:rPr>
        <w:t>Европског</w:t>
      </w:r>
      <w:r w:rsidR="004D13D7" w:rsidRPr="005303F7">
        <w:rPr>
          <w:rFonts w:ascii="Times New Roman" w:hAnsi="Times New Roman"/>
          <w:sz w:val="24"/>
          <w:szCs w:val="24"/>
          <w:lang w:val="sr-Cyrl-CS"/>
        </w:rPr>
        <w:t xml:space="preserve"> </w:t>
      </w:r>
      <w:r w:rsidRPr="005303F7">
        <w:rPr>
          <w:rFonts w:ascii="Times New Roman" w:hAnsi="Times New Roman"/>
          <w:sz w:val="24"/>
          <w:szCs w:val="24"/>
          <w:lang w:val="sr-Cyrl-CS"/>
        </w:rPr>
        <w:t>система</w:t>
      </w:r>
      <w:r w:rsidR="004D13D7" w:rsidRPr="005303F7">
        <w:rPr>
          <w:rFonts w:ascii="Times New Roman" w:hAnsi="Times New Roman"/>
          <w:sz w:val="24"/>
          <w:szCs w:val="24"/>
          <w:lang w:val="sr-Cyrl-CS"/>
        </w:rPr>
        <w:t xml:space="preserve"> </w:t>
      </w:r>
      <w:r w:rsidRPr="005303F7">
        <w:rPr>
          <w:rFonts w:ascii="Times New Roman" w:hAnsi="Times New Roman"/>
          <w:sz w:val="24"/>
          <w:szCs w:val="24"/>
          <w:lang w:val="sr-Cyrl-CS"/>
        </w:rPr>
        <w:t>за</w:t>
      </w:r>
      <w:r w:rsidR="004D13D7" w:rsidRPr="005303F7">
        <w:rPr>
          <w:rFonts w:ascii="Times New Roman" w:hAnsi="Times New Roman"/>
          <w:sz w:val="24"/>
          <w:szCs w:val="24"/>
          <w:lang w:val="sr-Cyrl-CS"/>
        </w:rPr>
        <w:t xml:space="preserve"> </w:t>
      </w:r>
      <w:r w:rsidRPr="005303F7">
        <w:rPr>
          <w:rFonts w:ascii="Times New Roman" w:hAnsi="Times New Roman"/>
          <w:sz w:val="24"/>
          <w:szCs w:val="24"/>
          <w:lang w:val="sr-Cyrl-CS"/>
        </w:rPr>
        <w:t>трговину</w:t>
      </w:r>
      <w:r w:rsidR="004D13D7" w:rsidRPr="005303F7">
        <w:rPr>
          <w:rFonts w:ascii="Times New Roman" w:hAnsi="Times New Roman"/>
          <w:sz w:val="24"/>
          <w:szCs w:val="24"/>
          <w:lang w:val="sr-Cyrl-CS"/>
        </w:rPr>
        <w:t xml:space="preserve"> </w:t>
      </w:r>
      <w:r w:rsidRPr="005303F7">
        <w:rPr>
          <w:rFonts w:ascii="Times New Roman" w:hAnsi="Times New Roman"/>
          <w:sz w:val="24"/>
          <w:szCs w:val="24"/>
          <w:lang w:val="sr-Cyrl-CS"/>
        </w:rPr>
        <w:t>емисијама</w:t>
      </w:r>
      <w:r w:rsidR="004D13D7" w:rsidRPr="005303F7">
        <w:rPr>
          <w:rFonts w:ascii="Times New Roman" w:hAnsi="Times New Roman"/>
          <w:sz w:val="24"/>
          <w:szCs w:val="24"/>
          <w:lang w:val="sr-Cyrl-CS"/>
        </w:rPr>
        <w:t>)</w:t>
      </w:r>
      <w:r w:rsidR="005F7F83" w:rsidRPr="005303F7">
        <w:rPr>
          <w:rFonts w:ascii="Times New Roman" w:hAnsi="Times New Roman"/>
          <w:sz w:val="24"/>
          <w:szCs w:val="24"/>
          <w:lang w:val="sr-Cyrl-CS"/>
        </w:rPr>
        <w:t>;</w:t>
      </w:r>
    </w:p>
    <w:p w14:paraId="48E31C72" w14:textId="5C250686" w:rsidR="00626878" w:rsidRPr="005303F7" w:rsidRDefault="00607CBA" w:rsidP="0097460E">
      <w:pPr>
        <w:pStyle w:val="ListParagraph"/>
        <w:numPr>
          <w:ilvl w:val="0"/>
          <w:numId w:val="48"/>
        </w:numPr>
        <w:tabs>
          <w:tab w:val="clear" w:pos="3825"/>
        </w:tabs>
        <w:overflowPunct/>
        <w:autoSpaceDE/>
        <w:autoSpaceDN/>
        <w:adjustRightInd/>
        <w:ind w:left="0" w:firstLine="360"/>
        <w:textAlignment w:val="auto"/>
        <w:rPr>
          <w:rFonts w:ascii="Times New Roman" w:hAnsi="Times New Roman"/>
          <w:bCs/>
          <w:sz w:val="24"/>
          <w:szCs w:val="24"/>
          <w:lang w:val="sr-Cyrl-CS"/>
        </w:rPr>
      </w:pPr>
      <w:r w:rsidRPr="005303F7">
        <w:rPr>
          <w:rFonts w:ascii="Times New Roman" w:hAnsi="Times New Roman"/>
          <w:b/>
          <w:sz w:val="24"/>
          <w:szCs w:val="24"/>
          <w:lang w:val="sr-Cyrl-CS"/>
        </w:rPr>
        <w:t>Сценарио</w:t>
      </w:r>
      <w:r w:rsidR="008539F2" w:rsidRPr="005303F7">
        <w:rPr>
          <w:rFonts w:ascii="Times New Roman" w:hAnsi="Times New Roman"/>
          <w:b/>
          <w:sz w:val="24"/>
          <w:szCs w:val="24"/>
          <w:lang w:val="sr-Cyrl-CS"/>
        </w:rPr>
        <w:t xml:space="preserve"> </w:t>
      </w:r>
      <w:r w:rsidRPr="005303F7">
        <w:rPr>
          <w:rFonts w:ascii="Times New Roman" w:hAnsi="Times New Roman"/>
          <w:b/>
          <w:sz w:val="24"/>
          <w:szCs w:val="24"/>
          <w:lang w:val="sr-Cyrl-CS"/>
        </w:rPr>
        <w:t>М</w:t>
      </w:r>
      <w:r w:rsidR="008539F2" w:rsidRPr="005303F7">
        <w:rPr>
          <w:rFonts w:ascii="Times New Roman" w:hAnsi="Times New Roman"/>
          <w:b/>
          <w:sz w:val="24"/>
          <w:szCs w:val="24"/>
          <w:lang w:val="sr-Cyrl-CS"/>
        </w:rPr>
        <w:t>2</w:t>
      </w:r>
      <w:r w:rsidR="00970006" w:rsidRPr="005303F7">
        <w:rPr>
          <w:rFonts w:ascii="Times New Roman" w:hAnsi="Times New Roman"/>
          <w:sz w:val="24"/>
          <w:szCs w:val="24"/>
          <w:lang w:val="sr-Cyrl-CS"/>
        </w:rPr>
        <w:t xml:space="preserve">: </w:t>
      </w:r>
      <w:r w:rsidRPr="005303F7">
        <w:rPr>
          <w:rFonts w:ascii="Times New Roman" w:hAnsi="Times New Roman"/>
          <w:sz w:val="24"/>
          <w:szCs w:val="24"/>
          <w:lang w:val="sr-Cyrl-CS"/>
        </w:rPr>
        <w:t>Имплементација</w:t>
      </w:r>
      <w:r w:rsidR="00C075DD" w:rsidRPr="005303F7">
        <w:rPr>
          <w:rFonts w:ascii="Times New Roman" w:hAnsi="Times New Roman"/>
          <w:sz w:val="24"/>
          <w:szCs w:val="24"/>
          <w:lang w:val="sr-Cyrl-CS"/>
        </w:rPr>
        <w:t xml:space="preserve"> </w:t>
      </w:r>
      <w:r w:rsidRPr="005303F7">
        <w:rPr>
          <w:rFonts w:ascii="Times New Roman" w:hAnsi="Times New Roman"/>
          <w:sz w:val="24"/>
          <w:szCs w:val="24"/>
          <w:lang w:val="sr-Cyrl-CS"/>
        </w:rPr>
        <w:t>целокупног</w:t>
      </w:r>
      <w:r w:rsidR="00C075DD" w:rsidRPr="005303F7">
        <w:rPr>
          <w:rFonts w:ascii="Times New Roman" w:hAnsi="Times New Roman"/>
          <w:sz w:val="24"/>
          <w:szCs w:val="24"/>
          <w:lang w:val="sr-Cyrl-CS"/>
        </w:rPr>
        <w:t xml:space="preserve"> </w:t>
      </w:r>
      <w:r w:rsidRPr="005303F7">
        <w:rPr>
          <w:rFonts w:ascii="Times New Roman" w:hAnsi="Times New Roman"/>
          <w:sz w:val="24"/>
          <w:szCs w:val="24"/>
          <w:lang w:val="sr-Cyrl-CS"/>
        </w:rPr>
        <w:t>законодавства</w:t>
      </w:r>
      <w:r w:rsidR="00C075DD" w:rsidRPr="005303F7">
        <w:rPr>
          <w:rFonts w:ascii="Times New Roman" w:hAnsi="Times New Roman"/>
          <w:sz w:val="24"/>
          <w:szCs w:val="24"/>
          <w:lang w:val="sr-Cyrl-CS"/>
        </w:rPr>
        <w:t xml:space="preserve"> </w:t>
      </w:r>
      <w:r w:rsidRPr="005303F7">
        <w:rPr>
          <w:rFonts w:ascii="Times New Roman" w:hAnsi="Times New Roman"/>
          <w:sz w:val="24"/>
          <w:szCs w:val="24"/>
          <w:lang w:val="sr-Cyrl-CS"/>
        </w:rPr>
        <w:t>ЕУ</w:t>
      </w:r>
      <w:r w:rsidR="00C075DD" w:rsidRPr="005303F7">
        <w:rPr>
          <w:rFonts w:ascii="Times New Roman" w:hAnsi="Times New Roman"/>
          <w:sz w:val="24"/>
          <w:szCs w:val="24"/>
          <w:lang w:val="sr-Cyrl-CS"/>
        </w:rPr>
        <w:t xml:space="preserve">, </w:t>
      </w:r>
      <w:r w:rsidRPr="005303F7">
        <w:rPr>
          <w:rFonts w:ascii="Times New Roman" w:hAnsi="Times New Roman"/>
          <w:sz w:val="24"/>
          <w:szCs w:val="24"/>
          <w:lang w:val="sr-Cyrl-CS"/>
        </w:rPr>
        <w:t>у</w:t>
      </w:r>
      <w:r w:rsidR="00C075DD" w:rsidRPr="005303F7">
        <w:rPr>
          <w:rFonts w:ascii="Times New Roman" w:hAnsi="Times New Roman"/>
          <w:sz w:val="24"/>
          <w:szCs w:val="24"/>
          <w:lang w:val="sr-Cyrl-CS"/>
        </w:rPr>
        <w:t xml:space="preserve"> </w:t>
      </w:r>
      <w:r w:rsidRPr="005303F7">
        <w:rPr>
          <w:rFonts w:ascii="Times New Roman" w:hAnsi="Times New Roman"/>
          <w:sz w:val="24"/>
          <w:szCs w:val="24"/>
          <w:lang w:val="sr-Cyrl-CS"/>
        </w:rPr>
        <w:t>потпуности</w:t>
      </w:r>
      <w:r w:rsidR="00C075DD" w:rsidRPr="005303F7">
        <w:rPr>
          <w:rFonts w:ascii="Times New Roman" w:hAnsi="Times New Roman"/>
          <w:sz w:val="24"/>
          <w:szCs w:val="24"/>
          <w:lang w:val="sr-Cyrl-CS"/>
        </w:rPr>
        <w:t xml:space="preserve"> </w:t>
      </w:r>
      <w:r w:rsidRPr="005303F7">
        <w:rPr>
          <w:rFonts w:ascii="Times New Roman" w:hAnsi="Times New Roman"/>
          <w:sz w:val="24"/>
          <w:szCs w:val="24"/>
          <w:lang w:val="sr-Cyrl-CS"/>
        </w:rPr>
        <w:t>транспонованог</w:t>
      </w:r>
      <w:r w:rsidR="00C075DD" w:rsidRPr="005303F7">
        <w:rPr>
          <w:rFonts w:ascii="Times New Roman" w:hAnsi="Times New Roman"/>
          <w:sz w:val="24"/>
          <w:szCs w:val="24"/>
          <w:lang w:val="sr-Cyrl-CS"/>
        </w:rPr>
        <w:t xml:space="preserve"> </w:t>
      </w:r>
      <w:r w:rsidRPr="005303F7">
        <w:rPr>
          <w:rFonts w:ascii="Times New Roman" w:hAnsi="Times New Roman"/>
          <w:sz w:val="24"/>
          <w:szCs w:val="24"/>
          <w:lang w:val="sr-Cyrl-CS"/>
        </w:rPr>
        <w:t>и</w:t>
      </w:r>
      <w:r w:rsidR="00C075DD" w:rsidRPr="005303F7">
        <w:rPr>
          <w:rFonts w:ascii="Times New Roman" w:hAnsi="Times New Roman"/>
          <w:sz w:val="24"/>
          <w:szCs w:val="24"/>
          <w:lang w:val="sr-Cyrl-CS"/>
        </w:rPr>
        <w:t xml:space="preserve"> </w:t>
      </w:r>
      <w:r w:rsidRPr="005303F7">
        <w:rPr>
          <w:rFonts w:ascii="Times New Roman" w:hAnsi="Times New Roman"/>
          <w:sz w:val="24"/>
          <w:szCs w:val="24"/>
          <w:lang w:val="sr-Cyrl-CS"/>
        </w:rPr>
        <w:t>спроведеног</w:t>
      </w:r>
      <w:r w:rsidR="005870B4" w:rsidRPr="005303F7">
        <w:rPr>
          <w:rFonts w:ascii="Times New Roman" w:hAnsi="Times New Roman"/>
          <w:sz w:val="24"/>
          <w:szCs w:val="24"/>
          <w:lang w:val="sr-Cyrl-CS"/>
        </w:rPr>
        <w:t xml:space="preserve">, </w:t>
      </w:r>
      <w:r w:rsidRPr="005303F7">
        <w:rPr>
          <w:rFonts w:ascii="Times New Roman" w:hAnsi="Times New Roman"/>
          <w:sz w:val="24"/>
          <w:szCs w:val="24"/>
          <w:lang w:val="sr-Cyrl-CS"/>
        </w:rPr>
        <w:t>чиме</w:t>
      </w:r>
      <w:r w:rsidR="00C075DD" w:rsidRPr="005303F7">
        <w:rPr>
          <w:rFonts w:ascii="Times New Roman" w:hAnsi="Times New Roman"/>
          <w:sz w:val="24"/>
          <w:szCs w:val="24"/>
          <w:lang w:val="sr-Cyrl-CS"/>
        </w:rPr>
        <w:t xml:space="preserve"> </w:t>
      </w:r>
      <w:r w:rsidRPr="005303F7">
        <w:rPr>
          <w:rFonts w:ascii="Times New Roman" w:hAnsi="Times New Roman"/>
          <w:sz w:val="24"/>
          <w:szCs w:val="24"/>
          <w:lang w:val="sr-Cyrl-CS"/>
        </w:rPr>
        <w:t>се</w:t>
      </w:r>
      <w:r w:rsidR="00C075DD" w:rsidRPr="005303F7">
        <w:rPr>
          <w:rFonts w:ascii="Times New Roman" w:hAnsi="Times New Roman"/>
          <w:sz w:val="24"/>
          <w:szCs w:val="24"/>
          <w:lang w:val="sr-Cyrl-CS"/>
        </w:rPr>
        <w:t xml:space="preserve"> </w:t>
      </w:r>
      <w:r w:rsidRPr="005303F7">
        <w:rPr>
          <w:rFonts w:ascii="Times New Roman" w:hAnsi="Times New Roman"/>
          <w:sz w:val="24"/>
          <w:szCs w:val="24"/>
          <w:lang w:val="sr-Cyrl-CS"/>
        </w:rPr>
        <w:t>постиже</w:t>
      </w:r>
      <w:r w:rsidR="00C075DD" w:rsidRPr="005303F7">
        <w:rPr>
          <w:rFonts w:ascii="Times New Roman" w:hAnsi="Times New Roman"/>
          <w:sz w:val="24"/>
          <w:szCs w:val="24"/>
          <w:lang w:val="sr-Cyrl-CS"/>
        </w:rPr>
        <w:t xml:space="preserve"> </w:t>
      </w:r>
      <w:r w:rsidRPr="005303F7">
        <w:rPr>
          <w:rFonts w:ascii="Times New Roman" w:hAnsi="Times New Roman"/>
          <w:sz w:val="24"/>
          <w:szCs w:val="24"/>
          <w:lang w:val="sr-Cyrl-CS"/>
        </w:rPr>
        <w:t>смањење</w:t>
      </w:r>
      <w:r w:rsidR="00C075DD" w:rsidRPr="005303F7">
        <w:rPr>
          <w:rFonts w:ascii="Times New Roman" w:hAnsi="Times New Roman"/>
          <w:sz w:val="24"/>
          <w:szCs w:val="24"/>
          <w:lang w:val="sr-Cyrl-CS"/>
        </w:rPr>
        <w:t xml:space="preserve"> </w:t>
      </w:r>
      <w:r w:rsidRPr="005303F7">
        <w:rPr>
          <w:rFonts w:ascii="Times New Roman" w:hAnsi="Times New Roman"/>
          <w:sz w:val="24"/>
          <w:szCs w:val="24"/>
          <w:lang w:val="sr-Cyrl-CS"/>
        </w:rPr>
        <w:t>емисија</w:t>
      </w:r>
      <w:r w:rsidR="00C075DD" w:rsidRPr="005303F7">
        <w:rPr>
          <w:rFonts w:ascii="Times New Roman" w:hAnsi="Times New Roman"/>
          <w:sz w:val="24"/>
          <w:szCs w:val="24"/>
          <w:lang w:val="sr-Cyrl-CS"/>
        </w:rPr>
        <w:t xml:space="preserve"> </w:t>
      </w:r>
      <w:r w:rsidRPr="005303F7">
        <w:rPr>
          <w:rFonts w:ascii="Times New Roman" w:hAnsi="Times New Roman"/>
          <w:sz w:val="24"/>
          <w:szCs w:val="24"/>
          <w:lang w:val="sr-Cyrl-CS"/>
        </w:rPr>
        <w:t>GHG</w:t>
      </w:r>
      <w:r w:rsidR="00C075DD" w:rsidRPr="005303F7">
        <w:rPr>
          <w:rFonts w:ascii="Times New Roman" w:hAnsi="Times New Roman"/>
          <w:sz w:val="24"/>
          <w:szCs w:val="24"/>
          <w:lang w:val="sr-Cyrl-CS"/>
        </w:rPr>
        <w:t xml:space="preserve"> </w:t>
      </w:r>
      <w:r w:rsidRPr="005303F7">
        <w:rPr>
          <w:rFonts w:ascii="Times New Roman" w:hAnsi="Times New Roman"/>
          <w:sz w:val="24"/>
          <w:szCs w:val="24"/>
          <w:lang w:val="sr-Cyrl-CS"/>
        </w:rPr>
        <w:t>од</w:t>
      </w:r>
      <w:r w:rsidR="005870B4" w:rsidRPr="005303F7">
        <w:rPr>
          <w:rFonts w:ascii="Times New Roman" w:hAnsi="Times New Roman"/>
          <w:sz w:val="24"/>
          <w:szCs w:val="24"/>
          <w:lang w:val="sr-Cyrl-CS"/>
        </w:rPr>
        <w:t xml:space="preserve"> 33</w:t>
      </w:r>
      <w:r w:rsidR="00F509E4" w:rsidRPr="005303F7">
        <w:rPr>
          <w:rFonts w:ascii="Times New Roman" w:hAnsi="Times New Roman"/>
          <w:sz w:val="24"/>
          <w:szCs w:val="24"/>
          <w:lang w:val="sr-Cyrl-CS"/>
        </w:rPr>
        <w:t>,3</w:t>
      </w:r>
      <w:r w:rsidR="005870B4" w:rsidRPr="005303F7">
        <w:rPr>
          <w:rFonts w:ascii="Times New Roman" w:hAnsi="Times New Roman"/>
          <w:sz w:val="24"/>
          <w:szCs w:val="24"/>
          <w:lang w:val="sr-Cyrl-CS"/>
        </w:rPr>
        <w:t xml:space="preserve">% </w:t>
      </w:r>
      <w:r w:rsidRPr="005303F7">
        <w:rPr>
          <w:rFonts w:ascii="Times New Roman" w:hAnsi="Times New Roman"/>
          <w:sz w:val="24"/>
          <w:szCs w:val="24"/>
          <w:lang w:val="sr-Cyrl-CS"/>
        </w:rPr>
        <w:t>у</w:t>
      </w:r>
      <w:r w:rsidR="00C075DD" w:rsidRPr="005303F7">
        <w:rPr>
          <w:rFonts w:ascii="Times New Roman" w:hAnsi="Times New Roman"/>
          <w:sz w:val="24"/>
          <w:szCs w:val="24"/>
          <w:lang w:val="sr-Cyrl-CS"/>
        </w:rPr>
        <w:t xml:space="preserve"> </w:t>
      </w:r>
      <w:r w:rsidRPr="005303F7">
        <w:rPr>
          <w:rFonts w:ascii="Times New Roman" w:hAnsi="Times New Roman"/>
          <w:sz w:val="24"/>
          <w:szCs w:val="24"/>
          <w:lang w:val="sr-Cyrl-CS"/>
        </w:rPr>
        <w:t>поређењу</w:t>
      </w:r>
      <w:r w:rsidR="00C075DD" w:rsidRPr="005303F7">
        <w:rPr>
          <w:rFonts w:ascii="Times New Roman" w:hAnsi="Times New Roman"/>
          <w:sz w:val="24"/>
          <w:szCs w:val="24"/>
          <w:lang w:val="sr-Cyrl-CS"/>
        </w:rPr>
        <w:t xml:space="preserve"> </w:t>
      </w:r>
      <w:r w:rsidRPr="005303F7">
        <w:rPr>
          <w:rFonts w:ascii="Times New Roman" w:hAnsi="Times New Roman"/>
          <w:sz w:val="24"/>
          <w:szCs w:val="24"/>
          <w:lang w:val="sr-Cyrl-CS"/>
        </w:rPr>
        <w:t>са</w:t>
      </w:r>
      <w:r w:rsidR="005870B4" w:rsidRPr="005303F7">
        <w:rPr>
          <w:rFonts w:ascii="Times New Roman" w:hAnsi="Times New Roman"/>
          <w:sz w:val="24"/>
          <w:szCs w:val="24"/>
          <w:lang w:val="sr-Cyrl-CS"/>
        </w:rPr>
        <w:t xml:space="preserve"> 1990</w:t>
      </w:r>
      <w:r w:rsidR="00C075DD" w:rsidRPr="005303F7">
        <w:rPr>
          <w:rFonts w:ascii="Times New Roman" w:hAnsi="Times New Roman"/>
          <w:sz w:val="24"/>
          <w:szCs w:val="24"/>
          <w:lang w:val="sr-Cyrl-CS"/>
        </w:rPr>
        <w:t xml:space="preserve">. </w:t>
      </w:r>
      <w:r w:rsidRPr="005303F7">
        <w:rPr>
          <w:rFonts w:ascii="Times New Roman" w:hAnsi="Times New Roman"/>
          <w:sz w:val="24"/>
          <w:szCs w:val="24"/>
          <w:lang w:val="sr-Cyrl-CS"/>
        </w:rPr>
        <w:t>годином</w:t>
      </w:r>
      <w:r w:rsidR="00072D0B" w:rsidRPr="005303F7">
        <w:rPr>
          <w:rFonts w:ascii="Times New Roman" w:hAnsi="Times New Roman"/>
          <w:sz w:val="24"/>
          <w:szCs w:val="24"/>
          <w:lang w:val="sr-Cyrl-CS"/>
        </w:rPr>
        <w:t xml:space="preserve"> и</w:t>
      </w:r>
      <w:r w:rsidR="005870B4" w:rsidRPr="005303F7">
        <w:rPr>
          <w:rFonts w:ascii="Times New Roman" w:hAnsi="Times New Roman"/>
          <w:sz w:val="24"/>
          <w:szCs w:val="24"/>
          <w:lang w:val="sr-Cyrl-CS"/>
        </w:rPr>
        <w:t xml:space="preserve"> </w:t>
      </w:r>
      <w:r w:rsidR="00A54344" w:rsidRPr="005303F7">
        <w:rPr>
          <w:rFonts w:ascii="Times New Roman" w:hAnsi="Times New Roman"/>
          <w:sz w:val="24"/>
          <w:szCs w:val="24"/>
          <w:lang w:val="sr-Cyrl-CS"/>
        </w:rPr>
        <w:t>32,</w:t>
      </w:r>
      <w:r w:rsidR="00E359E8" w:rsidRPr="005303F7">
        <w:rPr>
          <w:rFonts w:ascii="Times New Roman" w:hAnsi="Times New Roman"/>
          <w:sz w:val="24"/>
          <w:szCs w:val="24"/>
          <w:lang w:val="sr-Cyrl-CS"/>
        </w:rPr>
        <w:t>3</w:t>
      </w:r>
      <w:r w:rsidR="005870B4" w:rsidRPr="005303F7">
        <w:rPr>
          <w:rFonts w:ascii="Times New Roman" w:hAnsi="Times New Roman"/>
          <w:sz w:val="24"/>
          <w:szCs w:val="24"/>
          <w:lang w:val="sr-Cyrl-CS"/>
        </w:rPr>
        <w:t xml:space="preserve">% </w:t>
      </w:r>
      <w:r w:rsidRPr="005303F7">
        <w:rPr>
          <w:rFonts w:ascii="Times New Roman" w:hAnsi="Times New Roman"/>
          <w:sz w:val="24"/>
          <w:szCs w:val="24"/>
          <w:lang w:val="sr-Cyrl-CS"/>
        </w:rPr>
        <w:t>ОИЕ</w:t>
      </w:r>
      <w:r w:rsidR="00FD573B" w:rsidRPr="005303F7">
        <w:rPr>
          <w:rStyle w:val="FootnoteReference"/>
          <w:rFonts w:ascii="Times New Roman" w:hAnsi="Times New Roman"/>
          <w:sz w:val="20"/>
          <w:szCs w:val="24"/>
          <w:lang w:val="sr-Cyrl-CS"/>
        </w:rPr>
        <w:footnoteReference w:id="21"/>
      </w:r>
      <w:r w:rsidR="005870B4" w:rsidRPr="005303F7">
        <w:rPr>
          <w:rFonts w:ascii="Times New Roman" w:hAnsi="Times New Roman"/>
          <w:sz w:val="24"/>
          <w:szCs w:val="24"/>
          <w:lang w:val="sr-Cyrl-CS"/>
        </w:rPr>
        <w:t xml:space="preserve"> </w:t>
      </w:r>
      <w:r w:rsidRPr="005303F7">
        <w:rPr>
          <w:rFonts w:ascii="Times New Roman" w:hAnsi="Times New Roman"/>
          <w:sz w:val="24"/>
          <w:szCs w:val="24"/>
          <w:lang w:val="sr-Cyrl-CS"/>
        </w:rPr>
        <w:t>до</w:t>
      </w:r>
      <w:r w:rsidR="005870B4" w:rsidRPr="005303F7">
        <w:rPr>
          <w:rFonts w:ascii="Times New Roman" w:hAnsi="Times New Roman"/>
          <w:sz w:val="24"/>
          <w:szCs w:val="24"/>
          <w:lang w:val="sr-Cyrl-CS"/>
        </w:rPr>
        <w:t xml:space="preserve"> 2030</w:t>
      </w:r>
      <w:r w:rsidR="00C075DD" w:rsidRPr="005303F7">
        <w:rPr>
          <w:rFonts w:ascii="Times New Roman" w:hAnsi="Times New Roman"/>
          <w:sz w:val="24"/>
          <w:szCs w:val="24"/>
          <w:lang w:val="sr-Cyrl-CS"/>
        </w:rPr>
        <w:t xml:space="preserve">. </w:t>
      </w:r>
      <w:r w:rsidRPr="005303F7">
        <w:rPr>
          <w:rFonts w:ascii="Times New Roman" w:hAnsi="Times New Roman"/>
          <w:sz w:val="24"/>
          <w:szCs w:val="24"/>
          <w:lang w:val="sr-Cyrl-CS"/>
        </w:rPr>
        <w:t>године</w:t>
      </w:r>
      <w:r w:rsidR="005F7F83" w:rsidRPr="005303F7">
        <w:rPr>
          <w:rFonts w:ascii="Times New Roman" w:hAnsi="Times New Roman"/>
          <w:sz w:val="24"/>
          <w:szCs w:val="24"/>
          <w:lang w:val="sr-Cyrl-CS"/>
        </w:rPr>
        <w:t>;</w:t>
      </w:r>
      <w:r w:rsidR="00D54E70" w:rsidRPr="005303F7">
        <w:rPr>
          <w:lang w:val="sr-Cyrl-CS"/>
        </w:rPr>
        <w:t xml:space="preserve"> </w:t>
      </w:r>
      <w:r w:rsidR="007E4D1D" w:rsidRPr="005303F7">
        <w:rPr>
          <w:rFonts w:ascii="Times New Roman" w:hAnsi="Times New Roman"/>
          <w:sz w:val="24"/>
          <w:szCs w:val="24"/>
          <w:lang w:val="sr-Cyrl-CS"/>
        </w:rPr>
        <w:t xml:space="preserve">док ће </w:t>
      </w:r>
      <w:r w:rsidR="00072D0B" w:rsidRPr="005303F7">
        <w:rPr>
          <w:rFonts w:ascii="Times New Roman" w:hAnsi="Times New Roman"/>
          <w:sz w:val="24"/>
          <w:szCs w:val="24"/>
          <w:lang w:val="sr-Cyrl-CS"/>
        </w:rPr>
        <w:t>коначни</w:t>
      </w:r>
      <w:r w:rsidR="00072D0B" w:rsidRPr="005303F7">
        <w:rPr>
          <w:lang w:val="sr-Cyrl-CS"/>
        </w:rPr>
        <w:t xml:space="preserve"> </w:t>
      </w:r>
      <w:r w:rsidR="007E4D1D" w:rsidRPr="005303F7">
        <w:rPr>
          <w:rFonts w:ascii="Times New Roman" w:hAnsi="Times New Roman"/>
          <w:sz w:val="24"/>
          <w:szCs w:val="24"/>
          <w:lang w:val="sr-Cyrl-CS"/>
        </w:rPr>
        <w:t>циљеви</w:t>
      </w:r>
      <w:r w:rsidR="00D54E70" w:rsidRPr="005303F7">
        <w:rPr>
          <w:rFonts w:ascii="Times New Roman" w:hAnsi="Times New Roman"/>
          <w:sz w:val="24"/>
          <w:szCs w:val="24"/>
          <w:lang w:val="sr-Cyrl-CS"/>
        </w:rPr>
        <w:t xml:space="preserve"> за удео ОИЕ у бруто финалној потрошњи енергије и повећање енергетске ефикасности у 2030.</w:t>
      </w:r>
      <w:r w:rsidR="0055130E" w:rsidRPr="005303F7">
        <w:rPr>
          <w:rFonts w:ascii="Times New Roman" w:hAnsi="Times New Roman"/>
          <w:sz w:val="24"/>
          <w:szCs w:val="24"/>
          <w:lang w:val="sr-Cyrl-CS"/>
        </w:rPr>
        <w:t>години</w:t>
      </w:r>
      <w:r w:rsidR="007E4D1D" w:rsidRPr="005303F7">
        <w:rPr>
          <w:rFonts w:ascii="Times New Roman" w:hAnsi="Times New Roman"/>
          <w:sz w:val="24"/>
          <w:szCs w:val="24"/>
          <w:lang w:val="sr-Cyrl-CS"/>
        </w:rPr>
        <w:t xml:space="preserve"> бити дефинисани Интегрисаним националним енергетским и климатским планом.</w:t>
      </w:r>
      <w:r w:rsidR="00CE36D1" w:rsidRPr="005303F7">
        <w:rPr>
          <w:rFonts w:ascii="Times New Roman" w:hAnsi="Times New Roman"/>
          <w:sz w:val="24"/>
          <w:szCs w:val="24"/>
          <w:lang w:val="sr-Cyrl-CS"/>
        </w:rPr>
        <w:t xml:space="preserve"> </w:t>
      </w:r>
      <w:r w:rsidRPr="005303F7">
        <w:rPr>
          <w:rFonts w:ascii="Times New Roman" w:hAnsi="Times New Roman"/>
          <w:bCs/>
          <w:sz w:val="24"/>
          <w:szCs w:val="24"/>
          <w:lang w:val="sr-Cyrl-CS"/>
        </w:rPr>
        <w:t>У</w:t>
      </w:r>
      <w:r w:rsidR="00EE20C7" w:rsidRPr="005303F7">
        <w:rPr>
          <w:rFonts w:ascii="Times New Roman" w:hAnsi="Times New Roman"/>
          <w:bCs/>
          <w:sz w:val="24"/>
          <w:szCs w:val="24"/>
          <w:lang w:val="sr-Cyrl-CS"/>
        </w:rPr>
        <w:t xml:space="preserve"> </w:t>
      </w:r>
      <w:r w:rsidRPr="005303F7">
        <w:rPr>
          <w:rFonts w:ascii="Times New Roman" w:hAnsi="Times New Roman"/>
          <w:bCs/>
          <w:sz w:val="24"/>
          <w:szCs w:val="24"/>
          <w:lang w:val="sr-Cyrl-CS"/>
        </w:rPr>
        <w:t>циљу</w:t>
      </w:r>
      <w:r w:rsidR="00EE20C7" w:rsidRPr="005303F7">
        <w:rPr>
          <w:rFonts w:ascii="Times New Roman" w:hAnsi="Times New Roman"/>
          <w:bCs/>
          <w:sz w:val="24"/>
          <w:szCs w:val="24"/>
          <w:lang w:val="sr-Cyrl-CS"/>
        </w:rPr>
        <w:t xml:space="preserve"> </w:t>
      </w:r>
      <w:r w:rsidRPr="005303F7">
        <w:rPr>
          <w:rFonts w:ascii="Times New Roman" w:hAnsi="Times New Roman"/>
          <w:bCs/>
          <w:sz w:val="24"/>
          <w:szCs w:val="24"/>
          <w:lang w:val="sr-Cyrl-CS"/>
        </w:rPr>
        <w:t>повећања</w:t>
      </w:r>
      <w:r w:rsidR="00EE20C7" w:rsidRPr="005303F7">
        <w:rPr>
          <w:rFonts w:ascii="Times New Roman" w:hAnsi="Times New Roman"/>
          <w:bCs/>
          <w:sz w:val="24"/>
          <w:szCs w:val="24"/>
          <w:lang w:val="sr-Cyrl-CS"/>
        </w:rPr>
        <w:t xml:space="preserve"> </w:t>
      </w:r>
      <w:r w:rsidRPr="005303F7">
        <w:rPr>
          <w:rFonts w:ascii="Times New Roman" w:hAnsi="Times New Roman"/>
          <w:bCs/>
          <w:sz w:val="24"/>
          <w:szCs w:val="24"/>
          <w:lang w:val="sr-Cyrl-CS"/>
        </w:rPr>
        <w:t>амбиције</w:t>
      </w:r>
      <w:r w:rsidR="00B26EC1" w:rsidRPr="005303F7">
        <w:rPr>
          <w:rFonts w:ascii="Times New Roman" w:hAnsi="Times New Roman"/>
          <w:bCs/>
          <w:sz w:val="24"/>
          <w:szCs w:val="24"/>
          <w:lang w:val="sr-Cyrl-CS"/>
        </w:rPr>
        <w:t xml:space="preserve"> </w:t>
      </w:r>
      <w:r w:rsidRPr="005303F7">
        <w:rPr>
          <w:rFonts w:ascii="Times New Roman" w:hAnsi="Times New Roman"/>
          <w:bCs/>
          <w:sz w:val="24"/>
          <w:szCs w:val="24"/>
          <w:lang w:val="sr-Cyrl-CS"/>
        </w:rPr>
        <w:t>и</w:t>
      </w:r>
      <w:r w:rsidR="00C5436C" w:rsidRPr="005303F7">
        <w:rPr>
          <w:rFonts w:ascii="Times New Roman" w:hAnsi="Times New Roman"/>
          <w:bCs/>
          <w:sz w:val="24"/>
          <w:szCs w:val="24"/>
          <w:lang w:val="sr-Cyrl-CS"/>
        </w:rPr>
        <w:t xml:space="preserve"> </w:t>
      </w:r>
      <w:r w:rsidRPr="005303F7">
        <w:rPr>
          <w:rFonts w:ascii="Times New Roman" w:hAnsi="Times New Roman"/>
          <w:bCs/>
          <w:sz w:val="24"/>
          <w:szCs w:val="24"/>
          <w:lang w:val="sr-Cyrl-CS"/>
        </w:rPr>
        <w:t>доприноса</w:t>
      </w:r>
      <w:r w:rsidR="00BF5A65" w:rsidRPr="005303F7">
        <w:rPr>
          <w:rFonts w:ascii="Times New Roman" w:hAnsi="Times New Roman"/>
          <w:bCs/>
          <w:sz w:val="24"/>
          <w:szCs w:val="24"/>
          <w:lang w:val="sr-Cyrl-CS"/>
        </w:rPr>
        <w:t xml:space="preserve"> </w:t>
      </w:r>
      <w:r w:rsidRPr="005303F7">
        <w:rPr>
          <w:rFonts w:ascii="Times New Roman" w:hAnsi="Times New Roman"/>
          <w:bCs/>
          <w:sz w:val="24"/>
          <w:szCs w:val="24"/>
          <w:lang w:val="sr-Cyrl-CS"/>
        </w:rPr>
        <w:t>остварењу</w:t>
      </w:r>
      <w:r w:rsidR="00BF5A65" w:rsidRPr="005303F7">
        <w:rPr>
          <w:rFonts w:ascii="Times New Roman" w:hAnsi="Times New Roman"/>
          <w:bCs/>
          <w:sz w:val="24"/>
          <w:szCs w:val="24"/>
          <w:lang w:val="sr-Cyrl-CS"/>
        </w:rPr>
        <w:t xml:space="preserve"> </w:t>
      </w:r>
      <w:r w:rsidRPr="005303F7">
        <w:rPr>
          <w:rFonts w:ascii="Times New Roman" w:hAnsi="Times New Roman"/>
          <w:bCs/>
          <w:sz w:val="24"/>
          <w:szCs w:val="24"/>
          <w:lang w:val="sr-Cyrl-CS"/>
        </w:rPr>
        <w:t>циља</w:t>
      </w:r>
      <w:r w:rsidR="00BF5A65" w:rsidRPr="005303F7">
        <w:rPr>
          <w:rFonts w:ascii="Times New Roman" w:hAnsi="Times New Roman"/>
          <w:bCs/>
          <w:sz w:val="24"/>
          <w:szCs w:val="24"/>
          <w:lang w:val="sr-Cyrl-CS"/>
        </w:rPr>
        <w:t xml:space="preserve"> </w:t>
      </w:r>
      <w:r w:rsidRPr="005303F7">
        <w:rPr>
          <w:rFonts w:ascii="Times New Roman" w:hAnsi="Times New Roman"/>
          <w:bCs/>
          <w:sz w:val="24"/>
          <w:szCs w:val="24"/>
          <w:lang w:val="sr-Cyrl-CS"/>
        </w:rPr>
        <w:t>од</w:t>
      </w:r>
      <w:r w:rsidR="00BF5A65" w:rsidRPr="005303F7">
        <w:rPr>
          <w:rFonts w:ascii="Times New Roman" w:hAnsi="Times New Roman"/>
          <w:bCs/>
          <w:sz w:val="24"/>
          <w:szCs w:val="24"/>
          <w:lang w:val="sr-Cyrl-CS"/>
        </w:rPr>
        <w:t xml:space="preserve"> 1,5</w:t>
      </w:r>
      <w:r w:rsidR="00C5436C" w:rsidRPr="005303F7">
        <w:rPr>
          <w:rFonts w:ascii="Times New Roman" w:hAnsi="Times New Roman"/>
          <w:bCs/>
          <w:sz w:val="24"/>
          <w:szCs w:val="24"/>
          <w:lang w:val="sr-Cyrl-CS"/>
        </w:rPr>
        <w:t xml:space="preserve"> ̊ </w:t>
      </w:r>
      <w:r w:rsidRPr="005303F7">
        <w:rPr>
          <w:rFonts w:ascii="Times New Roman" w:hAnsi="Times New Roman"/>
          <w:bCs/>
          <w:sz w:val="24"/>
          <w:szCs w:val="24"/>
          <w:lang w:val="sr-Cyrl-CS"/>
        </w:rPr>
        <w:t>C</w:t>
      </w:r>
      <w:r w:rsidR="00C5436C" w:rsidRPr="005303F7">
        <w:rPr>
          <w:rFonts w:ascii="Times New Roman" w:hAnsi="Times New Roman"/>
          <w:bCs/>
          <w:sz w:val="24"/>
          <w:szCs w:val="24"/>
          <w:lang w:val="sr-Cyrl-CS"/>
        </w:rPr>
        <w:t xml:space="preserve">, </w:t>
      </w:r>
      <w:r w:rsidRPr="005303F7">
        <w:rPr>
          <w:rFonts w:ascii="Times New Roman" w:hAnsi="Times New Roman"/>
          <w:bCs/>
          <w:sz w:val="24"/>
          <w:szCs w:val="24"/>
          <w:lang w:val="sr-Cyrl-CS"/>
        </w:rPr>
        <w:t>разрађују</w:t>
      </w:r>
      <w:r w:rsidR="00C5436C" w:rsidRPr="005303F7">
        <w:rPr>
          <w:rFonts w:ascii="Times New Roman" w:hAnsi="Times New Roman"/>
          <w:bCs/>
          <w:sz w:val="24"/>
          <w:szCs w:val="24"/>
          <w:lang w:val="sr-Cyrl-CS"/>
        </w:rPr>
        <w:t xml:space="preserve"> </w:t>
      </w:r>
      <w:r w:rsidRPr="005303F7">
        <w:rPr>
          <w:rFonts w:ascii="Times New Roman" w:hAnsi="Times New Roman"/>
          <w:bCs/>
          <w:sz w:val="24"/>
          <w:szCs w:val="24"/>
          <w:lang w:val="sr-Cyrl-CS"/>
        </w:rPr>
        <w:t>се</w:t>
      </w:r>
      <w:r w:rsidR="00C5436C" w:rsidRPr="005303F7">
        <w:rPr>
          <w:rFonts w:ascii="Times New Roman" w:hAnsi="Times New Roman"/>
          <w:bCs/>
          <w:sz w:val="24"/>
          <w:szCs w:val="24"/>
          <w:lang w:val="sr-Cyrl-CS"/>
        </w:rPr>
        <w:t xml:space="preserve"> </w:t>
      </w:r>
      <w:r w:rsidRPr="005303F7">
        <w:rPr>
          <w:rFonts w:ascii="Times New Roman" w:hAnsi="Times New Roman"/>
          <w:bCs/>
          <w:sz w:val="24"/>
          <w:szCs w:val="24"/>
          <w:lang w:val="sr-Cyrl-CS"/>
        </w:rPr>
        <w:t>два</w:t>
      </w:r>
      <w:r w:rsidR="00C5436C" w:rsidRPr="005303F7">
        <w:rPr>
          <w:rFonts w:ascii="Times New Roman" w:hAnsi="Times New Roman"/>
          <w:bCs/>
          <w:sz w:val="24"/>
          <w:szCs w:val="24"/>
          <w:lang w:val="sr-Cyrl-CS"/>
        </w:rPr>
        <w:t xml:space="preserve"> </w:t>
      </w:r>
      <w:r w:rsidRPr="005303F7">
        <w:rPr>
          <w:rFonts w:ascii="Times New Roman" w:hAnsi="Times New Roman"/>
          <w:bCs/>
          <w:sz w:val="24"/>
          <w:szCs w:val="24"/>
          <w:lang w:val="sr-Cyrl-CS"/>
        </w:rPr>
        <w:t>додатна</w:t>
      </w:r>
      <w:r w:rsidR="00C5436C" w:rsidRPr="005303F7">
        <w:rPr>
          <w:rFonts w:ascii="Times New Roman" w:hAnsi="Times New Roman"/>
          <w:bCs/>
          <w:sz w:val="24"/>
          <w:szCs w:val="24"/>
          <w:lang w:val="sr-Cyrl-CS"/>
        </w:rPr>
        <w:t xml:space="preserve"> </w:t>
      </w:r>
      <w:r w:rsidRPr="005303F7">
        <w:rPr>
          <w:rFonts w:ascii="Times New Roman" w:hAnsi="Times New Roman"/>
          <w:bCs/>
          <w:sz w:val="24"/>
          <w:szCs w:val="24"/>
          <w:lang w:val="sr-Cyrl-CS"/>
        </w:rPr>
        <w:t>сценарија</w:t>
      </w:r>
      <w:r w:rsidR="00A509F8" w:rsidRPr="005303F7">
        <w:rPr>
          <w:rFonts w:ascii="Times New Roman" w:hAnsi="Times New Roman"/>
          <w:bCs/>
          <w:sz w:val="24"/>
          <w:szCs w:val="24"/>
          <w:lang w:val="sr-Cyrl-CS"/>
        </w:rPr>
        <w:t>;</w:t>
      </w:r>
    </w:p>
    <w:p w14:paraId="02AE0CDC" w14:textId="2ECBF247" w:rsidR="00625F8F" w:rsidRPr="005303F7" w:rsidRDefault="00607CBA" w:rsidP="0097460E">
      <w:pPr>
        <w:pStyle w:val="ListParagraph"/>
        <w:numPr>
          <w:ilvl w:val="0"/>
          <w:numId w:val="48"/>
        </w:numPr>
        <w:tabs>
          <w:tab w:val="clear" w:pos="3825"/>
        </w:tabs>
        <w:overflowPunct/>
        <w:autoSpaceDE/>
        <w:autoSpaceDN/>
        <w:adjustRightInd/>
        <w:spacing w:before="0" w:after="0"/>
        <w:ind w:left="0" w:firstLine="360"/>
        <w:textAlignment w:val="auto"/>
        <w:rPr>
          <w:rFonts w:ascii="Times New Roman" w:hAnsi="Times New Roman"/>
          <w:sz w:val="24"/>
          <w:szCs w:val="24"/>
          <w:lang w:val="sr-Cyrl-CS"/>
        </w:rPr>
      </w:pPr>
      <w:r w:rsidRPr="005303F7">
        <w:rPr>
          <w:rFonts w:ascii="Times New Roman" w:hAnsi="Times New Roman"/>
          <w:b/>
          <w:sz w:val="24"/>
          <w:szCs w:val="24"/>
          <w:lang w:val="sr-Cyrl-CS"/>
        </w:rPr>
        <w:t>Сценарио</w:t>
      </w:r>
      <w:r w:rsidR="000A6584" w:rsidRPr="005303F7">
        <w:rPr>
          <w:rFonts w:ascii="Times New Roman" w:hAnsi="Times New Roman"/>
          <w:b/>
          <w:sz w:val="24"/>
          <w:szCs w:val="24"/>
          <w:lang w:val="sr-Cyrl-CS"/>
        </w:rPr>
        <w:t xml:space="preserve"> </w:t>
      </w:r>
      <w:r w:rsidRPr="005303F7">
        <w:rPr>
          <w:rFonts w:ascii="Times New Roman" w:hAnsi="Times New Roman"/>
          <w:b/>
          <w:sz w:val="24"/>
          <w:szCs w:val="24"/>
          <w:lang w:val="sr-Cyrl-CS"/>
        </w:rPr>
        <w:t>М</w:t>
      </w:r>
      <w:r w:rsidR="00F01CDF" w:rsidRPr="005303F7">
        <w:rPr>
          <w:rFonts w:ascii="Times New Roman" w:hAnsi="Times New Roman"/>
          <w:b/>
          <w:sz w:val="24"/>
          <w:szCs w:val="24"/>
          <w:lang w:val="sr-Cyrl-CS"/>
        </w:rPr>
        <w:t>3:</w:t>
      </w:r>
      <w:r w:rsidR="00F01CDF" w:rsidRPr="005303F7">
        <w:rPr>
          <w:rFonts w:ascii="Times New Roman" w:hAnsi="Times New Roman"/>
          <w:sz w:val="24"/>
          <w:szCs w:val="24"/>
          <w:lang w:val="sr-Cyrl-CS"/>
        </w:rPr>
        <w:t xml:space="preserve"> </w:t>
      </w:r>
      <w:r w:rsidR="00D73AAB" w:rsidRPr="005303F7">
        <w:rPr>
          <w:rFonts w:ascii="Times New Roman" w:hAnsi="Times New Roman"/>
          <w:sz w:val="24"/>
          <w:szCs w:val="24"/>
          <w:lang w:val="sr-Cyrl-CS"/>
        </w:rPr>
        <w:t>Република Србија</w:t>
      </w:r>
      <w:r w:rsidR="00C5436C" w:rsidRPr="005303F7">
        <w:rPr>
          <w:rFonts w:ascii="Times New Roman" w:hAnsi="Times New Roman"/>
          <w:sz w:val="24"/>
          <w:szCs w:val="24"/>
          <w:lang w:val="sr-Cyrl-CS"/>
        </w:rPr>
        <w:t xml:space="preserve"> </w:t>
      </w:r>
      <w:r w:rsidRPr="005303F7">
        <w:rPr>
          <w:rFonts w:ascii="Times New Roman" w:hAnsi="Times New Roman"/>
          <w:sz w:val="24"/>
          <w:szCs w:val="24"/>
          <w:lang w:val="sr-Cyrl-CS"/>
        </w:rPr>
        <w:t>појединачно</w:t>
      </w:r>
      <w:r w:rsidR="00C5436C" w:rsidRPr="005303F7">
        <w:rPr>
          <w:rFonts w:ascii="Times New Roman" w:hAnsi="Times New Roman"/>
          <w:sz w:val="24"/>
          <w:szCs w:val="24"/>
          <w:lang w:val="sr-Cyrl-CS"/>
        </w:rPr>
        <w:t xml:space="preserve"> </w:t>
      </w:r>
      <w:r w:rsidRPr="005303F7">
        <w:rPr>
          <w:rFonts w:ascii="Times New Roman" w:hAnsi="Times New Roman"/>
          <w:sz w:val="24"/>
          <w:szCs w:val="24"/>
          <w:lang w:val="sr-Cyrl-CS"/>
        </w:rPr>
        <w:t>постиже</w:t>
      </w:r>
      <w:r w:rsidR="00C5436C" w:rsidRPr="005303F7">
        <w:rPr>
          <w:rFonts w:ascii="Times New Roman" w:hAnsi="Times New Roman"/>
          <w:sz w:val="24"/>
          <w:szCs w:val="24"/>
          <w:lang w:val="sr-Cyrl-CS"/>
        </w:rPr>
        <w:t xml:space="preserve"> </w:t>
      </w:r>
      <w:r w:rsidRPr="005303F7">
        <w:rPr>
          <w:rFonts w:ascii="Times New Roman" w:hAnsi="Times New Roman"/>
          <w:sz w:val="24"/>
          <w:szCs w:val="24"/>
          <w:lang w:val="sr-Cyrl-CS"/>
        </w:rPr>
        <w:t>циљеве</w:t>
      </w:r>
      <w:r w:rsidR="00C5436C" w:rsidRPr="005303F7">
        <w:rPr>
          <w:rFonts w:ascii="Times New Roman" w:hAnsi="Times New Roman"/>
          <w:sz w:val="24"/>
          <w:szCs w:val="24"/>
          <w:lang w:val="sr-Cyrl-CS"/>
        </w:rPr>
        <w:t xml:space="preserve"> </w:t>
      </w:r>
      <w:r w:rsidRPr="005303F7">
        <w:rPr>
          <w:rFonts w:ascii="Times New Roman" w:hAnsi="Times New Roman"/>
          <w:sz w:val="24"/>
          <w:szCs w:val="24"/>
          <w:lang w:val="sr-Cyrl-CS"/>
        </w:rPr>
        <w:t>ЕУ</w:t>
      </w:r>
      <w:r w:rsidR="00C5436C" w:rsidRPr="005303F7">
        <w:rPr>
          <w:rFonts w:ascii="Times New Roman" w:hAnsi="Times New Roman"/>
          <w:sz w:val="24"/>
          <w:szCs w:val="24"/>
          <w:lang w:val="sr-Cyrl-CS"/>
        </w:rPr>
        <w:t xml:space="preserve"> </w:t>
      </w:r>
      <w:r w:rsidRPr="005303F7">
        <w:rPr>
          <w:rFonts w:ascii="Times New Roman" w:hAnsi="Times New Roman"/>
          <w:sz w:val="24"/>
          <w:szCs w:val="24"/>
          <w:lang w:val="sr-Cyrl-CS"/>
        </w:rPr>
        <w:t>за</w:t>
      </w:r>
      <w:r w:rsidR="00C5436C" w:rsidRPr="005303F7">
        <w:rPr>
          <w:rFonts w:ascii="Times New Roman" w:hAnsi="Times New Roman"/>
          <w:sz w:val="24"/>
          <w:szCs w:val="24"/>
          <w:lang w:val="sr-Cyrl-CS"/>
        </w:rPr>
        <w:t xml:space="preserve"> 2030. </w:t>
      </w:r>
      <w:r w:rsidR="0097460E" w:rsidRPr="005303F7">
        <w:rPr>
          <w:rFonts w:ascii="Times New Roman" w:hAnsi="Times New Roman"/>
          <w:sz w:val="24"/>
          <w:szCs w:val="24"/>
          <w:lang w:val="sr-Cyrl-CS"/>
        </w:rPr>
        <w:t>г</w:t>
      </w:r>
      <w:r w:rsidRPr="005303F7">
        <w:rPr>
          <w:rFonts w:ascii="Times New Roman" w:hAnsi="Times New Roman"/>
          <w:sz w:val="24"/>
          <w:szCs w:val="24"/>
          <w:lang w:val="sr-Cyrl-CS"/>
        </w:rPr>
        <w:t>одину</w:t>
      </w:r>
      <w:r w:rsidR="00C5436C" w:rsidRPr="005303F7">
        <w:rPr>
          <w:rFonts w:ascii="Times New Roman" w:hAnsi="Times New Roman"/>
          <w:sz w:val="24"/>
          <w:szCs w:val="24"/>
          <w:lang w:val="sr-Cyrl-CS"/>
        </w:rPr>
        <w:t xml:space="preserve"> </w:t>
      </w:r>
      <w:r w:rsidR="00625F8F" w:rsidRPr="005303F7">
        <w:rPr>
          <w:rFonts w:ascii="Times New Roman" w:hAnsi="Times New Roman"/>
          <w:sz w:val="24"/>
          <w:szCs w:val="24"/>
          <w:lang w:val="sr-Cyrl-CS"/>
        </w:rPr>
        <w:t>(</w:t>
      </w:r>
      <w:r w:rsidRPr="005303F7">
        <w:rPr>
          <w:rFonts w:ascii="Times New Roman" w:hAnsi="Times New Roman"/>
          <w:sz w:val="24"/>
          <w:szCs w:val="24"/>
          <w:lang w:val="sr-Cyrl-CS"/>
        </w:rPr>
        <w:t>што</w:t>
      </w:r>
      <w:r w:rsidR="00C5436C" w:rsidRPr="005303F7">
        <w:rPr>
          <w:rFonts w:ascii="Times New Roman" w:hAnsi="Times New Roman"/>
          <w:sz w:val="24"/>
          <w:szCs w:val="24"/>
          <w:lang w:val="sr-Cyrl-CS"/>
        </w:rPr>
        <w:t xml:space="preserve"> </w:t>
      </w:r>
      <w:r w:rsidRPr="005303F7">
        <w:rPr>
          <w:rFonts w:ascii="Times New Roman" w:hAnsi="Times New Roman"/>
          <w:sz w:val="24"/>
          <w:szCs w:val="24"/>
          <w:lang w:val="sr-Cyrl-CS"/>
        </w:rPr>
        <w:t>представља</w:t>
      </w:r>
      <w:r w:rsidR="00C5436C" w:rsidRPr="005303F7">
        <w:rPr>
          <w:rFonts w:ascii="Times New Roman" w:hAnsi="Times New Roman"/>
          <w:sz w:val="24"/>
          <w:szCs w:val="24"/>
          <w:lang w:val="sr-Cyrl-CS"/>
        </w:rPr>
        <w:t xml:space="preserve"> </w:t>
      </w:r>
      <w:r w:rsidRPr="005303F7">
        <w:rPr>
          <w:rFonts w:ascii="Times New Roman" w:hAnsi="Times New Roman"/>
          <w:sz w:val="24"/>
          <w:szCs w:val="24"/>
          <w:lang w:val="sr-Cyrl-CS"/>
        </w:rPr>
        <w:t>смањење</w:t>
      </w:r>
      <w:r w:rsidR="00F852A6" w:rsidRPr="005303F7">
        <w:rPr>
          <w:rFonts w:ascii="Times New Roman" w:hAnsi="Times New Roman"/>
          <w:sz w:val="24"/>
          <w:szCs w:val="24"/>
          <w:lang w:val="sr-Cyrl-CS"/>
        </w:rPr>
        <w:t xml:space="preserve"> </w:t>
      </w:r>
      <w:r w:rsidRPr="005303F7">
        <w:rPr>
          <w:rFonts w:ascii="Times New Roman" w:hAnsi="Times New Roman"/>
          <w:sz w:val="24"/>
          <w:szCs w:val="24"/>
          <w:lang w:val="sr-Cyrl-CS"/>
        </w:rPr>
        <w:t>GHG</w:t>
      </w:r>
      <w:r w:rsidR="00C5436C" w:rsidRPr="005303F7">
        <w:rPr>
          <w:rFonts w:ascii="Times New Roman" w:hAnsi="Times New Roman"/>
          <w:sz w:val="24"/>
          <w:szCs w:val="24"/>
          <w:lang w:val="sr-Cyrl-CS"/>
        </w:rPr>
        <w:t xml:space="preserve"> </w:t>
      </w:r>
      <w:r w:rsidRPr="005303F7">
        <w:rPr>
          <w:rFonts w:ascii="Times New Roman" w:hAnsi="Times New Roman"/>
          <w:sz w:val="24"/>
          <w:szCs w:val="24"/>
          <w:lang w:val="sr-Cyrl-CS"/>
        </w:rPr>
        <w:t>од</w:t>
      </w:r>
      <w:r w:rsidR="00C5436C" w:rsidRPr="005303F7">
        <w:rPr>
          <w:rFonts w:ascii="Times New Roman" w:hAnsi="Times New Roman"/>
          <w:sz w:val="24"/>
          <w:szCs w:val="24"/>
          <w:lang w:val="sr-Cyrl-CS"/>
        </w:rPr>
        <w:t xml:space="preserve"> </w:t>
      </w:r>
      <w:r w:rsidR="00625F8F" w:rsidRPr="005303F7">
        <w:rPr>
          <w:rFonts w:ascii="Times New Roman" w:hAnsi="Times New Roman"/>
          <w:sz w:val="24"/>
          <w:szCs w:val="24"/>
          <w:lang w:val="sr-Cyrl-CS"/>
        </w:rPr>
        <w:t xml:space="preserve">40% </w:t>
      </w:r>
      <w:r w:rsidRPr="005303F7">
        <w:rPr>
          <w:rFonts w:ascii="Times New Roman" w:hAnsi="Times New Roman"/>
          <w:sz w:val="24"/>
          <w:szCs w:val="24"/>
          <w:lang w:val="sr-Cyrl-CS"/>
        </w:rPr>
        <w:t>у</w:t>
      </w:r>
      <w:r w:rsidR="00C5436C" w:rsidRPr="005303F7">
        <w:rPr>
          <w:rFonts w:ascii="Times New Roman" w:hAnsi="Times New Roman"/>
          <w:sz w:val="24"/>
          <w:szCs w:val="24"/>
          <w:lang w:val="sr-Cyrl-CS"/>
        </w:rPr>
        <w:t xml:space="preserve"> </w:t>
      </w:r>
      <w:r w:rsidRPr="005303F7">
        <w:rPr>
          <w:rFonts w:ascii="Times New Roman" w:hAnsi="Times New Roman"/>
          <w:sz w:val="24"/>
          <w:szCs w:val="24"/>
          <w:lang w:val="sr-Cyrl-CS"/>
        </w:rPr>
        <w:t>поређењу</w:t>
      </w:r>
      <w:r w:rsidR="00C5436C" w:rsidRPr="005303F7">
        <w:rPr>
          <w:rFonts w:ascii="Times New Roman" w:hAnsi="Times New Roman"/>
          <w:sz w:val="24"/>
          <w:szCs w:val="24"/>
          <w:lang w:val="sr-Cyrl-CS"/>
        </w:rPr>
        <w:t xml:space="preserve"> </w:t>
      </w:r>
      <w:r w:rsidRPr="005303F7">
        <w:rPr>
          <w:rFonts w:ascii="Times New Roman" w:hAnsi="Times New Roman"/>
          <w:sz w:val="24"/>
          <w:szCs w:val="24"/>
          <w:lang w:val="sr-Cyrl-CS"/>
        </w:rPr>
        <w:t>са</w:t>
      </w:r>
      <w:r w:rsidR="00625F8F" w:rsidRPr="005303F7">
        <w:rPr>
          <w:rFonts w:ascii="Times New Roman" w:hAnsi="Times New Roman"/>
          <w:sz w:val="24"/>
          <w:szCs w:val="24"/>
          <w:lang w:val="sr-Cyrl-CS"/>
        </w:rPr>
        <w:t xml:space="preserve"> 1990</w:t>
      </w:r>
      <w:r w:rsidR="00C5436C" w:rsidRPr="005303F7">
        <w:rPr>
          <w:rFonts w:ascii="Times New Roman" w:hAnsi="Times New Roman"/>
          <w:sz w:val="24"/>
          <w:szCs w:val="24"/>
          <w:lang w:val="sr-Cyrl-CS"/>
        </w:rPr>
        <w:t xml:space="preserve">. </w:t>
      </w:r>
      <w:r w:rsidR="0097460E" w:rsidRPr="005303F7">
        <w:rPr>
          <w:rFonts w:ascii="Times New Roman" w:hAnsi="Times New Roman"/>
          <w:sz w:val="24"/>
          <w:szCs w:val="24"/>
          <w:lang w:val="sr-Cyrl-CS"/>
        </w:rPr>
        <w:t>г</w:t>
      </w:r>
      <w:r w:rsidRPr="005303F7">
        <w:rPr>
          <w:rFonts w:ascii="Times New Roman" w:hAnsi="Times New Roman"/>
          <w:sz w:val="24"/>
          <w:szCs w:val="24"/>
          <w:lang w:val="sr-Cyrl-CS"/>
        </w:rPr>
        <w:t>одином</w:t>
      </w:r>
      <w:r w:rsidR="00C5436C" w:rsidRPr="005303F7">
        <w:rPr>
          <w:rFonts w:ascii="Times New Roman" w:hAnsi="Times New Roman"/>
          <w:sz w:val="24"/>
          <w:szCs w:val="24"/>
          <w:lang w:val="sr-Cyrl-CS"/>
        </w:rPr>
        <w:t>,</w:t>
      </w:r>
      <w:r w:rsidR="00625F8F" w:rsidRPr="005303F7">
        <w:rPr>
          <w:rFonts w:ascii="Times New Roman" w:hAnsi="Times New Roman"/>
          <w:sz w:val="24"/>
          <w:szCs w:val="24"/>
          <w:lang w:val="sr-Cyrl-CS"/>
        </w:rPr>
        <w:t xml:space="preserve"> 32% </w:t>
      </w:r>
      <w:r w:rsidRPr="005303F7">
        <w:rPr>
          <w:rFonts w:ascii="Times New Roman" w:hAnsi="Times New Roman"/>
          <w:sz w:val="24"/>
          <w:szCs w:val="24"/>
          <w:lang w:val="sr-Cyrl-CS"/>
        </w:rPr>
        <w:t>ОИЕ</w:t>
      </w:r>
      <w:r w:rsidR="00C5436C" w:rsidRPr="005303F7">
        <w:rPr>
          <w:rFonts w:ascii="Times New Roman" w:hAnsi="Times New Roman"/>
          <w:sz w:val="24"/>
          <w:szCs w:val="24"/>
          <w:lang w:val="sr-Cyrl-CS"/>
        </w:rPr>
        <w:t xml:space="preserve"> </w:t>
      </w:r>
      <w:r w:rsidRPr="005303F7">
        <w:rPr>
          <w:rFonts w:ascii="Times New Roman" w:hAnsi="Times New Roman"/>
          <w:sz w:val="24"/>
          <w:szCs w:val="24"/>
          <w:lang w:val="sr-Cyrl-CS"/>
        </w:rPr>
        <w:t>до</w:t>
      </w:r>
      <w:r w:rsidR="00C5436C" w:rsidRPr="005303F7">
        <w:rPr>
          <w:rFonts w:ascii="Times New Roman" w:hAnsi="Times New Roman"/>
          <w:sz w:val="24"/>
          <w:szCs w:val="24"/>
          <w:lang w:val="sr-Cyrl-CS"/>
        </w:rPr>
        <w:t xml:space="preserve"> 2030. </w:t>
      </w:r>
      <w:r w:rsidR="0097460E" w:rsidRPr="005303F7">
        <w:rPr>
          <w:rFonts w:ascii="Times New Roman" w:hAnsi="Times New Roman"/>
          <w:sz w:val="24"/>
          <w:szCs w:val="24"/>
          <w:lang w:val="sr-Cyrl-CS"/>
        </w:rPr>
        <w:t>г</w:t>
      </w:r>
      <w:r w:rsidRPr="005303F7">
        <w:rPr>
          <w:rFonts w:ascii="Times New Roman" w:hAnsi="Times New Roman"/>
          <w:sz w:val="24"/>
          <w:szCs w:val="24"/>
          <w:lang w:val="sr-Cyrl-CS"/>
        </w:rPr>
        <w:t>одине</w:t>
      </w:r>
      <w:r w:rsidR="00C5436C" w:rsidRPr="005303F7">
        <w:rPr>
          <w:rFonts w:ascii="Times New Roman" w:hAnsi="Times New Roman"/>
          <w:sz w:val="24"/>
          <w:szCs w:val="24"/>
          <w:lang w:val="sr-Cyrl-CS"/>
        </w:rPr>
        <w:t xml:space="preserve"> </w:t>
      </w:r>
      <w:r w:rsidRPr="005303F7">
        <w:rPr>
          <w:rFonts w:ascii="Times New Roman" w:hAnsi="Times New Roman"/>
          <w:sz w:val="24"/>
          <w:szCs w:val="24"/>
          <w:lang w:val="sr-Cyrl-CS"/>
        </w:rPr>
        <w:t>и</w:t>
      </w:r>
      <w:r w:rsidR="00C5436C" w:rsidRPr="005303F7">
        <w:rPr>
          <w:rFonts w:ascii="Times New Roman" w:hAnsi="Times New Roman"/>
          <w:sz w:val="24"/>
          <w:szCs w:val="24"/>
          <w:lang w:val="sr-Cyrl-CS"/>
        </w:rPr>
        <w:t xml:space="preserve"> </w:t>
      </w:r>
      <w:r w:rsidRPr="005303F7">
        <w:rPr>
          <w:rFonts w:ascii="Times New Roman" w:hAnsi="Times New Roman"/>
          <w:sz w:val="24"/>
          <w:szCs w:val="24"/>
          <w:lang w:val="sr-Cyrl-CS"/>
        </w:rPr>
        <w:t>повећање</w:t>
      </w:r>
      <w:r w:rsidR="00C5436C" w:rsidRPr="005303F7">
        <w:rPr>
          <w:rFonts w:ascii="Times New Roman" w:hAnsi="Times New Roman"/>
          <w:sz w:val="24"/>
          <w:szCs w:val="24"/>
          <w:lang w:val="sr-Cyrl-CS"/>
        </w:rPr>
        <w:t xml:space="preserve"> </w:t>
      </w:r>
      <w:r w:rsidRPr="005303F7">
        <w:rPr>
          <w:rFonts w:ascii="Times New Roman" w:hAnsi="Times New Roman"/>
          <w:sz w:val="24"/>
          <w:szCs w:val="24"/>
          <w:lang w:val="sr-Cyrl-CS"/>
        </w:rPr>
        <w:t>енергетске</w:t>
      </w:r>
      <w:r w:rsidR="00C5436C" w:rsidRPr="005303F7">
        <w:rPr>
          <w:rFonts w:ascii="Times New Roman" w:hAnsi="Times New Roman"/>
          <w:sz w:val="24"/>
          <w:szCs w:val="24"/>
          <w:lang w:val="sr-Cyrl-CS"/>
        </w:rPr>
        <w:t xml:space="preserve"> </w:t>
      </w:r>
      <w:r w:rsidRPr="005303F7">
        <w:rPr>
          <w:rFonts w:ascii="Times New Roman" w:hAnsi="Times New Roman"/>
          <w:sz w:val="24"/>
          <w:szCs w:val="24"/>
          <w:lang w:val="sr-Cyrl-CS"/>
        </w:rPr>
        <w:t>ефикасности</w:t>
      </w:r>
      <w:r w:rsidR="00C5436C" w:rsidRPr="005303F7">
        <w:rPr>
          <w:rFonts w:ascii="Times New Roman" w:hAnsi="Times New Roman"/>
          <w:sz w:val="24"/>
          <w:szCs w:val="24"/>
          <w:lang w:val="sr-Cyrl-CS"/>
        </w:rPr>
        <w:t xml:space="preserve"> </w:t>
      </w:r>
      <w:r w:rsidRPr="005303F7">
        <w:rPr>
          <w:rFonts w:ascii="Times New Roman" w:hAnsi="Times New Roman"/>
          <w:sz w:val="24"/>
          <w:szCs w:val="24"/>
          <w:lang w:val="sr-Cyrl-CS"/>
        </w:rPr>
        <w:t>од</w:t>
      </w:r>
      <w:r w:rsidR="00625F8F" w:rsidRPr="005303F7">
        <w:rPr>
          <w:rFonts w:ascii="Times New Roman" w:hAnsi="Times New Roman"/>
          <w:sz w:val="24"/>
          <w:szCs w:val="24"/>
          <w:lang w:val="sr-Cyrl-CS"/>
        </w:rPr>
        <w:t xml:space="preserve"> 32,5%)</w:t>
      </w:r>
      <w:r w:rsidR="00A509F8" w:rsidRPr="005303F7">
        <w:rPr>
          <w:rFonts w:ascii="Times New Roman" w:hAnsi="Times New Roman"/>
          <w:sz w:val="24"/>
          <w:szCs w:val="24"/>
          <w:lang w:val="sr-Cyrl-CS"/>
        </w:rPr>
        <w:t>;</w:t>
      </w:r>
      <w:r w:rsidR="00625F8F" w:rsidRPr="005303F7">
        <w:rPr>
          <w:rFonts w:ascii="Times New Roman" w:hAnsi="Times New Roman"/>
          <w:sz w:val="24"/>
          <w:szCs w:val="24"/>
          <w:lang w:val="sr-Cyrl-CS"/>
        </w:rPr>
        <w:t xml:space="preserve"> </w:t>
      </w:r>
    </w:p>
    <w:p w14:paraId="47DA364F" w14:textId="7AB04B2D" w:rsidR="001C2B42" w:rsidRPr="005303F7" w:rsidRDefault="00607CBA" w:rsidP="0097460E">
      <w:pPr>
        <w:pStyle w:val="ListParagraph"/>
        <w:numPr>
          <w:ilvl w:val="0"/>
          <w:numId w:val="48"/>
        </w:numPr>
        <w:tabs>
          <w:tab w:val="clear" w:pos="3825"/>
        </w:tabs>
        <w:overflowPunct/>
        <w:autoSpaceDE/>
        <w:autoSpaceDN/>
        <w:adjustRightInd/>
        <w:spacing w:before="0" w:after="0"/>
        <w:ind w:left="0" w:firstLine="360"/>
        <w:textAlignment w:val="auto"/>
        <w:rPr>
          <w:rFonts w:ascii="Times New Roman" w:hAnsi="Times New Roman"/>
          <w:sz w:val="24"/>
          <w:szCs w:val="24"/>
          <w:lang w:val="sr-Cyrl-CS"/>
        </w:rPr>
      </w:pPr>
      <w:r w:rsidRPr="005303F7">
        <w:rPr>
          <w:rFonts w:ascii="Times New Roman" w:hAnsi="Times New Roman"/>
          <w:b/>
          <w:sz w:val="24"/>
          <w:szCs w:val="24"/>
          <w:lang w:val="sr-Cyrl-CS"/>
        </w:rPr>
        <w:t>Сценарио</w:t>
      </w:r>
      <w:r w:rsidR="000A6584" w:rsidRPr="005303F7">
        <w:rPr>
          <w:rFonts w:ascii="Times New Roman" w:hAnsi="Times New Roman"/>
          <w:b/>
          <w:sz w:val="24"/>
          <w:szCs w:val="24"/>
          <w:lang w:val="sr-Cyrl-CS"/>
        </w:rPr>
        <w:t xml:space="preserve"> </w:t>
      </w:r>
      <w:r w:rsidRPr="005303F7">
        <w:rPr>
          <w:rFonts w:ascii="Times New Roman" w:hAnsi="Times New Roman"/>
          <w:b/>
          <w:sz w:val="24"/>
          <w:szCs w:val="24"/>
          <w:lang w:val="sr-Cyrl-CS"/>
        </w:rPr>
        <w:t>М</w:t>
      </w:r>
      <w:r w:rsidR="00F01CDF" w:rsidRPr="005303F7">
        <w:rPr>
          <w:rFonts w:ascii="Times New Roman" w:hAnsi="Times New Roman"/>
          <w:b/>
          <w:sz w:val="24"/>
          <w:szCs w:val="24"/>
          <w:lang w:val="sr-Cyrl-CS"/>
        </w:rPr>
        <w:t>4:</w:t>
      </w:r>
      <w:r w:rsidR="00F01CDF" w:rsidRPr="005303F7">
        <w:rPr>
          <w:rFonts w:ascii="Times New Roman" w:hAnsi="Times New Roman"/>
          <w:sz w:val="24"/>
          <w:szCs w:val="24"/>
          <w:lang w:val="sr-Cyrl-CS"/>
        </w:rPr>
        <w:t xml:space="preserve"> </w:t>
      </w:r>
      <w:r w:rsidR="00D73AAB" w:rsidRPr="005303F7">
        <w:rPr>
          <w:rFonts w:ascii="Times New Roman" w:hAnsi="Times New Roman"/>
          <w:sz w:val="24"/>
          <w:szCs w:val="24"/>
          <w:lang w:val="sr-Cyrl-CS"/>
        </w:rPr>
        <w:t>Република Србија</w:t>
      </w:r>
      <w:r w:rsidR="00903CFA" w:rsidRPr="005303F7">
        <w:rPr>
          <w:rFonts w:ascii="Times New Roman" w:hAnsi="Times New Roman"/>
          <w:sz w:val="24"/>
          <w:szCs w:val="24"/>
          <w:lang w:val="sr-Cyrl-CS"/>
        </w:rPr>
        <w:t xml:space="preserve"> </w:t>
      </w:r>
      <w:r w:rsidR="00F509E4" w:rsidRPr="005303F7">
        <w:rPr>
          <w:rFonts w:ascii="Times New Roman" w:hAnsi="Times New Roman"/>
          <w:sz w:val="24"/>
          <w:szCs w:val="24"/>
          <w:lang w:val="sr-Cyrl-CS"/>
        </w:rPr>
        <w:t xml:space="preserve">тежи да </w:t>
      </w:r>
      <w:r w:rsidRPr="005303F7">
        <w:rPr>
          <w:rFonts w:ascii="Times New Roman" w:hAnsi="Times New Roman"/>
          <w:sz w:val="24"/>
          <w:szCs w:val="24"/>
          <w:lang w:val="sr-Cyrl-CS"/>
        </w:rPr>
        <w:t>пости</w:t>
      </w:r>
      <w:r w:rsidR="00F509E4" w:rsidRPr="005303F7">
        <w:rPr>
          <w:rFonts w:ascii="Times New Roman" w:hAnsi="Times New Roman"/>
          <w:sz w:val="24"/>
          <w:szCs w:val="24"/>
          <w:lang w:val="sr-Cyrl-CS"/>
        </w:rPr>
        <w:t>гн</w:t>
      </w:r>
      <w:r w:rsidRPr="005303F7">
        <w:rPr>
          <w:rFonts w:ascii="Times New Roman" w:hAnsi="Times New Roman"/>
          <w:sz w:val="24"/>
          <w:szCs w:val="24"/>
          <w:lang w:val="sr-Cyrl-CS"/>
        </w:rPr>
        <w:t>е</w:t>
      </w:r>
      <w:r w:rsidR="00903CFA" w:rsidRPr="005303F7">
        <w:rPr>
          <w:rFonts w:ascii="Times New Roman" w:hAnsi="Times New Roman"/>
          <w:sz w:val="24"/>
          <w:szCs w:val="24"/>
          <w:lang w:val="sr-Cyrl-CS"/>
        </w:rPr>
        <w:t xml:space="preserve"> 80% </w:t>
      </w:r>
      <w:r w:rsidRPr="005303F7">
        <w:rPr>
          <w:rFonts w:ascii="Times New Roman" w:hAnsi="Times New Roman"/>
          <w:sz w:val="24"/>
          <w:szCs w:val="24"/>
          <w:lang w:val="sr-Cyrl-CS"/>
        </w:rPr>
        <w:t>смањења</w:t>
      </w:r>
      <w:r w:rsidR="00903CFA" w:rsidRPr="005303F7">
        <w:rPr>
          <w:rFonts w:ascii="Times New Roman" w:hAnsi="Times New Roman"/>
          <w:sz w:val="24"/>
          <w:szCs w:val="24"/>
          <w:lang w:val="sr-Cyrl-CS"/>
        </w:rPr>
        <w:t xml:space="preserve"> </w:t>
      </w:r>
      <w:r w:rsidRPr="005303F7">
        <w:rPr>
          <w:rFonts w:ascii="Times New Roman" w:hAnsi="Times New Roman"/>
          <w:sz w:val="24"/>
          <w:szCs w:val="24"/>
          <w:lang w:val="sr-Cyrl-CS"/>
        </w:rPr>
        <w:t>емисија</w:t>
      </w:r>
      <w:r w:rsidR="00903CFA" w:rsidRPr="005303F7">
        <w:rPr>
          <w:rFonts w:ascii="Times New Roman" w:hAnsi="Times New Roman"/>
          <w:sz w:val="24"/>
          <w:szCs w:val="24"/>
          <w:lang w:val="sr-Cyrl-CS"/>
        </w:rPr>
        <w:t xml:space="preserve"> </w:t>
      </w:r>
      <w:r w:rsidRPr="005303F7">
        <w:rPr>
          <w:rFonts w:ascii="Times New Roman" w:hAnsi="Times New Roman"/>
          <w:sz w:val="24"/>
          <w:szCs w:val="24"/>
          <w:lang w:val="sr-Cyrl-CS"/>
        </w:rPr>
        <w:t>GHG</w:t>
      </w:r>
      <w:r w:rsidR="00903CFA" w:rsidRPr="005303F7">
        <w:rPr>
          <w:rFonts w:ascii="Times New Roman" w:hAnsi="Times New Roman"/>
          <w:sz w:val="24"/>
          <w:szCs w:val="24"/>
          <w:lang w:val="sr-Cyrl-CS"/>
        </w:rPr>
        <w:t xml:space="preserve"> 2050. </w:t>
      </w:r>
      <w:r w:rsidR="00F509E4" w:rsidRPr="005303F7">
        <w:rPr>
          <w:rFonts w:ascii="Times New Roman" w:hAnsi="Times New Roman"/>
          <w:sz w:val="24"/>
          <w:szCs w:val="24"/>
          <w:lang w:val="sr-Cyrl-CS"/>
        </w:rPr>
        <w:t xml:space="preserve">године </w:t>
      </w:r>
      <w:r w:rsidRPr="005303F7">
        <w:rPr>
          <w:rFonts w:ascii="Times New Roman" w:hAnsi="Times New Roman"/>
          <w:sz w:val="24"/>
          <w:szCs w:val="24"/>
          <w:lang w:val="sr-Cyrl-CS"/>
        </w:rPr>
        <w:t>у</w:t>
      </w:r>
      <w:r w:rsidR="00903CFA" w:rsidRPr="005303F7">
        <w:rPr>
          <w:rFonts w:ascii="Times New Roman" w:hAnsi="Times New Roman"/>
          <w:sz w:val="24"/>
          <w:szCs w:val="24"/>
          <w:lang w:val="sr-Cyrl-CS"/>
        </w:rPr>
        <w:t xml:space="preserve"> </w:t>
      </w:r>
      <w:r w:rsidRPr="005303F7">
        <w:rPr>
          <w:rFonts w:ascii="Times New Roman" w:hAnsi="Times New Roman"/>
          <w:sz w:val="24"/>
          <w:szCs w:val="24"/>
          <w:lang w:val="sr-Cyrl-CS"/>
        </w:rPr>
        <w:t>односу</w:t>
      </w:r>
      <w:r w:rsidR="00903CFA" w:rsidRPr="005303F7">
        <w:rPr>
          <w:rFonts w:ascii="Times New Roman" w:hAnsi="Times New Roman"/>
          <w:sz w:val="24"/>
          <w:szCs w:val="24"/>
          <w:lang w:val="sr-Cyrl-CS"/>
        </w:rPr>
        <w:t xml:space="preserve"> </w:t>
      </w:r>
      <w:r w:rsidRPr="005303F7">
        <w:rPr>
          <w:rFonts w:ascii="Times New Roman" w:hAnsi="Times New Roman"/>
          <w:sz w:val="24"/>
          <w:szCs w:val="24"/>
          <w:lang w:val="sr-Cyrl-CS"/>
        </w:rPr>
        <w:t>на</w:t>
      </w:r>
      <w:r w:rsidR="00903CFA" w:rsidRPr="005303F7">
        <w:rPr>
          <w:rFonts w:ascii="Times New Roman" w:hAnsi="Times New Roman"/>
          <w:sz w:val="24"/>
          <w:szCs w:val="24"/>
          <w:lang w:val="sr-Cyrl-CS"/>
        </w:rPr>
        <w:t xml:space="preserve"> </w:t>
      </w:r>
      <w:r w:rsidRPr="005303F7">
        <w:rPr>
          <w:rFonts w:ascii="Times New Roman" w:hAnsi="Times New Roman"/>
          <w:sz w:val="24"/>
          <w:szCs w:val="24"/>
          <w:lang w:val="sr-Cyrl-CS"/>
        </w:rPr>
        <w:t>ниво</w:t>
      </w:r>
      <w:r w:rsidR="00903CFA" w:rsidRPr="005303F7">
        <w:rPr>
          <w:rFonts w:ascii="Times New Roman" w:hAnsi="Times New Roman"/>
          <w:sz w:val="24"/>
          <w:szCs w:val="24"/>
          <w:lang w:val="sr-Cyrl-CS"/>
        </w:rPr>
        <w:t xml:space="preserve"> </w:t>
      </w:r>
      <w:r w:rsidRPr="005303F7">
        <w:rPr>
          <w:rFonts w:ascii="Times New Roman" w:hAnsi="Times New Roman"/>
          <w:sz w:val="24"/>
          <w:szCs w:val="24"/>
          <w:lang w:val="sr-Cyrl-CS"/>
        </w:rPr>
        <w:t>из</w:t>
      </w:r>
      <w:r w:rsidR="00903CFA" w:rsidRPr="005303F7">
        <w:rPr>
          <w:rFonts w:ascii="Times New Roman" w:hAnsi="Times New Roman"/>
          <w:sz w:val="24"/>
          <w:szCs w:val="24"/>
          <w:lang w:val="sr-Cyrl-CS"/>
        </w:rPr>
        <w:t xml:space="preserve"> 1990. </w:t>
      </w:r>
      <w:r w:rsidRPr="005303F7">
        <w:rPr>
          <w:rFonts w:ascii="Times New Roman" w:hAnsi="Times New Roman"/>
          <w:sz w:val="24"/>
          <w:szCs w:val="24"/>
          <w:lang w:val="sr-Cyrl-CS"/>
        </w:rPr>
        <w:t>године</w:t>
      </w:r>
      <w:r w:rsidR="00903CFA" w:rsidRPr="005303F7">
        <w:rPr>
          <w:rFonts w:ascii="Times New Roman" w:hAnsi="Times New Roman"/>
          <w:sz w:val="24"/>
          <w:szCs w:val="24"/>
          <w:lang w:val="sr-Cyrl-CS"/>
        </w:rPr>
        <w:t xml:space="preserve">. </w:t>
      </w:r>
    </w:p>
    <w:p w14:paraId="464A8F70" w14:textId="77777777" w:rsidR="0029378D" w:rsidRPr="005303F7" w:rsidRDefault="0029378D" w:rsidP="00C2290A">
      <w:pPr>
        <w:tabs>
          <w:tab w:val="clear" w:pos="3825"/>
        </w:tabs>
        <w:overflowPunct/>
        <w:autoSpaceDE/>
        <w:autoSpaceDN/>
        <w:adjustRightInd/>
        <w:spacing w:before="0" w:after="0"/>
        <w:textAlignment w:val="auto"/>
        <w:rPr>
          <w:rFonts w:ascii="Times New Roman" w:hAnsi="Times New Roman"/>
          <w:sz w:val="24"/>
          <w:lang w:val="sr-Cyrl-CS"/>
        </w:rPr>
      </w:pPr>
    </w:p>
    <w:p w14:paraId="54AFE4A6" w14:textId="234635B5" w:rsidR="0045564B" w:rsidRPr="005303F7" w:rsidRDefault="00607CBA" w:rsidP="00FE004C">
      <w:pPr>
        <w:tabs>
          <w:tab w:val="clear" w:pos="3825"/>
        </w:tabs>
        <w:overflowPunct/>
        <w:autoSpaceDE/>
        <w:autoSpaceDN/>
        <w:adjustRightInd/>
        <w:spacing w:before="0" w:after="0"/>
        <w:ind w:firstLine="720"/>
        <w:textAlignment w:val="auto"/>
        <w:rPr>
          <w:rFonts w:ascii="Times New Roman" w:hAnsi="Times New Roman"/>
          <w:sz w:val="24"/>
          <w:lang w:val="sr-Cyrl-CS"/>
        </w:rPr>
      </w:pPr>
      <w:r w:rsidRPr="005303F7">
        <w:rPr>
          <w:rFonts w:ascii="Times New Roman" w:hAnsi="Times New Roman"/>
          <w:sz w:val="24"/>
          <w:lang w:val="sr-Cyrl-CS"/>
        </w:rPr>
        <w:t>Сценарио</w:t>
      </w:r>
      <w:r w:rsidR="00F07E29" w:rsidRPr="005303F7">
        <w:rPr>
          <w:rFonts w:ascii="Times New Roman" w:hAnsi="Times New Roman"/>
          <w:sz w:val="24"/>
          <w:lang w:val="sr-Cyrl-CS"/>
        </w:rPr>
        <w:t xml:space="preserve"> </w:t>
      </w:r>
      <w:r w:rsidRPr="005303F7">
        <w:rPr>
          <w:rFonts w:ascii="Times New Roman" w:hAnsi="Times New Roman"/>
          <w:sz w:val="24"/>
          <w:lang w:val="sr-Cyrl-CS"/>
        </w:rPr>
        <w:t>М</w:t>
      </w:r>
      <w:r w:rsidR="00F07E29" w:rsidRPr="005303F7">
        <w:rPr>
          <w:rFonts w:ascii="Times New Roman" w:hAnsi="Times New Roman"/>
          <w:sz w:val="24"/>
          <w:lang w:val="sr-Cyrl-CS"/>
        </w:rPr>
        <w:t xml:space="preserve">1 </w:t>
      </w:r>
      <w:r w:rsidRPr="005303F7">
        <w:rPr>
          <w:rFonts w:ascii="Times New Roman" w:hAnsi="Times New Roman"/>
          <w:sz w:val="24"/>
          <w:lang w:val="sr-Cyrl-CS"/>
        </w:rPr>
        <w:t>показује</w:t>
      </w:r>
      <w:r w:rsidR="00F07E29" w:rsidRPr="005303F7">
        <w:rPr>
          <w:rFonts w:ascii="Times New Roman" w:hAnsi="Times New Roman"/>
          <w:sz w:val="24"/>
          <w:lang w:val="sr-Cyrl-CS"/>
        </w:rPr>
        <w:t xml:space="preserve"> </w:t>
      </w:r>
      <w:r w:rsidRPr="005303F7">
        <w:rPr>
          <w:rFonts w:ascii="Times New Roman" w:hAnsi="Times New Roman"/>
          <w:sz w:val="24"/>
          <w:lang w:val="sr-Cyrl-CS"/>
        </w:rPr>
        <w:t>да</w:t>
      </w:r>
      <w:r w:rsidR="00F07E29" w:rsidRPr="005303F7">
        <w:rPr>
          <w:rFonts w:ascii="Times New Roman" w:hAnsi="Times New Roman"/>
          <w:sz w:val="24"/>
          <w:lang w:val="sr-Cyrl-CS"/>
        </w:rPr>
        <w:t xml:space="preserve"> </w:t>
      </w:r>
      <w:r w:rsidR="0064274B" w:rsidRPr="005303F7">
        <w:rPr>
          <w:rFonts w:ascii="Times New Roman" w:hAnsi="Times New Roman"/>
          <w:sz w:val="24"/>
          <w:lang w:val="sr-Cyrl-CS"/>
        </w:rPr>
        <w:t>само увођење цене на угљеник</w:t>
      </w:r>
      <w:r w:rsidR="00F07E29" w:rsidRPr="005303F7">
        <w:rPr>
          <w:rFonts w:ascii="Times New Roman" w:hAnsi="Times New Roman"/>
          <w:sz w:val="24"/>
          <w:lang w:val="sr-Cyrl-CS"/>
        </w:rPr>
        <w:t xml:space="preserve"> </w:t>
      </w:r>
      <w:r w:rsidRPr="005303F7">
        <w:rPr>
          <w:rFonts w:ascii="Times New Roman" w:hAnsi="Times New Roman"/>
          <w:sz w:val="24"/>
          <w:lang w:val="sr-Cyrl-CS"/>
        </w:rPr>
        <w:t>није</w:t>
      </w:r>
      <w:r w:rsidR="00F07E29" w:rsidRPr="005303F7">
        <w:rPr>
          <w:rFonts w:ascii="Times New Roman" w:hAnsi="Times New Roman"/>
          <w:sz w:val="24"/>
          <w:lang w:val="sr-Cyrl-CS"/>
        </w:rPr>
        <w:t xml:space="preserve"> </w:t>
      </w:r>
      <w:r w:rsidRPr="005303F7">
        <w:rPr>
          <w:rFonts w:ascii="Times New Roman" w:hAnsi="Times New Roman"/>
          <w:sz w:val="24"/>
          <w:lang w:val="sr-Cyrl-CS"/>
        </w:rPr>
        <w:t>довољн</w:t>
      </w:r>
      <w:r w:rsidR="0064274B" w:rsidRPr="005303F7">
        <w:rPr>
          <w:rFonts w:ascii="Times New Roman" w:hAnsi="Times New Roman"/>
          <w:sz w:val="24"/>
          <w:lang w:val="sr-Cyrl-CS"/>
        </w:rPr>
        <w:t>о</w:t>
      </w:r>
      <w:r w:rsidR="00F07E29" w:rsidRPr="005303F7">
        <w:rPr>
          <w:rFonts w:ascii="Times New Roman" w:hAnsi="Times New Roman"/>
          <w:sz w:val="24"/>
          <w:lang w:val="sr-Cyrl-CS"/>
        </w:rPr>
        <w:t xml:space="preserve"> </w:t>
      </w:r>
      <w:r w:rsidRPr="005303F7">
        <w:rPr>
          <w:rFonts w:ascii="Times New Roman" w:hAnsi="Times New Roman"/>
          <w:sz w:val="24"/>
          <w:lang w:val="sr-Cyrl-CS"/>
        </w:rPr>
        <w:t>за</w:t>
      </w:r>
      <w:r w:rsidR="00F07E29" w:rsidRPr="005303F7">
        <w:rPr>
          <w:rFonts w:ascii="Times New Roman" w:hAnsi="Times New Roman"/>
          <w:sz w:val="24"/>
          <w:lang w:val="sr-Cyrl-CS"/>
        </w:rPr>
        <w:t xml:space="preserve"> </w:t>
      </w:r>
      <w:r w:rsidRPr="005303F7">
        <w:rPr>
          <w:rFonts w:ascii="Times New Roman" w:hAnsi="Times New Roman"/>
          <w:sz w:val="24"/>
          <w:lang w:val="sr-Cyrl-CS"/>
        </w:rPr>
        <w:t>промоцију</w:t>
      </w:r>
      <w:r w:rsidR="00F07E29" w:rsidRPr="005303F7">
        <w:rPr>
          <w:rFonts w:ascii="Times New Roman" w:hAnsi="Times New Roman"/>
          <w:sz w:val="24"/>
          <w:lang w:val="sr-Cyrl-CS"/>
        </w:rPr>
        <w:t xml:space="preserve"> </w:t>
      </w:r>
      <w:r w:rsidRPr="005303F7">
        <w:rPr>
          <w:rFonts w:ascii="Times New Roman" w:hAnsi="Times New Roman"/>
          <w:sz w:val="24"/>
          <w:lang w:val="sr-Cyrl-CS"/>
        </w:rPr>
        <w:t>увођења</w:t>
      </w:r>
      <w:r w:rsidR="00F07E29" w:rsidRPr="005303F7">
        <w:rPr>
          <w:rFonts w:ascii="Times New Roman" w:hAnsi="Times New Roman"/>
          <w:sz w:val="24"/>
          <w:lang w:val="sr-Cyrl-CS"/>
        </w:rPr>
        <w:t xml:space="preserve"> </w:t>
      </w:r>
      <w:r w:rsidRPr="005303F7">
        <w:rPr>
          <w:rFonts w:ascii="Times New Roman" w:hAnsi="Times New Roman"/>
          <w:sz w:val="24"/>
          <w:lang w:val="sr-Cyrl-CS"/>
        </w:rPr>
        <w:t>обновљивих</w:t>
      </w:r>
      <w:r w:rsidR="00F07E29" w:rsidRPr="005303F7">
        <w:rPr>
          <w:rFonts w:ascii="Times New Roman" w:hAnsi="Times New Roman"/>
          <w:sz w:val="24"/>
          <w:lang w:val="sr-Cyrl-CS"/>
        </w:rPr>
        <w:t xml:space="preserve"> </w:t>
      </w:r>
      <w:r w:rsidRPr="005303F7">
        <w:rPr>
          <w:rFonts w:ascii="Times New Roman" w:hAnsi="Times New Roman"/>
          <w:sz w:val="24"/>
          <w:lang w:val="sr-Cyrl-CS"/>
        </w:rPr>
        <w:t>извора</w:t>
      </w:r>
      <w:r w:rsidR="00F07E29" w:rsidRPr="005303F7">
        <w:rPr>
          <w:rFonts w:ascii="Times New Roman" w:hAnsi="Times New Roman"/>
          <w:sz w:val="24"/>
          <w:lang w:val="sr-Cyrl-CS"/>
        </w:rPr>
        <w:t xml:space="preserve"> </w:t>
      </w:r>
      <w:r w:rsidRPr="005303F7">
        <w:rPr>
          <w:rFonts w:ascii="Times New Roman" w:hAnsi="Times New Roman"/>
          <w:sz w:val="24"/>
          <w:lang w:val="sr-Cyrl-CS"/>
        </w:rPr>
        <w:t>енергије</w:t>
      </w:r>
      <w:r w:rsidR="00F07E29" w:rsidRPr="005303F7">
        <w:rPr>
          <w:rFonts w:ascii="Times New Roman" w:hAnsi="Times New Roman"/>
          <w:sz w:val="24"/>
          <w:lang w:val="sr-Cyrl-CS"/>
        </w:rPr>
        <w:t xml:space="preserve"> </w:t>
      </w:r>
      <w:r w:rsidRPr="005303F7">
        <w:rPr>
          <w:rFonts w:ascii="Times New Roman" w:hAnsi="Times New Roman"/>
          <w:sz w:val="24"/>
          <w:lang w:val="sr-Cyrl-CS"/>
        </w:rPr>
        <w:t>до</w:t>
      </w:r>
      <w:r w:rsidR="00F07E29" w:rsidRPr="005303F7">
        <w:rPr>
          <w:rFonts w:ascii="Times New Roman" w:hAnsi="Times New Roman"/>
          <w:sz w:val="24"/>
          <w:lang w:val="sr-Cyrl-CS"/>
        </w:rPr>
        <w:t xml:space="preserve"> 2030. </w:t>
      </w:r>
      <w:r w:rsidRPr="005303F7">
        <w:rPr>
          <w:rFonts w:ascii="Times New Roman" w:hAnsi="Times New Roman"/>
          <w:sz w:val="24"/>
          <w:lang w:val="sr-Cyrl-CS"/>
        </w:rPr>
        <w:t>године</w:t>
      </w:r>
      <w:r w:rsidR="00F07E29" w:rsidRPr="005303F7">
        <w:rPr>
          <w:rFonts w:ascii="Times New Roman" w:hAnsi="Times New Roman"/>
          <w:sz w:val="24"/>
          <w:lang w:val="sr-Cyrl-CS"/>
        </w:rPr>
        <w:t xml:space="preserve">, </w:t>
      </w:r>
      <w:r w:rsidRPr="005303F7">
        <w:rPr>
          <w:rFonts w:ascii="Times New Roman" w:hAnsi="Times New Roman"/>
          <w:sz w:val="24"/>
          <w:lang w:val="sr-Cyrl-CS"/>
        </w:rPr>
        <w:t>чак</w:t>
      </w:r>
      <w:r w:rsidR="00F07E29" w:rsidRPr="005303F7">
        <w:rPr>
          <w:rFonts w:ascii="Times New Roman" w:hAnsi="Times New Roman"/>
          <w:sz w:val="24"/>
          <w:lang w:val="sr-Cyrl-CS"/>
        </w:rPr>
        <w:t xml:space="preserve"> </w:t>
      </w:r>
      <w:r w:rsidRPr="005303F7">
        <w:rPr>
          <w:rFonts w:ascii="Times New Roman" w:hAnsi="Times New Roman"/>
          <w:sz w:val="24"/>
          <w:lang w:val="sr-Cyrl-CS"/>
        </w:rPr>
        <w:t>ни</w:t>
      </w:r>
      <w:r w:rsidR="00862A6D" w:rsidRPr="005303F7">
        <w:rPr>
          <w:rFonts w:ascii="Times New Roman" w:hAnsi="Times New Roman"/>
          <w:sz w:val="24"/>
          <w:lang w:val="sr-Cyrl-CS"/>
        </w:rPr>
        <w:t xml:space="preserve"> </w:t>
      </w:r>
      <w:r w:rsidRPr="005303F7">
        <w:rPr>
          <w:rFonts w:ascii="Times New Roman" w:hAnsi="Times New Roman"/>
          <w:sz w:val="24"/>
          <w:lang w:val="sr-Cyrl-CS"/>
        </w:rPr>
        <w:t>до</w:t>
      </w:r>
      <w:r w:rsidR="00F07E29" w:rsidRPr="005303F7">
        <w:rPr>
          <w:rFonts w:ascii="Times New Roman" w:hAnsi="Times New Roman"/>
          <w:sz w:val="24"/>
          <w:lang w:val="sr-Cyrl-CS"/>
        </w:rPr>
        <w:t xml:space="preserve"> </w:t>
      </w:r>
      <w:r w:rsidRPr="005303F7">
        <w:rPr>
          <w:rFonts w:ascii="Times New Roman" w:hAnsi="Times New Roman"/>
          <w:sz w:val="24"/>
          <w:lang w:val="sr-Cyrl-CS"/>
        </w:rPr>
        <w:t>нивоа</w:t>
      </w:r>
      <w:r w:rsidR="00F07E29" w:rsidRPr="005303F7">
        <w:rPr>
          <w:rFonts w:ascii="Times New Roman" w:hAnsi="Times New Roman"/>
          <w:sz w:val="24"/>
          <w:lang w:val="sr-Cyrl-CS"/>
        </w:rPr>
        <w:t xml:space="preserve"> </w:t>
      </w:r>
      <w:r w:rsidRPr="005303F7">
        <w:rPr>
          <w:rFonts w:ascii="Times New Roman" w:hAnsi="Times New Roman"/>
          <w:sz w:val="24"/>
          <w:lang w:val="sr-Cyrl-CS"/>
        </w:rPr>
        <w:t>тренутне</w:t>
      </w:r>
      <w:r w:rsidR="00F07E29" w:rsidRPr="005303F7">
        <w:rPr>
          <w:rFonts w:ascii="Times New Roman" w:hAnsi="Times New Roman"/>
          <w:sz w:val="24"/>
          <w:lang w:val="sr-Cyrl-CS"/>
        </w:rPr>
        <w:t xml:space="preserve"> </w:t>
      </w:r>
      <w:r w:rsidRPr="005303F7">
        <w:rPr>
          <w:rFonts w:ascii="Times New Roman" w:hAnsi="Times New Roman"/>
          <w:sz w:val="24"/>
          <w:lang w:val="sr-Cyrl-CS"/>
        </w:rPr>
        <w:t>обавезе</w:t>
      </w:r>
      <w:r w:rsidR="00F07E29" w:rsidRPr="005303F7">
        <w:rPr>
          <w:rFonts w:ascii="Times New Roman" w:hAnsi="Times New Roman"/>
          <w:sz w:val="24"/>
          <w:lang w:val="sr-Cyrl-CS"/>
        </w:rPr>
        <w:t xml:space="preserve"> </w:t>
      </w:r>
      <w:r w:rsidRPr="005303F7">
        <w:rPr>
          <w:rFonts w:ascii="Times New Roman" w:hAnsi="Times New Roman"/>
          <w:sz w:val="24"/>
          <w:lang w:val="sr-Cyrl-CS"/>
        </w:rPr>
        <w:t>према</w:t>
      </w:r>
      <w:r w:rsidR="00F07E29" w:rsidRPr="005303F7">
        <w:rPr>
          <w:rFonts w:ascii="Times New Roman" w:hAnsi="Times New Roman"/>
          <w:sz w:val="24"/>
          <w:lang w:val="sr-Cyrl-CS"/>
        </w:rPr>
        <w:t xml:space="preserve"> </w:t>
      </w:r>
      <w:r w:rsidRPr="005303F7">
        <w:rPr>
          <w:rFonts w:ascii="Times New Roman" w:hAnsi="Times New Roman"/>
          <w:sz w:val="24"/>
          <w:lang w:val="sr-Cyrl-CS"/>
        </w:rPr>
        <w:t>Енергетској</w:t>
      </w:r>
      <w:r w:rsidR="00F07E29" w:rsidRPr="005303F7">
        <w:rPr>
          <w:rFonts w:ascii="Times New Roman" w:hAnsi="Times New Roman"/>
          <w:sz w:val="24"/>
          <w:lang w:val="sr-Cyrl-CS"/>
        </w:rPr>
        <w:t xml:space="preserve"> </w:t>
      </w:r>
      <w:r w:rsidRPr="005303F7">
        <w:rPr>
          <w:rFonts w:ascii="Times New Roman" w:hAnsi="Times New Roman"/>
          <w:sz w:val="24"/>
          <w:lang w:val="sr-Cyrl-CS"/>
        </w:rPr>
        <w:t>заједници</w:t>
      </w:r>
      <w:r w:rsidR="00F07E29" w:rsidRPr="005303F7">
        <w:rPr>
          <w:rFonts w:ascii="Times New Roman" w:hAnsi="Times New Roman"/>
          <w:sz w:val="24"/>
          <w:lang w:val="sr-Cyrl-CS"/>
        </w:rPr>
        <w:t xml:space="preserve">, </w:t>
      </w:r>
      <w:r w:rsidRPr="005303F7">
        <w:rPr>
          <w:rFonts w:ascii="Times New Roman" w:hAnsi="Times New Roman"/>
          <w:sz w:val="24"/>
          <w:lang w:val="sr-Cyrl-CS"/>
        </w:rPr>
        <w:t>која</w:t>
      </w:r>
      <w:r w:rsidR="00F07E29" w:rsidRPr="005303F7">
        <w:rPr>
          <w:rFonts w:ascii="Times New Roman" w:hAnsi="Times New Roman"/>
          <w:sz w:val="24"/>
          <w:lang w:val="sr-Cyrl-CS"/>
        </w:rPr>
        <w:t xml:space="preserve"> </w:t>
      </w:r>
      <w:r w:rsidRPr="005303F7">
        <w:rPr>
          <w:rFonts w:ascii="Times New Roman" w:hAnsi="Times New Roman"/>
          <w:sz w:val="24"/>
          <w:lang w:val="sr-Cyrl-CS"/>
        </w:rPr>
        <w:t>је</w:t>
      </w:r>
      <w:r w:rsidR="00F07E29" w:rsidRPr="005303F7">
        <w:rPr>
          <w:rFonts w:ascii="Times New Roman" w:hAnsi="Times New Roman"/>
          <w:sz w:val="24"/>
          <w:lang w:val="sr-Cyrl-CS"/>
        </w:rPr>
        <w:t xml:space="preserve"> </w:t>
      </w:r>
      <w:r w:rsidRPr="005303F7">
        <w:rPr>
          <w:rFonts w:ascii="Times New Roman" w:hAnsi="Times New Roman"/>
          <w:sz w:val="24"/>
          <w:lang w:val="sr-Cyrl-CS"/>
        </w:rPr>
        <w:t>постављена</w:t>
      </w:r>
      <w:r w:rsidR="00F07E29" w:rsidRPr="005303F7">
        <w:rPr>
          <w:rFonts w:ascii="Times New Roman" w:hAnsi="Times New Roman"/>
          <w:sz w:val="24"/>
          <w:lang w:val="sr-Cyrl-CS"/>
        </w:rPr>
        <w:t xml:space="preserve"> </w:t>
      </w:r>
      <w:r w:rsidRPr="005303F7">
        <w:rPr>
          <w:rFonts w:ascii="Times New Roman" w:hAnsi="Times New Roman"/>
          <w:sz w:val="24"/>
          <w:lang w:val="sr-Cyrl-CS"/>
        </w:rPr>
        <w:t>на</w:t>
      </w:r>
      <w:r w:rsidR="00F07E29" w:rsidRPr="005303F7">
        <w:rPr>
          <w:rFonts w:ascii="Times New Roman" w:hAnsi="Times New Roman"/>
          <w:sz w:val="24"/>
          <w:lang w:val="sr-Cyrl-CS"/>
        </w:rPr>
        <w:t xml:space="preserve"> 27% </w:t>
      </w:r>
      <w:r w:rsidRPr="005303F7">
        <w:rPr>
          <w:rFonts w:ascii="Times New Roman" w:hAnsi="Times New Roman"/>
          <w:sz w:val="24"/>
          <w:lang w:val="sr-Cyrl-CS"/>
        </w:rPr>
        <w:t>бруто</w:t>
      </w:r>
      <w:r w:rsidR="00F07E29" w:rsidRPr="005303F7">
        <w:rPr>
          <w:rFonts w:ascii="Times New Roman" w:hAnsi="Times New Roman"/>
          <w:sz w:val="24"/>
          <w:lang w:val="sr-Cyrl-CS"/>
        </w:rPr>
        <w:t xml:space="preserve"> </w:t>
      </w:r>
      <w:r w:rsidRPr="005303F7">
        <w:rPr>
          <w:rFonts w:ascii="Times New Roman" w:hAnsi="Times New Roman"/>
          <w:sz w:val="24"/>
          <w:lang w:val="sr-Cyrl-CS"/>
        </w:rPr>
        <w:t>финалне</w:t>
      </w:r>
      <w:r w:rsidR="00604A2E" w:rsidRPr="005303F7">
        <w:rPr>
          <w:rFonts w:ascii="Times New Roman" w:hAnsi="Times New Roman"/>
          <w:sz w:val="24"/>
          <w:lang w:val="sr-Cyrl-CS"/>
        </w:rPr>
        <w:t xml:space="preserve"> </w:t>
      </w:r>
      <w:r w:rsidRPr="005303F7">
        <w:rPr>
          <w:rFonts w:ascii="Times New Roman" w:hAnsi="Times New Roman"/>
          <w:sz w:val="24"/>
          <w:lang w:val="sr-Cyrl-CS"/>
        </w:rPr>
        <w:t>потрошње</w:t>
      </w:r>
      <w:r w:rsidR="00F07E29" w:rsidRPr="005303F7">
        <w:rPr>
          <w:rFonts w:ascii="Times New Roman" w:hAnsi="Times New Roman"/>
          <w:sz w:val="24"/>
          <w:lang w:val="sr-Cyrl-CS"/>
        </w:rPr>
        <w:t xml:space="preserve"> </w:t>
      </w:r>
      <w:r w:rsidRPr="005303F7">
        <w:rPr>
          <w:rFonts w:ascii="Times New Roman" w:hAnsi="Times New Roman"/>
          <w:sz w:val="24"/>
          <w:lang w:val="sr-Cyrl-CS"/>
        </w:rPr>
        <w:t>до</w:t>
      </w:r>
      <w:r w:rsidR="00F07E29" w:rsidRPr="005303F7">
        <w:rPr>
          <w:rFonts w:ascii="Times New Roman" w:hAnsi="Times New Roman"/>
          <w:sz w:val="24"/>
          <w:lang w:val="sr-Cyrl-CS"/>
        </w:rPr>
        <w:t xml:space="preserve"> 2020. </w:t>
      </w:r>
      <w:r w:rsidRPr="005303F7">
        <w:rPr>
          <w:rFonts w:ascii="Times New Roman" w:hAnsi="Times New Roman"/>
          <w:sz w:val="24"/>
          <w:lang w:val="sr-Cyrl-CS"/>
        </w:rPr>
        <w:t>године</w:t>
      </w:r>
      <w:r w:rsidR="00F07E29" w:rsidRPr="005303F7">
        <w:rPr>
          <w:rFonts w:ascii="Times New Roman" w:hAnsi="Times New Roman"/>
          <w:sz w:val="24"/>
          <w:lang w:val="sr-Cyrl-CS"/>
        </w:rPr>
        <w:t xml:space="preserve">. </w:t>
      </w:r>
      <w:r w:rsidRPr="005303F7">
        <w:rPr>
          <w:rFonts w:ascii="Times New Roman" w:hAnsi="Times New Roman"/>
          <w:sz w:val="24"/>
          <w:lang w:val="sr-Cyrl-CS"/>
        </w:rPr>
        <w:t>Стога</w:t>
      </w:r>
      <w:r w:rsidR="00F07E29" w:rsidRPr="005303F7">
        <w:rPr>
          <w:rFonts w:ascii="Times New Roman" w:hAnsi="Times New Roman"/>
          <w:sz w:val="24"/>
          <w:lang w:val="sr-Cyrl-CS"/>
        </w:rPr>
        <w:t xml:space="preserve"> </w:t>
      </w:r>
      <w:r w:rsidRPr="005303F7">
        <w:rPr>
          <w:rFonts w:ascii="Times New Roman" w:hAnsi="Times New Roman"/>
          <w:sz w:val="24"/>
          <w:lang w:val="sr-Cyrl-CS"/>
        </w:rPr>
        <w:t>је</w:t>
      </w:r>
      <w:r w:rsidR="00F07E29" w:rsidRPr="005303F7">
        <w:rPr>
          <w:rFonts w:ascii="Times New Roman" w:hAnsi="Times New Roman"/>
          <w:sz w:val="24"/>
          <w:lang w:val="sr-Cyrl-CS"/>
        </w:rPr>
        <w:t xml:space="preserve"> </w:t>
      </w:r>
      <w:r w:rsidRPr="005303F7">
        <w:rPr>
          <w:rFonts w:ascii="Times New Roman" w:hAnsi="Times New Roman"/>
          <w:sz w:val="24"/>
          <w:lang w:val="sr-Cyrl-CS"/>
        </w:rPr>
        <w:t>овај</w:t>
      </w:r>
      <w:r w:rsidR="00F07E29" w:rsidRPr="005303F7">
        <w:rPr>
          <w:rFonts w:ascii="Times New Roman" w:hAnsi="Times New Roman"/>
          <w:sz w:val="24"/>
          <w:lang w:val="sr-Cyrl-CS"/>
        </w:rPr>
        <w:t xml:space="preserve"> </w:t>
      </w:r>
      <w:r w:rsidRPr="005303F7">
        <w:rPr>
          <w:rFonts w:ascii="Times New Roman" w:hAnsi="Times New Roman"/>
          <w:sz w:val="24"/>
          <w:lang w:val="sr-Cyrl-CS"/>
        </w:rPr>
        <w:t>сценарио</w:t>
      </w:r>
      <w:r w:rsidR="00F07E29" w:rsidRPr="005303F7">
        <w:rPr>
          <w:rFonts w:ascii="Times New Roman" w:hAnsi="Times New Roman"/>
          <w:sz w:val="24"/>
          <w:lang w:val="sr-Cyrl-CS"/>
        </w:rPr>
        <w:t xml:space="preserve"> </w:t>
      </w:r>
      <w:r w:rsidRPr="005303F7">
        <w:rPr>
          <w:rFonts w:ascii="Times New Roman" w:hAnsi="Times New Roman"/>
          <w:sz w:val="24"/>
          <w:lang w:val="sr-Cyrl-CS"/>
        </w:rPr>
        <w:t>искључен</w:t>
      </w:r>
      <w:r w:rsidR="00F07E29" w:rsidRPr="005303F7">
        <w:rPr>
          <w:rFonts w:ascii="Times New Roman" w:hAnsi="Times New Roman"/>
          <w:sz w:val="24"/>
          <w:lang w:val="sr-Cyrl-CS"/>
        </w:rPr>
        <w:t xml:space="preserve"> </w:t>
      </w:r>
      <w:r w:rsidRPr="005303F7">
        <w:rPr>
          <w:rFonts w:ascii="Times New Roman" w:hAnsi="Times New Roman"/>
          <w:sz w:val="24"/>
          <w:lang w:val="sr-Cyrl-CS"/>
        </w:rPr>
        <w:t>из</w:t>
      </w:r>
      <w:r w:rsidR="00F07E29" w:rsidRPr="005303F7">
        <w:rPr>
          <w:rFonts w:ascii="Times New Roman" w:hAnsi="Times New Roman"/>
          <w:sz w:val="24"/>
          <w:lang w:val="sr-Cyrl-CS"/>
        </w:rPr>
        <w:t xml:space="preserve"> </w:t>
      </w:r>
      <w:r w:rsidRPr="005303F7">
        <w:rPr>
          <w:rFonts w:ascii="Times New Roman" w:hAnsi="Times New Roman"/>
          <w:sz w:val="24"/>
          <w:lang w:val="sr-Cyrl-CS"/>
        </w:rPr>
        <w:t>даље</w:t>
      </w:r>
      <w:r w:rsidR="00F07E29" w:rsidRPr="005303F7">
        <w:rPr>
          <w:rFonts w:ascii="Times New Roman" w:hAnsi="Times New Roman"/>
          <w:sz w:val="24"/>
          <w:lang w:val="sr-Cyrl-CS"/>
        </w:rPr>
        <w:t xml:space="preserve"> </w:t>
      </w:r>
      <w:r w:rsidRPr="005303F7">
        <w:rPr>
          <w:rFonts w:ascii="Times New Roman" w:hAnsi="Times New Roman"/>
          <w:sz w:val="24"/>
          <w:lang w:val="sr-Cyrl-CS"/>
        </w:rPr>
        <w:t>анализе</w:t>
      </w:r>
      <w:r w:rsidR="00F07E29" w:rsidRPr="005303F7">
        <w:rPr>
          <w:rFonts w:ascii="Times New Roman" w:hAnsi="Times New Roman"/>
          <w:sz w:val="24"/>
          <w:lang w:val="sr-Cyrl-CS"/>
        </w:rPr>
        <w:t xml:space="preserve"> </w:t>
      </w:r>
      <w:r w:rsidRPr="005303F7">
        <w:rPr>
          <w:rFonts w:ascii="Times New Roman" w:hAnsi="Times New Roman"/>
          <w:sz w:val="24"/>
          <w:lang w:val="sr-Cyrl-CS"/>
        </w:rPr>
        <w:t>у</w:t>
      </w:r>
      <w:r w:rsidR="00F07E29" w:rsidRPr="005303F7">
        <w:rPr>
          <w:rFonts w:ascii="Times New Roman" w:hAnsi="Times New Roman"/>
          <w:sz w:val="24"/>
          <w:lang w:val="sr-Cyrl-CS"/>
        </w:rPr>
        <w:t xml:space="preserve"> </w:t>
      </w:r>
      <w:r w:rsidRPr="005303F7">
        <w:rPr>
          <w:rFonts w:ascii="Times New Roman" w:hAnsi="Times New Roman"/>
          <w:sz w:val="24"/>
          <w:lang w:val="sr-Cyrl-CS"/>
        </w:rPr>
        <w:t>оквиру</w:t>
      </w:r>
      <w:r w:rsidR="00F07E29" w:rsidRPr="005303F7">
        <w:rPr>
          <w:rFonts w:ascii="Times New Roman" w:hAnsi="Times New Roman"/>
          <w:sz w:val="24"/>
          <w:lang w:val="sr-Cyrl-CS"/>
        </w:rPr>
        <w:t xml:space="preserve"> </w:t>
      </w:r>
      <w:r w:rsidRPr="005303F7">
        <w:rPr>
          <w:rFonts w:ascii="Times New Roman" w:hAnsi="Times New Roman"/>
          <w:sz w:val="24"/>
          <w:lang w:val="sr-Cyrl-CS"/>
        </w:rPr>
        <w:t>Стратегије</w:t>
      </w:r>
      <w:r w:rsidR="00F07E29" w:rsidRPr="005303F7">
        <w:rPr>
          <w:rFonts w:ascii="Times New Roman" w:hAnsi="Times New Roman"/>
          <w:sz w:val="24"/>
          <w:lang w:val="sr-Cyrl-CS"/>
        </w:rPr>
        <w:t xml:space="preserve">. </w:t>
      </w:r>
      <w:r w:rsidRPr="005303F7">
        <w:rPr>
          <w:rFonts w:ascii="Times New Roman" w:hAnsi="Times New Roman"/>
          <w:sz w:val="24"/>
          <w:lang w:val="sr-Cyrl-CS"/>
        </w:rPr>
        <w:t>У</w:t>
      </w:r>
      <w:r w:rsidR="00F07E29" w:rsidRPr="005303F7">
        <w:rPr>
          <w:rFonts w:ascii="Times New Roman" w:hAnsi="Times New Roman"/>
          <w:sz w:val="24"/>
          <w:lang w:val="sr-Cyrl-CS"/>
        </w:rPr>
        <w:t xml:space="preserve"> </w:t>
      </w:r>
      <w:r w:rsidRPr="005303F7">
        <w:rPr>
          <w:rFonts w:ascii="Times New Roman" w:hAnsi="Times New Roman"/>
          <w:sz w:val="24"/>
          <w:lang w:val="sr-Cyrl-CS"/>
        </w:rPr>
        <w:t>погледу</w:t>
      </w:r>
      <w:r w:rsidR="00F07E29" w:rsidRPr="005303F7">
        <w:rPr>
          <w:rFonts w:ascii="Times New Roman" w:hAnsi="Times New Roman"/>
          <w:sz w:val="24"/>
          <w:lang w:val="sr-Cyrl-CS"/>
        </w:rPr>
        <w:t xml:space="preserve"> </w:t>
      </w:r>
      <w:r w:rsidR="000E1644" w:rsidRPr="005303F7">
        <w:rPr>
          <w:rFonts w:ascii="Times New Roman" w:hAnsi="Times New Roman"/>
          <w:sz w:val="24"/>
          <w:lang w:val="sr-Cyrl-CS"/>
        </w:rPr>
        <w:t>ЕU-ЕТS</w:t>
      </w:r>
      <w:r w:rsidR="00552024" w:rsidRPr="005303F7">
        <w:rPr>
          <w:rFonts w:ascii="Times New Roman" w:hAnsi="Times New Roman"/>
          <w:sz w:val="24"/>
          <w:lang w:val="sr-Cyrl-CS"/>
        </w:rPr>
        <w:t>,</w:t>
      </w:r>
      <w:r w:rsidR="00F07E29" w:rsidRPr="005303F7">
        <w:rPr>
          <w:rFonts w:ascii="Times New Roman" w:hAnsi="Times New Roman"/>
          <w:sz w:val="24"/>
          <w:lang w:val="sr-Cyrl-CS"/>
        </w:rPr>
        <w:t xml:space="preserve"> </w:t>
      </w:r>
      <w:r w:rsidRPr="005303F7">
        <w:rPr>
          <w:rFonts w:ascii="Times New Roman" w:hAnsi="Times New Roman"/>
          <w:sz w:val="24"/>
          <w:lang w:val="sr-Cyrl-CS"/>
        </w:rPr>
        <w:t>мора</w:t>
      </w:r>
      <w:r w:rsidR="00D805FC" w:rsidRPr="005303F7">
        <w:rPr>
          <w:rFonts w:ascii="Times New Roman" w:hAnsi="Times New Roman"/>
          <w:sz w:val="24"/>
          <w:lang w:val="sr-Cyrl-CS"/>
        </w:rPr>
        <w:t xml:space="preserve"> </w:t>
      </w:r>
      <w:r w:rsidRPr="005303F7">
        <w:rPr>
          <w:rFonts w:ascii="Times New Roman" w:hAnsi="Times New Roman"/>
          <w:sz w:val="24"/>
          <w:lang w:val="sr-Cyrl-CS"/>
        </w:rPr>
        <w:t>се</w:t>
      </w:r>
      <w:r w:rsidR="00F93857" w:rsidRPr="005303F7">
        <w:rPr>
          <w:rFonts w:ascii="Times New Roman" w:hAnsi="Times New Roman"/>
          <w:sz w:val="24"/>
          <w:lang w:val="sr-Cyrl-CS"/>
        </w:rPr>
        <w:t xml:space="preserve"> наставити</w:t>
      </w:r>
      <w:r w:rsidR="00F93857" w:rsidRPr="005303F7">
        <w:rPr>
          <w:lang w:val="sr-Cyrl-CS"/>
        </w:rPr>
        <w:t xml:space="preserve"> у</w:t>
      </w:r>
      <w:r w:rsidR="00F93857" w:rsidRPr="005303F7">
        <w:rPr>
          <w:rFonts w:ascii="Times New Roman" w:hAnsi="Times New Roman"/>
          <w:sz w:val="24"/>
          <w:lang w:val="sr-Cyrl-CS"/>
        </w:rPr>
        <w:t>склађивање са системом трговања емисијама ЕУ и/или размотрити увођење других</w:t>
      </w:r>
      <w:r w:rsidR="00DA0C76" w:rsidRPr="005303F7">
        <w:rPr>
          <w:rFonts w:ascii="Times New Roman" w:hAnsi="Times New Roman"/>
          <w:sz w:val="24"/>
          <w:lang w:val="sr-Cyrl-CS"/>
        </w:rPr>
        <w:t xml:space="preserve"> </w:t>
      </w:r>
      <w:r w:rsidR="00F93857" w:rsidRPr="005303F7">
        <w:rPr>
          <w:rFonts w:ascii="Times New Roman" w:hAnsi="Times New Roman"/>
          <w:sz w:val="24"/>
          <w:lang w:val="sr-Cyrl-CS"/>
        </w:rPr>
        <w:t>инструмената за одређивање цена угљеника</w:t>
      </w:r>
      <w:r w:rsidR="00D805FC" w:rsidRPr="005303F7">
        <w:rPr>
          <w:rFonts w:ascii="Times New Roman" w:hAnsi="Times New Roman"/>
          <w:sz w:val="24"/>
          <w:lang w:val="sr-Cyrl-CS"/>
        </w:rPr>
        <w:t xml:space="preserve"> </w:t>
      </w:r>
      <w:r w:rsidR="005326FD" w:rsidRPr="005303F7">
        <w:rPr>
          <w:rFonts w:ascii="Times New Roman" w:hAnsi="Times New Roman"/>
          <w:sz w:val="24"/>
          <w:lang w:val="sr-Cyrl-CS"/>
        </w:rPr>
        <w:t>у периоду између 2025. и 2029. године</w:t>
      </w:r>
      <w:r w:rsidR="00F07E29" w:rsidRPr="005303F7">
        <w:rPr>
          <w:rFonts w:ascii="Times New Roman" w:hAnsi="Times New Roman"/>
          <w:sz w:val="24"/>
          <w:lang w:val="sr-Cyrl-CS"/>
        </w:rPr>
        <w:t xml:space="preserve">, </w:t>
      </w:r>
      <w:r w:rsidRPr="005303F7">
        <w:rPr>
          <w:rFonts w:ascii="Times New Roman" w:hAnsi="Times New Roman"/>
          <w:sz w:val="24"/>
          <w:lang w:val="sr-Cyrl-CS"/>
        </w:rPr>
        <w:t>како</w:t>
      </w:r>
      <w:r w:rsidR="00F07E29" w:rsidRPr="005303F7">
        <w:rPr>
          <w:rFonts w:ascii="Times New Roman" w:hAnsi="Times New Roman"/>
          <w:sz w:val="24"/>
          <w:lang w:val="sr-Cyrl-CS"/>
        </w:rPr>
        <w:t xml:space="preserve"> </w:t>
      </w:r>
      <w:r w:rsidRPr="005303F7">
        <w:rPr>
          <w:rFonts w:ascii="Times New Roman" w:hAnsi="Times New Roman"/>
          <w:sz w:val="24"/>
          <w:lang w:val="sr-Cyrl-CS"/>
        </w:rPr>
        <w:t>би</w:t>
      </w:r>
      <w:r w:rsidR="00F07E29" w:rsidRPr="005303F7">
        <w:rPr>
          <w:rFonts w:ascii="Times New Roman" w:hAnsi="Times New Roman"/>
          <w:sz w:val="24"/>
          <w:lang w:val="sr-Cyrl-CS"/>
        </w:rPr>
        <w:t xml:space="preserve"> </w:t>
      </w:r>
      <w:r w:rsidRPr="005303F7">
        <w:rPr>
          <w:rFonts w:ascii="Times New Roman" w:hAnsi="Times New Roman"/>
          <w:sz w:val="24"/>
          <w:lang w:val="sr-Cyrl-CS"/>
        </w:rPr>
        <w:t>се</w:t>
      </w:r>
      <w:r w:rsidR="00F07E29" w:rsidRPr="005303F7">
        <w:rPr>
          <w:rFonts w:ascii="Times New Roman" w:hAnsi="Times New Roman"/>
          <w:sz w:val="24"/>
          <w:lang w:val="sr-Cyrl-CS"/>
        </w:rPr>
        <w:t xml:space="preserve"> </w:t>
      </w:r>
      <w:r w:rsidRPr="005303F7">
        <w:rPr>
          <w:rFonts w:ascii="Times New Roman" w:hAnsi="Times New Roman"/>
          <w:sz w:val="24"/>
          <w:lang w:val="sr-Cyrl-CS"/>
        </w:rPr>
        <w:t>осигурала</w:t>
      </w:r>
      <w:r w:rsidR="00F07E29" w:rsidRPr="005303F7">
        <w:rPr>
          <w:rFonts w:ascii="Times New Roman" w:hAnsi="Times New Roman"/>
          <w:sz w:val="24"/>
          <w:lang w:val="sr-Cyrl-CS"/>
        </w:rPr>
        <w:t xml:space="preserve"> </w:t>
      </w:r>
      <w:r w:rsidRPr="005303F7">
        <w:rPr>
          <w:rFonts w:ascii="Times New Roman" w:hAnsi="Times New Roman"/>
          <w:sz w:val="24"/>
          <w:lang w:val="sr-Cyrl-CS"/>
        </w:rPr>
        <w:t>несметана</w:t>
      </w:r>
      <w:r w:rsidR="00F07E29" w:rsidRPr="005303F7">
        <w:rPr>
          <w:rFonts w:ascii="Times New Roman" w:hAnsi="Times New Roman"/>
          <w:sz w:val="24"/>
          <w:lang w:val="sr-Cyrl-CS"/>
        </w:rPr>
        <w:t xml:space="preserve"> </w:t>
      </w:r>
      <w:r w:rsidRPr="005303F7">
        <w:rPr>
          <w:rFonts w:ascii="Times New Roman" w:hAnsi="Times New Roman"/>
          <w:sz w:val="24"/>
          <w:lang w:val="sr-Cyrl-CS"/>
        </w:rPr>
        <w:t>примена</w:t>
      </w:r>
      <w:r w:rsidR="00F07E29" w:rsidRPr="005303F7">
        <w:rPr>
          <w:rFonts w:ascii="Times New Roman" w:hAnsi="Times New Roman"/>
          <w:sz w:val="24"/>
          <w:lang w:val="sr-Cyrl-CS"/>
        </w:rPr>
        <w:t xml:space="preserve"> </w:t>
      </w:r>
      <w:r w:rsidRPr="005303F7">
        <w:rPr>
          <w:rFonts w:ascii="Times New Roman" w:hAnsi="Times New Roman"/>
          <w:sz w:val="24"/>
          <w:lang w:val="sr-Cyrl-CS"/>
        </w:rPr>
        <w:t>ЕU</w:t>
      </w:r>
      <w:r w:rsidR="00F07E29" w:rsidRPr="005303F7">
        <w:rPr>
          <w:rFonts w:ascii="Times New Roman" w:hAnsi="Times New Roman"/>
          <w:sz w:val="24"/>
          <w:lang w:val="sr-Cyrl-CS"/>
        </w:rPr>
        <w:t>-</w:t>
      </w:r>
      <w:r w:rsidRPr="005303F7">
        <w:rPr>
          <w:rFonts w:ascii="Times New Roman" w:hAnsi="Times New Roman"/>
          <w:sz w:val="24"/>
          <w:lang w:val="sr-Cyrl-CS"/>
        </w:rPr>
        <w:t>ЕТS</w:t>
      </w:r>
      <w:r w:rsidR="005326FD" w:rsidRPr="005303F7">
        <w:rPr>
          <w:rFonts w:ascii="Times New Roman" w:hAnsi="Times New Roman"/>
          <w:sz w:val="24"/>
          <w:lang w:val="sr-Cyrl-CS"/>
        </w:rPr>
        <w:t xml:space="preserve"> </w:t>
      </w:r>
      <w:r w:rsidR="00F93857" w:rsidRPr="005303F7">
        <w:rPr>
          <w:rFonts w:ascii="Times New Roman" w:hAnsi="Times New Roman"/>
          <w:sz w:val="24"/>
          <w:lang w:val="sr-Cyrl-CS"/>
        </w:rPr>
        <w:t xml:space="preserve">уласком у ЕУ </w:t>
      </w:r>
      <w:r w:rsidRPr="005303F7">
        <w:rPr>
          <w:rFonts w:ascii="Times New Roman" w:hAnsi="Times New Roman"/>
          <w:sz w:val="24"/>
          <w:lang w:val="sr-Cyrl-CS"/>
        </w:rPr>
        <w:t>и</w:t>
      </w:r>
      <w:r w:rsidR="001527D3" w:rsidRPr="005303F7">
        <w:rPr>
          <w:rFonts w:ascii="Times New Roman" w:hAnsi="Times New Roman"/>
          <w:sz w:val="24"/>
          <w:lang w:val="sr-Cyrl-CS"/>
        </w:rPr>
        <w:t xml:space="preserve"> </w:t>
      </w:r>
      <w:r w:rsidRPr="005303F7">
        <w:rPr>
          <w:rFonts w:ascii="Times New Roman" w:hAnsi="Times New Roman"/>
          <w:sz w:val="24"/>
          <w:lang w:val="sr-Cyrl-CS"/>
        </w:rPr>
        <w:t>омогућило</w:t>
      </w:r>
      <w:r w:rsidR="0045564B" w:rsidRPr="005303F7">
        <w:rPr>
          <w:rFonts w:ascii="Times New Roman" w:hAnsi="Times New Roman"/>
          <w:sz w:val="24"/>
          <w:lang w:val="sr-Cyrl-CS"/>
        </w:rPr>
        <w:t xml:space="preserve"> </w:t>
      </w:r>
      <w:r w:rsidRPr="005303F7">
        <w:rPr>
          <w:rFonts w:ascii="Times New Roman" w:hAnsi="Times New Roman"/>
          <w:sz w:val="24"/>
          <w:lang w:val="sr-Cyrl-CS"/>
        </w:rPr>
        <w:t>постепено</w:t>
      </w:r>
      <w:r w:rsidR="0045564B" w:rsidRPr="005303F7">
        <w:rPr>
          <w:rFonts w:ascii="Times New Roman" w:hAnsi="Times New Roman"/>
          <w:sz w:val="24"/>
          <w:lang w:val="sr-Cyrl-CS"/>
        </w:rPr>
        <w:t xml:space="preserve"> </w:t>
      </w:r>
      <w:r w:rsidRPr="005303F7">
        <w:rPr>
          <w:rFonts w:ascii="Times New Roman" w:hAnsi="Times New Roman"/>
          <w:sz w:val="24"/>
          <w:lang w:val="sr-Cyrl-CS"/>
        </w:rPr>
        <w:t>прилагођавање</w:t>
      </w:r>
      <w:r w:rsidR="0045564B" w:rsidRPr="005303F7">
        <w:rPr>
          <w:rFonts w:ascii="Times New Roman" w:hAnsi="Times New Roman"/>
          <w:sz w:val="24"/>
          <w:lang w:val="sr-Cyrl-CS"/>
        </w:rPr>
        <w:t xml:space="preserve"> </w:t>
      </w:r>
      <w:r w:rsidRPr="005303F7">
        <w:rPr>
          <w:rFonts w:ascii="Times New Roman" w:hAnsi="Times New Roman"/>
          <w:sz w:val="24"/>
          <w:lang w:val="sr-Cyrl-CS"/>
        </w:rPr>
        <w:t>заинтересованих</w:t>
      </w:r>
      <w:r w:rsidR="0045564B" w:rsidRPr="005303F7">
        <w:rPr>
          <w:rFonts w:ascii="Times New Roman" w:hAnsi="Times New Roman"/>
          <w:sz w:val="24"/>
          <w:lang w:val="sr-Cyrl-CS"/>
        </w:rPr>
        <w:t xml:space="preserve"> </w:t>
      </w:r>
      <w:r w:rsidRPr="005303F7">
        <w:rPr>
          <w:rFonts w:ascii="Times New Roman" w:hAnsi="Times New Roman"/>
          <w:sz w:val="24"/>
          <w:lang w:val="sr-Cyrl-CS"/>
        </w:rPr>
        <w:t>страна</w:t>
      </w:r>
      <w:r w:rsidR="0045564B" w:rsidRPr="005303F7">
        <w:rPr>
          <w:rFonts w:ascii="Times New Roman" w:hAnsi="Times New Roman"/>
          <w:sz w:val="24"/>
          <w:lang w:val="sr-Cyrl-CS"/>
        </w:rPr>
        <w:t xml:space="preserve"> (</w:t>
      </w:r>
      <w:r w:rsidRPr="005303F7">
        <w:rPr>
          <w:rFonts w:ascii="Times New Roman" w:hAnsi="Times New Roman"/>
          <w:sz w:val="24"/>
          <w:lang w:val="sr-Cyrl-CS"/>
        </w:rPr>
        <w:t>енергетика</w:t>
      </w:r>
      <w:r w:rsidR="00E047A8" w:rsidRPr="005303F7">
        <w:rPr>
          <w:rFonts w:ascii="Times New Roman" w:hAnsi="Times New Roman"/>
          <w:sz w:val="24"/>
          <w:lang w:val="sr-Cyrl-CS"/>
        </w:rPr>
        <w:t xml:space="preserve">, </w:t>
      </w:r>
      <w:r w:rsidRPr="005303F7">
        <w:rPr>
          <w:rFonts w:ascii="Times New Roman" w:hAnsi="Times New Roman"/>
          <w:sz w:val="24"/>
          <w:lang w:val="sr-Cyrl-CS"/>
        </w:rPr>
        <w:t>индустрија</w:t>
      </w:r>
      <w:r w:rsidR="00E047A8" w:rsidRPr="005303F7">
        <w:rPr>
          <w:rFonts w:ascii="Times New Roman" w:hAnsi="Times New Roman"/>
          <w:sz w:val="24"/>
          <w:lang w:val="sr-Cyrl-CS"/>
        </w:rPr>
        <w:t xml:space="preserve">, </w:t>
      </w:r>
      <w:r w:rsidRPr="005303F7">
        <w:rPr>
          <w:rFonts w:ascii="Times New Roman" w:hAnsi="Times New Roman"/>
          <w:sz w:val="24"/>
          <w:lang w:val="sr-Cyrl-CS"/>
        </w:rPr>
        <w:t>домаћинства</w:t>
      </w:r>
      <w:r w:rsidR="0045564B" w:rsidRPr="005303F7">
        <w:rPr>
          <w:rFonts w:ascii="Times New Roman" w:hAnsi="Times New Roman"/>
          <w:sz w:val="24"/>
          <w:lang w:val="sr-Cyrl-CS"/>
        </w:rPr>
        <w:t xml:space="preserve">) </w:t>
      </w:r>
      <w:r w:rsidRPr="005303F7">
        <w:rPr>
          <w:rFonts w:ascii="Times New Roman" w:hAnsi="Times New Roman"/>
          <w:sz w:val="24"/>
          <w:lang w:val="sr-Cyrl-CS"/>
        </w:rPr>
        <w:t>на</w:t>
      </w:r>
      <w:r w:rsidR="0045564B" w:rsidRPr="005303F7">
        <w:rPr>
          <w:rFonts w:ascii="Times New Roman" w:hAnsi="Times New Roman"/>
          <w:sz w:val="24"/>
          <w:lang w:val="sr-Cyrl-CS"/>
        </w:rPr>
        <w:t xml:space="preserve"> </w:t>
      </w:r>
      <w:r w:rsidRPr="005303F7">
        <w:rPr>
          <w:rFonts w:ascii="Times New Roman" w:hAnsi="Times New Roman"/>
          <w:sz w:val="24"/>
          <w:lang w:val="sr-Cyrl-CS"/>
        </w:rPr>
        <w:t>окружење</w:t>
      </w:r>
      <w:r w:rsidR="0045564B" w:rsidRPr="005303F7">
        <w:rPr>
          <w:rFonts w:ascii="Times New Roman" w:hAnsi="Times New Roman"/>
          <w:sz w:val="24"/>
          <w:lang w:val="sr-Cyrl-CS"/>
        </w:rPr>
        <w:t xml:space="preserve"> </w:t>
      </w:r>
      <w:r w:rsidRPr="005303F7">
        <w:rPr>
          <w:rFonts w:ascii="Times New Roman" w:hAnsi="Times New Roman"/>
          <w:sz w:val="24"/>
          <w:lang w:val="sr-Cyrl-CS"/>
        </w:rPr>
        <w:t>условљено</w:t>
      </w:r>
      <w:r w:rsidR="0045564B" w:rsidRPr="005303F7">
        <w:rPr>
          <w:rFonts w:ascii="Times New Roman" w:hAnsi="Times New Roman"/>
          <w:sz w:val="24"/>
          <w:lang w:val="sr-Cyrl-CS"/>
        </w:rPr>
        <w:t xml:space="preserve"> </w:t>
      </w:r>
      <w:r w:rsidRPr="005303F7">
        <w:rPr>
          <w:rFonts w:ascii="Times New Roman" w:hAnsi="Times New Roman"/>
          <w:sz w:val="24"/>
          <w:lang w:val="sr-Cyrl-CS"/>
        </w:rPr>
        <w:t>борбом</w:t>
      </w:r>
      <w:r w:rsidR="0045564B" w:rsidRPr="005303F7">
        <w:rPr>
          <w:rFonts w:ascii="Times New Roman" w:hAnsi="Times New Roman"/>
          <w:sz w:val="24"/>
          <w:lang w:val="sr-Cyrl-CS"/>
        </w:rPr>
        <w:t xml:space="preserve"> </w:t>
      </w:r>
      <w:r w:rsidRPr="005303F7">
        <w:rPr>
          <w:rFonts w:ascii="Times New Roman" w:hAnsi="Times New Roman"/>
          <w:sz w:val="24"/>
          <w:lang w:val="sr-Cyrl-CS"/>
        </w:rPr>
        <w:t>против</w:t>
      </w:r>
      <w:r w:rsidR="0045564B" w:rsidRPr="005303F7">
        <w:rPr>
          <w:rFonts w:ascii="Times New Roman" w:hAnsi="Times New Roman"/>
          <w:sz w:val="24"/>
          <w:lang w:val="sr-Cyrl-CS"/>
        </w:rPr>
        <w:t xml:space="preserve"> </w:t>
      </w:r>
      <w:r w:rsidRPr="005303F7">
        <w:rPr>
          <w:rFonts w:ascii="Times New Roman" w:hAnsi="Times New Roman"/>
          <w:sz w:val="24"/>
          <w:lang w:val="sr-Cyrl-CS"/>
        </w:rPr>
        <w:t>климатских</w:t>
      </w:r>
      <w:r w:rsidR="0045564B" w:rsidRPr="005303F7">
        <w:rPr>
          <w:rFonts w:ascii="Times New Roman" w:hAnsi="Times New Roman"/>
          <w:sz w:val="24"/>
          <w:lang w:val="sr-Cyrl-CS"/>
        </w:rPr>
        <w:t xml:space="preserve"> </w:t>
      </w:r>
      <w:r w:rsidRPr="005303F7">
        <w:rPr>
          <w:rFonts w:ascii="Times New Roman" w:hAnsi="Times New Roman"/>
          <w:sz w:val="24"/>
          <w:lang w:val="sr-Cyrl-CS"/>
        </w:rPr>
        <w:t>промена</w:t>
      </w:r>
      <w:r w:rsidR="0045564B" w:rsidRPr="005303F7">
        <w:rPr>
          <w:rFonts w:ascii="Times New Roman" w:hAnsi="Times New Roman"/>
          <w:sz w:val="24"/>
          <w:lang w:val="sr-Cyrl-CS"/>
        </w:rPr>
        <w:t>.</w:t>
      </w:r>
    </w:p>
    <w:p w14:paraId="7C88431A" w14:textId="6F35A0B1" w:rsidR="00284C96" w:rsidRPr="005303F7" w:rsidRDefault="00607CBA" w:rsidP="00FE004C">
      <w:pPr>
        <w:tabs>
          <w:tab w:val="clear" w:pos="3825"/>
        </w:tabs>
        <w:overflowPunct/>
        <w:autoSpaceDE/>
        <w:autoSpaceDN/>
        <w:adjustRightInd/>
        <w:spacing w:before="0" w:after="0"/>
        <w:ind w:firstLine="720"/>
        <w:textAlignment w:val="auto"/>
        <w:rPr>
          <w:rFonts w:ascii="Times New Roman" w:hAnsi="Times New Roman"/>
          <w:sz w:val="24"/>
          <w:lang w:val="sr-Cyrl-CS"/>
        </w:rPr>
      </w:pPr>
      <w:r w:rsidRPr="005303F7">
        <w:rPr>
          <w:rFonts w:ascii="Times New Roman" w:hAnsi="Times New Roman"/>
          <w:sz w:val="24"/>
          <w:lang w:val="sr-Cyrl-CS"/>
        </w:rPr>
        <w:t>У</w:t>
      </w:r>
      <w:r w:rsidR="0009235F" w:rsidRPr="005303F7">
        <w:rPr>
          <w:rFonts w:ascii="Times New Roman" w:hAnsi="Times New Roman"/>
          <w:sz w:val="24"/>
          <w:lang w:val="sr-Cyrl-CS"/>
        </w:rPr>
        <w:t xml:space="preserve"> </w:t>
      </w:r>
      <w:r w:rsidRPr="005303F7">
        <w:rPr>
          <w:rFonts w:ascii="Times New Roman" w:hAnsi="Times New Roman"/>
          <w:sz w:val="24"/>
          <w:lang w:val="sr-Cyrl-CS"/>
        </w:rPr>
        <w:t>сценарију</w:t>
      </w:r>
      <w:r w:rsidR="0009235F" w:rsidRPr="005303F7">
        <w:rPr>
          <w:rFonts w:ascii="Times New Roman" w:hAnsi="Times New Roman"/>
          <w:sz w:val="24"/>
          <w:lang w:val="sr-Cyrl-CS"/>
        </w:rPr>
        <w:t xml:space="preserve"> </w:t>
      </w:r>
      <w:r w:rsidRPr="005303F7">
        <w:rPr>
          <w:rFonts w:ascii="Times New Roman" w:hAnsi="Times New Roman"/>
          <w:sz w:val="24"/>
          <w:lang w:val="sr-Cyrl-CS"/>
        </w:rPr>
        <w:t>М</w:t>
      </w:r>
      <w:r w:rsidR="0009235F" w:rsidRPr="005303F7">
        <w:rPr>
          <w:rFonts w:ascii="Times New Roman" w:hAnsi="Times New Roman"/>
          <w:sz w:val="24"/>
          <w:lang w:val="sr-Cyrl-CS"/>
        </w:rPr>
        <w:t>2</w:t>
      </w:r>
      <w:r w:rsidR="00C500D3" w:rsidRPr="005303F7">
        <w:rPr>
          <w:rFonts w:ascii="Times New Roman" w:hAnsi="Times New Roman"/>
          <w:sz w:val="24"/>
          <w:lang w:val="sr-Cyrl-CS"/>
        </w:rPr>
        <w:t>,</w:t>
      </w:r>
      <w:r w:rsidR="0009235F" w:rsidRPr="005303F7">
        <w:rPr>
          <w:rFonts w:ascii="Times New Roman" w:hAnsi="Times New Roman"/>
          <w:sz w:val="24"/>
          <w:lang w:val="sr-Cyrl-CS"/>
        </w:rPr>
        <w:t xml:space="preserve"> </w:t>
      </w:r>
      <w:r w:rsidRPr="005303F7">
        <w:rPr>
          <w:rFonts w:ascii="Times New Roman" w:hAnsi="Times New Roman"/>
          <w:sz w:val="24"/>
          <w:lang w:val="sr-Cyrl-CS"/>
        </w:rPr>
        <w:t>резултати</w:t>
      </w:r>
      <w:r w:rsidR="0009235F" w:rsidRPr="005303F7">
        <w:rPr>
          <w:rFonts w:ascii="Times New Roman" w:hAnsi="Times New Roman"/>
          <w:sz w:val="24"/>
          <w:lang w:val="sr-Cyrl-CS"/>
        </w:rPr>
        <w:t xml:space="preserve"> </w:t>
      </w:r>
      <w:r w:rsidRPr="005303F7">
        <w:rPr>
          <w:rFonts w:ascii="Times New Roman" w:hAnsi="Times New Roman"/>
          <w:sz w:val="24"/>
          <w:lang w:val="sr-Cyrl-CS"/>
        </w:rPr>
        <w:t>моделовања</w:t>
      </w:r>
      <w:r w:rsidR="00973784" w:rsidRPr="005303F7">
        <w:rPr>
          <w:rFonts w:ascii="Times New Roman" w:hAnsi="Times New Roman"/>
          <w:sz w:val="24"/>
          <w:lang w:val="sr-Cyrl-CS"/>
        </w:rPr>
        <w:t xml:space="preserve"> </w:t>
      </w:r>
      <w:r w:rsidRPr="005303F7">
        <w:rPr>
          <w:rFonts w:ascii="Times New Roman" w:hAnsi="Times New Roman"/>
          <w:sz w:val="24"/>
          <w:lang w:val="sr-Cyrl-CS"/>
        </w:rPr>
        <w:t>показују</w:t>
      </w:r>
      <w:r w:rsidR="0009235F" w:rsidRPr="005303F7">
        <w:rPr>
          <w:rFonts w:ascii="Times New Roman" w:hAnsi="Times New Roman"/>
          <w:sz w:val="24"/>
          <w:lang w:val="sr-Cyrl-CS"/>
        </w:rPr>
        <w:t xml:space="preserve"> </w:t>
      </w:r>
      <w:r w:rsidRPr="005303F7">
        <w:rPr>
          <w:rFonts w:ascii="Times New Roman" w:hAnsi="Times New Roman"/>
          <w:sz w:val="24"/>
          <w:lang w:val="sr-Cyrl-CS"/>
        </w:rPr>
        <w:t>да</w:t>
      </w:r>
      <w:r w:rsidR="0009235F" w:rsidRPr="005303F7">
        <w:rPr>
          <w:rFonts w:ascii="Times New Roman" w:hAnsi="Times New Roman"/>
          <w:sz w:val="24"/>
          <w:lang w:val="sr-Cyrl-CS"/>
        </w:rPr>
        <w:t xml:space="preserve"> </w:t>
      </w:r>
      <w:r w:rsidRPr="005303F7">
        <w:rPr>
          <w:rFonts w:ascii="Times New Roman" w:hAnsi="Times New Roman"/>
          <w:sz w:val="24"/>
          <w:lang w:val="sr-Cyrl-CS"/>
        </w:rPr>
        <w:t>се</w:t>
      </w:r>
      <w:r w:rsidR="00552024" w:rsidRPr="005303F7">
        <w:rPr>
          <w:rFonts w:ascii="Times New Roman" w:hAnsi="Times New Roman"/>
          <w:sz w:val="24"/>
          <w:lang w:val="sr-Cyrl-CS"/>
        </w:rPr>
        <w:t xml:space="preserve"> </w:t>
      </w:r>
      <w:r w:rsidR="0089411B" w:rsidRPr="005303F7">
        <w:rPr>
          <w:rFonts w:ascii="Times New Roman" w:hAnsi="Times New Roman"/>
          <w:sz w:val="24"/>
          <w:lang w:val="sr-Cyrl-CS"/>
        </w:rPr>
        <w:t xml:space="preserve">постепеном </w:t>
      </w:r>
      <w:r w:rsidRPr="005303F7">
        <w:rPr>
          <w:rFonts w:ascii="Times New Roman" w:hAnsi="Times New Roman"/>
          <w:sz w:val="24"/>
          <w:lang w:val="sr-Cyrl-CS"/>
        </w:rPr>
        <w:t>транспозицијом</w:t>
      </w:r>
      <w:r w:rsidR="00552024" w:rsidRPr="005303F7">
        <w:rPr>
          <w:rFonts w:ascii="Times New Roman" w:hAnsi="Times New Roman"/>
          <w:sz w:val="24"/>
          <w:lang w:val="sr-Cyrl-CS"/>
        </w:rPr>
        <w:t xml:space="preserve"> </w:t>
      </w:r>
      <w:r w:rsidRPr="005303F7">
        <w:rPr>
          <w:rFonts w:ascii="Times New Roman" w:hAnsi="Times New Roman"/>
          <w:sz w:val="24"/>
          <w:lang w:val="sr-Cyrl-CS"/>
        </w:rPr>
        <w:t>и</w:t>
      </w:r>
      <w:r w:rsidR="00552024" w:rsidRPr="005303F7">
        <w:rPr>
          <w:rFonts w:ascii="Times New Roman" w:hAnsi="Times New Roman"/>
          <w:sz w:val="24"/>
          <w:lang w:val="sr-Cyrl-CS"/>
        </w:rPr>
        <w:t xml:space="preserve"> </w:t>
      </w:r>
      <w:r w:rsidRPr="005303F7">
        <w:rPr>
          <w:rFonts w:ascii="Times New Roman" w:hAnsi="Times New Roman"/>
          <w:sz w:val="24"/>
          <w:lang w:val="sr-Cyrl-CS"/>
        </w:rPr>
        <w:t>применом</w:t>
      </w:r>
      <w:r w:rsidR="0009235F" w:rsidRPr="005303F7">
        <w:rPr>
          <w:rFonts w:ascii="Times New Roman" w:hAnsi="Times New Roman"/>
          <w:sz w:val="24"/>
          <w:lang w:val="sr-Cyrl-CS"/>
        </w:rPr>
        <w:t xml:space="preserve"> </w:t>
      </w:r>
      <w:r w:rsidRPr="005303F7">
        <w:rPr>
          <w:rFonts w:ascii="Times New Roman" w:hAnsi="Times New Roman"/>
          <w:sz w:val="24"/>
          <w:lang w:val="sr-Cyrl-CS"/>
        </w:rPr>
        <w:t>целокупног</w:t>
      </w:r>
      <w:r w:rsidR="0009235F" w:rsidRPr="005303F7">
        <w:rPr>
          <w:rFonts w:ascii="Times New Roman" w:hAnsi="Times New Roman"/>
          <w:sz w:val="24"/>
          <w:lang w:val="sr-Cyrl-CS"/>
        </w:rPr>
        <w:t xml:space="preserve"> </w:t>
      </w:r>
      <w:r w:rsidRPr="005303F7">
        <w:rPr>
          <w:rFonts w:ascii="Times New Roman" w:hAnsi="Times New Roman"/>
          <w:sz w:val="24"/>
          <w:lang w:val="sr-Cyrl-CS"/>
        </w:rPr>
        <w:t>законодавства</w:t>
      </w:r>
      <w:r w:rsidR="0009235F" w:rsidRPr="005303F7">
        <w:rPr>
          <w:rFonts w:ascii="Times New Roman" w:hAnsi="Times New Roman"/>
          <w:sz w:val="24"/>
          <w:lang w:val="sr-Cyrl-CS"/>
        </w:rPr>
        <w:t xml:space="preserve"> </w:t>
      </w:r>
      <w:r w:rsidRPr="005303F7">
        <w:rPr>
          <w:rFonts w:ascii="Times New Roman" w:hAnsi="Times New Roman"/>
          <w:sz w:val="24"/>
          <w:lang w:val="sr-Cyrl-CS"/>
        </w:rPr>
        <w:t>ЕУ</w:t>
      </w:r>
      <w:r w:rsidR="0009235F" w:rsidRPr="005303F7">
        <w:rPr>
          <w:rFonts w:ascii="Times New Roman" w:hAnsi="Times New Roman"/>
          <w:sz w:val="24"/>
          <w:lang w:val="sr-Cyrl-CS"/>
        </w:rPr>
        <w:t xml:space="preserve"> </w:t>
      </w:r>
      <w:r w:rsidRPr="005303F7">
        <w:rPr>
          <w:rFonts w:ascii="Times New Roman" w:hAnsi="Times New Roman"/>
          <w:sz w:val="24"/>
          <w:lang w:val="sr-Cyrl-CS"/>
        </w:rPr>
        <w:t>постиже</w:t>
      </w:r>
      <w:r w:rsidR="00552024" w:rsidRPr="005303F7">
        <w:rPr>
          <w:rFonts w:ascii="Times New Roman" w:hAnsi="Times New Roman"/>
          <w:sz w:val="24"/>
          <w:lang w:val="sr-Cyrl-CS"/>
        </w:rPr>
        <w:t xml:space="preserve"> </w:t>
      </w:r>
      <w:r w:rsidRPr="005303F7">
        <w:rPr>
          <w:rFonts w:ascii="Times New Roman" w:hAnsi="Times New Roman"/>
          <w:sz w:val="24"/>
          <w:lang w:val="sr-Cyrl-CS"/>
        </w:rPr>
        <w:t>смањење</w:t>
      </w:r>
      <w:r w:rsidR="0009235F" w:rsidRPr="005303F7">
        <w:rPr>
          <w:rFonts w:ascii="Times New Roman" w:hAnsi="Times New Roman"/>
          <w:sz w:val="24"/>
          <w:lang w:val="sr-Cyrl-CS"/>
        </w:rPr>
        <w:t xml:space="preserve"> </w:t>
      </w:r>
      <w:r w:rsidRPr="005303F7">
        <w:rPr>
          <w:rFonts w:ascii="Times New Roman" w:hAnsi="Times New Roman"/>
          <w:sz w:val="24"/>
          <w:lang w:val="sr-Cyrl-CS"/>
        </w:rPr>
        <w:t>емисија</w:t>
      </w:r>
      <w:r w:rsidR="0009235F" w:rsidRPr="005303F7">
        <w:rPr>
          <w:rFonts w:ascii="Times New Roman" w:hAnsi="Times New Roman"/>
          <w:sz w:val="24"/>
          <w:lang w:val="sr-Cyrl-CS"/>
        </w:rPr>
        <w:t xml:space="preserve"> </w:t>
      </w:r>
      <w:r w:rsidRPr="005303F7">
        <w:rPr>
          <w:rFonts w:ascii="Times New Roman" w:hAnsi="Times New Roman"/>
          <w:sz w:val="24"/>
          <w:lang w:val="sr-Cyrl-CS"/>
        </w:rPr>
        <w:t>гасова</w:t>
      </w:r>
      <w:r w:rsidR="0009235F" w:rsidRPr="005303F7">
        <w:rPr>
          <w:rFonts w:ascii="Times New Roman" w:hAnsi="Times New Roman"/>
          <w:sz w:val="24"/>
          <w:lang w:val="sr-Cyrl-CS"/>
        </w:rPr>
        <w:t xml:space="preserve"> </w:t>
      </w:r>
      <w:r w:rsidRPr="005303F7">
        <w:rPr>
          <w:rFonts w:ascii="Times New Roman" w:hAnsi="Times New Roman"/>
          <w:sz w:val="24"/>
          <w:lang w:val="sr-Cyrl-CS"/>
        </w:rPr>
        <w:t>са</w:t>
      </w:r>
      <w:r w:rsidR="0009235F" w:rsidRPr="005303F7">
        <w:rPr>
          <w:rFonts w:ascii="Times New Roman" w:hAnsi="Times New Roman"/>
          <w:sz w:val="24"/>
          <w:lang w:val="sr-Cyrl-CS"/>
        </w:rPr>
        <w:t xml:space="preserve"> </w:t>
      </w:r>
      <w:r w:rsidRPr="005303F7">
        <w:rPr>
          <w:rFonts w:ascii="Times New Roman" w:hAnsi="Times New Roman"/>
          <w:sz w:val="24"/>
          <w:lang w:val="sr-Cyrl-CS"/>
        </w:rPr>
        <w:t>ефектом</w:t>
      </w:r>
      <w:r w:rsidR="0009235F" w:rsidRPr="005303F7">
        <w:rPr>
          <w:rFonts w:ascii="Times New Roman" w:hAnsi="Times New Roman"/>
          <w:sz w:val="24"/>
          <w:lang w:val="sr-Cyrl-CS"/>
        </w:rPr>
        <w:t xml:space="preserve"> </w:t>
      </w:r>
      <w:r w:rsidRPr="005303F7">
        <w:rPr>
          <w:rFonts w:ascii="Times New Roman" w:hAnsi="Times New Roman"/>
          <w:sz w:val="24"/>
          <w:lang w:val="sr-Cyrl-CS"/>
        </w:rPr>
        <w:t>стаклене</w:t>
      </w:r>
      <w:r w:rsidR="0009235F" w:rsidRPr="005303F7">
        <w:rPr>
          <w:rFonts w:ascii="Times New Roman" w:hAnsi="Times New Roman"/>
          <w:sz w:val="24"/>
          <w:lang w:val="sr-Cyrl-CS"/>
        </w:rPr>
        <w:t xml:space="preserve"> </w:t>
      </w:r>
      <w:r w:rsidRPr="005303F7">
        <w:rPr>
          <w:rFonts w:ascii="Times New Roman" w:hAnsi="Times New Roman"/>
          <w:sz w:val="24"/>
          <w:lang w:val="sr-Cyrl-CS"/>
        </w:rPr>
        <w:t>баште</w:t>
      </w:r>
      <w:r w:rsidR="0009235F" w:rsidRPr="005303F7">
        <w:rPr>
          <w:rFonts w:ascii="Times New Roman" w:hAnsi="Times New Roman"/>
          <w:sz w:val="24"/>
          <w:lang w:val="sr-Cyrl-CS"/>
        </w:rPr>
        <w:t xml:space="preserve"> </w:t>
      </w:r>
      <w:r w:rsidRPr="005303F7">
        <w:rPr>
          <w:rFonts w:ascii="Times New Roman" w:hAnsi="Times New Roman"/>
          <w:sz w:val="24"/>
          <w:lang w:val="sr-Cyrl-CS"/>
        </w:rPr>
        <w:t>за</w:t>
      </w:r>
      <w:r w:rsidR="00552024" w:rsidRPr="005303F7">
        <w:rPr>
          <w:rFonts w:ascii="Times New Roman" w:hAnsi="Times New Roman"/>
          <w:sz w:val="24"/>
          <w:lang w:val="sr-Cyrl-CS"/>
        </w:rPr>
        <w:t xml:space="preserve"> </w:t>
      </w:r>
      <w:r w:rsidR="0009235F" w:rsidRPr="005303F7">
        <w:rPr>
          <w:rFonts w:ascii="Times New Roman" w:hAnsi="Times New Roman"/>
          <w:sz w:val="24"/>
          <w:lang w:val="sr-Cyrl-CS"/>
        </w:rPr>
        <w:t>13</w:t>
      </w:r>
      <w:r w:rsidR="008920F6" w:rsidRPr="005303F7">
        <w:rPr>
          <w:rFonts w:ascii="Times New Roman" w:hAnsi="Times New Roman"/>
          <w:sz w:val="24"/>
          <w:lang w:val="sr-Cyrl-CS"/>
        </w:rPr>
        <w:t>,2</w:t>
      </w:r>
      <w:r w:rsidR="0009235F" w:rsidRPr="005303F7">
        <w:rPr>
          <w:rFonts w:ascii="Times New Roman" w:hAnsi="Times New Roman"/>
          <w:sz w:val="24"/>
          <w:lang w:val="sr-Cyrl-CS"/>
        </w:rPr>
        <w:t xml:space="preserve">% </w:t>
      </w:r>
      <w:r w:rsidRPr="005303F7">
        <w:rPr>
          <w:rFonts w:ascii="Times New Roman" w:hAnsi="Times New Roman"/>
          <w:sz w:val="24"/>
          <w:lang w:val="sr-Cyrl-CS"/>
        </w:rPr>
        <w:t>до</w:t>
      </w:r>
      <w:r w:rsidR="0009235F" w:rsidRPr="005303F7">
        <w:rPr>
          <w:rFonts w:ascii="Times New Roman" w:hAnsi="Times New Roman"/>
          <w:sz w:val="24"/>
          <w:lang w:val="sr-Cyrl-CS"/>
        </w:rPr>
        <w:t xml:space="preserve"> 2030. </w:t>
      </w:r>
      <w:r w:rsidRPr="005303F7">
        <w:rPr>
          <w:rFonts w:ascii="Times New Roman" w:hAnsi="Times New Roman"/>
          <w:sz w:val="24"/>
          <w:lang w:val="sr-Cyrl-CS"/>
        </w:rPr>
        <w:t>и</w:t>
      </w:r>
      <w:r w:rsidR="0009235F" w:rsidRPr="005303F7">
        <w:rPr>
          <w:rFonts w:ascii="Times New Roman" w:hAnsi="Times New Roman"/>
          <w:sz w:val="24"/>
          <w:lang w:val="sr-Cyrl-CS"/>
        </w:rPr>
        <w:t xml:space="preserve"> 55% </w:t>
      </w:r>
      <w:r w:rsidRPr="005303F7">
        <w:rPr>
          <w:rFonts w:ascii="Times New Roman" w:hAnsi="Times New Roman"/>
          <w:sz w:val="24"/>
          <w:lang w:val="sr-Cyrl-CS"/>
        </w:rPr>
        <w:t>до</w:t>
      </w:r>
      <w:r w:rsidR="0009235F" w:rsidRPr="005303F7">
        <w:rPr>
          <w:rFonts w:ascii="Times New Roman" w:hAnsi="Times New Roman"/>
          <w:sz w:val="24"/>
          <w:lang w:val="sr-Cyrl-CS"/>
        </w:rPr>
        <w:t xml:space="preserve"> 2050. </w:t>
      </w:r>
      <w:r w:rsidRPr="005303F7">
        <w:rPr>
          <w:rFonts w:ascii="Times New Roman" w:hAnsi="Times New Roman"/>
          <w:sz w:val="24"/>
          <w:lang w:val="sr-Cyrl-CS"/>
        </w:rPr>
        <w:t>године</w:t>
      </w:r>
      <w:r w:rsidR="00552024" w:rsidRPr="005303F7">
        <w:rPr>
          <w:rFonts w:ascii="Times New Roman" w:hAnsi="Times New Roman"/>
          <w:sz w:val="24"/>
          <w:lang w:val="sr-Cyrl-CS"/>
        </w:rPr>
        <w:t>,</w:t>
      </w:r>
      <w:r w:rsidR="0009235F" w:rsidRPr="005303F7">
        <w:rPr>
          <w:rFonts w:ascii="Times New Roman" w:hAnsi="Times New Roman"/>
          <w:sz w:val="24"/>
          <w:lang w:val="sr-Cyrl-CS"/>
        </w:rPr>
        <w:t xml:space="preserve"> </w:t>
      </w:r>
      <w:r w:rsidRPr="005303F7">
        <w:rPr>
          <w:rFonts w:ascii="Times New Roman" w:hAnsi="Times New Roman"/>
          <w:sz w:val="24"/>
          <w:lang w:val="sr-Cyrl-CS"/>
        </w:rPr>
        <w:t>у</w:t>
      </w:r>
      <w:r w:rsidR="0009235F" w:rsidRPr="005303F7">
        <w:rPr>
          <w:rFonts w:ascii="Times New Roman" w:hAnsi="Times New Roman"/>
          <w:sz w:val="24"/>
          <w:lang w:val="sr-Cyrl-CS"/>
        </w:rPr>
        <w:t xml:space="preserve"> </w:t>
      </w:r>
      <w:r w:rsidRPr="005303F7">
        <w:rPr>
          <w:rFonts w:ascii="Times New Roman" w:hAnsi="Times New Roman"/>
          <w:sz w:val="24"/>
          <w:lang w:val="sr-Cyrl-CS"/>
        </w:rPr>
        <w:t>поређењу</w:t>
      </w:r>
      <w:r w:rsidR="0009235F" w:rsidRPr="005303F7">
        <w:rPr>
          <w:rFonts w:ascii="Times New Roman" w:hAnsi="Times New Roman"/>
          <w:sz w:val="24"/>
          <w:lang w:val="sr-Cyrl-CS"/>
        </w:rPr>
        <w:t xml:space="preserve"> </w:t>
      </w:r>
      <w:r w:rsidRPr="005303F7">
        <w:rPr>
          <w:rFonts w:ascii="Times New Roman" w:hAnsi="Times New Roman"/>
          <w:sz w:val="24"/>
          <w:lang w:val="sr-Cyrl-CS"/>
        </w:rPr>
        <w:t>са</w:t>
      </w:r>
      <w:r w:rsidR="0009235F" w:rsidRPr="005303F7">
        <w:rPr>
          <w:rFonts w:ascii="Times New Roman" w:hAnsi="Times New Roman"/>
          <w:sz w:val="24"/>
          <w:lang w:val="sr-Cyrl-CS"/>
        </w:rPr>
        <w:t xml:space="preserve"> 2010.</w:t>
      </w:r>
      <w:r w:rsidR="005B3321" w:rsidRPr="005303F7">
        <w:rPr>
          <w:rFonts w:ascii="Times New Roman" w:hAnsi="Times New Roman"/>
          <w:sz w:val="24"/>
          <w:lang w:val="sr-Cyrl-CS"/>
        </w:rPr>
        <w:t xml:space="preserve"> </w:t>
      </w:r>
      <w:r w:rsidRPr="005303F7">
        <w:rPr>
          <w:rFonts w:ascii="Times New Roman" w:hAnsi="Times New Roman"/>
          <w:sz w:val="24"/>
          <w:lang w:val="sr-Cyrl-CS"/>
        </w:rPr>
        <w:t>годином</w:t>
      </w:r>
      <w:r w:rsidR="005B3321" w:rsidRPr="005303F7">
        <w:rPr>
          <w:rFonts w:ascii="Times New Roman" w:hAnsi="Times New Roman"/>
          <w:sz w:val="24"/>
          <w:lang w:val="sr-Cyrl-CS"/>
        </w:rPr>
        <w:t>.</w:t>
      </w:r>
      <w:r w:rsidR="0009235F" w:rsidRPr="005303F7">
        <w:rPr>
          <w:rFonts w:ascii="Times New Roman" w:hAnsi="Times New Roman"/>
          <w:sz w:val="24"/>
          <w:lang w:val="sr-Cyrl-CS"/>
        </w:rPr>
        <w:t xml:space="preserve"> </w:t>
      </w:r>
      <w:r w:rsidRPr="005303F7">
        <w:rPr>
          <w:rFonts w:ascii="Times New Roman" w:hAnsi="Times New Roman"/>
          <w:sz w:val="24"/>
          <w:lang w:val="sr-Cyrl-CS"/>
        </w:rPr>
        <w:t>Овај</w:t>
      </w:r>
      <w:r w:rsidR="008A04AD" w:rsidRPr="005303F7">
        <w:rPr>
          <w:rFonts w:ascii="Times New Roman" w:hAnsi="Times New Roman"/>
          <w:sz w:val="24"/>
          <w:lang w:val="sr-Cyrl-CS"/>
        </w:rPr>
        <w:t xml:space="preserve"> </w:t>
      </w:r>
      <w:r w:rsidRPr="005303F7">
        <w:rPr>
          <w:rFonts w:ascii="Times New Roman" w:hAnsi="Times New Roman"/>
          <w:sz w:val="24"/>
          <w:lang w:val="sr-Cyrl-CS"/>
        </w:rPr>
        <w:t>сценарио</w:t>
      </w:r>
      <w:r w:rsidR="008A04AD" w:rsidRPr="005303F7">
        <w:rPr>
          <w:rFonts w:ascii="Times New Roman" w:hAnsi="Times New Roman"/>
          <w:sz w:val="24"/>
          <w:lang w:val="sr-Cyrl-CS"/>
        </w:rPr>
        <w:t xml:space="preserve"> </w:t>
      </w:r>
      <w:r w:rsidRPr="005303F7">
        <w:rPr>
          <w:rFonts w:ascii="Times New Roman" w:hAnsi="Times New Roman"/>
          <w:sz w:val="24"/>
          <w:lang w:val="sr-Cyrl-CS"/>
        </w:rPr>
        <w:t>представља</w:t>
      </w:r>
      <w:r w:rsidR="008A04AD" w:rsidRPr="005303F7">
        <w:rPr>
          <w:rFonts w:ascii="Times New Roman" w:hAnsi="Times New Roman"/>
          <w:sz w:val="24"/>
          <w:lang w:val="sr-Cyrl-CS"/>
        </w:rPr>
        <w:t xml:space="preserve"> </w:t>
      </w:r>
      <w:r w:rsidRPr="005303F7">
        <w:rPr>
          <w:rFonts w:ascii="Times New Roman" w:hAnsi="Times New Roman"/>
          <w:sz w:val="24"/>
          <w:lang w:val="sr-Cyrl-CS"/>
        </w:rPr>
        <w:t>очекиван</w:t>
      </w:r>
      <w:r w:rsidR="008A04AD" w:rsidRPr="005303F7">
        <w:rPr>
          <w:rFonts w:ascii="Times New Roman" w:hAnsi="Times New Roman"/>
          <w:sz w:val="24"/>
          <w:lang w:val="sr-Cyrl-CS"/>
        </w:rPr>
        <w:t xml:space="preserve"> </w:t>
      </w:r>
      <w:r w:rsidRPr="005303F7">
        <w:rPr>
          <w:rFonts w:ascii="Times New Roman" w:hAnsi="Times New Roman"/>
          <w:sz w:val="24"/>
          <w:lang w:val="sr-Cyrl-CS"/>
        </w:rPr>
        <w:t>допринос</w:t>
      </w:r>
      <w:r w:rsidR="008A04AD" w:rsidRPr="005303F7">
        <w:rPr>
          <w:rFonts w:ascii="Times New Roman" w:hAnsi="Times New Roman"/>
          <w:sz w:val="24"/>
          <w:lang w:val="sr-Cyrl-CS"/>
        </w:rPr>
        <w:t xml:space="preserve"> </w:t>
      </w:r>
      <w:r w:rsidRPr="005303F7">
        <w:rPr>
          <w:rFonts w:ascii="Times New Roman" w:hAnsi="Times New Roman"/>
          <w:sz w:val="24"/>
          <w:lang w:val="sr-Cyrl-CS"/>
        </w:rPr>
        <w:t>смањењу</w:t>
      </w:r>
      <w:r w:rsidR="008A04AD" w:rsidRPr="005303F7">
        <w:rPr>
          <w:rFonts w:ascii="Times New Roman" w:hAnsi="Times New Roman"/>
          <w:sz w:val="24"/>
          <w:lang w:val="sr-Cyrl-CS"/>
        </w:rPr>
        <w:t xml:space="preserve"> </w:t>
      </w:r>
      <w:r w:rsidRPr="005303F7">
        <w:rPr>
          <w:rFonts w:ascii="Times New Roman" w:hAnsi="Times New Roman"/>
          <w:sz w:val="24"/>
          <w:lang w:val="sr-Cyrl-CS"/>
        </w:rPr>
        <w:t>емисија</w:t>
      </w:r>
      <w:r w:rsidR="008A04AD" w:rsidRPr="005303F7">
        <w:rPr>
          <w:rFonts w:ascii="Times New Roman" w:hAnsi="Times New Roman"/>
          <w:sz w:val="24"/>
          <w:lang w:val="sr-Cyrl-CS"/>
        </w:rPr>
        <w:t xml:space="preserve"> </w:t>
      </w:r>
      <w:r w:rsidRPr="005303F7">
        <w:rPr>
          <w:rFonts w:ascii="Times New Roman" w:hAnsi="Times New Roman"/>
          <w:sz w:val="24"/>
          <w:lang w:val="sr-Cyrl-CS"/>
        </w:rPr>
        <w:t>гасова</w:t>
      </w:r>
      <w:r w:rsidR="008A04AD" w:rsidRPr="005303F7">
        <w:rPr>
          <w:rFonts w:ascii="Times New Roman" w:hAnsi="Times New Roman"/>
          <w:sz w:val="24"/>
          <w:lang w:val="sr-Cyrl-CS"/>
        </w:rPr>
        <w:t xml:space="preserve"> </w:t>
      </w:r>
      <w:r w:rsidRPr="005303F7">
        <w:rPr>
          <w:rFonts w:ascii="Times New Roman" w:hAnsi="Times New Roman"/>
          <w:sz w:val="24"/>
          <w:lang w:val="sr-Cyrl-CS"/>
        </w:rPr>
        <w:t>са</w:t>
      </w:r>
      <w:r w:rsidR="008A04AD" w:rsidRPr="005303F7">
        <w:rPr>
          <w:rFonts w:ascii="Times New Roman" w:hAnsi="Times New Roman"/>
          <w:sz w:val="24"/>
          <w:lang w:val="sr-Cyrl-CS"/>
        </w:rPr>
        <w:t xml:space="preserve"> </w:t>
      </w:r>
      <w:r w:rsidRPr="005303F7">
        <w:rPr>
          <w:rFonts w:ascii="Times New Roman" w:hAnsi="Times New Roman"/>
          <w:sz w:val="24"/>
          <w:lang w:val="sr-Cyrl-CS"/>
        </w:rPr>
        <w:t>ефектом</w:t>
      </w:r>
      <w:r w:rsidR="008A04AD" w:rsidRPr="005303F7">
        <w:rPr>
          <w:rFonts w:ascii="Times New Roman" w:hAnsi="Times New Roman"/>
          <w:sz w:val="24"/>
          <w:lang w:val="sr-Cyrl-CS"/>
        </w:rPr>
        <w:t xml:space="preserve"> </w:t>
      </w:r>
      <w:r w:rsidRPr="005303F7">
        <w:rPr>
          <w:rFonts w:ascii="Times New Roman" w:hAnsi="Times New Roman"/>
          <w:sz w:val="24"/>
          <w:lang w:val="sr-Cyrl-CS"/>
        </w:rPr>
        <w:t>стаклене</w:t>
      </w:r>
      <w:r w:rsidR="008A04AD" w:rsidRPr="005303F7">
        <w:rPr>
          <w:rFonts w:ascii="Times New Roman" w:hAnsi="Times New Roman"/>
          <w:sz w:val="24"/>
          <w:lang w:val="sr-Cyrl-CS"/>
        </w:rPr>
        <w:t xml:space="preserve"> </w:t>
      </w:r>
      <w:r w:rsidRPr="005303F7">
        <w:rPr>
          <w:rFonts w:ascii="Times New Roman" w:hAnsi="Times New Roman"/>
          <w:sz w:val="24"/>
          <w:lang w:val="sr-Cyrl-CS"/>
        </w:rPr>
        <w:t>баште</w:t>
      </w:r>
      <w:r w:rsidR="008A04AD" w:rsidRPr="005303F7">
        <w:rPr>
          <w:rFonts w:ascii="Times New Roman" w:hAnsi="Times New Roman"/>
          <w:sz w:val="24"/>
          <w:lang w:val="sr-Cyrl-CS"/>
        </w:rPr>
        <w:t xml:space="preserve"> </w:t>
      </w:r>
      <w:r w:rsidRPr="005303F7">
        <w:rPr>
          <w:rFonts w:ascii="Times New Roman" w:hAnsi="Times New Roman"/>
          <w:sz w:val="24"/>
          <w:lang w:val="sr-Cyrl-CS"/>
        </w:rPr>
        <w:t>Европске</w:t>
      </w:r>
      <w:r w:rsidR="00456062" w:rsidRPr="005303F7">
        <w:rPr>
          <w:rFonts w:ascii="Times New Roman" w:hAnsi="Times New Roman"/>
          <w:sz w:val="24"/>
          <w:lang w:val="sr-Cyrl-CS"/>
        </w:rPr>
        <w:t xml:space="preserve"> </w:t>
      </w:r>
      <w:r w:rsidRPr="005303F7">
        <w:rPr>
          <w:rFonts w:ascii="Times New Roman" w:hAnsi="Times New Roman"/>
          <w:sz w:val="24"/>
          <w:lang w:val="sr-Cyrl-CS"/>
        </w:rPr>
        <w:t>уније</w:t>
      </w:r>
      <w:r w:rsidR="00456062" w:rsidRPr="005303F7">
        <w:rPr>
          <w:rFonts w:ascii="Times New Roman" w:hAnsi="Times New Roman"/>
          <w:sz w:val="24"/>
          <w:lang w:val="sr-Cyrl-CS"/>
        </w:rPr>
        <w:t xml:space="preserve"> </w:t>
      </w:r>
      <w:r w:rsidRPr="005303F7">
        <w:rPr>
          <w:rFonts w:ascii="Times New Roman" w:hAnsi="Times New Roman"/>
          <w:sz w:val="24"/>
          <w:lang w:val="sr-Cyrl-CS"/>
        </w:rPr>
        <w:t>до</w:t>
      </w:r>
      <w:r w:rsidR="008A04AD" w:rsidRPr="005303F7">
        <w:rPr>
          <w:rFonts w:ascii="Times New Roman" w:hAnsi="Times New Roman"/>
          <w:sz w:val="24"/>
          <w:lang w:val="sr-Cyrl-CS"/>
        </w:rPr>
        <w:t xml:space="preserve"> 2030. </w:t>
      </w:r>
      <w:r w:rsidRPr="005303F7">
        <w:rPr>
          <w:rFonts w:ascii="Times New Roman" w:hAnsi="Times New Roman"/>
          <w:sz w:val="24"/>
          <w:lang w:val="sr-Cyrl-CS"/>
        </w:rPr>
        <w:t>године</w:t>
      </w:r>
      <w:r w:rsidR="008A04AD" w:rsidRPr="005303F7">
        <w:rPr>
          <w:rFonts w:ascii="Times New Roman" w:hAnsi="Times New Roman"/>
          <w:sz w:val="24"/>
          <w:lang w:val="sr-Cyrl-CS"/>
        </w:rPr>
        <w:t xml:space="preserve">, </w:t>
      </w:r>
      <w:r w:rsidRPr="005303F7">
        <w:rPr>
          <w:rFonts w:ascii="Times New Roman" w:hAnsi="Times New Roman"/>
          <w:sz w:val="24"/>
          <w:lang w:val="sr-Cyrl-CS"/>
        </w:rPr>
        <w:t>продирању</w:t>
      </w:r>
      <w:r w:rsidR="008A04AD" w:rsidRPr="005303F7">
        <w:rPr>
          <w:rFonts w:ascii="Times New Roman" w:hAnsi="Times New Roman"/>
          <w:sz w:val="24"/>
          <w:lang w:val="sr-Cyrl-CS"/>
        </w:rPr>
        <w:t xml:space="preserve"> </w:t>
      </w:r>
      <w:r w:rsidRPr="005303F7">
        <w:rPr>
          <w:rFonts w:ascii="Times New Roman" w:hAnsi="Times New Roman"/>
          <w:sz w:val="24"/>
          <w:lang w:val="sr-Cyrl-CS"/>
        </w:rPr>
        <w:t>ОИЕ</w:t>
      </w:r>
      <w:r w:rsidR="008A04AD" w:rsidRPr="005303F7">
        <w:rPr>
          <w:rFonts w:ascii="Times New Roman" w:hAnsi="Times New Roman"/>
          <w:sz w:val="24"/>
          <w:lang w:val="sr-Cyrl-CS"/>
        </w:rPr>
        <w:t xml:space="preserve"> </w:t>
      </w:r>
      <w:r w:rsidRPr="005303F7">
        <w:rPr>
          <w:rFonts w:ascii="Times New Roman" w:hAnsi="Times New Roman"/>
          <w:sz w:val="24"/>
          <w:lang w:val="sr-Cyrl-CS"/>
        </w:rPr>
        <w:t>и</w:t>
      </w:r>
      <w:r w:rsidR="008A04AD" w:rsidRPr="005303F7">
        <w:rPr>
          <w:rFonts w:ascii="Times New Roman" w:hAnsi="Times New Roman"/>
          <w:sz w:val="24"/>
          <w:lang w:val="sr-Cyrl-CS"/>
        </w:rPr>
        <w:t xml:space="preserve"> </w:t>
      </w:r>
      <w:r w:rsidRPr="005303F7">
        <w:rPr>
          <w:rFonts w:ascii="Times New Roman" w:hAnsi="Times New Roman"/>
          <w:sz w:val="24"/>
          <w:lang w:val="sr-Cyrl-CS"/>
        </w:rPr>
        <w:t>побољшању</w:t>
      </w:r>
      <w:r w:rsidR="008A04AD" w:rsidRPr="005303F7">
        <w:rPr>
          <w:rFonts w:ascii="Times New Roman" w:hAnsi="Times New Roman"/>
          <w:sz w:val="24"/>
          <w:lang w:val="sr-Cyrl-CS"/>
        </w:rPr>
        <w:t xml:space="preserve"> </w:t>
      </w:r>
      <w:r w:rsidRPr="005303F7">
        <w:rPr>
          <w:rFonts w:ascii="Times New Roman" w:hAnsi="Times New Roman"/>
          <w:sz w:val="24"/>
          <w:lang w:val="sr-Cyrl-CS"/>
        </w:rPr>
        <w:t>енергетске</w:t>
      </w:r>
      <w:r w:rsidR="008A04AD" w:rsidRPr="005303F7">
        <w:rPr>
          <w:rFonts w:ascii="Times New Roman" w:hAnsi="Times New Roman"/>
          <w:sz w:val="24"/>
          <w:lang w:val="sr-Cyrl-CS"/>
        </w:rPr>
        <w:t xml:space="preserve"> </w:t>
      </w:r>
      <w:r w:rsidRPr="005303F7">
        <w:rPr>
          <w:rFonts w:ascii="Times New Roman" w:hAnsi="Times New Roman"/>
          <w:sz w:val="24"/>
          <w:lang w:val="sr-Cyrl-CS"/>
        </w:rPr>
        <w:t>ефикасности</w:t>
      </w:r>
      <w:r w:rsidR="008A04AD" w:rsidRPr="005303F7">
        <w:rPr>
          <w:rFonts w:ascii="Times New Roman" w:hAnsi="Times New Roman"/>
          <w:sz w:val="24"/>
          <w:lang w:val="sr-Cyrl-CS"/>
        </w:rPr>
        <w:t>.</w:t>
      </w:r>
    </w:p>
    <w:p w14:paraId="1EFC59F7" w14:textId="5B28CF6D" w:rsidR="00C1132A" w:rsidRPr="005303F7" w:rsidRDefault="00607CBA" w:rsidP="00FE004C">
      <w:pPr>
        <w:tabs>
          <w:tab w:val="clear" w:pos="3825"/>
        </w:tabs>
        <w:overflowPunct/>
        <w:autoSpaceDE/>
        <w:autoSpaceDN/>
        <w:adjustRightInd/>
        <w:spacing w:before="0" w:after="0"/>
        <w:ind w:firstLine="720"/>
        <w:textAlignment w:val="auto"/>
        <w:rPr>
          <w:rFonts w:ascii="Times New Roman" w:hAnsi="Times New Roman"/>
          <w:sz w:val="24"/>
          <w:szCs w:val="21"/>
          <w:lang w:val="sr-Cyrl-CS"/>
        </w:rPr>
      </w:pPr>
      <w:r w:rsidRPr="005303F7">
        <w:rPr>
          <w:rFonts w:ascii="Times New Roman" w:hAnsi="Times New Roman"/>
          <w:sz w:val="24"/>
          <w:szCs w:val="21"/>
          <w:lang w:val="sr-Cyrl-CS"/>
        </w:rPr>
        <w:t>Узимајући</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у</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обзир</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да</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сценарио</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М</w:t>
      </w:r>
      <w:r w:rsidR="00F8565F" w:rsidRPr="005303F7">
        <w:rPr>
          <w:rFonts w:ascii="Times New Roman" w:hAnsi="Times New Roman"/>
          <w:sz w:val="24"/>
          <w:szCs w:val="21"/>
          <w:lang w:val="sr-Cyrl-CS"/>
        </w:rPr>
        <w:t xml:space="preserve">2 </w:t>
      </w:r>
      <w:r w:rsidRPr="005303F7">
        <w:rPr>
          <w:rFonts w:ascii="Times New Roman" w:hAnsi="Times New Roman"/>
          <w:sz w:val="24"/>
          <w:szCs w:val="21"/>
          <w:lang w:val="sr-Cyrl-CS"/>
        </w:rPr>
        <w:t>претпоставља</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смањење</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емисије</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гасова</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са</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ефектом</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стаклене</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баште</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за</w:t>
      </w:r>
      <w:r w:rsidR="00F8565F" w:rsidRPr="005303F7">
        <w:rPr>
          <w:rFonts w:ascii="Times New Roman" w:hAnsi="Times New Roman"/>
          <w:sz w:val="24"/>
          <w:szCs w:val="21"/>
          <w:lang w:val="sr-Cyrl-CS"/>
        </w:rPr>
        <w:t xml:space="preserve"> 33% </w:t>
      </w:r>
      <w:r w:rsidRPr="005303F7">
        <w:rPr>
          <w:rFonts w:ascii="Times New Roman" w:hAnsi="Times New Roman"/>
          <w:sz w:val="24"/>
          <w:szCs w:val="21"/>
          <w:lang w:val="sr-Cyrl-CS"/>
        </w:rPr>
        <w:t>у</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поређењу</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са</w:t>
      </w:r>
      <w:r w:rsidR="00F8565F" w:rsidRPr="005303F7">
        <w:rPr>
          <w:rFonts w:ascii="Times New Roman" w:hAnsi="Times New Roman"/>
          <w:sz w:val="24"/>
          <w:szCs w:val="21"/>
          <w:lang w:val="sr-Cyrl-CS"/>
        </w:rPr>
        <w:t xml:space="preserve"> 1990</w:t>
      </w:r>
      <w:r w:rsidR="00ED3E2A" w:rsidRPr="005303F7">
        <w:rPr>
          <w:rFonts w:ascii="Times New Roman" w:hAnsi="Times New Roman"/>
          <w:sz w:val="24"/>
          <w:szCs w:val="21"/>
          <w:lang w:val="sr-Cyrl-CS"/>
        </w:rPr>
        <w:t xml:space="preserve">, </w:t>
      </w:r>
      <w:r w:rsidRPr="005303F7">
        <w:rPr>
          <w:rFonts w:ascii="Times New Roman" w:hAnsi="Times New Roman"/>
          <w:sz w:val="24"/>
          <w:szCs w:val="21"/>
          <w:lang w:val="sr-Cyrl-CS"/>
        </w:rPr>
        <w:t>а</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до</w:t>
      </w:r>
      <w:r w:rsidR="00F8565F" w:rsidRPr="005303F7">
        <w:rPr>
          <w:rFonts w:ascii="Times New Roman" w:hAnsi="Times New Roman"/>
          <w:sz w:val="24"/>
          <w:szCs w:val="21"/>
          <w:lang w:val="sr-Cyrl-CS"/>
        </w:rPr>
        <w:t xml:space="preserve"> 2030. </w:t>
      </w:r>
      <w:r w:rsidRPr="005303F7">
        <w:rPr>
          <w:rFonts w:ascii="Times New Roman" w:hAnsi="Times New Roman"/>
          <w:sz w:val="24"/>
          <w:szCs w:val="21"/>
          <w:lang w:val="sr-Cyrl-CS"/>
        </w:rPr>
        <w:t>године</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док</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је</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првим</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NDC</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изражен</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потенцијал</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за</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смањење</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емисија</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од</w:t>
      </w:r>
      <w:r w:rsidR="00F8565F" w:rsidRPr="005303F7">
        <w:rPr>
          <w:rFonts w:ascii="Times New Roman" w:hAnsi="Times New Roman"/>
          <w:sz w:val="24"/>
          <w:szCs w:val="21"/>
          <w:lang w:val="sr-Cyrl-CS"/>
        </w:rPr>
        <w:t xml:space="preserve"> 9,8%, </w:t>
      </w:r>
      <w:r w:rsidRPr="005303F7">
        <w:rPr>
          <w:rFonts w:ascii="Times New Roman" w:hAnsi="Times New Roman"/>
          <w:sz w:val="24"/>
          <w:szCs w:val="21"/>
          <w:lang w:val="sr-Cyrl-CS"/>
        </w:rPr>
        <w:t>овај</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сценарио</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показује</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значајно</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већу</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lastRenderedPageBreak/>
        <w:t>амбицију</w:t>
      </w:r>
      <w:r w:rsidR="00F8565F" w:rsidRPr="005303F7">
        <w:rPr>
          <w:rFonts w:ascii="Times New Roman" w:hAnsi="Times New Roman"/>
          <w:sz w:val="24"/>
          <w:szCs w:val="21"/>
          <w:lang w:val="sr-Cyrl-CS"/>
        </w:rPr>
        <w:t xml:space="preserve"> </w:t>
      </w:r>
      <w:r w:rsidR="00D73AAB" w:rsidRPr="005303F7">
        <w:rPr>
          <w:rFonts w:ascii="Times New Roman" w:hAnsi="Times New Roman"/>
          <w:sz w:val="24"/>
          <w:szCs w:val="21"/>
          <w:lang w:val="sr-Cyrl-CS"/>
        </w:rPr>
        <w:t>Републике Србије</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као</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што</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је</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препоручено</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Споразумом</w:t>
      </w:r>
      <w:r w:rsidR="006E0E90" w:rsidRPr="005303F7">
        <w:rPr>
          <w:rFonts w:ascii="Times New Roman" w:hAnsi="Times New Roman"/>
          <w:sz w:val="24"/>
          <w:szCs w:val="21"/>
          <w:lang w:val="sr-Cyrl-CS"/>
        </w:rPr>
        <w:t xml:space="preserve"> </w:t>
      </w:r>
      <w:r w:rsidRPr="005303F7">
        <w:rPr>
          <w:rFonts w:ascii="Times New Roman" w:hAnsi="Times New Roman"/>
          <w:sz w:val="24"/>
          <w:szCs w:val="21"/>
          <w:lang w:val="sr-Cyrl-CS"/>
        </w:rPr>
        <w:t>из</w:t>
      </w:r>
      <w:r w:rsidR="006E0E90" w:rsidRPr="005303F7">
        <w:rPr>
          <w:rFonts w:ascii="Times New Roman" w:hAnsi="Times New Roman"/>
          <w:sz w:val="24"/>
          <w:szCs w:val="21"/>
          <w:lang w:val="sr-Cyrl-CS"/>
        </w:rPr>
        <w:t xml:space="preserve"> </w:t>
      </w:r>
      <w:r w:rsidRPr="005303F7">
        <w:rPr>
          <w:rFonts w:ascii="Times New Roman" w:hAnsi="Times New Roman"/>
          <w:sz w:val="24"/>
          <w:szCs w:val="21"/>
          <w:lang w:val="sr-Cyrl-CS"/>
        </w:rPr>
        <w:t>Париза</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Ове</w:t>
      </w:r>
      <w:r w:rsidR="00A96C2A" w:rsidRPr="005303F7">
        <w:rPr>
          <w:rFonts w:ascii="Times New Roman" w:hAnsi="Times New Roman"/>
          <w:sz w:val="24"/>
          <w:szCs w:val="21"/>
          <w:lang w:val="sr-Cyrl-CS"/>
        </w:rPr>
        <w:t xml:space="preserve"> </w:t>
      </w:r>
      <w:r w:rsidRPr="005303F7">
        <w:rPr>
          <w:rFonts w:ascii="Times New Roman" w:hAnsi="Times New Roman"/>
          <w:sz w:val="24"/>
          <w:szCs w:val="21"/>
          <w:lang w:val="sr-Cyrl-CS"/>
        </w:rPr>
        <w:t>две</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обавезе</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се</w:t>
      </w:r>
      <w:r w:rsidR="00973784" w:rsidRPr="005303F7">
        <w:rPr>
          <w:rFonts w:ascii="Times New Roman" w:hAnsi="Times New Roman"/>
          <w:sz w:val="24"/>
          <w:szCs w:val="21"/>
          <w:lang w:val="sr-Cyrl-CS"/>
        </w:rPr>
        <w:t xml:space="preserve"> </w:t>
      </w:r>
      <w:r w:rsidRPr="005303F7">
        <w:rPr>
          <w:rFonts w:ascii="Times New Roman" w:hAnsi="Times New Roman"/>
          <w:sz w:val="24"/>
          <w:szCs w:val="21"/>
          <w:lang w:val="sr-Cyrl-CS"/>
        </w:rPr>
        <w:t>не</w:t>
      </w:r>
      <w:r w:rsidR="00973784" w:rsidRPr="005303F7">
        <w:rPr>
          <w:rFonts w:ascii="Times New Roman" w:hAnsi="Times New Roman"/>
          <w:sz w:val="24"/>
          <w:szCs w:val="21"/>
          <w:lang w:val="sr-Cyrl-CS"/>
        </w:rPr>
        <w:t xml:space="preserve"> </w:t>
      </w:r>
      <w:r w:rsidRPr="005303F7">
        <w:rPr>
          <w:rFonts w:ascii="Times New Roman" w:hAnsi="Times New Roman"/>
          <w:sz w:val="24"/>
          <w:szCs w:val="21"/>
          <w:lang w:val="sr-Cyrl-CS"/>
        </w:rPr>
        <w:t>односе</w:t>
      </w:r>
      <w:r w:rsidR="00973784" w:rsidRPr="005303F7">
        <w:rPr>
          <w:rFonts w:ascii="Times New Roman" w:hAnsi="Times New Roman"/>
          <w:sz w:val="24"/>
          <w:szCs w:val="21"/>
          <w:lang w:val="sr-Cyrl-CS"/>
        </w:rPr>
        <w:t xml:space="preserve"> </w:t>
      </w:r>
      <w:r w:rsidRPr="005303F7">
        <w:rPr>
          <w:rFonts w:ascii="Times New Roman" w:hAnsi="Times New Roman"/>
          <w:sz w:val="24"/>
          <w:szCs w:val="21"/>
          <w:lang w:val="sr-Cyrl-CS"/>
        </w:rPr>
        <w:t>на</w:t>
      </w:r>
      <w:r w:rsidR="00A96C2A" w:rsidRPr="005303F7">
        <w:rPr>
          <w:rFonts w:ascii="Times New Roman" w:hAnsi="Times New Roman"/>
          <w:sz w:val="24"/>
          <w:szCs w:val="21"/>
          <w:lang w:val="sr-Cyrl-CS"/>
        </w:rPr>
        <w:t xml:space="preserve"> </w:t>
      </w:r>
      <w:r w:rsidRPr="005303F7">
        <w:rPr>
          <w:rFonts w:ascii="Times New Roman" w:hAnsi="Times New Roman"/>
          <w:sz w:val="24"/>
          <w:szCs w:val="21"/>
          <w:lang w:val="sr-Cyrl-CS"/>
        </w:rPr>
        <w:t>сектор</w:t>
      </w:r>
      <w:r w:rsidR="00F8565F" w:rsidRPr="005303F7">
        <w:rPr>
          <w:rFonts w:ascii="Times New Roman" w:hAnsi="Times New Roman"/>
          <w:sz w:val="24"/>
          <w:szCs w:val="21"/>
          <w:lang w:val="sr-Cyrl-CS"/>
        </w:rPr>
        <w:t xml:space="preserve"> </w:t>
      </w:r>
      <w:r w:rsidRPr="005303F7">
        <w:rPr>
          <w:rFonts w:ascii="Times New Roman" w:hAnsi="Times New Roman"/>
          <w:sz w:val="24"/>
          <w:szCs w:val="21"/>
          <w:lang w:val="sr-Cyrl-CS"/>
        </w:rPr>
        <w:t>LULUCF</w:t>
      </w:r>
      <w:r w:rsidR="00590AE7" w:rsidRPr="005303F7">
        <w:rPr>
          <w:rFonts w:ascii="Times New Roman" w:hAnsi="Times New Roman"/>
          <w:sz w:val="24"/>
          <w:szCs w:val="21"/>
          <w:lang w:val="sr-Cyrl-CS"/>
        </w:rPr>
        <w:t xml:space="preserve">. </w:t>
      </w:r>
    </w:p>
    <w:p w14:paraId="08581F3F" w14:textId="3F43D248" w:rsidR="009C5A9E" w:rsidRPr="005303F7" w:rsidRDefault="0039680D" w:rsidP="0029389F">
      <w:pPr>
        <w:rPr>
          <w:rFonts w:ascii="Times New Roman" w:hAnsi="Times New Roman"/>
          <w:sz w:val="24"/>
          <w:lang w:val="sr-Cyrl-CS"/>
        </w:rPr>
      </w:pPr>
      <w:r w:rsidRPr="005303F7">
        <w:rPr>
          <w:rFonts w:ascii="Times New Roman" w:hAnsi="Times New Roman"/>
          <w:sz w:val="24"/>
          <w:lang w:val="sr-Cyrl-CS"/>
        </w:rPr>
        <w:t xml:space="preserve">           </w:t>
      </w:r>
      <w:r w:rsidR="00607CBA" w:rsidRPr="005303F7">
        <w:rPr>
          <w:rFonts w:ascii="Times New Roman" w:hAnsi="Times New Roman"/>
          <w:sz w:val="24"/>
          <w:lang w:val="sr-Cyrl-CS"/>
        </w:rPr>
        <w:t>Сценарио</w:t>
      </w:r>
      <w:r w:rsidR="00C500D3" w:rsidRPr="005303F7">
        <w:rPr>
          <w:rFonts w:ascii="Times New Roman" w:hAnsi="Times New Roman"/>
          <w:sz w:val="24"/>
          <w:lang w:val="sr-Cyrl-CS"/>
        </w:rPr>
        <w:t xml:space="preserve"> </w:t>
      </w:r>
      <w:r w:rsidR="00607CBA" w:rsidRPr="005303F7">
        <w:rPr>
          <w:rFonts w:ascii="Times New Roman" w:hAnsi="Times New Roman"/>
          <w:sz w:val="24"/>
          <w:lang w:val="sr-Cyrl-CS"/>
        </w:rPr>
        <w:t>М</w:t>
      </w:r>
      <w:r w:rsidR="00C500D3" w:rsidRPr="005303F7">
        <w:rPr>
          <w:rFonts w:ascii="Times New Roman" w:hAnsi="Times New Roman"/>
          <w:sz w:val="24"/>
          <w:lang w:val="sr-Cyrl-CS"/>
        </w:rPr>
        <w:t xml:space="preserve">3 </w:t>
      </w:r>
      <w:r w:rsidR="00607CBA" w:rsidRPr="005303F7">
        <w:rPr>
          <w:rFonts w:ascii="Times New Roman" w:hAnsi="Times New Roman"/>
          <w:sz w:val="24"/>
          <w:lang w:val="sr-Cyrl-CS"/>
        </w:rPr>
        <w:t>укључује</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додатне</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мере</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и</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представља</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већу</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амбицију</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до</w:t>
      </w:r>
      <w:r w:rsidR="009018F6" w:rsidRPr="005303F7">
        <w:rPr>
          <w:rFonts w:ascii="Times New Roman" w:hAnsi="Times New Roman"/>
          <w:sz w:val="24"/>
          <w:lang w:val="sr-Cyrl-CS"/>
        </w:rPr>
        <w:t xml:space="preserve"> </w:t>
      </w:r>
      <w:r w:rsidR="002102AE" w:rsidRPr="005303F7">
        <w:rPr>
          <w:rFonts w:ascii="Times New Roman" w:hAnsi="Times New Roman"/>
          <w:sz w:val="24"/>
          <w:lang w:val="sr-Cyrl-CS"/>
        </w:rPr>
        <w:t>2030</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године</w:t>
      </w:r>
      <w:r w:rsidR="002102AE" w:rsidRPr="005303F7">
        <w:rPr>
          <w:rFonts w:ascii="Times New Roman" w:hAnsi="Times New Roman"/>
          <w:sz w:val="24"/>
          <w:lang w:val="sr-Cyrl-CS"/>
        </w:rPr>
        <w:t xml:space="preserve">, </w:t>
      </w:r>
      <w:r w:rsidR="00607CBA" w:rsidRPr="005303F7">
        <w:rPr>
          <w:rFonts w:ascii="Times New Roman" w:hAnsi="Times New Roman"/>
          <w:sz w:val="24"/>
          <w:lang w:val="sr-Cyrl-CS"/>
        </w:rPr>
        <w:t>са</w:t>
      </w:r>
      <w:r w:rsidR="00F6530A" w:rsidRPr="005303F7">
        <w:rPr>
          <w:rFonts w:ascii="Times New Roman" w:hAnsi="Times New Roman"/>
          <w:sz w:val="24"/>
          <w:lang w:val="sr-Cyrl-CS"/>
        </w:rPr>
        <w:t xml:space="preserve"> </w:t>
      </w:r>
      <w:r w:rsidR="00607CBA" w:rsidRPr="005303F7">
        <w:rPr>
          <w:rFonts w:ascii="Times New Roman" w:hAnsi="Times New Roman"/>
          <w:sz w:val="24"/>
          <w:lang w:val="sr-Cyrl-CS"/>
        </w:rPr>
        <w:t>смањењем</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од</w:t>
      </w:r>
      <w:r w:rsidR="009C5A9E" w:rsidRPr="005303F7">
        <w:rPr>
          <w:rFonts w:ascii="Times New Roman" w:hAnsi="Times New Roman"/>
          <w:sz w:val="24"/>
          <w:lang w:val="sr-Cyrl-CS"/>
        </w:rPr>
        <w:t xml:space="preserve"> </w:t>
      </w:r>
      <w:r w:rsidR="00F6530A" w:rsidRPr="005303F7">
        <w:rPr>
          <w:rFonts w:ascii="Times New Roman" w:hAnsi="Times New Roman"/>
          <w:sz w:val="24"/>
          <w:lang w:val="sr-Cyrl-CS"/>
        </w:rPr>
        <w:t xml:space="preserve">40% </w:t>
      </w:r>
      <w:r w:rsidR="00607CBA" w:rsidRPr="005303F7">
        <w:rPr>
          <w:rFonts w:ascii="Times New Roman" w:hAnsi="Times New Roman"/>
          <w:sz w:val="24"/>
          <w:lang w:val="sr-Cyrl-CS"/>
        </w:rPr>
        <w:t>у</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поређењу</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са</w:t>
      </w:r>
      <w:r w:rsidR="00F6530A" w:rsidRPr="005303F7">
        <w:rPr>
          <w:rFonts w:ascii="Times New Roman" w:hAnsi="Times New Roman"/>
          <w:sz w:val="24"/>
          <w:lang w:val="sr-Cyrl-CS"/>
        </w:rPr>
        <w:t xml:space="preserve"> 1990</w:t>
      </w:r>
      <w:r w:rsidR="00C500D3" w:rsidRPr="005303F7">
        <w:rPr>
          <w:rFonts w:ascii="Times New Roman" w:hAnsi="Times New Roman"/>
          <w:sz w:val="24"/>
          <w:lang w:val="sr-Cyrl-CS"/>
        </w:rPr>
        <w:t xml:space="preserve">, </w:t>
      </w:r>
      <w:r w:rsidR="00607CBA" w:rsidRPr="005303F7">
        <w:rPr>
          <w:rFonts w:ascii="Times New Roman" w:hAnsi="Times New Roman"/>
          <w:sz w:val="24"/>
          <w:lang w:val="sr-Cyrl-CS"/>
        </w:rPr>
        <w:t>што</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представља</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смањење</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емисија</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за</w:t>
      </w:r>
      <w:r w:rsidR="00F6530A" w:rsidRPr="005303F7">
        <w:rPr>
          <w:rFonts w:ascii="Times New Roman" w:hAnsi="Times New Roman"/>
          <w:sz w:val="24"/>
          <w:lang w:val="sr-Cyrl-CS"/>
        </w:rPr>
        <w:t xml:space="preserve"> </w:t>
      </w:r>
      <w:r w:rsidR="00C500D3" w:rsidRPr="005303F7">
        <w:rPr>
          <w:rFonts w:ascii="Times New Roman" w:hAnsi="Times New Roman"/>
          <w:sz w:val="24"/>
          <w:lang w:val="sr-Cyrl-CS"/>
        </w:rPr>
        <w:t xml:space="preserve">28,7% </w:t>
      </w:r>
      <w:r w:rsidR="00607CBA" w:rsidRPr="005303F7">
        <w:rPr>
          <w:rFonts w:ascii="Times New Roman" w:hAnsi="Times New Roman"/>
          <w:sz w:val="24"/>
          <w:lang w:val="sr-Cyrl-CS"/>
        </w:rPr>
        <w:t>у</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поређењу</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са</w:t>
      </w:r>
      <w:r w:rsidR="002102AE" w:rsidRPr="005303F7">
        <w:rPr>
          <w:rFonts w:ascii="Times New Roman" w:hAnsi="Times New Roman"/>
          <w:sz w:val="24"/>
          <w:lang w:val="sr-Cyrl-CS"/>
        </w:rPr>
        <w:t xml:space="preserve"> 2010</w:t>
      </w:r>
      <w:r w:rsidR="009C5A9E" w:rsidRPr="005303F7">
        <w:rPr>
          <w:rFonts w:ascii="Times New Roman" w:hAnsi="Times New Roman"/>
          <w:sz w:val="24"/>
          <w:lang w:val="sr-Cyrl-CS"/>
        </w:rPr>
        <w:t>.</w:t>
      </w:r>
      <w:r w:rsidR="00C500D3" w:rsidRPr="005303F7">
        <w:rPr>
          <w:rFonts w:ascii="Times New Roman" w:hAnsi="Times New Roman"/>
          <w:sz w:val="24"/>
          <w:lang w:val="sr-Cyrl-CS"/>
        </w:rPr>
        <w:t xml:space="preserve"> </w:t>
      </w:r>
      <w:r w:rsidR="00607CBA" w:rsidRPr="005303F7">
        <w:rPr>
          <w:rFonts w:ascii="Times New Roman" w:hAnsi="Times New Roman"/>
          <w:sz w:val="24"/>
          <w:lang w:val="sr-Cyrl-CS"/>
        </w:rPr>
        <w:t>и</w:t>
      </w:r>
      <w:r w:rsidR="00C500D3" w:rsidRPr="005303F7">
        <w:rPr>
          <w:rFonts w:ascii="Times New Roman" w:hAnsi="Times New Roman"/>
          <w:sz w:val="24"/>
          <w:lang w:val="sr-Cyrl-CS"/>
        </w:rPr>
        <w:t xml:space="preserve"> 59,7% </w:t>
      </w:r>
      <w:r w:rsidR="00607CBA" w:rsidRPr="005303F7">
        <w:rPr>
          <w:rFonts w:ascii="Times New Roman" w:hAnsi="Times New Roman"/>
          <w:sz w:val="24"/>
          <w:lang w:val="sr-Cyrl-CS"/>
        </w:rPr>
        <w:t>до</w:t>
      </w:r>
      <w:r w:rsidR="00C500D3" w:rsidRPr="005303F7">
        <w:rPr>
          <w:rFonts w:ascii="Times New Roman" w:hAnsi="Times New Roman"/>
          <w:sz w:val="24"/>
          <w:lang w:val="sr-Cyrl-CS"/>
        </w:rPr>
        <w:t xml:space="preserve"> 2050</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године</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поређењу</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са</w:t>
      </w:r>
      <w:r w:rsidR="00C500D3" w:rsidRPr="005303F7">
        <w:rPr>
          <w:rFonts w:ascii="Times New Roman" w:hAnsi="Times New Roman"/>
          <w:sz w:val="24"/>
          <w:lang w:val="sr-Cyrl-CS"/>
        </w:rPr>
        <w:t xml:space="preserve"> 2010</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и</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истовремено</w:t>
      </w:r>
      <w:r w:rsidR="00144970" w:rsidRPr="005303F7">
        <w:rPr>
          <w:rFonts w:ascii="Times New Roman" w:hAnsi="Times New Roman"/>
          <w:sz w:val="24"/>
          <w:lang w:val="sr-Cyrl-CS"/>
        </w:rPr>
        <w:t xml:space="preserve"> </w:t>
      </w:r>
      <w:r w:rsidR="00B3493B" w:rsidRPr="005303F7">
        <w:rPr>
          <w:rFonts w:ascii="Times New Roman" w:hAnsi="Times New Roman"/>
          <w:sz w:val="24"/>
          <w:lang w:val="sr-Cyrl-CS"/>
        </w:rPr>
        <w:t xml:space="preserve">45,2% </w:t>
      </w:r>
      <w:r w:rsidR="00607CBA" w:rsidRPr="005303F7">
        <w:rPr>
          <w:rFonts w:ascii="Times New Roman" w:hAnsi="Times New Roman"/>
          <w:sz w:val="24"/>
          <w:lang w:val="sr-Cyrl-CS"/>
        </w:rPr>
        <w:t>у</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поређењу</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са</w:t>
      </w:r>
      <w:r w:rsidR="00B3493B" w:rsidRPr="005303F7">
        <w:rPr>
          <w:rFonts w:ascii="Times New Roman" w:hAnsi="Times New Roman"/>
          <w:sz w:val="24"/>
          <w:lang w:val="sr-Cyrl-CS"/>
        </w:rPr>
        <w:t xml:space="preserve"> 1990</w:t>
      </w:r>
      <w:r w:rsidR="00C500D3" w:rsidRPr="005303F7">
        <w:rPr>
          <w:rFonts w:ascii="Times New Roman" w:hAnsi="Times New Roman"/>
          <w:sz w:val="24"/>
          <w:lang w:val="sr-Cyrl-CS"/>
        </w:rPr>
        <w:t xml:space="preserve">. </w:t>
      </w:r>
      <w:r w:rsidR="00607CBA" w:rsidRPr="005303F7">
        <w:rPr>
          <w:rFonts w:ascii="Times New Roman" w:hAnsi="Times New Roman"/>
          <w:sz w:val="24"/>
          <w:lang w:val="sr-Cyrl-CS"/>
        </w:rPr>
        <w:t>Већи</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допринос</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циљевима</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ЕУ</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за</w:t>
      </w:r>
      <w:r w:rsidR="009C5A9E" w:rsidRPr="005303F7">
        <w:rPr>
          <w:rFonts w:ascii="Times New Roman" w:hAnsi="Times New Roman"/>
          <w:sz w:val="24"/>
          <w:lang w:val="sr-Cyrl-CS"/>
        </w:rPr>
        <w:t xml:space="preserve"> 2030. </w:t>
      </w:r>
      <w:r w:rsidR="00607CBA" w:rsidRPr="005303F7">
        <w:rPr>
          <w:rFonts w:ascii="Times New Roman" w:hAnsi="Times New Roman"/>
          <w:sz w:val="24"/>
          <w:lang w:val="sr-Cyrl-CS"/>
        </w:rPr>
        <w:t>годину</w:t>
      </w:r>
      <w:r w:rsidR="005A24EC" w:rsidRPr="005303F7">
        <w:rPr>
          <w:rFonts w:ascii="Times New Roman" w:hAnsi="Times New Roman"/>
          <w:sz w:val="24"/>
          <w:lang w:val="sr-Cyrl-CS"/>
        </w:rPr>
        <w:t xml:space="preserve"> </w:t>
      </w:r>
      <w:r w:rsidR="00607CBA" w:rsidRPr="005303F7">
        <w:rPr>
          <w:rFonts w:ascii="Times New Roman" w:hAnsi="Times New Roman"/>
          <w:sz w:val="24"/>
          <w:lang w:val="sr-Cyrl-CS"/>
        </w:rPr>
        <w:t>почива</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на</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повећању</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напора</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сектору</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енергетике</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пољопривреде</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и</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отпада</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поређењу</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са</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сценаријом</w:t>
      </w:r>
      <w:r w:rsidR="009C5A9E" w:rsidRPr="005303F7">
        <w:rPr>
          <w:rFonts w:ascii="Times New Roman" w:hAnsi="Times New Roman"/>
          <w:sz w:val="24"/>
          <w:lang w:val="sr-Cyrl-CS"/>
        </w:rPr>
        <w:t xml:space="preserve"> </w:t>
      </w:r>
      <w:r w:rsidR="00607CBA" w:rsidRPr="005303F7">
        <w:rPr>
          <w:rFonts w:ascii="Times New Roman" w:hAnsi="Times New Roman"/>
          <w:sz w:val="24"/>
          <w:lang w:val="sr-Cyrl-CS"/>
        </w:rPr>
        <w:t>М</w:t>
      </w:r>
      <w:r w:rsidR="009C5A9E" w:rsidRPr="005303F7">
        <w:rPr>
          <w:rFonts w:ascii="Times New Roman" w:hAnsi="Times New Roman"/>
          <w:sz w:val="24"/>
          <w:lang w:val="sr-Cyrl-CS"/>
        </w:rPr>
        <w:t>2.</w:t>
      </w:r>
    </w:p>
    <w:p w14:paraId="1F486FFA" w14:textId="5A48C5E1" w:rsidR="00FF26B3" w:rsidRPr="005303F7" w:rsidRDefault="0039680D" w:rsidP="00FA12BE">
      <w:pPr>
        <w:pStyle w:val="CommentText"/>
        <w:rPr>
          <w:rFonts w:ascii="Times New Roman" w:hAnsi="Times New Roman"/>
          <w:sz w:val="24"/>
          <w:lang w:val="sr-Cyrl-CS"/>
        </w:rPr>
      </w:pPr>
      <w:r w:rsidRPr="005303F7">
        <w:rPr>
          <w:rFonts w:ascii="Times New Roman" w:hAnsi="Times New Roman"/>
          <w:sz w:val="24"/>
          <w:lang w:val="sr-Cyrl-CS"/>
        </w:rPr>
        <w:t xml:space="preserve">           </w:t>
      </w:r>
      <w:r w:rsidR="00607CBA" w:rsidRPr="005303F7">
        <w:rPr>
          <w:rFonts w:ascii="Times New Roman" w:hAnsi="Times New Roman"/>
          <w:sz w:val="24"/>
          <w:lang w:val="sr-Cyrl-CS"/>
        </w:rPr>
        <w:t>На</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крају</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најамбициознији</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сценарио</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М</w:t>
      </w:r>
      <w:r w:rsidR="00FF26B3" w:rsidRPr="005303F7">
        <w:rPr>
          <w:rFonts w:ascii="Times New Roman" w:hAnsi="Times New Roman"/>
          <w:sz w:val="24"/>
          <w:lang w:val="sr-Cyrl-CS"/>
        </w:rPr>
        <w:t xml:space="preserve">4 </w:t>
      </w:r>
      <w:r w:rsidR="00607CBA" w:rsidRPr="005303F7">
        <w:rPr>
          <w:rFonts w:ascii="Times New Roman" w:hAnsi="Times New Roman"/>
          <w:sz w:val="24"/>
          <w:lang w:val="sr-Cyrl-CS"/>
        </w:rPr>
        <w:t>претпоставља</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смањење</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емисија</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гасова</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са</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ефектом</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стаклене</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баште</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за</w:t>
      </w:r>
      <w:r w:rsidR="00FF26B3" w:rsidRPr="005303F7">
        <w:rPr>
          <w:rFonts w:ascii="Times New Roman" w:hAnsi="Times New Roman"/>
          <w:sz w:val="24"/>
          <w:lang w:val="sr-Cyrl-CS"/>
        </w:rPr>
        <w:t xml:space="preserve"> 80% </w:t>
      </w:r>
      <w:r w:rsidR="00607CBA" w:rsidRPr="005303F7">
        <w:rPr>
          <w:rFonts w:ascii="Times New Roman" w:hAnsi="Times New Roman"/>
          <w:sz w:val="24"/>
          <w:lang w:val="sr-Cyrl-CS"/>
        </w:rPr>
        <w:t>у</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поређењу</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са</w:t>
      </w:r>
      <w:r w:rsidR="00FF26B3" w:rsidRPr="005303F7">
        <w:rPr>
          <w:rFonts w:ascii="Times New Roman" w:hAnsi="Times New Roman"/>
          <w:sz w:val="24"/>
          <w:lang w:val="sr-Cyrl-CS"/>
        </w:rPr>
        <w:t xml:space="preserve"> 1990. </w:t>
      </w:r>
      <w:r w:rsidR="00607CBA" w:rsidRPr="005303F7">
        <w:rPr>
          <w:rFonts w:ascii="Times New Roman" w:hAnsi="Times New Roman"/>
          <w:sz w:val="24"/>
          <w:lang w:val="sr-Cyrl-CS"/>
        </w:rPr>
        <w:t>до</w:t>
      </w:r>
      <w:r w:rsidR="00FF26B3" w:rsidRPr="005303F7">
        <w:rPr>
          <w:rFonts w:ascii="Times New Roman" w:hAnsi="Times New Roman"/>
          <w:sz w:val="24"/>
          <w:lang w:val="sr-Cyrl-CS"/>
        </w:rPr>
        <w:t xml:space="preserve"> 2050. </w:t>
      </w:r>
      <w:r w:rsidR="00607CBA" w:rsidRPr="005303F7">
        <w:rPr>
          <w:rFonts w:ascii="Times New Roman" w:hAnsi="Times New Roman"/>
          <w:sz w:val="24"/>
          <w:lang w:val="sr-Cyrl-CS"/>
        </w:rPr>
        <w:t>године</w:t>
      </w:r>
      <w:r w:rsidR="005A24EC" w:rsidRPr="005303F7">
        <w:rPr>
          <w:rFonts w:ascii="Times New Roman" w:hAnsi="Times New Roman"/>
          <w:sz w:val="24"/>
          <w:lang w:val="sr-Cyrl-CS"/>
        </w:rPr>
        <w:t xml:space="preserve">. </w:t>
      </w:r>
      <w:r w:rsidR="00607CBA" w:rsidRPr="005303F7">
        <w:rPr>
          <w:rFonts w:ascii="Times New Roman" w:hAnsi="Times New Roman"/>
          <w:sz w:val="24"/>
          <w:lang w:val="sr-Cyrl-CS"/>
        </w:rPr>
        <w:t>Међутим</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са</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тренутно</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доступним</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технологијама</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и</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на</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економски</w:t>
      </w:r>
      <w:r w:rsidR="0092111F" w:rsidRPr="005303F7">
        <w:rPr>
          <w:rFonts w:ascii="Times New Roman" w:hAnsi="Times New Roman"/>
          <w:sz w:val="24"/>
          <w:lang w:val="sr-Cyrl-CS"/>
        </w:rPr>
        <w:t xml:space="preserve"> </w:t>
      </w:r>
      <w:r w:rsidR="00607CBA" w:rsidRPr="005303F7">
        <w:rPr>
          <w:rFonts w:ascii="Times New Roman" w:hAnsi="Times New Roman"/>
          <w:sz w:val="24"/>
          <w:lang w:val="sr-Cyrl-CS"/>
        </w:rPr>
        <w:t>исплатив</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начин</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практично</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је</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немогуће</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постићи</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тако</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велика</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смањења</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емисија</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следећих</w:t>
      </w:r>
      <w:r w:rsidR="00FF26B3" w:rsidRPr="005303F7">
        <w:rPr>
          <w:rFonts w:ascii="Times New Roman" w:hAnsi="Times New Roman"/>
          <w:sz w:val="24"/>
          <w:lang w:val="sr-Cyrl-CS"/>
        </w:rPr>
        <w:t xml:space="preserve"> 30 </w:t>
      </w:r>
      <w:r w:rsidR="00607CBA" w:rsidRPr="005303F7">
        <w:rPr>
          <w:rFonts w:ascii="Times New Roman" w:hAnsi="Times New Roman"/>
          <w:sz w:val="24"/>
          <w:lang w:val="sr-Cyrl-CS"/>
        </w:rPr>
        <w:t>година</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Уз</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тренутно</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доступне</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технологије</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смањење</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емисија</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GHG</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могло</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би</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достићи</w:t>
      </w:r>
      <w:r w:rsidR="00FF26B3" w:rsidRPr="005303F7">
        <w:rPr>
          <w:rFonts w:ascii="Times New Roman" w:hAnsi="Times New Roman"/>
          <w:sz w:val="24"/>
          <w:lang w:val="sr-Cyrl-CS"/>
        </w:rPr>
        <w:t xml:space="preserve"> 76,2% </w:t>
      </w:r>
      <w:r w:rsidR="00607CBA" w:rsidRPr="005303F7">
        <w:rPr>
          <w:rFonts w:ascii="Times New Roman" w:hAnsi="Times New Roman"/>
          <w:sz w:val="24"/>
          <w:lang w:val="sr-Cyrl-CS"/>
        </w:rPr>
        <w:t>у</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односу</w:t>
      </w:r>
      <w:r w:rsidR="00FF26B3" w:rsidRPr="005303F7">
        <w:rPr>
          <w:rFonts w:ascii="Times New Roman" w:hAnsi="Times New Roman"/>
          <w:sz w:val="24"/>
          <w:lang w:val="sr-Cyrl-CS"/>
        </w:rPr>
        <w:t xml:space="preserve"> </w:t>
      </w:r>
      <w:r w:rsidR="00607CBA" w:rsidRPr="005303F7">
        <w:rPr>
          <w:rFonts w:ascii="Times New Roman" w:hAnsi="Times New Roman"/>
          <w:sz w:val="24"/>
          <w:lang w:val="sr-Cyrl-CS"/>
        </w:rPr>
        <w:t>на</w:t>
      </w:r>
      <w:r w:rsidR="00FF26B3" w:rsidRPr="005303F7">
        <w:rPr>
          <w:rFonts w:ascii="Times New Roman" w:hAnsi="Times New Roman"/>
          <w:sz w:val="24"/>
          <w:lang w:val="sr-Cyrl-CS"/>
        </w:rPr>
        <w:t xml:space="preserve"> 1990. </w:t>
      </w:r>
      <w:r w:rsidR="00607CBA" w:rsidRPr="005303F7">
        <w:rPr>
          <w:rFonts w:ascii="Times New Roman" w:hAnsi="Times New Roman"/>
          <w:sz w:val="24"/>
          <w:lang w:val="sr-Cyrl-CS"/>
        </w:rPr>
        <w:t>до</w:t>
      </w:r>
      <w:r w:rsidR="00FF26B3" w:rsidRPr="005303F7">
        <w:rPr>
          <w:rFonts w:ascii="Times New Roman" w:hAnsi="Times New Roman"/>
          <w:sz w:val="24"/>
          <w:lang w:val="sr-Cyrl-CS"/>
        </w:rPr>
        <w:t xml:space="preserve"> 2050. </w:t>
      </w:r>
      <w:r w:rsidR="00607CBA" w:rsidRPr="005303F7">
        <w:rPr>
          <w:rFonts w:ascii="Times New Roman" w:hAnsi="Times New Roman"/>
          <w:sz w:val="24"/>
          <w:lang w:val="sr-Cyrl-CS"/>
        </w:rPr>
        <w:t>године</w:t>
      </w:r>
      <w:r w:rsidR="00FF26B3" w:rsidRPr="005303F7">
        <w:rPr>
          <w:rFonts w:ascii="Times New Roman" w:hAnsi="Times New Roman"/>
          <w:sz w:val="24"/>
          <w:lang w:val="sr-Cyrl-CS"/>
        </w:rPr>
        <w:t>.</w:t>
      </w:r>
    </w:p>
    <w:p w14:paraId="6068FB14" w14:textId="5F737642" w:rsidR="0029389F" w:rsidRPr="005303F7" w:rsidRDefault="0039680D" w:rsidP="00FA12BE">
      <w:pPr>
        <w:pStyle w:val="CommentText"/>
        <w:rPr>
          <w:rFonts w:ascii="Times New Roman" w:hAnsi="Times New Roman"/>
          <w:sz w:val="24"/>
          <w:lang w:val="sr-Cyrl-CS"/>
        </w:rPr>
      </w:pPr>
      <w:r w:rsidRPr="005303F7">
        <w:rPr>
          <w:rFonts w:ascii="Times New Roman" w:hAnsi="Times New Roman"/>
          <w:sz w:val="24"/>
          <w:lang w:val="sr-Cyrl-CS"/>
        </w:rPr>
        <w:t xml:space="preserve">           </w:t>
      </w:r>
      <w:r w:rsidR="00607CBA" w:rsidRPr="005303F7">
        <w:rPr>
          <w:rFonts w:ascii="Times New Roman" w:hAnsi="Times New Roman"/>
          <w:sz w:val="24"/>
          <w:lang w:val="sr-Cyrl-CS"/>
        </w:rPr>
        <w:t>Резултати</w:t>
      </w:r>
      <w:r w:rsidR="005A24EC" w:rsidRPr="005303F7">
        <w:rPr>
          <w:rFonts w:ascii="Times New Roman" w:hAnsi="Times New Roman"/>
          <w:sz w:val="24"/>
          <w:lang w:val="sr-Cyrl-CS"/>
        </w:rPr>
        <w:t xml:space="preserve"> </w:t>
      </w:r>
      <w:r w:rsidR="00607CBA" w:rsidRPr="005303F7">
        <w:rPr>
          <w:rFonts w:ascii="Times New Roman" w:hAnsi="Times New Roman"/>
          <w:sz w:val="24"/>
          <w:lang w:val="sr-Cyrl-CS"/>
        </w:rPr>
        <w:t>моделовања</w:t>
      </w:r>
      <w:r w:rsidR="0092111F" w:rsidRPr="005303F7">
        <w:rPr>
          <w:rFonts w:ascii="Times New Roman" w:hAnsi="Times New Roman"/>
          <w:sz w:val="24"/>
          <w:lang w:val="sr-Cyrl-CS"/>
        </w:rPr>
        <w:t xml:space="preserve"> </w:t>
      </w:r>
      <w:r w:rsidR="00607CBA" w:rsidRPr="005303F7">
        <w:rPr>
          <w:rFonts w:ascii="Times New Roman" w:hAnsi="Times New Roman"/>
          <w:sz w:val="24"/>
          <w:lang w:val="sr-Cyrl-CS"/>
        </w:rPr>
        <w:t>показују</w:t>
      </w:r>
      <w:r w:rsidR="005A24EC" w:rsidRPr="005303F7">
        <w:rPr>
          <w:rFonts w:ascii="Times New Roman" w:hAnsi="Times New Roman"/>
          <w:sz w:val="24"/>
          <w:lang w:val="sr-Cyrl-CS"/>
        </w:rPr>
        <w:t xml:space="preserve"> </w:t>
      </w:r>
      <w:r w:rsidR="00607CBA" w:rsidRPr="005303F7">
        <w:rPr>
          <w:rFonts w:ascii="Times New Roman" w:hAnsi="Times New Roman"/>
          <w:sz w:val="24"/>
          <w:lang w:val="sr-Cyrl-CS"/>
        </w:rPr>
        <w:t>да</w:t>
      </w:r>
      <w:r w:rsidR="005A24EC" w:rsidRPr="005303F7">
        <w:rPr>
          <w:rFonts w:ascii="Times New Roman" w:hAnsi="Times New Roman"/>
          <w:sz w:val="24"/>
          <w:lang w:val="sr-Cyrl-CS"/>
        </w:rPr>
        <w:t xml:space="preserve"> </w:t>
      </w:r>
      <w:r w:rsidR="00607CBA" w:rsidRPr="005303F7">
        <w:rPr>
          <w:rFonts w:ascii="Times New Roman" w:hAnsi="Times New Roman"/>
          <w:sz w:val="24"/>
          <w:lang w:val="sr-Cyrl-CS"/>
        </w:rPr>
        <w:t>је</w:t>
      </w:r>
      <w:r w:rsidR="005A24EC" w:rsidRPr="005303F7">
        <w:rPr>
          <w:rFonts w:ascii="Times New Roman" w:hAnsi="Times New Roman"/>
          <w:sz w:val="24"/>
          <w:lang w:val="sr-Cyrl-CS"/>
        </w:rPr>
        <w:t xml:space="preserve"> </w:t>
      </w:r>
      <w:r w:rsidR="00607CBA" w:rsidRPr="005303F7">
        <w:rPr>
          <w:rFonts w:ascii="Times New Roman" w:hAnsi="Times New Roman"/>
          <w:sz w:val="24"/>
          <w:lang w:val="sr-Cyrl-CS"/>
        </w:rPr>
        <w:t>сценарио</w:t>
      </w:r>
      <w:r w:rsidR="005A24EC" w:rsidRPr="005303F7">
        <w:rPr>
          <w:rFonts w:ascii="Times New Roman" w:hAnsi="Times New Roman"/>
          <w:sz w:val="24"/>
          <w:lang w:val="sr-Cyrl-CS"/>
        </w:rPr>
        <w:t xml:space="preserve"> </w:t>
      </w:r>
      <w:r w:rsidR="00607CBA" w:rsidRPr="005303F7">
        <w:rPr>
          <w:rFonts w:ascii="Times New Roman" w:hAnsi="Times New Roman"/>
          <w:sz w:val="24"/>
          <w:lang w:val="sr-Cyrl-CS"/>
        </w:rPr>
        <w:t>М</w:t>
      </w:r>
      <w:r w:rsidR="005A24EC" w:rsidRPr="005303F7">
        <w:rPr>
          <w:rFonts w:ascii="Times New Roman" w:hAnsi="Times New Roman"/>
          <w:sz w:val="24"/>
          <w:lang w:val="sr-Cyrl-CS"/>
        </w:rPr>
        <w:t xml:space="preserve">4 </w:t>
      </w:r>
      <w:r w:rsidR="00607CBA" w:rsidRPr="005303F7">
        <w:rPr>
          <w:rFonts w:ascii="Times New Roman" w:hAnsi="Times New Roman"/>
          <w:sz w:val="24"/>
          <w:lang w:val="sr-Cyrl-CS"/>
        </w:rPr>
        <w:t>оптимално</w:t>
      </w:r>
      <w:r w:rsidR="005A24EC" w:rsidRPr="005303F7">
        <w:rPr>
          <w:rFonts w:ascii="Times New Roman" w:hAnsi="Times New Roman"/>
          <w:sz w:val="24"/>
          <w:lang w:val="sr-Cyrl-CS"/>
        </w:rPr>
        <w:t xml:space="preserve"> </w:t>
      </w:r>
      <w:r w:rsidR="00607CBA" w:rsidRPr="005303F7">
        <w:rPr>
          <w:rFonts w:ascii="Times New Roman" w:hAnsi="Times New Roman"/>
          <w:sz w:val="24"/>
          <w:lang w:val="sr-Cyrl-CS"/>
        </w:rPr>
        <w:t>исплатив</w:t>
      </w:r>
      <w:r w:rsidR="005A24EC" w:rsidRPr="005303F7">
        <w:rPr>
          <w:rFonts w:ascii="Times New Roman" w:hAnsi="Times New Roman"/>
          <w:sz w:val="24"/>
          <w:lang w:val="sr-Cyrl-CS"/>
        </w:rPr>
        <w:t xml:space="preserve"> </w:t>
      </w:r>
      <w:r w:rsidR="00607CBA" w:rsidRPr="005303F7">
        <w:rPr>
          <w:rFonts w:ascii="Times New Roman" w:hAnsi="Times New Roman"/>
          <w:sz w:val="24"/>
          <w:lang w:val="sr-Cyrl-CS"/>
        </w:rPr>
        <w:t>пут</w:t>
      </w:r>
      <w:r w:rsidR="005A24EC" w:rsidRPr="005303F7">
        <w:rPr>
          <w:rFonts w:ascii="Times New Roman" w:hAnsi="Times New Roman"/>
          <w:sz w:val="24"/>
          <w:lang w:val="sr-Cyrl-CS"/>
        </w:rPr>
        <w:t xml:space="preserve"> </w:t>
      </w:r>
      <w:r w:rsidR="00607CBA" w:rsidRPr="005303F7">
        <w:rPr>
          <w:rFonts w:ascii="Times New Roman" w:hAnsi="Times New Roman"/>
          <w:sz w:val="24"/>
          <w:lang w:val="sr-Cyrl-CS"/>
        </w:rPr>
        <w:t>ка</w:t>
      </w:r>
      <w:r w:rsidR="005A24EC" w:rsidRPr="005303F7">
        <w:rPr>
          <w:rFonts w:ascii="Times New Roman" w:hAnsi="Times New Roman"/>
          <w:sz w:val="24"/>
          <w:lang w:val="sr-Cyrl-CS"/>
        </w:rPr>
        <w:t xml:space="preserve"> </w:t>
      </w:r>
      <w:r w:rsidR="00607CBA" w:rsidRPr="005303F7">
        <w:rPr>
          <w:rFonts w:ascii="Times New Roman" w:hAnsi="Times New Roman"/>
          <w:sz w:val="24"/>
          <w:lang w:val="sr-Cyrl-CS"/>
        </w:rPr>
        <w:t>остварењу</w:t>
      </w:r>
      <w:r w:rsidR="005A24EC" w:rsidRPr="005303F7">
        <w:rPr>
          <w:rFonts w:ascii="Times New Roman" w:hAnsi="Times New Roman"/>
          <w:sz w:val="24"/>
          <w:lang w:val="sr-Cyrl-CS"/>
        </w:rPr>
        <w:t xml:space="preserve"> </w:t>
      </w:r>
      <w:r w:rsidR="00607CBA" w:rsidRPr="005303F7">
        <w:rPr>
          <w:rFonts w:ascii="Times New Roman" w:hAnsi="Times New Roman"/>
          <w:sz w:val="24"/>
          <w:lang w:val="sr-Cyrl-CS"/>
        </w:rPr>
        <w:t>смањења</w:t>
      </w:r>
      <w:r w:rsidR="005A24EC" w:rsidRPr="005303F7">
        <w:rPr>
          <w:rFonts w:ascii="Times New Roman" w:hAnsi="Times New Roman"/>
          <w:sz w:val="24"/>
          <w:lang w:val="sr-Cyrl-CS"/>
        </w:rPr>
        <w:t xml:space="preserve"> </w:t>
      </w:r>
      <w:r w:rsidR="00607CBA" w:rsidRPr="005303F7">
        <w:rPr>
          <w:rFonts w:ascii="Times New Roman" w:hAnsi="Times New Roman"/>
          <w:sz w:val="24"/>
          <w:lang w:val="sr-Cyrl-CS"/>
        </w:rPr>
        <w:t>емисија</w:t>
      </w:r>
      <w:r w:rsidR="005A24EC" w:rsidRPr="005303F7">
        <w:rPr>
          <w:rFonts w:ascii="Times New Roman" w:hAnsi="Times New Roman"/>
          <w:sz w:val="24"/>
          <w:lang w:val="sr-Cyrl-CS"/>
        </w:rPr>
        <w:t xml:space="preserve"> </w:t>
      </w:r>
      <w:r w:rsidR="00607CBA" w:rsidRPr="005303F7">
        <w:rPr>
          <w:rFonts w:ascii="Times New Roman" w:hAnsi="Times New Roman"/>
          <w:sz w:val="24"/>
          <w:lang w:val="sr-Cyrl-CS"/>
        </w:rPr>
        <w:t>од</w:t>
      </w:r>
      <w:r w:rsidR="005A24EC" w:rsidRPr="005303F7">
        <w:rPr>
          <w:rFonts w:ascii="Times New Roman" w:hAnsi="Times New Roman"/>
          <w:sz w:val="24"/>
          <w:lang w:val="sr-Cyrl-CS"/>
        </w:rPr>
        <w:t xml:space="preserve"> 80%, </w:t>
      </w:r>
      <w:r w:rsidR="00607CBA" w:rsidRPr="005303F7">
        <w:rPr>
          <w:rFonts w:ascii="Times New Roman" w:hAnsi="Times New Roman"/>
          <w:sz w:val="24"/>
          <w:lang w:val="sr-Cyrl-CS"/>
        </w:rPr>
        <w:t>за</w:t>
      </w:r>
      <w:r w:rsidR="005A24EC" w:rsidRPr="005303F7">
        <w:rPr>
          <w:rFonts w:ascii="Times New Roman" w:hAnsi="Times New Roman"/>
          <w:sz w:val="24"/>
          <w:lang w:val="sr-Cyrl-CS"/>
        </w:rPr>
        <w:t xml:space="preserve"> </w:t>
      </w:r>
      <w:r w:rsidR="00607CBA" w:rsidRPr="005303F7">
        <w:rPr>
          <w:rFonts w:ascii="Times New Roman" w:hAnsi="Times New Roman"/>
          <w:sz w:val="24"/>
          <w:lang w:val="sr-Cyrl-CS"/>
        </w:rPr>
        <w:t>период</w:t>
      </w:r>
      <w:r w:rsidR="005A24EC" w:rsidRPr="005303F7">
        <w:rPr>
          <w:rFonts w:ascii="Times New Roman" w:hAnsi="Times New Roman"/>
          <w:sz w:val="24"/>
          <w:lang w:val="sr-Cyrl-CS"/>
        </w:rPr>
        <w:t xml:space="preserve"> </w:t>
      </w:r>
      <w:r w:rsidR="00607CBA" w:rsidRPr="005303F7">
        <w:rPr>
          <w:rFonts w:ascii="Times New Roman" w:hAnsi="Times New Roman"/>
          <w:sz w:val="24"/>
          <w:lang w:val="sr-Cyrl-CS"/>
        </w:rPr>
        <w:t>до</w:t>
      </w:r>
      <w:r w:rsidR="005A24EC" w:rsidRPr="005303F7">
        <w:rPr>
          <w:rFonts w:ascii="Times New Roman" w:hAnsi="Times New Roman"/>
          <w:sz w:val="24"/>
          <w:lang w:val="sr-Cyrl-CS"/>
        </w:rPr>
        <w:t xml:space="preserve"> 2030. </w:t>
      </w:r>
      <w:r w:rsidR="00607CBA" w:rsidRPr="005303F7">
        <w:rPr>
          <w:rFonts w:ascii="Times New Roman" w:hAnsi="Times New Roman"/>
          <w:sz w:val="24"/>
          <w:lang w:val="sr-Cyrl-CS"/>
        </w:rPr>
        <w:t>године</w:t>
      </w:r>
      <w:r w:rsidR="005A24EC" w:rsidRPr="005303F7">
        <w:rPr>
          <w:rFonts w:ascii="Times New Roman" w:hAnsi="Times New Roman"/>
          <w:sz w:val="24"/>
          <w:lang w:val="sr-Cyrl-CS"/>
        </w:rPr>
        <w:t xml:space="preserve">, </w:t>
      </w:r>
      <w:r w:rsidR="00607CBA" w:rsidRPr="005303F7">
        <w:rPr>
          <w:rFonts w:ascii="Times New Roman" w:hAnsi="Times New Roman"/>
          <w:sz w:val="24"/>
          <w:lang w:val="sr-Cyrl-CS"/>
        </w:rPr>
        <w:t>има</w:t>
      </w:r>
      <w:r w:rsidR="005A24EC" w:rsidRPr="005303F7">
        <w:rPr>
          <w:rFonts w:ascii="Times New Roman" w:hAnsi="Times New Roman"/>
          <w:sz w:val="24"/>
          <w:lang w:val="sr-Cyrl-CS"/>
        </w:rPr>
        <w:t xml:space="preserve"> </w:t>
      </w:r>
      <w:r w:rsidR="00607CBA" w:rsidRPr="005303F7">
        <w:rPr>
          <w:rFonts w:ascii="Times New Roman" w:hAnsi="Times New Roman"/>
          <w:sz w:val="24"/>
          <w:lang w:val="sr-Cyrl-CS"/>
        </w:rPr>
        <w:t>сличну</w:t>
      </w:r>
      <w:r w:rsidR="005A24EC" w:rsidRPr="005303F7">
        <w:rPr>
          <w:rFonts w:ascii="Times New Roman" w:hAnsi="Times New Roman"/>
          <w:sz w:val="24"/>
          <w:lang w:val="sr-Cyrl-CS"/>
        </w:rPr>
        <w:t xml:space="preserve"> </w:t>
      </w:r>
      <w:r w:rsidR="00607CBA" w:rsidRPr="005303F7">
        <w:rPr>
          <w:rFonts w:ascii="Times New Roman" w:hAnsi="Times New Roman"/>
          <w:sz w:val="24"/>
          <w:lang w:val="sr-Cyrl-CS"/>
        </w:rPr>
        <w:t>путању</w:t>
      </w:r>
      <w:r w:rsidR="005A24EC" w:rsidRPr="005303F7">
        <w:rPr>
          <w:rFonts w:ascii="Times New Roman" w:hAnsi="Times New Roman"/>
          <w:sz w:val="24"/>
          <w:lang w:val="sr-Cyrl-CS"/>
        </w:rPr>
        <w:t xml:space="preserve"> </w:t>
      </w:r>
      <w:r w:rsidR="00607CBA" w:rsidRPr="005303F7">
        <w:rPr>
          <w:rFonts w:ascii="Times New Roman" w:hAnsi="Times New Roman"/>
          <w:sz w:val="24"/>
          <w:lang w:val="sr-Cyrl-CS"/>
        </w:rPr>
        <w:t>као</w:t>
      </w:r>
      <w:r w:rsidR="00B77703"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B77703" w:rsidRPr="005303F7">
        <w:rPr>
          <w:rFonts w:ascii="Times New Roman" w:hAnsi="Times New Roman"/>
          <w:sz w:val="24"/>
          <w:lang w:val="sr-Cyrl-CS"/>
        </w:rPr>
        <w:t xml:space="preserve"> </w:t>
      </w:r>
      <w:r w:rsidR="00607CBA" w:rsidRPr="005303F7">
        <w:rPr>
          <w:rFonts w:ascii="Times New Roman" w:hAnsi="Times New Roman"/>
          <w:sz w:val="24"/>
          <w:lang w:val="sr-Cyrl-CS"/>
        </w:rPr>
        <w:t>сценарију</w:t>
      </w:r>
      <w:r w:rsidR="005A24EC" w:rsidRPr="005303F7">
        <w:rPr>
          <w:rFonts w:ascii="Times New Roman" w:hAnsi="Times New Roman"/>
          <w:sz w:val="24"/>
          <w:lang w:val="sr-Cyrl-CS"/>
        </w:rPr>
        <w:t xml:space="preserve"> </w:t>
      </w:r>
      <w:r w:rsidR="00607CBA" w:rsidRPr="005303F7">
        <w:rPr>
          <w:rFonts w:ascii="Times New Roman" w:hAnsi="Times New Roman"/>
          <w:sz w:val="24"/>
          <w:lang w:val="sr-Cyrl-CS"/>
        </w:rPr>
        <w:t>М</w:t>
      </w:r>
      <w:r w:rsidR="005A24EC" w:rsidRPr="005303F7">
        <w:rPr>
          <w:rFonts w:ascii="Times New Roman" w:hAnsi="Times New Roman"/>
          <w:sz w:val="24"/>
          <w:lang w:val="sr-Cyrl-CS"/>
        </w:rPr>
        <w:t xml:space="preserve">3. </w:t>
      </w:r>
      <w:r w:rsidR="00063C8E" w:rsidRPr="005303F7">
        <w:rPr>
          <w:rFonts w:ascii="Times New Roman" w:hAnsi="Times New Roman"/>
          <w:sz w:val="24"/>
          <w:lang w:val="sr-Cyrl-CS"/>
        </w:rPr>
        <w:t>Са оба сценарија се постиже подједнако исплатив потенцијал ОИЕ у 2030. години, односно удео од 36,0%. Стога је учешће од 36,0% ОИЕ до 2030. године, горња граница постизања смањења емисије на економичан начин.</w:t>
      </w:r>
    </w:p>
    <w:p w14:paraId="2371D0A6" w14:textId="43BA4BD4" w:rsidR="002268BF" w:rsidRPr="005303F7" w:rsidRDefault="0039680D" w:rsidP="001611A9">
      <w:pPr>
        <w:rPr>
          <w:rFonts w:ascii="Times New Roman" w:hAnsi="Times New Roman"/>
          <w:sz w:val="24"/>
          <w:lang w:val="sr-Cyrl-CS"/>
        </w:rPr>
      </w:pPr>
      <w:r w:rsidRPr="005303F7">
        <w:rPr>
          <w:rFonts w:ascii="Times New Roman" w:hAnsi="Times New Roman"/>
          <w:sz w:val="24"/>
          <w:lang w:val="sr-Cyrl-CS"/>
        </w:rPr>
        <w:t xml:space="preserve">           </w:t>
      </w:r>
      <w:r w:rsidR="00260844" w:rsidRPr="005303F7">
        <w:rPr>
          <w:rFonts w:ascii="Times New Roman" w:hAnsi="Times New Roman"/>
          <w:sz w:val="24"/>
          <w:lang w:val="sr-Cyrl-CS"/>
        </w:rPr>
        <w:t xml:space="preserve">Мора се напоменути да сви исплативи путеви смањења емисија имају за циљ постепено избацивање угља што је пре могуће. Због тога ће </w:t>
      </w:r>
      <w:r w:rsidR="00E61B0A" w:rsidRPr="005303F7">
        <w:rPr>
          <w:rFonts w:ascii="Times New Roman" w:hAnsi="Times New Roman"/>
          <w:sz w:val="24"/>
          <w:lang w:val="sr-Cyrl-CS"/>
        </w:rPr>
        <w:t>коришћење</w:t>
      </w:r>
      <w:r w:rsidR="00260844" w:rsidRPr="005303F7">
        <w:rPr>
          <w:rFonts w:ascii="Times New Roman" w:hAnsi="Times New Roman"/>
          <w:sz w:val="24"/>
          <w:lang w:val="sr-Cyrl-CS"/>
        </w:rPr>
        <w:t xml:space="preserve"> угља у </w:t>
      </w:r>
      <w:r w:rsidR="00D73AAB" w:rsidRPr="005303F7">
        <w:rPr>
          <w:rFonts w:ascii="Times New Roman" w:hAnsi="Times New Roman"/>
          <w:sz w:val="24"/>
          <w:lang w:val="sr-Cyrl-CS"/>
        </w:rPr>
        <w:t>Републици Србији</w:t>
      </w:r>
      <w:r w:rsidR="00260844" w:rsidRPr="005303F7">
        <w:rPr>
          <w:rFonts w:ascii="Times New Roman" w:hAnsi="Times New Roman"/>
          <w:sz w:val="24"/>
          <w:lang w:val="sr-Cyrl-CS"/>
        </w:rPr>
        <w:t xml:space="preserve"> </w:t>
      </w:r>
      <w:r w:rsidR="00E61B0A" w:rsidRPr="005303F7">
        <w:rPr>
          <w:rFonts w:ascii="Times New Roman" w:hAnsi="Times New Roman"/>
          <w:sz w:val="24"/>
          <w:lang w:val="sr-Cyrl-CS"/>
        </w:rPr>
        <w:t xml:space="preserve">престати </w:t>
      </w:r>
      <w:r w:rsidR="00260844" w:rsidRPr="005303F7">
        <w:rPr>
          <w:rFonts w:ascii="Times New Roman" w:hAnsi="Times New Roman"/>
          <w:sz w:val="24"/>
          <w:lang w:val="sr-Cyrl-CS"/>
        </w:rPr>
        <w:t>н</w:t>
      </w:r>
      <w:r w:rsidR="00E61B0A" w:rsidRPr="005303F7">
        <w:rPr>
          <w:rFonts w:ascii="Times New Roman" w:hAnsi="Times New Roman"/>
          <w:sz w:val="24"/>
          <w:lang w:val="sr-Cyrl-CS"/>
        </w:rPr>
        <w:t xml:space="preserve">е </w:t>
      </w:r>
      <w:r w:rsidR="00260844" w:rsidRPr="005303F7">
        <w:rPr>
          <w:rFonts w:ascii="Times New Roman" w:hAnsi="Times New Roman"/>
          <w:sz w:val="24"/>
          <w:lang w:val="sr-Cyrl-CS"/>
        </w:rPr>
        <w:t xml:space="preserve">касније </w:t>
      </w:r>
      <w:r w:rsidR="00E61B0A" w:rsidRPr="005303F7">
        <w:rPr>
          <w:rFonts w:ascii="Times New Roman" w:hAnsi="Times New Roman"/>
          <w:sz w:val="24"/>
          <w:lang w:val="sr-Cyrl-CS"/>
        </w:rPr>
        <w:t xml:space="preserve">од </w:t>
      </w:r>
      <w:r w:rsidR="00260844" w:rsidRPr="005303F7">
        <w:rPr>
          <w:rFonts w:ascii="Times New Roman" w:hAnsi="Times New Roman"/>
          <w:sz w:val="24"/>
          <w:lang w:val="sr-Cyrl-CS"/>
        </w:rPr>
        <w:t>2050. године.</w:t>
      </w:r>
      <w:r w:rsidR="00CE36D1" w:rsidRPr="005303F7">
        <w:rPr>
          <w:rFonts w:ascii="Times New Roman" w:hAnsi="Times New Roman"/>
          <w:sz w:val="24"/>
          <w:lang w:val="sr-Cyrl-CS"/>
        </w:rPr>
        <w:t xml:space="preserve"> </w:t>
      </w:r>
      <w:r w:rsidR="00607CBA" w:rsidRPr="005303F7">
        <w:rPr>
          <w:rFonts w:ascii="Times New Roman" w:hAnsi="Times New Roman"/>
          <w:sz w:val="24"/>
          <w:lang w:val="sr-Cyrl-CS"/>
        </w:rPr>
        <w:t>Генерално</w:t>
      </w:r>
      <w:r w:rsidR="00F95EFE" w:rsidRPr="005303F7">
        <w:rPr>
          <w:rFonts w:ascii="Times New Roman" w:hAnsi="Times New Roman"/>
          <w:sz w:val="24"/>
          <w:lang w:val="sr-Cyrl-CS"/>
        </w:rPr>
        <w:t xml:space="preserve">, </w:t>
      </w:r>
      <w:r w:rsidR="00607CBA" w:rsidRPr="005303F7">
        <w:rPr>
          <w:rFonts w:ascii="Times New Roman" w:hAnsi="Times New Roman"/>
          <w:sz w:val="24"/>
          <w:lang w:val="sr-Cyrl-CS"/>
        </w:rPr>
        <w:t>смањење</w:t>
      </w:r>
      <w:r w:rsidR="00F95EFE" w:rsidRPr="005303F7">
        <w:rPr>
          <w:rFonts w:ascii="Times New Roman" w:hAnsi="Times New Roman"/>
          <w:sz w:val="24"/>
          <w:lang w:val="sr-Cyrl-CS"/>
        </w:rPr>
        <w:t xml:space="preserve"> </w:t>
      </w:r>
      <w:r w:rsidR="00607CBA" w:rsidRPr="005303F7">
        <w:rPr>
          <w:rFonts w:ascii="Times New Roman" w:hAnsi="Times New Roman"/>
          <w:sz w:val="24"/>
          <w:lang w:val="sr-Cyrl-CS"/>
        </w:rPr>
        <w:t>емисија</w:t>
      </w:r>
      <w:r w:rsidR="00F95EFE" w:rsidRPr="005303F7">
        <w:rPr>
          <w:rFonts w:ascii="Times New Roman" w:hAnsi="Times New Roman"/>
          <w:sz w:val="24"/>
          <w:lang w:val="sr-Cyrl-CS"/>
        </w:rPr>
        <w:t xml:space="preserve"> </w:t>
      </w:r>
      <w:r w:rsidR="00607CBA" w:rsidRPr="005303F7">
        <w:rPr>
          <w:rFonts w:ascii="Times New Roman" w:hAnsi="Times New Roman"/>
          <w:sz w:val="24"/>
          <w:lang w:val="sr-Cyrl-CS"/>
        </w:rPr>
        <w:t>гасова</w:t>
      </w:r>
      <w:r w:rsidR="00F95EFE" w:rsidRPr="005303F7">
        <w:rPr>
          <w:rFonts w:ascii="Times New Roman" w:hAnsi="Times New Roman"/>
          <w:sz w:val="24"/>
          <w:lang w:val="sr-Cyrl-CS"/>
        </w:rPr>
        <w:t xml:space="preserve"> </w:t>
      </w:r>
      <w:r w:rsidR="00607CBA" w:rsidRPr="005303F7">
        <w:rPr>
          <w:rFonts w:ascii="Times New Roman" w:hAnsi="Times New Roman"/>
          <w:sz w:val="24"/>
          <w:lang w:val="sr-Cyrl-CS"/>
        </w:rPr>
        <w:t>са</w:t>
      </w:r>
      <w:r w:rsidR="00F95EFE" w:rsidRPr="005303F7">
        <w:rPr>
          <w:rFonts w:ascii="Times New Roman" w:hAnsi="Times New Roman"/>
          <w:sz w:val="24"/>
          <w:lang w:val="sr-Cyrl-CS"/>
        </w:rPr>
        <w:t xml:space="preserve"> </w:t>
      </w:r>
      <w:r w:rsidR="00607CBA" w:rsidRPr="005303F7">
        <w:rPr>
          <w:rFonts w:ascii="Times New Roman" w:hAnsi="Times New Roman"/>
          <w:sz w:val="24"/>
          <w:lang w:val="sr-Cyrl-CS"/>
        </w:rPr>
        <w:t>ефектом</w:t>
      </w:r>
      <w:r w:rsidR="00F95EFE" w:rsidRPr="005303F7">
        <w:rPr>
          <w:rFonts w:ascii="Times New Roman" w:hAnsi="Times New Roman"/>
          <w:sz w:val="24"/>
          <w:lang w:val="sr-Cyrl-CS"/>
        </w:rPr>
        <w:t xml:space="preserve"> </w:t>
      </w:r>
      <w:r w:rsidR="00607CBA" w:rsidRPr="005303F7">
        <w:rPr>
          <w:rFonts w:ascii="Times New Roman" w:hAnsi="Times New Roman"/>
          <w:sz w:val="24"/>
          <w:lang w:val="sr-Cyrl-CS"/>
        </w:rPr>
        <w:t>стаклене</w:t>
      </w:r>
      <w:r w:rsidR="00F95EFE" w:rsidRPr="005303F7">
        <w:rPr>
          <w:rFonts w:ascii="Times New Roman" w:hAnsi="Times New Roman"/>
          <w:sz w:val="24"/>
          <w:lang w:val="sr-Cyrl-CS"/>
        </w:rPr>
        <w:t xml:space="preserve"> </w:t>
      </w:r>
      <w:r w:rsidR="00607CBA" w:rsidRPr="005303F7">
        <w:rPr>
          <w:rFonts w:ascii="Times New Roman" w:hAnsi="Times New Roman"/>
          <w:sz w:val="24"/>
          <w:lang w:val="sr-Cyrl-CS"/>
        </w:rPr>
        <w:t>баште</w:t>
      </w:r>
      <w:r w:rsidR="00F95EFE" w:rsidRPr="005303F7">
        <w:rPr>
          <w:rFonts w:ascii="Times New Roman" w:hAnsi="Times New Roman"/>
          <w:sz w:val="24"/>
          <w:lang w:val="sr-Cyrl-CS"/>
        </w:rPr>
        <w:t xml:space="preserve"> </w:t>
      </w:r>
      <w:r w:rsidR="00607CBA" w:rsidRPr="005303F7">
        <w:rPr>
          <w:rFonts w:ascii="Times New Roman" w:hAnsi="Times New Roman"/>
          <w:sz w:val="24"/>
          <w:lang w:val="sr-Cyrl-CS"/>
        </w:rPr>
        <w:t>које</w:t>
      </w:r>
      <w:r w:rsidR="00F95EFE" w:rsidRPr="005303F7">
        <w:rPr>
          <w:rFonts w:ascii="Times New Roman" w:hAnsi="Times New Roman"/>
          <w:sz w:val="24"/>
          <w:lang w:val="sr-Cyrl-CS"/>
        </w:rPr>
        <w:t xml:space="preserve"> </w:t>
      </w:r>
      <w:r w:rsidR="00607CBA" w:rsidRPr="005303F7">
        <w:rPr>
          <w:rFonts w:ascii="Times New Roman" w:hAnsi="Times New Roman"/>
          <w:sz w:val="24"/>
          <w:lang w:val="sr-Cyrl-CS"/>
        </w:rPr>
        <w:t>би</w:t>
      </w:r>
      <w:r w:rsidR="00F95EFE" w:rsidRPr="005303F7">
        <w:rPr>
          <w:rFonts w:ascii="Times New Roman" w:hAnsi="Times New Roman"/>
          <w:sz w:val="24"/>
          <w:lang w:val="sr-Cyrl-CS"/>
        </w:rPr>
        <w:t xml:space="preserve"> </w:t>
      </w:r>
      <w:r w:rsidR="00607CBA" w:rsidRPr="005303F7">
        <w:rPr>
          <w:rFonts w:ascii="Times New Roman" w:hAnsi="Times New Roman"/>
          <w:sz w:val="24"/>
          <w:lang w:val="sr-Cyrl-CS"/>
        </w:rPr>
        <w:t>се</w:t>
      </w:r>
      <w:r w:rsidR="00F95EFE" w:rsidRPr="005303F7">
        <w:rPr>
          <w:rFonts w:ascii="Times New Roman" w:hAnsi="Times New Roman"/>
          <w:sz w:val="24"/>
          <w:lang w:val="sr-Cyrl-CS"/>
        </w:rPr>
        <w:t xml:space="preserve"> </w:t>
      </w:r>
      <w:r w:rsidR="00607CBA" w:rsidRPr="005303F7">
        <w:rPr>
          <w:rFonts w:ascii="Times New Roman" w:hAnsi="Times New Roman"/>
          <w:sz w:val="24"/>
          <w:lang w:val="sr-Cyrl-CS"/>
        </w:rPr>
        <w:t>могло</w:t>
      </w:r>
      <w:r w:rsidR="00F95EFE" w:rsidRPr="005303F7">
        <w:rPr>
          <w:rFonts w:ascii="Times New Roman" w:hAnsi="Times New Roman"/>
          <w:sz w:val="24"/>
          <w:lang w:val="sr-Cyrl-CS"/>
        </w:rPr>
        <w:t xml:space="preserve"> </w:t>
      </w:r>
      <w:r w:rsidR="00607CBA" w:rsidRPr="005303F7">
        <w:rPr>
          <w:rFonts w:ascii="Times New Roman" w:hAnsi="Times New Roman"/>
          <w:sz w:val="24"/>
          <w:lang w:val="sr-Cyrl-CS"/>
        </w:rPr>
        <w:t>пости</w:t>
      </w:r>
      <w:r w:rsidR="00016298" w:rsidRPr="005303F7">
        <w:rPr>
          <w:rFonts w:ascii="Times New Roman" w:hAnsi="Times New Roman"/>
          <w:sz w:val="24"/>
          <w:lang w:val="sr-Cyrl-CS"/>
        </w:rPr>
        <w:t>ћ</w:t>
      </w:r>
      <w:r w:rsidR="00607CBA" w:rsidRPr="005303F7">
        <w:rPr>
          <w:rFonts w:ascii="Times New Roman" w:hAnsi="Times New Roman"/>
          <w:sz w:val="24"/>
          <w:lang w:val="sr-Cyrl-CS"/>
        </w:rPr>
        <w:t>и</w:t>
      </w:r>
      <w:r w:rsidR="00F95EFE" w:rsidRPr="005303F7">
        <w:rPr>
          <w:rFonts w:ascii="Times New Roman" w:hAnsi="Times New Roman"/>
          <w:sz w:val="24"/>
          <w:lang w:val="sr-Cyrl-CS"/>
        </w:rPr>
        <w:t xml:space="preserve"> </w:t>
      </w:r>
      <w:r w:rsidR="00607CBA" w:rsidRPr="005303F7">
        <w:rPr>
          <w:rFonts w:ascii="Times New Roman" w:hAnsi="Times New Roman"/>
          <w:sz w:val="24"/>
          <w:lang w:val="sr-Cyrl-CS"/>
        </w:rPr>
        <w:t>различитим</w:t>
      </w:r>
      <w:r w:rsidR="00F95EFE" w:rsidRPr="005303F7">
        <w:rPr>
          <w:rFonts w:ascii="Times New Roman" w:hAnsi="Times New Roman"/>
          <w:sz w:val="24"/>
          <w:lang w:val="sr-Cyrl-CS"/>
        </w:rPr>
        <w:t xml:space="preserve"> </w:t>
      </w:r>
      <w:r w:rsidR="00607CBA" w:rsidRPr="005303F7">
        <w:rPr>
          <w:rFonts w:ascii="Times New Roman" w:hAnsi="Times New Roman"/>
          <w:sz w:val="24"/>
          <w:lang w:val="sr-Cyrl-CS"/>
        </w:rPr>
        <w:t>сценаријима</w:t>
      </w:r>
      <w:r w:rsidR="00F95EFE" w:rsidRPr="005303F7">
        <w:rPr>
          <w:rFonts w:ascii="Times New Roman" w:hAnsi="Times New Roman"/>
          <w:sz w:val="24"/>
          <w:lang w:val="sr-Cyrl-CS"/>
        </w:rPr>
        <w:t xml:space="preserve"> </w:t>
      </w:r>
      <w:r w:rsidR="00607CBA" w:rsidRPr="005303F7">
        <w:rPr>
          <w:rFonts w:ascii="Times New Roman" w:hAnsi="Times New Roman"/>
          <w:sz w:val="24"/>
          <w:lang w:val="sr-Cyrl-CS"/>
        </w:rPr>
        <w:t>представљено</w:t>
      </w:r>
      <w:r w:rsidR="00F95EFE" w:rsidRPr="005303F7">
        <w:rPr>
          <w:rFonts w:ascii="Times New Roman" w:hAnsi="Times New Roman"/>
          <w:sz w:val="24"/>
          <w:lang w:val="sr-Cyrl-CS"/>
        </w:rPr>
        <w:t xml:space="preserve"> </w:t>
      </w:r>
      <w:r w:rsidR="00607CBA" w:rsidRPr="005303F7">
        <w:rPr>
          <w:rFonts w:ascii="Times New Roman" w:hAnsi="Times New Roman"/>
          <w:sz w:val="24"/>
          <w:lang w:val="sr-Cyrl-CS"/>
        </w:rPr>
        <w:t>је</w:t>
      </w:r>
      <w:r w:rsidR="00F95EFE"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29389F" w:rsidRPr="005303F7">
        <w:rPr>
          <w:rFonts w:ascii="Times New Roman" w:hAnsi="Times New Roman"/>
          <w:sz w:val="24"/>
          <w:lang w:val="sr-Cyrl-CS"/>
        </w:rPr>
        <w:t xml:space="preserve"> </w:t>
      </w:r>
      <w:r w:rsidR="00607CBA" w:rsidRPr="005303F7">
        <w:rPr>
          <w:rFonts w:ascii="Times New Roman" w:hAnsi="Times New Roman"/>
          <w:sz w:val="24"/>
          <w:lang w:val="sr-Cyrl-CS"/>
        </w:rPr>
        <w:t>Табели</w:t>
      </w:r>
      <w:r w:rsidR="00DF4371" w:rsidRPr="005303F7">
        <w:rPr>
          <w:rFonts w:ascii="Times New Roman" w:hAnsi="Times New Roman"/>
          <w:sz w:val="24"/>
          <w:lang w:val="sr-Cyrl-CS"/>
        </w:rPr>
        <w:t xml:space="preserve"> 1</w:t>
      </w:r>
      <w:r w:rsidR="0029389F" w:rsidRPr="005303F7">
        <w:rPr>
          <w:rFonts w:ascii="Times New Roman" w:hAnsi="Times New Roman"/>
          <w:sz w:val="24"/>
          <w:lang w:val="sr-Cyrl-CS"/>
        </w:rPr>
        <w:t>.</w:t>
      </w:r>
    </w:p>
    <w:p w14:paraId="701D92E4" w14:textId="01FA8D42" w:rsidR="00D31C55" w:rsidRPr="005303F7" w:rsidRDefault="00607CBA" w:rsidP="00D805FC">
      <w:pPr>
        <w:spacing w:after="60"/>
        <w:rPr>
          <w:rFonts w:ascii="Times New Roman" w:hAnsi="Times New Roman"/>
          <w:b/>
          <w:bCs/>
          <w:i/>
          <w:iCs/>
          <w:szCs w:val="18"/>
          <w:lang w:val="sr-Cyrl-CS"/>
        </w:rPr>
      </w:pPr>
      <w:bookmarkStart w:id="137" w:name="_Ref21574923"/>
      <w:bookmarkStart w:id="138" w:name="_Toc26450873"/>
      <w:r w:rsidRPr="005303F7">
        <w:rPr>
          <w:rFonts w:ascii="Times New Roman" w:hAnsi="Times New Roman"/>
          <w:b/>
          <w:bCs/>
          <w:i/>
          <w:iCs/>
          <w:szCs w:val="18"/>
          <w:lang w:val="sr-Cyrl-CS"/>
        </w:rPr>
        <w:t>Табела</w:t>
      </w:r>
      <w:r w:rsidR="005E0E5D" w:rsidRPr="005303F7">
        <w:rPr>
          <w:rFonts w:ascii="Times New Roman" w:hAnsi="Times New Roman"/>
          <w:b/>
          <w:bCs/>
          <w:i/>
          <w:iCs/>
          <w:szCs w:val="18"/>
          <w:lang w:val="sr-Cyrl-CS"/>
        </w:rPr>
        <w:t xml:space="preserve"> </w:t>
      </w:r>
      <w:r w:rsidR="005E0E5D" w:rsidRPr="005303F7">
        <w:rPr>
          <w:rFonts w:ascii="Times New Roman" w:hAnsi="Times New Roman"/>
          <w:b/>
          <w:bCs/>
          <w:i/>
          <w:iCs/>
          <w:szCs w:val="18"/>
          <w:lang w:val="sr-Cyrl-CS"/>
        </w:rPr>
        <w:fldChar w:fldCharType="begin"/>
      </w:r>
      <w:r w:rsidR="005E0E5D" w:rsidRPr="005303F7">
        <w:rPr>
          <w:rFonts w:ascii="Times New Roman" w:hAnsi="Times New Roman"/>
          <w:b/>
          <w:bCs/>
          <w:i/>
          <w:iCs/>
          <w:szCs w:val="18"/>
          <w:lang w:val="sr-Cyrl-CS"/>
        </w:rPr>
        <w:instrText xml:space="preserve"> SEQ Table \* ARABIC </w:instrText>
      </w:r>
      <w:r w:rsidR="005E0E5D" w:rsidRPr="005303F7">
        <w:rPr>
          <w:rFonts w:ascii="Times New Roman" w:hAnsi="Times New Roman"/>
          <w:b/>
          <w:bCs/>
          <w:i/>
          <w:iCs/>
          <w:szCs w:val="18"/>
          <w:lang w:val="sr-Cyrl-CS"/>
        </w:rPr>
        <w:fldChar w:fldCharType="separate"/>
      </w:r>
      <w:r w:rsidR="00DA2595" w:rsidRPr="005303F7">
        <w:rPr>
          <w:rFonts w:ascii="Times New Roman" w:hAnsi="Times New Roman"/>
          <w:b/>
          <w:bCs/>
          <w:i/>
          <w:iCs/>
          <w:noProof/>
          <w:szCs w:val="18"/>
          <w:lang w:val="sr-Cyrl-CS"/>
        </w:rPr>
        <w:t>1</w:t>
      </w:r>
      <w:r w:rsidR="005E0E5D" w:rsidRPr="005303F7">
        <w:rPr>
          <w:rFonts w:ascii="Times New Roman" w:hAnsi="Times New Roman"/>
          <w:b/>
          <w:bCs/>
          <w:i/>
          <w:iCs/>
          <w:szCs w:val="18"/>
          <w:lang w:val="sr-Cyrl-CS"/>
        </w:rPr>
        <w:fldChar w:fldCharType="end"/>
      </w:r>
      <w:bookmarkEnd w:id="137"/>
      <w:r w:rsidR="00D31C55" w:rsidRPr="005303F7">
        <w:rPr>
          <w:rFonts w:ascii="Times New Roman" w:hAnsi="Times New Roman"/>
          <w:b/>
          <w:bCs/>
          <w:i/>
          <w:iCs/>
          <w:szCs w:val="18"/>
          <w:lang w:val="sr-Cyrl-CS"/>
        </w:rPr>
        <w:t xml:space="preserve">: </w:t>
      </w:r>
      <w:r w:rsidRPr="005303F7">
        <w:rPr>
          <w:rFonts w:ascii="Times New Roman" w:hAnsi="Times New Roman"/>
          <w:b/>
          <w:bCs/>
          <w:i/>
          <w:iCs/>
          <w:szCs w:val="18"/>
          <w:lang w:val="sr-Cyrl-CS"/>
        </w:rPr>
        <w:t>Потенцијал</w:t>
      </w:r>
      <w:r w:rsidR="00C3305C" w:rsidRPr="005303F7">
        <w:rPr>
          <w:rFonts w:ascii="Times New Roman" w:hAnsi="Times New Roman"/>
          <w:b/>
          <w:bCs/>
          <w:i/>
          <w:iCs/>
          <w:szCs w:val="18"/>
          <w:lang w:val="sr-Cyrl-CS"/>
        </w:rPr>
        <w:t xml:space="preserve"> </w:t>
      </w:r>
      <w:r w:rsidRPr="005303F7">
        <w:rPr>
          <w:rFonts w:ascii="Times New Roman" w:hAnsi="Times New Roman"/>
          <w:b/>
          <w:bCs/>
          <w:i/>
          <w:iCs/>
          <w:szCs w:val="18"/>
          <w:lang w:val="sr-Cyrl-CS"/>
        </w:rPr>
        <w:t>смањења</w:t>
      </w:r>
      <w:r w:rsidR="00C3305C" w:rsidRPr="005303F7">
        <w:rPr>
          <w:rFonts w:ascii="Times New Roman" w:hAnsi="Times New Roman"/>
          <w:b/>
          <w:bCs/>
          <w:i/>
          <w:iCs/>
          <w:szCs w:val="18"/>
          <w:lang w:val="sr-Cyrl-CS"/>
        </w:rPr>
        <w:t xml:space="preserve"> </w:t>
      </w:r>
      <w:r w:rsidRPr="005303F7">
        <w:rPr>
          <w:rFonts w:ascii="Times New Roman" w:hAnsi="Times New Roman"/>
          <w:b/>
          <w:bCs/>
          <w:i/>
          <w:iCs/>
          <w:szCs w:val="18"/>
          <w:lang w:val="sr-Cyrl-CS"/>
        </w:rPr>
        <w:t>емисија</w:t>
      </w:r>
      <w:r w:rsidR="00C3305C" w:rsidRPr="005303F7">
        <w:rPr>
          <w:rFonts w:ascii="Times New Roman" w:hAnsi="Times New Roman"/>
          <w:b/>
          <w:bCs/>
          <w:i/>
          <w:iCs/>
          <w:szCs w:val="18"/>
          <w:lang w:val="sr-Cyrl-CS"/>
        </w:rPr>
        <w:t xml:space="preserve"> </w:t>
      </w:r>
      <w:r w:rsidRPr="005303F7">
        <w:rPr>
          <w:rFonts w:ascii="Times New Roman" w:hAnsi="Times New Roman"/>
          <w:b/>
          <w:bCs/>
          <w:i/>
          <w:iCs/>
          <w:szCs w:val="18"/>
          <w:lang w:val="sr-Cyrl-CS"/>
        </w:rPr>
        <w:t>GHG</w:t>
      </w:r>
      <w:r w:rsidR="00C3305C" w:rsidRPr="005303F7">
        <w:rPr>
          <w:rFonts w:ascii="Times New Roman" w:hAnsi="Times New Roman"/>
          <w:b/>
          <w:bCs/>
          <w:i/>
          <w:iCs/>
          <w:szCs w:val="18"/>
          <w:lang w:val="sr-Cyrl-CS"/>
        </w:rPr>
        <w:t xml:space="preserve"> </w:t>
      </w:r>
      <w:r w:rsidRPr="005303F7">
        <w:rPr>
          <w:rFonts w:ascii="Times New Roman" w:hAnsi="Times New Roman"/>
          <w:b/>
          <w:bCs/>
          <w:i/>
          <w:iCs/>
          <w:szCs w:val="18"/>
          <w:lang w:val="sr-Cyrl-CS"/>
        </w:rPr>
        <w:t>према</w:t>
      </w:r>
      <w:r w:rsidR="00C3305C" w:rsidRPr="005303F7">
        <w:rPr>
          <w:rFonts w:ascii="Times New Roman" w:hAnsi="Times New Roman"/>
          <w:b/>
          <w:bCs/>
          <w:i/>
          <w:iCs/>
          <w:szCs w:val="18"/>
          <w:lang w:val="sr-Cyrl-CS"/>
        </w:rPr>
        <w:t xml:space="preserve"> </w:t>
      </w:r>
      <w:r w:rsidRPr="005303F7">
        <w:rPr>
          <w:rFonts w:ascii="Times New Roman" w:hAnsi="Times New Roman"/>
          <w:b/>
          <w:bCs/>
          <w:i/>
          <w:iCs/>
          <w:szCs w:val="18"/>
          <w:lang w:val="sr-Cyrl-CS"/>
        </w:rPr>
        <w:t>различитим</w:t>
      </w:r>
      <w:r w:rsidR="00C3305C" w:rsidRPr="005303F7">
        <w:rPr>
          <w:rFonts w:ascii="Times New Roman" w:hAnsi="Times New Roman"/>
          <w:b/>
          <w:bCs/>
          <w:i/>
          <w:iCs/>
          <w:szCs w:val="18"/>
          <w:lang w:val="sr-Cyrl-CS"/>
        </w:rPr>
        <w:t xml:space="preserve"> </w:t>
      </w:r>
      <w:r w:rsidRPr="005303F7">
        <w:rPr>
          <w:rFonts w:ascii="Times New Roman" w:hAnsi="Times New Roman"/>
          <w:b/>
          <w:bCs/>
          <w:i/>
          <w:iCs/>
          <w:szCs w:val="18"/>
          <w:lang w:val="sr-Cyrl-CS"/>
        </w:rPr>
        <w:t>сценаријим</w:t>
      </w:r>
      <w:bookmarkEnd w:id="138"/>
      <w:r w:rsidRPr="005303F7">
        <w:rPr>
          <w:rFonts w:ascii="Times New Roman" w:hAnsi="Times New Roman"/>
          <w:b/>
          <w:bCs/>
          <w:i/>
          <w:iCs/>
          <w:szCs w:val="18"/>
          <w:lang w:val="sr-Cyrl-CS"/>
        </w:rPr>
        <w:t>а</w:t>
      </w:r>
    </w:p>
    <w:tbl>
      <w:tblPr>
        <w:tblStyle w:val="TableGrid"/>
        <w:tblW w:w="0" w:type="auto"/>
        <w:tblLook w:val="04A0" w:firstRow="1" w:lastRow="0" w:firstColumn="1" w:lastColumn="0" w:noHBand="0" w:noVBand="1"/>
      </w:tblPr>
      <w:tblGrid>
        <w:gridCol w:w="1132"/>
        <w:gridCol w:w="1322"/>
        <w:gridCol w:w="1236"/>
        <w:gridCol w:w="1728"/>
        <w:gridCol w:w="1236"/>
        <w:gridCol w:w="1322"/>
        <w:gridCol w:w="1236"/>
      </w:tblGrid>
      <w:tr w:rsidR="00BF65FC" w:rsidRPr="005303F7" w14:paraId="52B77FB7" w14:textId="77777777" w:rsidTr="0029378D">
        <w:trPr>
          <w:trHeight w:val="1198"/>
        </w:trPr>
        <w:tc>
          <w:tcPr>
            <w:tcW w:w="1069" w:type="dxa"/>
            <w:shd w:val="clear" w:color="auto" w:fill="D9D9D9" w:themeFill="background1" w:themeFillShade="D9"/>
          </w:tcPr>
          <w:p w14:paraId="1A39AF53" w14:textId="0C47669B" w:rsidR="000C5DFD" w:rsidRPr="005303F7" w:rsidRDefault="00607CBA" w:rsidP="0029378D">
            <w:pPr>
              <w:spacing w:after="0"/>
              <w:rPr>
                <w:rFonts w:ascii="Times New Roman" w:hAnsi="Times New Roman"/>
                <w:lang w:val="sr-Cyrl-CS"/>
              </w:rPr>
            </w:pPr>
            <w:r w:rsidRPr="005303F7">
              <w:rPr>
                <w:rFonts w:ascii="Times New Roman" w:hAnsi="Times New Roman"/>
                <w:lang w:val="sr-Cyrl-CS"/>
              </w:rPr>
              <w:t>Сценарио</w:t>
            </w:r>
          </w:p>
        </w:tc>
        <w:tc>
          <w:tcPr>
            <w:tcW w:w="1323" w:type="dxa"/>
            <w:shd w:val="clear" w:color="auto" w:fill="D9D9D9" w:themeFill="background1" w:themeFillShade="D9"/>
          </w:tcPr>
          <w:p w14:paraId="3207B761" w14:textId="5DD23F87" w:rsidR="000C5DFD" w:rsidRPr="005303F7" w:rsidRDefault="00607CBA" w:rsidP="0029378D">
            <w:pPr>
              <w:spacing w:after="0"/>
              <w:jc w:val="left"/>
              <w:rPr>
                <w:rFonts w:ascii="Times New Roman" w:hAnsi="Times New Roman"/>
                <w:lang w:val="sr-Cyrl-CS"/>
              </w:rPr>
            </w:pPr>
            <w:r w:rsidRPr="005303F7">
              <w:rPr>
                <w:rFonts w:ascii="Times New Roman" w:hAnsi="Times New Roman"/>
                <w:lang w:val="sr-Cyrl-CS"/>
              </w:rPr>
              <w:t>Циљна</w:t>
            </w:r>
            <w:r w:rsidR="0066734D" w:rsidRPr="005303F7">
              <w:rPr>
                <w:rFonts w:ascii="Times New Roman" w:hAnsi="Times New Roman"/>
                <w:lang w:val="sr-Cyrl-CS"/>
              </w:rPr>
              <w:t xml:space="preserve"> </w:t>
            </w:r>
            <w:r w:rsidRPr="005303F7">
              <w:rPr>
                <w:rFonts w:ascii="Times New Roman" w:hAnsi="Times New Roman"/>
                <w:lang w:val="sr-Cyrl-CS"/>
              </w:rPr>
              <w:t>година</w:t>
            </w:r>
            <w:r w:rsidR="0066734D" w:rsidRPr="005303F7">
              <w:rPr>
                <w:rFonts w:ascii="Times New Roman" w:hAnsi="Times New Roman"/>
                <w:lang w:val="sr-Cyrl-CS"/>
              </w:rPr>
              <w:t xml:space="preserve"> / </w:t>
            </w:r>
            <w:r w:rsidRPr="005303F7">
              <w:rPr>
                <w:rFonts w:ascii="Times New Roman" w:hAnsi="Times New Roman"/>
                <w:lang w:val="sr-Cyrl-CS"/>
              </w:rPr>
              <w:t>година</w:t>
            </w:r>
            <w:r w:rsidR="0066734D" w:rsidRPr="005303F7">
              <w:rPr>
                <w:rFonts w:ascii="Times New Roman" w:hAnsi="Times New Roman"/>
                <w:lang w:val="sr-Cyrl-CS"/>
              </w:rPr>
              <w:t xml:space="preserve"> </w:t>
            </w:r>
            <w:r w:rsidRPr="005303F7">
              <w:rPr>
                <w:rFonts w:ascii="Times New Roman" w:hAnsi="Times New Roman"/>
                <w:lang w:val="sr-Cyrl-CS"/>
              </w:rPr>
              <w:t>за</w:t>
            </w:r>
            <w:r w:rsidR="0066734D" w:rsidRPr="005303F7">
              <w:rPr>
                <w:rFonts w:ascii="Times New Roman" w:hAnsi="Times New Roman"/>
                <w:lang w:val="sr-Cyrl-CS"/>
              </w:rPr>
              <w:t xml:space="preserve"> </w:t>
            </w:r>
            <w:r w:rsidRPr="005303F7">
              <w:rPr>
                <w:rFonts w:ascii="Times New Roman" w:hAnsi="Times New Roman"/>
                <w:lang w:val="sr-Cyrl-CS"/>
              </w:rPr>
              <w:t>поређење</w:t>
            </w:r>
          </w:p>
        </w:tc>
        <w:tc>
          <w:tcPr>
            <w:tcW w:w="1238" w:type="dxa"/>
            <w:shd w:val="clear" w:color="auto" w:fill="D9D9D9" w:themeFill="background1" w:themeFillShade="D9"/>
          </w:tcPr>
          <w:p w14:paraId="6D12CEDD" w14:textId="30782060" w:rsidR="000C5DFD" w:rsidRPr="005303F7" w:rsidRDefault="00607CBA" w:rsidP="0029378D">
            <w:pPr>
              <w:spacing w:after="0"/>
              <w:jc w:val="center"/>
              <w:rPr>
                <w:rFonts w:ascii="Times New Roman" w:hAnsi="Times New Roman"/>
                <w:lang w:val="sr-Cyrl-CS"/>
              </w:rPr>
            </w:pPr>
            <w:r w:rsidRPr="005303F7">
              <w:rPr>
                <w:rFonts w:ascii="Times New Roman" w:hAnsi="Times New Roman"/>
                <w:lang w:val="sr-Cyrl-CS"/>
              </w:rPr>
              <w:t>Смањење</w:t>
            </w:r>
            <w:r w:rsidR="0066734D" w:rsidRPr="005303F7">
              <w:rPr>
                <w:rFonts w:ascii="Times New Roman" w:hAnsi="Times New Roman"/>
                <w:lang w:val="sr-Cyrl-CS"/>
              </w:rPr>
              <w:t xml:space="preserve"> </w:t>
            </w:r>
            <w:r w:rsidRPr="005303F7">
              <w:rPr>
                <w:rFonts w:ascii="Times New Roman" w:hAnsi="Times New Roman"/>
                <w:lang w:val="sr-Cyrl-CS"/>
              </w:rPr>
              <w:t>емисија</w:t>
            </w:r>
            <w:r w:rsidR="0066734D" w:rsidRPr="005303F7">
              <w:rPr>
                <w:rFonts w:ascii="Times New Roman" w:hAnsi="Times New Roman"/>
                <w:lang w:val="sr-Cyrl-CS"/>
              </w:rPr>
              <w:t xml:space="preserve"> </w:t>
            </w:r>
            <w:r w:rsidRPr="005303F7">
              <w:rPr>
                <w:rFonts w:ascii="Times New Roman" w:hAnsi="Times New Roman"/>
                <w:lang w:val="sr-Cyrl-CS"/>
              </w:rPr>
              <w:t>GHG</w:t>
            </w:r>
            <w:r w:rsidR="000C5DFD" w:rsidRPr="005303F7">
              <w:rPr>
                <w:rFonts w:ascii="Times New Roman" w:hAnsi="Times New Roman"/>
                <w:lang w:val="sr-Cyrl-CS"/>
              </w:rPr>
              <w:t xml:space="preserve"> (%)</w:t>
            </w:r>
          </w:p>
        </w:tc>
        <w:tc>
          <w:tcPr>
            <w:tcW w:w="1734" w:type="dxa"/>
            <w:shd w:val="clear" w:color="auto" w:fill="D9D9D9" w:themeFill="background1" w:themeFillShade="D9"/>
          </w:tcPr>
          <w:p w14:paraId="0596F132" w14:textId="46469F02" w:rsidR="000C5DFD" w:rsidRPr="005303F7" w:rsidRDefault="00607CBA" w:rsidP="0029378D">
            <w:pPr>
              <w:spacing w:after="0"/>
              <w:jc w:val="center"/>
              <w:rPr>
                <w:rFonts w:ascii="Times New Roman" w:hAnsi="Times New Roman"/>
                <w:lang w:val="sr-Cyrl-CS"/>
              </w:rPr>
            </w:pPr>
            <w:r w:rsidRPr="005303F7">
              <w:rPr>
                <w:rFonts w:ascii="Times New Roman" w:hAnsi="Times New Roman"/>
                <w:lang w:val="sr-Cyrl-CS"/>
              </w:rPr>
              <w:t>Циљна</w:t>
            </w:r>
            <w:r w:rsidR="0066734D" w:rsidRPr="005303F7">
              <w:rPr>
                <w:rFonts w:ascii="Times New Roman" w:hAnsi="Times New Roman"/>
                <w:lang w:val="sr-Cyrl-CS"/>
              </w:rPr>
              <w:t xml:space="preserve"> </w:t>
            </w:r>
            <w:r w:rsidRPr="005303F7">
              <w:rPr>
                <w:rFonts w:ascii="Times New Roman" w:hAnsi="Times New Roman"/>
                <w:lang w:val="sr-Cyrl-CS"/>
              </w:rPr>
              <w:t>година</w:t>
            </w:r>
            <w:r w:rsidR="0066734D" w:rsidRPr="005303F7">
              <w:rPr>
                <w:rFonts w:ascii="Times New Roman" w:hAnsi="Times New Roman"/>
                <w:lang w:val="sr-Cyrl-CS"/>
              </w:rPr>
              <w:t xml:space="preserve"> / </w:t>
            </w:r>
            <w:r w:rsidRPr="005303F7">
              <w:rPr>
                <w:rFonts w:ascii="Times New Roman" w:hAnsi="Times New Roman"/>
                <w:lang w:val="sr-Cyrl-CS"/>
              </w:rPr>
              <w:t>година</w:t>
            </w:r>
            <w:r w:rsidR="0066734D" w:rsidRPr="005303F7">
              <w:rPr>
                <w:rFonts w:ascii="Times New Roman" w:hAnsi="Times New Roman"/>
                <w:lang w:val="sr-Cyrl-CS"/>
              </w:rPr>
              <w:t xml:space="preserve"> </w:t>
            </w:r>
            <w:r w:rsidRPr="005303F7">
              <w:rPr>
                <w:rFonts w:ascii="Times New Roman" w:hAnsi="Times New Roman"/>
                <w:lang w:val="sr-Cyrl-CS"/>
              </w:rPr>
              <w:t>за</w:t>
            </w:r>
            <w:r w:rsidR="0066734D" w:rsidRPr="005303F7">
              <w:rPr>
                <w:rFonts w:ascii="Times New Roman" w:hAnsi="Times New Roman"/>
                <w:lang w:val="sr-Cyrl-CS"/>
              </w:rPr>
              <w:t xml:space="preserve"> </w:t>
            </w:r>
            <w:r w:rsidRPr="005303F7">
              <w:rPr>
                <w:rFonts w:ascii="Times New Roman" w:hAnsi="Times New Roman"/>
                <w:lang w:val="sr-Cyrl-CS"/>
              </w:rPr>
              <w:t>поређење</w:t>
            </w:r>
          </w:p>
        </w:tc>
        <w:tc>
          <w:tcPr>
            <w:tcW w:w="1238" w:type="dxa"/>
            <w:shd w:val="clear" w:color="auto" w:fill="D9D9D9" w:themeFill="background1" w:themeFillShade="D9"/>
          </w:tcPr>
          <w:p w14:paraId="0AAFB6DA" w14:textId="3A2A5E80" w:rsidR="000C5DFD" w:rsidRPr="005303F7" w:rsidRDefault="00607CBA" w:rsidP="0029378D">
            <w:pPr>
              <w:spacing w:after="0"/>
              <w:jc w:val="center"/>
              <w:rPr>
                <w:rFonts w:ascii="Times New Roman" w:hAnsi="Times New Roman"/>
                <w:lang w:val="sr-Cyrl-CS"/>
              </w:rPr>
            </w:pPr>
            <w:r w:rsidRPr="005303F7">
              <w:rPr>
                <w:rFonts w:ascii="Times New Roman" w:hAnsi="Times New Roman"/>
                <w:lang w:val="sr-Cyrl-CS"/>
              </w:rPr>
              <w:t>Смањење</w:t>
            </w:r>
            <w:r w:rsidR="0066734D" w:rsidRPr="005303F7">
              <w:rPr>
                <w:rFonts w:ascii="Times New Roman" w:hAnsi="Times New Roman"/>
                <w:lang w:val="sr-Cyrl-CS"/>
              </w:rPr>
              <w:t xml:space="preserve"> </w:t>
            </w:r>
            <w:r w:rsidRPr="005303F7">
              <w:rPr>
                <w:rFonts w:ascii="Times New Roman" w:hAnsi="Times New Roman"/>
                <w:lang w:val="sr-Cyrl-CS"/>
              </w:rPr>
              <w:t>емисија</w:t>
            </w:r>
            <w:r w:rsidR="0066734D" w:rsidRPr="005303F7">
              <w:rPr>
                <w:rFonts w:ascii="Times New Roman" w:hAnsi="Times New Roman"/>
                <w:lang w:val="sr-Cyrl-CS"/>
              </w:rPr>
              <w:t xml:space="preserve"> </w:t>
            </w:r>
            <w:r w:rsidRPr="005303F7">
              <w:rPr>
                <w:rFonts w:ascii="Times New Roman" w:hAnsi="Times New Roman"/>
                <w:lang w:val="sr-Cyrl-CS"/>
              </w:rPr>
              <w:t>GHG</w:t>
            </w:r>
            <w:r w:rsidR="0066734D" w:rsidRPr="005303F7">
              <w:rPr>
                <w:rFonts w:ascii="Times New Roman" w:hAnsi="Times New Roman"/>
                <w:lang w:val="sr-Cyrl-CS"/>
              </w:rPr>
              <w:t xml:space="preserve"> (%)</w:t>
            </w:r>
          </w:p>
        </w:tc>
        <w:tc>
          <w:tcPr>
            <w:tcW w:w="1323" w:type="dxa"/>
            <w:shd w:val="clear" w:color="auto" w:fill="D9D9D9" w:themeFill="background1" w:themeFillShade="D9"/>
          </w:tcPr>
          <w:p w14:paraId="120678B4" w14:textId="63542DAD" w:rsidR="000C5DFD" w:rsidRPr="005303F7" w:rsidRDefault="00607CBA" w:rsidP="0029378D">
            <w:pPr>
              <w:spacing w:after="0"/>
              <w:jc w:val="center"/>
              <w:rPr>
                <w:rFonts w:ascii="Times New Roman" w:hAnsi="Times New Roman"/>
                <w:lang w:val="sr-Cyrl-CS"/>
              </w:rPr>
            </w:pPr>
            <w:r w:rsidRPr="005303F7">
              <w:rPr>
                <w:rFonts w:ascii="Times New Roman" w:hAnsi="Times New Roman"/>
                <w:lang w:val="sr-Cyrl-CS"/>
              </w:rPr>
              <w:t>Циљна</w:t>
            </w:r>
            <w:r w:rsidR="0066734D" w:rsidRPr="005303F7">
              <w:rPr>
                <w:rFonts w:ascii="Times New Roman" w:hAnsi="Times New Roman"/>
                <w:lang w:val="sr-Cyrl-CS"/>
              </w:rPr>
              <w:t xml:space="preserve"> </w:t>
            </w:r>
            <w:r w:rsidRPr="005303F7">
              <w:rPr>
                <w:rFonts w:ascii="Times New Roman" w:hAnsi="Times New Roman"/>
                <w:lang w:val="sr-Cyrl-CS"/>
              </w:rPr>
              <w:t>година</w:t>
            </w:r>
            <w:r w:rsidR="0066734D" w:rsidRPr="005303F7">
              <w:rPr>
                <w:rFonts w:ascii="Times New Roman" w:hAnsi="Times New Roman"/>
                <w:lang w:val="sr-Cyrl-CS"/>
              </w:rPr>
              <w:t xml:space="preserve"> / </w:t>
            </w:r>
            <w:r w:rsidRPr="005303F7">
              <w:rPr>
                <w:rFonts w:ascii="Times New Roman" w:hAnsi="Times New Roman"/>
                <w:lang w:val="sr-Cyrl-CS"/>
              </w:rPr>
              <w:t>година</w:t>
            </w:r>
            <w:r w:rsidR="0066734D" w:rsidRPr="005303F7">
              <w:rPr>
                <w:rFonts w:ascii="Times New Roman" w:hAnsi="Times New Roman"/>
                <w:lang w:val="sr-Cyrl-CS"/>
              </w:rPr>
              <w:t xml:space="preserve"> </w:t>
            </w:r>
            <w:r w:rsidRPr="005303F7">
              <w:rPr>
                <w:rFonts w:ascii="Times New Roman" w:hAnsi="Times New Roman"/>
                <w:lang w:val="sr-Cyrl-CS"/>
              </w:rPr>
              <w:t>за</w:t>
            </w:r>
            <w:r w:rsidR="0066734D" w:rsidRPr="005303F7">
              <w:rPr>
                <w:rFonts w:ascii="Times New Roman" w:hAnsi="Times New Roman"/>
                <w:lang w:val="sr-Cyrl-CS"/>
              </w:rPr>
              <w:t xml:space="preserve"> </w:t>
            </w:r>
            <w:r w:rsidRPr="005303F7">
              <w:rPr>
                <w:rFonts w:ascii="Times New Roman" w:hAnsi="Times New Roman"/>
                <w:lang w:val="sr-Cyrl-CS"/>
              </w:rPr>
              <w:t>поређење</w:t>
            </w:r>
          </w:p>
        </w:tc>
        <w:tc>
          <w:tcPr>
            <w:tcW w:w="1238" w:type="dxa"/>
            <w:shd w:val="clear" w:color="auto" w:fill="D9D9D9" w:themeFill="background1" w:themeFillShade="D9"/>
          </w:tcPr>
          <w:p w14:paraId="1D514B03" w14:textId="1AC275C8" w:rsidR="000C5DFD" w:rsidRPr="005303F7" w:rsidRDefault="00607CBA" w:rsidP="0029378D">
            <w:pPr>
              <w:spacing w:after="0"/>
              <w:jc w:val="left"/>
              <w:rPr>
                <w:rFonts w:ascii="Times New Roman" w:hAnsi="Times New Roman"/>
                <w:lang w:val="sr-Cyrl-CS"/>
              </w:rPr>
            </w:pPr>
            <w:r w:rsidRPr="005303F7">
              <w:rPr>
                <w:rFonts w:ascii="Times New Roman" w:hAnsi="Times New Roman"/>
                <w:lang w:val="sr-Cyrl-CS"/>
              </w:rPr>
              <w:t>Смањење</w:t>
            </w:r>
            <w:r w:rsidR="0066734D" w:rsidRPr="005303F7">
              <w:rPr>
                <w:rFonts w:ascii="Times New Roman" w:hAnsi="Times New Roman"/>
                <w:lang w:val="sr-Cyrl-CS"/>
              </w:rPr>
              <w:t xml:space="preserve"> </w:t>
            </w:r>
            <w:r w:rsidRPr="005303F7">
              <w:rPr>
                <w:rFonts w:ascii="Times New Roman" w:hAnsi="Times New Roman"/>
                <w:lang w:val="sr-Cyrl-CS"/>
              </w:rPr>
              <w:t>емисија</w:t>
            </w:r>
            <w:r w:rsidR="0066734D" w:rsidRPr="005303F7">
              <w:rPr>
                <w:rFonts w:ascii="Times New Roman" w:hAnsi="Times New Roman"/>
                <w:lang w:val="sr-Cyrl-CS"/>
              </w:rPr>
              <w:t xml:space="preserve"> </w:t>
            </w:r>
            <w:r w:rsidRPr="005303F7">
              <w:rPr>
                <w:rFonts w:ascii="Times New Roman" w:hAnsi="Times New Roman"/>
                <w:lang w:val="sr-Cyrl-CS"/>
              </w:rPr>
              <w:t>GHG</w:t>
            </w:r>
            <w:r w:rsidR="0066734D" w:rsidRPr="005303F7">
              <w:rPr>
                <w:rFonts w:ascii="Times New Roman" w:hAnsi="Times New Roman"/>
                <w:lang w:val="sr-Cyrl-CS"/>
              </w:rPr>
              <w:t xml:space="preserve"> (%)</w:t>
            </w:r>
          </w:p>
        </w:tc>
      </w:tr>
      <w:tr w:rsidR="00BF65FC" w:rsidRPr="005303F7" w14:paraId="4622440F" w14:textId="77777777" w:rsidTr="00644A97">
        <w:trPr>
          <w:trHeight w:val="339"/>
        </w:trPr>
        <w:tc>
          <w:tcPr>
            <w:tcW w:w="1069" w:type="dxa"/>
            <w:vMerge w:val="restart"/>
            <w:vAlign w:val="center"/>
          </w:tcPr>
          <w:p w14:paraId="64AB7036" w14:textId="312D3A3F" w:rsidR="000C5DFD" w:rsidRPr="005303F7" w:rsidRDefault="00607CBA" w:rsidP="0029378D">
            <w:pPr>
              <w:spacing w:before="60" w:after="60"/>
              <w:jc w:val="center"/>
              <w:rPr>
                <w:rFonts w:ascii="Times New Roman" w:hAnsi="Times New Roman"/>
                <w:lang w:val="sr-Cyrl-CS"/>
              </w:rPr>
            </w:pPr>
            <w:r w:rsidRPr="005303F7">
              <w:rPr>
                <w:rFonts w:ascii="Times New Roman" w:hAnsi="Times New Roman"/>
                <w:lang w:val="sr-Cyrl-CS"/>
              </w:rPr>
              <w:t>М</w:t>
            </w:r>
            <w:r w:rsidR="000C5DFD" w:rsidRPr="005303F7">
              <w:rPr>
                <w:rFonts w:ascii="Times New Roman" w:hAnsi="Times New Roman"/>
                <w:lang w:val="sr-Cyrl-CS"/>
              </w:rPr>
              <w:t>2</w:t>
            </w:r>
          </w:p>
        </w:tc>
        <w:tc>
          <w:tcPr>
            <w:tcW w:w="1323" w:type="dxa"/>
          </w:tcPr>
          <w:p w14:paraId="1FFCB491" w14:textId="4AE2F4F7"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2030/2010</w:t>
            </w:r>
            <w:r w:rsidR="005D3D81" w:rsidRPr="005303F7">
              <w:rPr>
                <w:rFonts w:ascii="Times New Roman" w:hAnsi="Times New Roman"/>
                <w:lang w:val="sr-Cyrl-CS"/>
              </w:rPr>
              <w:t>.</w:t>
            </w:r>
          </w:p>
        </w:tc>
        <w:tc>
          <w:tcPr>
            <w:tcW w:w="1238" w:type="dxa"/>
          </w:tcPr>
          <w:p w14:paraId="3CA7D633" w14:textId="77777777"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13,2</w:t>
            </w:r>
          </w:p>
        </w:tc>
        <w:tc>
          <w:tcPr>
            <w:tcW w:w="1734" w:type="dxa"/>
          </w:tcPr>
          <w:p w14:paraId="0DD12CDC" w14:textId="4A521B02"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2030/2005</w:t>
            </w:r>
            <w:r w:rsidR="005D3D81" w:rsidRPr="005303F7">
              <w:rPr>
                <w:rFonts w:ascii="Times New Roman" w:hAnsi="Times New Roman"/>
                <w:lang w:val="sr-Cyrl-CS"/>
              </w:rPr>
              <w:t>.</w:t>
            </w:r>
          </w:p>
        </w:tc>
        <w:tc>
          <w:tcPr>
            <w:tcW w:w="1238" w:type="dxa"/>
          </w:tcPr>
          <w:p w14:paraId="2CB2AE98" w14:textId="77777777"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20,1</w:t>
            </w:r>
          </w:p>
        </w:tc>
        <w:tc>
          <w:tcPr>
            <w:tcW w:w="1323" w:type="dxa"/>
          </w:tcPr>
          <w:p w14:paraId="5DE0B94F" w14:textId="42721AE2"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2030/1990</w:t>
            </w:r>
            <w:r w:rsidR="005D3D81" w:rsidRPr="005303F7">
              <w:rPr>
                <w:rFonts w:ascii="Times New Roman" w:hAnsi="Times New Roman"/>
                <w:lang w:val="sr-Cyrl-CS"/>
              </w:rPr>
              <w:t>.</w:t>
            </w:r>
          </w:p>
        </w:tc>
        <w:tc>
          <w:tcPr>
            <w:tcW w:w="1238" w:type="dxa"/>
          </w:tcPr>
          <w:p w14:paraId="1131FF77" w14:textId="164819EF"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3</w:t>
            </w:r>
            <w:r w:rsidR="006246D1" w:rsidRPr="005303F7">
              <w:rPr>
                <w:rFonts w:ascii="Times New Roman" w:hAnsi="Times New Roman"/>
                <w:lang w:val="sr-Cyrl-CS"/>
              </w:rPr>
              <w:t>3,3</w:t>
            </w:r>
          </w:p>
        </w:tc>
      </w:tr>
      <w:tr w:rsidR="00BF65FC" w:rsidRPr="005303F7" w14:paraId="694B755D" w14:textId="77777777" w:rsidTr="00644A97">
        <w:trPr>
          <w:trHeight w:val="181"/>
        </w:trPr>
        <w:tc>
          <w:tcPr>
            <w:tcW w:w="1069" w:type="dxa"/>
            <w:vMerge/>
          </w:tcPr>
          <w:p w14:paraId="2B99C665" w14:textId="77777777" w:rsidR="000C5DFD" w:rsidRPr="005303F7" w:rsidRDefault="000C5DFD" w:rsidP="0029378D">
            <w:pPr>
              <w:spacing w:before="60" w:after="60"/>
              <w:jc w:val="center"/>
              <w:rPr>
                <w:rFonts w:ascii="Times New Roman" w:hAnsi="Times New Roman"/>
                <w:lang w:val="sr-Cyrl-CS"/>
              </w:rPr>
            </w:pPr>
          </w:p>
        </w:tc>
        <w:tc>
          <w:tcPr>
            <w:tcW w:w="1323" w:type="dxa"/>
          </w:tcPr>
          <w:p w14:paraId="455CED74" w14:textId="7FDC8E61"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2050/2010</w:t>
            </w:r>
            <w:r w:rsidR="005D3D81" w:rsidRPr="005303F7">
              <w:rPr>
                <w:rFonts w:ascii="Times New Roman" w:hAnsi="Times New Roman"/>
                <w:lang w:val="sr-Cyrl-CS"/>
              </w:rPr>
              <w:t>.</w:t>
            </w:r>
            <w:r w:rsidRPr="005303F7">
              <w:rPr>
                <w:rFonts w:ascii="Times New Roman" w:hAnsi="Times New Roman"/>
                <w:lang w:val="sr-Cyrl-CS"/>
              </w:rPr>
              <w:t xml:space="preserve"> </w:t>
            </w:r>
          </w:p>
        </w:tc>
        <w:tc>
          <w:tcPr>
            <w:tcW w:w="1238" w:type="dxa"/>
          </w:tcPr>
          <w:p w14:paraId="190E5009" w14:textId="6C463520"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55</w:t>
            </w:r>
            <w:r w:rsidR="000576BD" w:rsidRPr="005303F7">
              <w:rPr>
                <w:rFonts w:ascii="Times New Roman" w:hAnsi="Times New Roman"/>
                <w:lang w:val="sr-Cyrl-CS"/>
              </w:rPr>
              <w:t>,0</w:t>
            </w:r>
          </w:p>
        </w:tc>
        <w:tc>
          <w:tcPr>
            <w:tcW w:w="1734" w:type="dxa"/>
          </w:tcPr>
          <w:p w14:paraId="55213B64" w14:textId="7AB69A80"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2050/2005</w:t>
            </w:r>
            <w:r w:rsidR="005D3D81" w:rsidRPr="005303F7">
              <w:rPr>
                <w:rFonts w:ascii="Times New Roman" w:hAnsi="Times New Roman"/>
                <w:lang w:val="sr-Cyrl-CS"/>
              </w:rPr>
              <w:t>.</w:t>
            </w:r>
          </w:p>
        </w:tc>
        <w:tc>
          <w:tcPr>
            <w:tcW w:w="1238" w:type="dxa"/>
          </w:tcPr>
          <w:p w14:paraId="76F04829" w14:textId="77777777"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58,6</w:t>
            </w:r>
          </w:p>
        </w:tc>
        <w:tc>
          <w:tcPr>
            <w:tcW w:w="1323" w:type="dxa"/>
          </w:tcPr>
          <w:p w14:paraId="7B0D4F1E" w14:textId="2E7E2273"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2050/1990</w:t>
            </w:r>
            <w:r w:rsidR="005D3D81" w:rsidRPr="005303F7">
              <w:rPr>
                <w:rFonts w:ascii="Times New Roman" w:hAnsi="Times New Roman"/>
                <w:lang w:val="sr-Cyrl-CS"/>
              </w:rPr>
              <w:t>.</w:t>
            </w:r>
          </w:p>
        </w:tc>
        <w:tc>
          <w:tcPr>
            <w:tcW w:w="1238" w:type="dxa"/>
          </w:tcPr>
          <w:p w14:paraId="48A12669" w14:textId="77777777"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65,4</w:t>
            </w:r>
          </w:p>
        </w:tc>
      </w:tr>
      <w:tr w:rsidR="00BF65FC" w:rsidRPr="005303F7" w14:paraId="3CD77529" w14:textId="77777777" w:rsidTr="00644A97">
        <w:trPr>
          <w:trHeight w:val="181"/>
        </w:trPr>
        <w:tc>
          <w:tcPr>
            <w:tcW w:w="1069" w:type="dxa"/>
            <w:vMerge w:val="restart"/>
          </w:tcPr>
          <w:p w14:paraId="0EE26E38" w14:textId="2F204C65" w:rsidR="000C5DFD" w:rsidRPr="005303F7" w:rsidRDefault="00607CBA" w:rsidP="0029378D">
            <w:pPr>
              <w:spacing w:before="60" w:after="60"/>
              <w:jc w:val="center"/>
              <w:rPr>
                <w:rFonts w:ascii="Times New Roman" w:hAnsi="Times New Roman"/>
                <w:lang w:val="sr-Cyrl-CS"/>
              </w:rPr>
            </w:pPr>
            <w:r w:rsidRPr="005303F7">
              <w:rPr>
                <w:rFonts w:ascii="Times New Roman" w:hAnsi="Times New Roman"/>
                <w:lang w:val="sr-Cyrl-CS"/>
              </w:rPr>
              <w:t>М</w:t>
            </w:r>
            <w:r w:rsidR="000C5DFD" w:rsidRPr="005303F7">
              <w:rPr>
                <w:rFonts w:ascii="Times New Roman" w:hAnsi="Times New Roman"/>
                <w:lang w:val="sr-Cyrl-CS"/>
              </w:rPr>
              <w:t>3</w:t>
            </w:r>
          </w:p>
        </w:tc>
        <w:tc>
          <w:tcPr>
            <w:tcW w:w="1323" w:type="dxa"/>
          </w:tcPr>
          <w:p w14:paraId="1FAB105F" w14:textId="4B4F1999"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203</w:t>
            </w:r>
            <w:r w:rsidR="003D4F2B" w:rsidRPr="005303F7">
              <w:rPr>
                <w:rFonts w:ascii="Times New Roman" w:hAnsi="Times New Roman"/>
                <w:lang w:val="sr-Cyrl-CS"/>
              </w:rPr>
              <w:t>0</w:t>
            </w:r>
            <w:r w:rsidRPr="005303F7">
              <w:rPr>
                <w:rFonts w:ascii="Times New Roman" w:hAnsi="Times New Roman"/>
                <w:lang w:val="sr-Cyrl-CS"/>
              </w:rPr>
              <w:t>/2010</w:t>
            </w:r>
            <w:r w:rsidR="005D3D81" w:rsidRPr="005303F7">
              <w:rPr>
                <w:rFonts w:ascii="Times New Roman" w:hAnsi="Times New Roman"/>
                <w:lang w:val="sr-Cyrl-CS"/>
              </w:rPr>
              <w:t>.</w:t>
            </w:r>
          </w:p>
        </w:tc>
        <w:tc>
          <w:tcPr>
            <w:tcW w:w="1238" w:type="dxa"/>
          </w:tcPr>
          <w:p w14:paraId="009FBE91" w14:textId="77777777"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28,7</w:t>
            </w:r>
          </w:p>
        </w:tc>
        <w:tc>
          <w:tcPr>
            <w:tcW w:w="1734" w:type="dxa"/>
          </w:tcPr>
          <w:p w14:paraId="0B5E810B" w14:textId="71704291"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2030/2005</w:t>
            </w:r>
            <w:r w:rsidR="005D3D81" w:rsidRPr="005303F7">
              <w:rPr>
                <w:rFonts w:ascii="Times New Roman" w:hAnsi="Times New Roman"/>
                <w:lang w:val="sr-Cyrl-CS"/>
              </w:rPr>
              <w:t>.</w:t>
            </w:r>
          </w:p>
        </w:tc>
        <w:tc>
          <w:tcPr>
            <w:tcW w:w="1238" w:type="dxa"/>
          </w:tcPr>
          <w:p w14:paraId="43893799" w14:textId="77777777"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34,4</w:t>
            </w:r>
          </w:p>
        </w:tc>
        <w:tc>
          <w:tcPr>
            <w:tcW w:w="1323" w:type="dxa"/>
          </w:tcPr>
          <w:p w14:paraId="0226BB32" w14:textId="37FC6128"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2030/1990</w:t>
            </w:r>
            <w:r w:rsidR="005D3D81" w:rsidRPr="005303F7">
              <w:rPr>
                <w:rFonts w:ascii="Times New Roman" w:hAnsi="Times New Roman"/>
                <w:lang w:val="sr-Cyrl-CS"/>
              </w:rPr>
              <w:t>.</w:t>
            </w:r>
          </w:p>
        </w:tc>
        <w:tc>
          <w:tcPr>
            <w:tcW w:w="1238" w:type="dxa"/>
          </w:tcPr>
          <w:p w14:paraId="22E8176D" w14:textId="77777777"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45,2</w:t>
            </w:r>
          </w:p>
        </w:tc>
      </w:tr>
      <w:tr w:rsidR="00BF65FC" w:rsidRPr="005303F7" w14:paraId="3C14C5AC" w14:textId="77777777" w:rsidTr="00644A97">
        <w:trPr>
          <w:trHeight w:val="181"/>
        </w:trPr>
        <w:tc>
          <w:tcPr>
            <w:tcW w:w="1069" w:type="dxa"/>
            <w:vMerge/>
          </w:tcPr>
          <w:p w14:paraId="30B67818" w14:textId="77777777" w:rsidR="000C5DFD" w:rsidRPr="005303F7" w:rsidRDefault="000C5DFD" w:rsidP="0029378D">
            <w:pPr>
              <w:spacing w:before="60" w:after="60"/>
              <w:jc w:val="center"/>
              <w:rPr>
                <w:rFonts w:ascii="Times New Roman" w:hAnsi="Times New Roman"/>
                <w:lang w:val="sr-Cyrl-CS"/>
              </w:rPr>
            </w:pPr>
          </w:p>
        </w:tc>
        <w:tc>
          <w:tcPr>
            <w:tcW w:w="1323" w:type="dxa"/>
          </w:tcPr>
          <w:p w14:paraId="6329EE28" w14:textId="3495CDE3"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2050/2010</w:t>
            </w:r>
            <w:r w:rsidR="005D3D81" w:rsidRPr="005303F7">
              <w:rPr>
                <w:rFonts w:ascii="Times New Roman" w:hAnsi="Times New Roman"/>
                <w:lang w:val="sr-Cyrl-CS"/>
              </w:rPr>
              <w:t>.</w:t>
            </w:r>
          </w:p>
        </w:tc>
        <w:tc>
          <w:tcPr>
            <w:tcW w:w="1238" w:type="dxa"/>
          </w:tcPr>
          <w:p w14:paraId="5AA272A2" w14:textId="77777777"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59,7</w:t>
            </w:r>
          </w:p>
        </w:tc>
        <w:tc>
          <w:tcPr>
            <w:tcW w:w="1734" w:type="dxa"/>
          </w:tcPr>
          <w:p w14:paraId="2514A598" w14:textId="4B17F71F"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2050/2005</w:t>
            </w:r>
            <w:r w:rsidR="005D3D81" w:rsidRPr="005303F7">
              <w:rPr>
                <w:rFonts w:ascii="Times New Roman" w:hAnsi="Times New Roman"/>
                <w:lang w:val="sr-Cyrl-CS"/>
              </w:rPr>
              <w:t>.</w:t>
            </w:r>
          </w:p>
        </w:tc>
        <w:tc>
          <w:tcPr>
            <w:tcW w:w="1238" w:type="dxa"/>
          </w:tcPr>
          <w:p w14:paraId="24216B8C" w14:textId="77777777"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62,9</w:t>
            </w:r>
          </w:p>
        </w:tc>
        <w:tc>
          <w:tcPr>
            <w:tcW w:w="1323" w:type="dxa"/>
          </w:tcPr>
          <w:p w14:paraId="31279D99" w14:textId="68280B07"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2050/1990</w:t>
            </w:r>
            <w:r w:rsidR="005D3D81" w:rsidRPr="005303F7">
              <w:rPr>
                <w:rFonts w:ascii="Times New Roman" w:hAnsi="Times New Roman"/>
                <w:lang w:val="sr-Cyrl-CS"/>
              </w:rPr>
              <w:t>.</w:t>
            </w:r>
          </w:p>
        </w:tc>
        <w:tc>
          <w:tcPr>
            <w:tcW w:w="1238" w:type="dxa"/>
          </w:tcPr>
          <w:p w14:paraId="57D5B1D9" w14:textId="1FEC37A9"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69</w:t>
            </w:r>
            <w:r w:rsidR="00FA298B" w:rsidRPr="005303F7">
              <w:rPr>
                <w:rFonts w:ascii="Times New Roman" w:hAnsi="Times New Roman"/>
                <w:lang w:val="sr-Cyrl-CS"/>
              </w:rPr>
              <w:t>,0</w:t>
            </w:r>
          </w:p>
        </w:tc>
      </w:tr>
      <w:tr w:rsidR="00BF65FC" w:rsidRPr="005303F7" w14:paraId="309B5785" w14:textId="77777777" w:rsidTr="00644A97">
        <w:trPr>
          <w:trHeight w:val="181"/>
        </w:trPr>
        <w:tc>
          <w:tcPr>
            <w:tcW w:w="1069" w:type="dxa"/>
            <w:vMerge w:val="restart"/>
          </w:tcPr>
          <w:p w14:paraId="03F02A49" w14:textId="051F7970" w:rsidR="000C5DFD" w:rsidRPr="005303F7" w:rsidRDefault="00607CBA" w:rsidP="0029378D">
            <w:pPr>
              <w:spacing w:before="60" w:after="60"/>
              <w:jc w:val="center"/>
              <w:rPr>
                <w:rFonts w:ascii="Times New Roman" w:hAnsi="Times New Roman"/>
                <w:lang w:val="sr-Cyrl-CS"/>
              </w:rPr>
            </w:pPr>
            <w:r w:rsidRPr="005303F7">
              <w:rPr>
                <w:rFonts w:ascii="Times New Roman" w:hAnsi="Times New Roman"/>
                <w:lang w:val="sr-Cyrl-CS"/>
              </w:rPr>
              <w:t>М</w:t>
            </w:r>
            <w:r w:rsidR="000C5DFD" w:rsidRPr="005303F7">
              <w:rPr>
                <w:rFonts w:ascii="Times New Roman" w:hAnsi="Times New Roman"/>
                <w:lang w:val="sr-Cyrl-CS"/>
              </w:rPr>
              <w:t>4</w:t>
            </w:r>
          </w:p>
        </w:tc>
        <w:tc>
          <w:tcPr>
            <w:tcW w:w="1323" w:type="dxa"/>
          </w:tcPr>
          <w:p w14:paraId="2F92DAFB" w14:textId="720845FE"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2030/2010</w:t>
            </w:r>
            <w:r w:rsidR="005D3D81" w:rsidRPr="005303F7">
              <w:rPr>
                <w:rFonts w:ascii="Times New Roman" w:hAnsi="Times New Roman"/>
                <w:lang w:val="sr-Cyrl-CS"/>
              </w:rPr>
              <w:t>.</w:t>
            </w:r>
          </w:p>
        </w:tc>
        <w:tc>
          <w:tcPr>
            <w:tcW w:w="1238" w:type="dxa"/>
          </w:tcPr>
          <w:p w14:paraId="2FE7AC52" w14:textId="77777777"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26,4</w:t>
            </w:r>
          </w:p>
        </w:tc>
        <w:tc>
          <w:tcPr>
            <w:tcW w:w="1734" w:type="dxa"/>
          </w:tcPr>
          <w:p w14:paraId="65CA9729" w14:textId="25911D26"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2030/2005</w:t>
            </w:r>
            <w:r w:rsidR="005D3D81" w:rsidRPr="005303F7">
              <w:rPr>
                <w:rFonts w:ascii="Times New Roman" w:hAnsi="Times New Roman"/>
                <w:lang w:val="sr-Cyrl-CS"/>
              </w:rPr>
              <w:t>.</w:t>
            </w:r>
          </w:p>
        </w:tc>
        <w:tc>
          <w:tcPr>
            <w:tcW w:w="1238" w:type="dxa"/>
          </w:tcPr>
          <w:p w14:paraId="2815E3C7" w14:textId="77777777"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32,2</w:t>
            </w:r>
          </w:p>
        </w:tc>
        <w:tc>
          <w:tcPr>
            <w:tcW w:w="1323" w:type="dxa"/>
          </w:tcPr>
          <w:p w14:paraId="6AD001A3" w14:textId="633C0107"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2030/1990</w:t>
            </w:r>
            <w:r w:rsidR="005D3D81" w:rsidRPr="005303F7">
              <w:rPr>
                <w:rFonts w:ascii="Times New Roman" w:hAnsi="Times New Roman"/>
                <w:lang w:val="sr-Cyrl-CS"/>
              </w:rPr>
              <w:t>.</w:t>
            </w:r>
          </w:p>
        </w:tc>
        <w:tc>
          <w:tcPr>
            <w:tcW w:w="1238" w:type="dxa"/>
          </w:tcPr>
          <w:p w14:paraId="48DBBAD5" w14:textId="77777777"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43,4</w:t>
            </w:r>
          </w:p>
        </w:tc>
      </w:tr>
      <w:tr w:rsidR="00BF65FC" w:rsidRPr="005303F7" w14:paraId="0D3F75D6" w14:textId="77777777" w:rsidTr="00644A97">
        <w:trPr>
          <w:trHeight w:val="181"/>
        </w:trPr>
        <w:tc>
          <w:tcPr>
            <w:tcW w:w="1069" w:type="dxa"/>
            <w:vMerge/>
          </w:tcPr>
          <w:p w14:paraId="5279507F" w14:textId="77777777" w:rsidR="000C5DFD" w:rsidRPr="005303F7" w:rsidRDefault="000C5DFD" w:rsidP="0029378D">
            <w:pPr>
              <w:spacing w:before="60" w:after="60"/>
              <w:rPr>
                <w:rFonts w:ascii="Times New Roman" w:hAnsi="Times New Roman"/>
                <w:lang w:val="sr-Cyrl-CS"/>
              </w:rPr>
            </w:pPr>
          </w:p>
        </w:tc>
        <w:tc>
          <w:tcPr>
            <w:tcW w:w="1323" w:type="dxa"/>
          </w:tcPr>
          <w:p w14:paraId="13120769" w14:textId="514BA7B3"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2050/2010</w:t>
            </w:r>
            <w:r w:rsidR="005D3D81" w:rsidRPr="005303F7">
              <w:rPr>
                <w:rFonts w:ascii="Times New Roman" w:hAnsi="Times New Roman"/>
                <w:lang w:val="sr-Cyrl-CS"/>
              </w:rPr>
              <w:t>.</w:t>
            </w:r>
          </w:p>
        </w:tc>
        <w:tc>
          <w:tcPr>
            <w:tcW w:w="1238" w:type="dxa"/>
          </w:tcPr>
          <w:p w14:paraId="35B2F082" w14:textId="77777777"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69,1</w:t>
            </w:r>
          </w:p>
        </w:tc>
        <w:tc>
          <w:tcPr>
            <w:tcW w:w="1734" w:type="dxa"/>
          </w:tcPr>
          <w:p w14:paraId="2CC168E5" w14:textId="6E4DC880"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2050</w:t>
            </w:r>
            <w:r w:rsidR="005D3D81" w:rsidRPr="005303F7">
              <w:rPr>
                <w:rFonts w:ascii="Times New Roman" w:hAnsi="Times New Roman"/>
                <w:lang w:val="sr-Cyrl-CS"/>
              </w:rPr>
              <w:t>.</w:t>
            </w:r>
            <w:r w:rsidRPr="005303F7">
              <w:rPr>
                <w:rFonts w:ascii="Times New Roman" w:hAnsi="Times New Roman"/>
                <w:lang w:val="sr-Cyrl-CS"/>
              </w:rPr>
              <w:t>/2005</w:t>
            </w:r>
            <w:r w:rsidR="005D3D81" w:rsidRPr="005303F7">
              <w:rPr>
                <w:rFonts w:ascii="Times New Roman" w:hAnsi="Times New Roman"/>
                <w:lang w:val="sr-Cyrl-CS"/>
              </w:rPr>
              <w:t>.</w:t>
            </w:r>
          </w:p>
        </w:tc>
        <w:tc>
          <w:tcPr>
            <w:tcW w:w="1238" w:type="dxa"/>
          </w:tcPr>
          <w:p w14:paraId="12E1DF7A" w14:textId="77777777"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71,6</w:t>
            </w:r>
          </w:p>
        </w:tc>
        <w:tc>
          <w:tcPr>
            <w:tcW w:w="1323" w:type="dxa"/>
          </w:tcPr>
          <w:p w14:paraId="7E470D54" w14:textId="5E6D638E"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2050/1990</w:t>
            </w:r>
            <w:r w:rsidR="005D3D81" w:rsidRPr="005303F7">
              <w:rPr>
                <w:rFonts w:ascii="Times New Roman" w:hAnsi="Times New Roman"/>
                <w:lang w:val="sr-Cyrl-CS"/>
              </w:rPr>
              <w:t>.</w:t>
            </w:r>
          </w:p>
        </w:tc>
        <w:tc>
          <w:tcPr>
            <w:tcW w:w="1238" w:type="dxa"/>
          </w:tcPr>
          <w:p w14:paraId="06D750B2" w14:textId="77777777" w:rsidR="000C5DFD" w:rsidRPr="005303F7" w:rsidRDefault="000C5DFD" w:rsidP="0029378D">
            <w:pPr>
              <w:spacing w:before="60" w:after="60"/>
              <w:jc w:val="right"/>
              <w:rPr>
                <w:rFonts w:ascii="Times New Roman" w:hAnsi="Times New Roman"/>
                <w:lang w:val="sr-Cyrl-CS"/>
              </w:rPr>
            </w:pPr>
            <w:r w:rsidRPr="005303F7">
              <w:rPr>
                <w:rFonts w:ascii="Times New Roman" w:hAnsi="Times New Roman"/>
                <w:lang w:val="sr-Cyrl-CS"/>
              </w:rPr>
              <w:t>76,2</w:t>
            </w:r>
          </w:p>
        </w:tc>
      </w:tr>
    </w:tbl>
    <w:p w14:paraId="59C3E30A" w14:textId="130A4C23" w:rsidR="00CD743F" w:rsidRPr="005303F7" w:rsidRDefault="0039680D" w:rsidP="00A84C8C">
      <w:pPr>
        <w:rPr>
          <w:rFonts w:ascii="Times New Roman" w:hAnsi="Times New Roman"/>
          <w:sz w:val="24"/>
          <w:szCs w:val="22"/>
          <w:shd w:val="clear" w:color="auto" w:fill="FFFFFF"/>
          <w:lang w:val="sr-Cyrl-CS"/>
        </w:rPr>
      </w:pPr>
      <w:r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682E1B"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зависности</w:t>
      </w:r>
      <w:r w:rsidR="00682E1B"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од</w:t>
      </w:r>
      <w:r w:rsidR="00682E1B"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сценарија</w:t>
      </w:r>
      <w:r w:rsidR="00682E1B"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ублажавања</w:t>
      </w:r>
      <w:r w:rsidR="00682E1B" w:rsidRPr="005303F7">
        <w:rPr>
          <w:rFonts w:ascii="Times New Roman" w:hAnsi="Times New Roman"/>
          <w:sz w:val="24"/>
          <w:szCs w:val="22"/>
          <w:lang w:val="sr-Cyrl-CS"/>
        </w:rPr>
        <w:t>,</w:t>
      </w:r>
      <w:r w:rsidR="00E5541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ниво</w:t>
      </w:r>
      <w:r w:rsidR="00682E1B"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емисија</w:t>
      </w:r>
      <w:r w:rsidR="00682E1B"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GHG</w:t>
      </w:r>
      <w:r w:rsidR="00682E1B"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E55411" w:rsidRPr="005303F7">
        <w:rPr>
          <w:rFonts w:ascii="Times New Roman" w:hAnsi="Times New Roman"/>
          <w:sz w:val="24"/>
          <w:szCs w:val="22"/>
          <w:lang w:val="sr-Cyrl-CS"/>
        </w:rPr>
        <w:t xml:space="preserve"> 2070</w:t>
      </w:r>
      <w:r w:rsidR="00682E1B" w:rsidRPr="005303F7">
        <w:rPr>
          <w:rFonts w:ascii="Times New Roman" w:hAnsi="Times New Roman"/>
          <w:sz w:val="24"/>
          <w:szCs w:val="22"/>
          <w:lang w:val="sr-Cyrl-CS"/>
        </w:rPr>
        <w:t>.</w:t>
      </w:r>
      <w:r w:rsidR="00E5541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ће</w:t>
      </w:r>
      <w:r w:rsidR="00682E1B"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бити</w:t>
      </w:r>
      <w:r w:rsidR="00E55411" w:rsidRPr="005303F7">
        <w:rPr>
          <w:rFonts w:ascii="Times New Roman" w:hAnsi="Times New Roman"/>
          <w:sz w:val="24"/>
          <w:szCs w:val="22"/>
          <w:lang w:val="sr-Cyrl-CS"/>
        </w:rPr>
        <w:t xml:space="preserve"> </w:t>
      </w:r>
      <w:r w:rsidR="00E55411" w:rsidRPr="005303F7">
        <w:rPr>
          <w:rFonts w:ascii="Times New Roman" w:hAnsi="Times New Roman"/>
          <w:sz w:val="24"/>
          <w:szCs w:val="22"/>
          <w:shd w:val="clear" w:color="auto" w:fill="FFFFFF"/>
          <w:lang w:val="sr-Cyrl-CS"/>
        </w:rPr>
        <w:t>22</w:t>
      </w:r>
      <w:r w:rsidR="0029378D" w:rsidRPr="005303F7">
        <w:rPr>
          <w:rFonts w:ascii="Times New Roman" w:hAnsi="Times New Roman"/>
          <w:sz w:val="24"/>
          <w:szCs w:val="22"/>
          <w:shd w:val="clear" w:color="auto" w:fill="FFFFFF"/>
          <w:lang w:val="sr-Cyrl-CS"/>
        </w:rPr>
        <w:t>,</w:t>
      </w:r>
      <w:r w:rsidR="00E55411" w:rsidRPr="005303F7">
        <w:rPr>
          <w:rFonts w:ascii="Times New Roman" w:hAnsi="Times New Roman"/>
          <w:sz w:val="24"/>
          <w:szCs w:val="22"/>
          <w:shd w:val="clear" w:color="auto" w:fill="FFFFFF"/>
          <w:lang w:val="sr-Cyrl-CS"/>
        </w:rPr>
        <w:t>917</w:t>
      </w:r>
      <w:r w:rsidR="00CD743F"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Мt</w:t>
      </w:r>
      <w:r w:rsidR="00CD743F"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CО</w:t>
      </w:r>
      <w:r w:rsidR="00CD743F" w:rsidRPr="005303F7">
        <w:rPr>
          <w:rFonts w:ascii="Times New Roman" w:hAnsi="Times New Roman"/>
          <w:sz w:val="24"/>
          <w:szCs w:val="22"/>
          <w:shd w:val="clear" w:color="auto" w:fill="FFFFFF"/>
          <w:vertAlign w:val="subscript"/>
          <w:lang w:val="sr-Cyrl-CS"/>
        </w:rPr>
        <w:t>2</w:t>
      </w:r>
      <w:r w:rsidR="00607CBA" w:rsidRPr="005303F7">
        <w:rPr>
          <w:rFonts w:ascii="Times New Roman" w:hAnsi="Times New Roman"/>
          <w:sz w:val="24"/>
          <w:szCs w:val="22"/>
          <w:shd w:val="clear" w:color="auto" w:fill="FFFFFF"/>
          <w:lang w:val="sr-Cyrl-CS"/>
        </w:rPr>
        <w:t>е</w:t>
      </w:r>
      <w:r w:rsidR="00CD743F" w:rsidRPr="005303F7">
        <w:rPr>
          <w:rFonts w:ascii="Times New Roman" w:hAnsi="Times New Roman"/>
          <w:sz w:val="24"/>
          <w:szCs w:val="22"/>
          <w:shd w:val="clear" w:color="auto" w:fill="FFFFFF"/>
          <w:lang w:val="sr-Cyrl-CS"/>
        </w:rPr>
        <w:t xml:space="preserve">q </w:t>
      </w:r>
      <w:r w:rsidR="00607CBA" w:rsidRPr="005303F7">
        <w:rPr>
          <w:rFonts w:ascii="Times New Roman" w:hAnsi="Times New Roman"/>
          <w:sz w:val="24"/>
          <w:szCs w:val="22"/>
          <w:shd w:val="clear" w:color="auto" w:fill="FFFFFF"/>
          <w:lang w:val="sr-Cyrl-CS"/>
        </w:rPr>
        <w:t>са</w:t>
      </w:r>
      <w:r w:rsidR="00682E1B"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сценаријом</w:t>
      </w:r>
      <w:r w:rsidR="00682E1B"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М</w:t>
      </w:r>
      <w:r w:rsidR="00682E1B" w:rsidRPr="005303F7">
        <w:rPr>
          <w:rFonts w:ascii="Times New Roman" w:hAnsi="Times New Roman"/>
          <w:sz w:val="24"/>
          <w:szCs w:val="22"/>
          <w:shd w:val="clear" w:color="auto" w:fill="FFFFFF"/>
          <w:lang w:val="sr-Cyrl-CS"/>
        </w:rPr>
        <w:t>1</w:t>
      </w:r>
      <w:r w:rsidR="00CD743F" w:rsidRPr="005303F7">
        <w:rPr>
          <w:rFonts w:ascii="Times New Roman" w:hAnsi="Times New Roman"/>
          <w:sz w:val="24"/>
          <w:szCs w:val="22"/>
          <w:shd w:val="clear" w:color="auto" w:fill="FFFFFF"/>
          <w:lang w:val="sr-Cyrl-CS"/>
        </w:rPr>
        <w:t>, 17</w:t>
      </w:r>
      <w:r w:rsidR="0029378D" w:rsidRPr="005303F7">
        <w:rPr>
          <w:rFonts w:ascii="Times New Roman" w:hAnsi="Times New Roman"/>
          <w:sz w:val="24"/>
          <w:szCs w:val="22"/>
          <w:shd w:val="clear" w:color="auto" w:fill="FFFFFF"/>
          <w:lang w:val="sr-Cyrl-CS"/>
        </w:rPr>
        <w:t>,</w:t>
      </w:r>
      <w:r w:rsidR="00CD743F" w:rsidRPr="005303F7">
        <w:rPr>
          <w:rFonts w:ascii="Times New Roman" w:hAnsi="Times New Roman"/>
          <w:sz w:val="24"/>
          <w:szCs w:val="22"/>
          <w:shd w:val="clear" w:color="auto" w:fill="FFFFFF"/>
          <w:lang w:val="sr-Cyrl-CS"/>
        </w:rPr>
        <w:t>309</w:t>
      </w:r>
      <w:r w:rsidR="00217ED5"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Мt</w:t>
      </w:r>
      <w:r w:rsidR="00217ED5"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CО</w:t>
      </w:r>
      <w:r w:rsidR="00217ED5" w:rsidRPr="005303F7">
        <w:rPr>
          <w:rFonts w:ascii="Times New Roman" w:hAnsi="Times New Roman"/>
          <w:sz w:val="24"/>
          <w:szCs w:val="22"/>
          <w:shd w:val="clear" w:color="auto" w:fill="FFFFFF"/>
          <w:vertAlign w:val="subscript"/>
          <w:lang w:val="sr-Cyrl-CS"/>
        </w:rPr>
        <w:t>2</w:t>
      </w:r>
      <w:r w:rsidR="00607CBA" w:rsidRPr="005303F7">
        <w:rPr>
          <w:rFonts w:ascii="Times New Roman" w:hAnsi="Times New Roman"/>
          <w:sz w:val="24"/>
          <w:szCs w:val="22"/>
          <w:shd w:val="clear" w:color="auto" w:fill="FFFFFF"/>
          <w:lang w:val="sr-Cyrl-CS"/>
        </w:rPr>
        <w:t>е</w:t>
      </w:r>
      <w:r w:rsidR="00217ED5" w:rsidRPr="005303F7">
        <w:rPr>
          <w:rFonts w:ascii="Times New Roman" w:hAnsi="Times New Roman"/>
          <w:sz w:val="24"/>
          <w:szCs w:val="22"/>
          <w:shd w:val="clear" w:color="auto" w:fill="FFFFFF"/>
          <w:lang w:val="sr-Cyrl-CS"/>
        </w:rPr>
        <w:t xml:space="preserve">q </w:t>
      </w:r>
      <w:r w:rsidR="00607CBA" w:rsidRPr="005303F7">
        <w:rPr>
          <w:rFonts w:ascii="Times New Roman" w:hAnsi="Times New Roman"/>
          <w:sz w:val="24"/>
          <w:szCs w:val="22"/>
          <w:shd w:val="clear" w:color="auto" w:fill="FFFFFF"/>
          <w:lang w:val="sr-Cyrl-CS"/>
        </w:rPr>
        <w:t>са</w:t>
      </w:r>
      <w:r w:rsidR="00217ED5"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М</w:t>
      </w:r>
      <w:r w:rsidR="00217ED5" w:rsidRPr="005303F7">
        <w:rPr>
          <w:rFonts w:ascii="Times New Roman" w:hAnsi="Times New Roman"/>
          <w:sz w:val="24"/>
          <w:szCs w:val="22"/>
          <w:shd w:val="clear" w:color="auto" w:fill="FFFFFF"/>
          <w:lang w:val="sr-Cyrl-CS"/>
        </w:rPr>
        <w:t>2, 9</w:t>
      </w:r>
      <w:r w:rsidR="0029378D" w:rsidRPr="005303F7">
        <w:rPr>
          <w:rFonts w:ascii="Times New Roman" w:hAnsi="Times New Roman"/>
          <w:sz w:val="24"/>
          <w:szCs w:val="22"/>
          <w:shd w:val="clear" w:color="auto" w:fill="FFFFFF"/>
          <w:lang w:val="sr-Cyrl-CS"/>
        </w:rPr>
        <w:t>,</w:t>
      </w:r>
      <w:r w:rsidR="00217ED5" w:rsidRPr="005303F7">
        <w:rPr>
          <w:rFonts w:ascii="Times New Roman" w:hAnsi="Times New Roman"/>
          <w:sz w:val="24"/>
          <w:szCs w:val="22"/>
          <w:shd w:val="clear" w:color="auto" w:fill="FFFFFF"/>
          <w:lang w:val="sr-Cyrl-CS"/>
        </w:rPr>
        <w:t xml:space="preserve">222 </w:t>
      </w:r>
      <w:r w:rsidR="00607CBA" w:rsidRPr="005303F7">
        <w:rPr>
          <w:rFonts w:ascii="Times New Roman" w:hAnsi="Times New Roman"/>
          <w:sz w:val="24"/>
          <w:szCs w:val="22"/>
          <w:shd w:val="clear" w:color="auto" w:fill="FFFFFF"/>
          <w:lang w:val="sr-Cyrl-CS"/>
        </w:rPr>
        <w:t>Мt</w:t>
      </w:r>
      <w:r w:rsidR="00217ED5"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CО</w:t>
      </w:r>
      <w:r w:rsidR="00217ED5" w:rsidRPr="005303F7">
        <w:rPr>
          <w:rFonts w:ascii="Times New Roman" w:hAnsi="Times New Roman"/>
          <w:sz w:val="24"/>
          <w:szCs w:val="22"/>
          <w:shd w:val="clear" w:color="auto" w:fill="FFFFFF"/>
          <w:vertAlign w:val="subscript"/>
          <w:lang w:val="sr-Cyrl-CS"/>
        </w:rPr>
        <w:t>2</w:t>
      </w:r>
      <w:r w:rsidR="00607CBA" w:rsidRPr="005303F7">
        <w:rPr>
          <w:rFonts w:ascii="Times New Roman" w:hAnsi="Times New Roman"/>
          <w:sz w:val="24"/>
          <w:szCs w:val="22"/>
          <w:shd w:val="clear" w:color="auto" w:fill="FFFFFF"/>
          <w:lang w:val="sr-Cyrl-CS"/>
        </w:rPr>
        <w:t>е</w:t>
      </w:r>
      <w:r w:rsidR="00217ED5" w:rsidRPr="005303F7">
        <w:rPr>
          <w:rFonts w:ascii="Times New Roman" w:hAnsi="Times New Roman"/>
          <w:sz w:val="24"/>
          <w:szCs w:val="22"/>
          <w:shd w:val="clear" w:color="auto" w:fill="FFFFFF"/>
          <w:lang w:val="sr-Cyrl-CS"/>
        </w:rPr>
        <w:t xml:space="preserve">q </w:t>
      </w:r>
      <w:r w:rsidR="00607CBA" w:rsidRPr="005303F7">
        <w:rPr>
          <w:rFonts w:ascii="Times New Roman" w:hAnsi="Times New Roman"/>
          <w:sz w:val="24"/>
          <w:szCs w:val="22"/>
          <w:shd w:val="clear" w:color="auto" w:fill="FFFFFF"/>
          <w:lang w:val="sr-Cyrl-CS"/>
        </w:rPr>
        <w:t>са</w:t>
      </w:r>
      <w:r w:rsidR="00217ED5"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М</w:t>
      </w:r>
      <w:r w:rsidR="00217ED5" w:rsidRPr="005303F7">
        <w:rPr>
          <w:rFonts w:ascii="Times New Roman" w:hAnsi="Times New Roman"/>
          <w:sz w:val="24"/>
          <w:szCs w:val="22"/>
          <w:shd w:val="clear" w:color="auto" w:fill="FFFFFF"/>
          <w:lang w:val="sr-Cyrl-CS"/>
        </w:rPr>
        <w:t xml:space="preserve">3 </w:t>
      </w:r>
      <w:r w:rsidR="00607CBA" w:rsidRPr="005303F7">
        <w:rPr>
          <w:rFonts w:ascii="Times New Roman" w:hAnsi="Times New Roman"/>
          <w:sz w:val="24"/>
          <w:szCs w:val="22"/>
          <w:shd w:val="clear" w:color="auto" w:fill="FFFFFF"/>
          <w:lang w:val="sr-Cyrl-CS"/>
        </w:rPr>
        <w:t>и</w:t>
      </w:r>
      <w:r w:rsidR="00217ED5" w:rsidRPr="005303F7">
        <w:rPr>
          <w:rFonts w:ascii="Times New Roman" w:hAnsi="Times New Roman"/>
          <w:sz w:val="24"/>
          <w:szCs w:val="22"/>
          <w:shd w:val="clear" w:color="auto" w:fill="FFFFFF"/>
          <w:lang w:val="sr-Cyrl-CS"/>
        </w:rPr>
        <w:t xml:space="preserve"> 7</w:t>
      </w:r>
      <w:r w:rsidR="0029378D" w:rsidRPr="005303F7">
        <w:rPr>
          <w:rFonts w:ascii="Times New Roman" w:hAnsi="Times New Roman"/>
          <w:sz w:val="24"/>
          <w:szCs w:val="22"/>
          <w:shd w:val="clear" w:color="auto" w:fill="FFFFFF"/>
          <w:lang w:val="sr-Cyrl-CS"/>
        </w:rPr>
        <w:t>,</w:t>
      </w:r>
      <w:r w:rsidR="00217ED5" w:rsidRPr="005303F7">
        <w:rPr>
          <w:rFonts w:ascii="Times New Roman" w:hAnsi="Times New Roman"/>
          <w:sz w:val="24"/>
          <w:szCs w:val="22"/>
          <w:shd w:val="clear" w:color="auto" w:fill="FFFFFF"/>
          <w:lang w:val="sr-Cyrl-CS"/>
        </w:rPr>
        <w:t>627</w:t>
      </w:r>
      <w:r w:rsidR="00DC374D"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Мt</w:t>
      </w:r>
      <w:r w:rsidR="00DC374D"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CО</w:t>
      </w:r>
      <w:r w:rsidR="00DC374D" w:rsidRPr="005303F7">
        <w:rPr>
          <w:rFonts w:ascii="Times New Roman" w:hAnsi="Times New Roman"/>
          <w:sz w:val="24"/>
          <w:szCs w:val="22"/>
          <w:shd w:val="clear" w:color="auto" w:fill="FFFFFF"/>
          <w:vertAlign w:val="subscript"/>
          <w:lang w:val="sr-Cyrl-CS"/>
        </w:rPr>
        <w:t>2</w:t>
      </w:r>
      <w:r w:rsidR="00607CBA" w:rsidRPr="005303F7">
        <w:rPr>
          <w:rFonts w:ascii="Times New Roman" w:hAnsi="Times New Roman"/>
          <w:sz w:val="24"/>
          <w:szCs w:val="22"/>
          <w:shd w:val="clear" w:color="auto" w:fill="FFFFFF"/>
          <w:lang w:val="sr-Cyrl-CS"/>
        </w:rPr>
        <w:t>е</w:t>
      </w:r>
      <w:r w:rsidR="00DC374D" w:rsidRPr="005303F7">
        <w:rPr>
          <w:rFonts w:ascii="Times New Roman" w:hAnsi="Times New Roman"/>
          <w:sz w:val="24"/>
          <w:szCs w:val="22"/>
          <w:shd w:val="clear" w:color="auto" w:fill="FFFFFF"/>
          <w:lang w:val="sr-Cyrl-CS"/>
        </w:rPr>
        <w:t xml:space="preserve">q </w:t>
      </w:r>
      <w:r w:rsidR="00607CBA" w:rsidRPr="005303F7">
        <w:rPr>
          <w:rFonts w:ascii="Times New Roman" w:hAnsi="Times New Roman"/>
          <w:sz w:val="24"/>
          <w:szCs w:val="22"/>
          <w:shd w:val="clear" w:color="auto" w:fill="FFFFFF"/>
          <w:lang w:val="sr-Cyrl-CS"/>
        </w:rPr>
        <w:t>са</w:t>
      </w:r>
      <w:r w:rsidR="00DC374D"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М</w:t>
      </w:r>
      <w:r w:rsidR="00DC374D" w:rsidRPr="005303F7">
        <w:rPr>
          <w:rFonts w:ascii="Times New Roman" w:hAnsi="Times New Roman"/>
          <w:sz w:val="24"/>
          <w:szCs w:val="22"/>
          <w:shd w:val="clear" w:color="auto" w:fill="FFFFFF"/>
          <w:lang w:val="sr-Cyrl-CS"/>
        </w:rPr>
        <w:t xml:space="preserve">4, </w:t>
      </w:r>
      <w:r w:rsidR="00607CBA" w:rsidRPr="005303F7">
        <w:rPr>
          <w:rFonts w:ascii="Times New Roman" w:hAnsi="Times New Roman"/>
          <w:sz w:val="24"/>
          <w:szCs w:val="22"/>
          <w:shd w:val="clear" w:color="auto" w:fill="FFFFFF"/>
          <w:lang w:val="sr-Cyrl-CS"/>
        </w:rPr>
        <w:t>док</w:t>
      </w:r>
      <w:r w:rsidR="00682E1B"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ће</w:t>
      </w:r>
      <w:r w:rsidR="00682E1B"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се</w:t>
      </w:r>
      <w:r w:rsidR="00682E1B"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уколико</w:t>
      </w:r>
      <w:r w:rsidR="00682E1B"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се</w:t>
      </w:r>
      <w:r w:rsidR="00682E1B"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не</w:t>
      </w:r>
      <w:r w:rsidR="00682E1B"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примене</w:t>
      </w:r>
      <w:r w:rsidR="00682E1B"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никакве</w:t>
      </w:r>
      <w:r w:rsidR="00682E1B"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мере</w:t>
      </w:r>
      <w:r w:rsidR="00682E1B"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попети</w:t>
      </w:r>
      <w:r w:rsidR="00682E1B"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на</w:t>
      </w:r>
      <w:r w:rsidR="00DC374D" w:rsidRPr="005303F7">
        <w:rPr>
          <w:rFonts w:ascii="Times New Roman" w:hAnsi="Times New Roman"/>
          <w:sz w:val="24"/>
          <w:szCs w:val="22"/>
          <w:shd w:val="clear" w:color="auto" w:fill="FFFFFF"/>
          <w:lang w:val="sr-Cyrl-CS"/>
        </w:rPr>
        <w:t xml:space="preserve"> 48</w:t>
      </w:r>
      <w:r w:rsidR="0029378D" w:rsidRPr="005303F7">
        <w:rPr>
          <w:rFonts w:ascii="Times New Roman" w:hAnsi="Times New Roman"/>
          <w:sz w:val="24"/>
          <w:szCs w:val="22"/>
          <w:shd w:val="clear" w:color="auto" w:fill="FFFFFF"/>
          <w:lang w:val="sr-Cyrl-CS"/>
        </w:rPr>
        <w:t>,</w:t>
      </w:r>
      <w:r w:rsidR="00DC374D" w:rsidRPr="005303F7">
        <w:rPr>
          <w:rFonts w:ascii="Times New Roman" w:hAnsi="Times New Roman"/>
          <w:sz w:val="24"/>
          <w:szCs w:val="22"/>
          <w:shd w:val="clear" w:color="auto" w:fill="FFFFFF"/>
          <w:lang w:val="sr-Cyrl-CS"/>
        </w:rPr>
        <w:t xml:space="preserve">002 </w:t>
      </w:r>
      <w:r w:rsidR="00607CBA" w:rsidRPr="005303F7">
        <w:rPr>
          <w:rFonts w:ascii="Times New Roman" w:hAnsi="Times New Roman"/>
          <w:sz w:val="24"/>
          <w:szCs w:val="22"/>
          <w:shd w:val="clear" w:color="auto" w:fill="FFFFFF"/>
          <w:lang w:val="sr-Cyrl-CS"/>
        </w:rPr>
        <w:t>Мt</w:t>
      </w:r>
      <w:r w:rsidR="00DC374D"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CО</w:t>
      </w:r>
      <w:r w:rsidR="00DC374D" w:rsidRPr="005303F7">
        <w:rPr>
          <w:rFonts w:ascii="Times New Roman" w:hAnsi="Times New Roman"/>
          <w:sz w:val="24"/>
          <w:szCs w:val="22"/>
          <w:shd w:val="clear" w:color="auto" w:fill="FFFFFF"/>
          <w:vertAlign w:val="subscript"/>
          <w:lang w:val="sr-Cyrl-CS"/>
        </w:rPr>
        <w:t>2</w:t>
      </w:r>
      <w:r w:rsidR="00607CBA" w:rsidRPr="005303F7">
        <w:rPr>
          <w:rFonts w:ascii="Times New Roman" w:hAnsi="Times New Roman"/>
          <w:sz w:val="24"/>
          <w:szCs w:val="22"/>
          <w:shd w:val="clear" w:color="auto" w:fill="FFFFFF"/>
          <w:lang w:val="sr-Cyrl-CS"/>
        </w:rPr>
        <w:t>е</w:t>
      </w:r>
      <w:r w:rsidR="00DC374D" w:rsidRPr="005303F7">
        <w:rPr>
          <w:rFonts w:ascii="Times New Roman" w:hAnsi="Times New Roman"/>
          <w:sz w:val="24"/>
          <w:szCs w:val="22"/>
          <w:shd w:val="clear" w:color="auto" w:fill="FFFFFF"/>
          <w:lang w:val="sr-Cyrl-CS"/>
        </w:rPr>
        <w:t>q (</w:t>
      </w:r>
      <w:r w:rsidR="00607CBA" w:rsidRPr="005303F7">
        <w:rPr>
          <w:rFonts w:ascii="Times New Roman" w:hAnsi="Times New Roman"/>
          <w:sz w:val="24"/>
          <w:szCs w:val="22"/>
          <w:shd w:val="clear" w:color="auto" w:fill="FFFFFF"/>
          <w:lang w:val="sr-Cyrl-CS"/>
        </w:rPr>
        <w:t>Б</w:t>
      </w:r>
      <w:r w:rsidR="00DC374D" w:rsidRPr="005303F7">
        <w:rPr>
          <w:rFonts w:ascii="Times New Roman" w:hAnsi="Times New Roman"/>
          <w:sz w:val="24"/>
          <w:szCs w:val="22"/>
          <w:shd w:val="clear" w:color="auto" w:fill="FFFFFF"/>
          <w:lang w:val="sr-Cyrl-CS"/>
        </w:rPr>
        <w:t xml:space="preserve">2 </w:t>
      </w:r>
      <w:r w:rsidR="00607CBA" w:rsidRPr="005303F7">
        <w:rPr>
          <w:rFonts w:ascii="Times New Roman" w:hAnsi="Times New Roman"/>
          <w:sz w:val="24"/>
          <w:szCs w:val="22"/>
          <w:shd w:val="clear" w:color="auto" w:fill="FFFFFF"/>
          <w:lang w:val="sr-Cyrl-CS"/>
        </w:rPr>
        <w:t>основни</w:t>
      </w:r>
      <w:r w:rsidR="00682E1B" w:rsidRPr="005303F7">
        <w:rPr>
          <w:rFonts w:ascii="Times New Roman" w:hAnsi="Times New Roman"/>
          <w:sz w:val="24"/>
          <w:szCs w:val="22"/>
          <w:shd w:val="clear" w:color="auto" w:fill="FFFFFF"/>
          <w:lang w:val="sr-Cyrl-CS"/>
        </w:rPr>
        <w:t xml:space="preserve"> </w:t>
      </w:r>
      <w:r w:rsidR="00607CBA" w:rsidRPr="005303F7">
        <w:rPr>
          <w:rFonts w:ascii="Times New Roman" w:hAnsi="Times New Roman"/>
          <w:sz w:val="24"/>
          <w:szCs w:val="22"/>
          <w:shd w:val="clear" w:color="auto" w:fill="FFFFFF"/>
          <w:lang w:val="sr-Cyrl-CS"/>
        </w:rPr>
        <w:t>сценарио</w:t>
      </w:r>
      <w:r w:rsidR="00DC374D" w:rsidRPr="005303F7">
        <w:rPr>
          <w:rFonts w:ascii="Times New Roman" w:hAnsi="Times New Roman"/>
          <w:sz w:val="24"/>
          <w:szCs w:val="22"/>
          <w:shd w:val="clear" w:color="auto" w:fill="FFFFFF"/>
          <w:lang w:val="sr-Cyrl-CS"/>
        </w:rPr>
        <w:t xml:space="preserve">). </w:t>
      </w:r>
    </w:p>
    <w:p w14:paraId="16620D64" w14:textId="368CAB00" w:rsidR="008F6C54" w:rsidRPr="005303F7" w:rsidRDefault="00607CBA" w:rsidP="00D93231">
      <w:pPr>
        <w:pStyle w:val="Heading2"/>
        <w:numPr>
          <w:ilvl w:val="1"/>
          <w:numId w:val="40"/>
        </w:numPr>
        <w:tabs>
          <w:tab w:val="clear" w:pos="3825"/>
          <w:tab w:val="left" w:pos="1134"/>
        </w:tabs>
        <w:rPr>
          <w:rFonts w:ascii="Times New Roman" w:hAnsi="Times New Roman" w:cs="Times New Roman"/>
          <w:szCs w:val="22"/>
          <w:lang w:val="sr-Cyrl-CS"/>
        </w:rPr>
      </w:pPr>
      <w:bookmarkStart w:id="139" w:name="_Toc26686101"/>
      <w:r w:rsidRPr="005303F7">
        <w:rPr>
          <w:rFonts w:ascii="Times New Roman" w:hAnsi="Times New Roman" w:cs="Times New Roman"/>
          <w:szCs w:val="22"/>
          <w:lang w:val="sr-Cyrl-CS"/>
        </w:rPr>
        <w:t>Трошкови</w:t>
      </w:r>
      <w:r w:rsidR="009D6067"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и</w:t>
      </w:r>
      <w:r w:rsidR="001A4AF8"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кључни</w:t>
      </w:r>
      <w:r w:rsidR="001A4AF8"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друштвени</w:t>
      </w:r>
      <w:r w:rsidR="001A4AF8"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економски</w:t>
      </w:r>
      <w:r w:rsidR="001A4AF8"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и</w:t>
      </w:r>
      <w:r w:rsidR="001A4AF8"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еколошки</w:t>
      </w:r>
      <w:r w:rsidR="001A4AF8"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индикатор</w:t>
      </w:r>
      <w:bookmarkEnd w:id="139"/>
      <w:r w:rsidRPr="005303F7">
        <w:rPr>
          <w:rFonts w:ascii="Times New Roman" w:hAnsi="Times New Roman" w:cs="Times New Roman"/>
          <w:szCs w:val="22"/>
          <w:lang w:val="sr-Cyrl-CS"/>
        </w:rPr>
        <w:t>и</w:t>
      </w:r>
    </w:p>
    <w:p w14:paraId="2E90C04A" w14:textId="1E62B55B" w:rsidR="005E69E0" w:rsidRPr="005303F7" w:rsidRDefault="00607CBA" w:rsidP="00D93231">
      <w:pPr>
        <w:pStyle w:val="Heading2"/>
        <w:numPr>
          <w:ilvl w:val="2"/>
          <w:numId w:val="40"/>
        </w:numPr>
        <w:tabs>
          <w:tab w:val="clear" w:pos="3825"/>
          <w:tab w:val="left" w:pos="1134"/>
        </w:tabs>
        <w:spacing w:before="240" w:after="120"/>
        <w:ind w:left="1434" w:hanging="1077"/>
        <w:rPr>
          <w:rFonts w:ascii="Times New Roman" w:hAnsi="Times New Roman" w:cs="Times New Roman"/>
          <w:szCs w:val="22"/>
          <w:lang w:val="sr-Cyrl-CS"/>
        </w:rPr>
      </w:pPr>
      <w:bookmarkStart w:id="140" w:name="_Toc26686102"/>
      <w:r w:rsidRPr="005303F7">
        <w:rPr>
          <w:rFonts w:ascii="Times New Roman" w:hAnsi="Times New Roman" w:cs="Times New Roman"/>
          <w:szCs w:val="22"/>
          <w:lang w:val="sr-Cyrl-CS"/>
        </w:rPr>
        <w:t>Трошков</w:t>
      </w:r>
      <w:bookmarkEnd w:id="140"/>
      <w:r w:rsidRPr="005303F7">
        <w:rPr>
          <w:rFonts w:ascii="Times New Roman" w:hAnsi="Times New Roman" w:cs="Times New Roman"/>
          <w:szCs w:val="22"/>
          <w:lang w:val="sr-Cyrl-CS"/>
        </w:rPr>
        <w:t>и</w:t>
      </w:r>
    </w:p>
    <w:p w14:paraId="73B1FDDA" w14:textId="74629EBB" w:rsidR="00A84C8C" w:rsidRPr="005303F7" w:rsidRDefault="0039680D" w:rsidP="00A84C8C">
      <w:pPr>
        <w:rPr>
          <w:rFonts w:ascii="Times New Roman" w:hAnsi="Times New Roman"/>
          <w:sz w:val="24"/>
          <w:szCs w:val="22"/>
          <w:lang w:val="sr-Cyrl-CS"/>
        </w:rPr>
      </w:pPr>
      <w:r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Сви</w:t>
      </w:r>
      <w:r w:rsidR="00A533B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сценарији</w:t>
      </w:r>
      <w:r w:rsidR="00A533B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w:t>
      </w:r>
      <w:r w:rsidR="00A533B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смањење</w:t>
      </w:r>
      <w:r w:rsidR="00A533B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емисија</w:t>
      </w:r>
      <w:r w:rsidR="00A533BD"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GHG</w:t>
      </w:r>
      <w:r w:rsidR="00A533B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повлаче</w:t>
      </w:r>
      <w:r w:rsidR="00A533B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w:t>
      </w:r>
      <w:r w:rsidR="00A533B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собом</w:t>
      </w:r>
      <w:r w:rsidR="00A533B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извесне</w:t>
      </w:r>
      <w:r w:rsidR="00A533B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трошкове</w:t>
      </w:r>
      <w:r w:rsidR="00A84C8C" w:rsidRPr="005303F7">
        <w:rPr>
          <w:rFonts w:ascii="Times New Roman" w:hAnsi="Times New Roman"/>
          <w:sz w:val="24"/>
          <w:szCs w:val="22"/>
          <w:lang w:val="sr-Cyrl-CS"/>
        </w:rPr>
        <w:t xml:space="preserve">. </w:t>
      </w:r>
    </w:p>
    <w:p w14:paraId="5CD7A8B1" w14:textId="1335EB42" w:rsidR="00A84C8C" w:rsidRPr="005303F7" w:rsidRDefault="0039680D" w:rsidP="00A84C8C">
      <w:pPr>
        <w:rPr>
          <w:rFonts w:ascii="Times New Roman" w:hAnsi="Times New Roman"/>
          <w:sz w:val="24"/>
          <w:szCs w:val="22"/>
          <w:lang w:val="sr-Cyrl-CS"/>
        </w:rPr>
      </w:pPr>
      <w:r w:rsidRPr="005303F7">
        <w:rPr>
          <w:rFonts w:ascii="Times New Roman" w:hAnsi="Times New Roman"/>
          <w:sz w:val="24"/>
          <w:szCs w:val="22"/>
          <w:lang w:val="sr-Cyrl-CS"/>
        </w:rPr>
        <w:lastRenderedPageBreak/>
        <w:t xml:space="preserve">            </w:t>
      </w:r>
      <w:r w:rsidR="00607CBA" w:rsidRPr="005303F7">
        <w:rPr>
          <w:rFonts w:ascii="Times New Roman" w:hAnsi="Times New Roman"/>
          <w:sz w:val="24"/>
          <w:szCs w:val="22"/>
          <w:lang w:val="sr-Cyrl-CS"/>
        </w:rPr>
        <w:t>Моделовање</w:t>
      </w:r>
      <w:r w:rsidR="0092111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показује</w:t>
      </w:r>
      <w:r w:rsidR="00EC614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да</w:t>
      </w:r>
      <w:r w:rsidR="00EC614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је</w:t>
      </w:r>
      <w:r w:rsidR="00EC614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w:t>
      </w:r>
      <w:r w:rsidR="00EC614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Србију</w:t>
      </w:r>
      <w:r w:rsidR="00EC6141" w:rsidRPr="005303F7">
        <w:rPr>
          <w:rFonts w:ascii="Times New Roman" w:hAnsi="Times New Roman"/>
          <w:sz w:val="24"/>
          <w:szCs w:val="22"/>
          <w:lang w:val="sr-Cyrl-CS"/>
        </w:rPr>
        <w:t xml:space="preserve"> </w:t>
      </w:r>
      <w:r w:rsidR="00607CBA" w:rsidRPr="005303F7">
        <w:rPr>
          <w:rFonts w:ascii="Times New Roman" w:hAnsi="Times New Roman"/>
          <w:b/>
          <w:sz w:val="24"/>
          <w:szCs w:val="22"/>
          <w:lang w:val="sr-Cyrl-CS"/>
        </w:rPr>
        <w:t>најскупљи</w:t>
      </w:r>
      <w:r w:rsidR="00EC614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сценарио</w:t>
      </w:r>
      <w:r w:rsidR="004C5E7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ако</w:t>
      </w:r>
      <w:r w:rsidR="004C5E7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приликом</w:t>
      </w:r>
      <w:r w:rsidR="004C5E7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доношења</w:t>
      </w:r>
      <w:r w:rsidR="004C5E7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стратешких</w:t>
      </w:r>
      <w:r w:rsidR="004C5E7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одлука</w:t>
      </w:r>
      <w:r w:rsidR="00EC614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игнорише</w:t>
      </w:r>
      <w:r w:rsidR="00EC614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трошкове</w:t>
      </w:r>
      <w:r w:rsidR="00EC614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везане</w:t>
      </w:r>
      <w:r w:rsidR="00EC614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w:t>
      </w:r>
      <w:r w:rsidR="00EC614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климатске</w:t>
      </w:r>
      <w:r w:rsidR="004C5E7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промене</w:t>
      </w:r>
      <w:r w:rsidR="00EC6141" w:rsidRPr="005303F7">
        <w:rPr>
          <w:rFonts w:ascii="Times New Roman" w:hAnsi="Times New Roman"/>
          <w:sz w:val="24"/>
          <w:szCs w:val="22"/>
          <w:lang w:val="sr-Cyrl-CS"/>
        </w:rPr>
        <w:t xml:space="preserve">, </w:t>
      </w:r>
      <w:r w:rsidR="00607CBA" w:rsidRPr="005303F7">
        <w:rPr>
          <w:rFonts w:ascii="Times New Roman" w:hAnsi="Times New Roman"/>
          <w:b/>
          <w:sz w:val="24"/>
          <w:szCs w:val="22"/>
          <w:lang w:val="sr-Cyrl-CS"/>
        </w:rPr>
        <w:t>настављају</w:t>
      </w:r>
      <w:r w:rsidR="000E1644" w:rsidRPr="005303F7">
        <w:rPr>
          <w:rFonts w:ascii="Times New Roman" w:hAnsi="Times New Roman"/>
          <w:b/>
          <w:sz w:val="24"/>
          <w:szCs w:val="22"/>
          <w:lang w:val="sr-Cyrl-CS"/>
        </w:rPr>
        <w:t>ћ</w:t>
      </w:r>
      <w:r w:rsidR="00607CBA" w:rsidRPr="005303F7">
        <w:rPr>
          <w:rFonts w:ascii="Times New Roman" w:hAnsi="Times New Roman"/>
          <w:b/>
          <w:sz w:val="24"/>
          <w:szCs w:val="22"/>
          <w:lang w:val="sr-Cyrl-CS"/>
        </w:rPr>
        <w:t>и</w:t>
      </w:r>
      <w:r w:rsidR="00370FB7" w:rsidRPr="005303F7">
        <w:rPr>
          <w:rFonts w:ascii="Times New Roman" w:hAnsi="Times New Roman"/>
          <w:b/>
          <w:sz w:val="24"/>
          <w:szCs w:val="22"/>
          <w:lang w:val="sr-Cyrl-CS"/>
        </w:rPr>
        <w:t xml:space="preserve"> </w:t>
      </w:r>
      <w:r w:rsidR="000576BD" w:rsidRPr="005303F7">
        <w:rPr>
          <w:rFonts w:ascii="Times New Roman" w:hAnsi="Times New Roman"/>
          <w:b/>
          <w:sz w:val="24"/>
          <w:szCs w:val="22"/>
          <w:lang w:val="sr-Cyrl-CS"/>
        </w:rPr>
        <w:t xml:space="preserve">путању емисија као што је </w:t>
      </w:r>
      <w:r w:rsidR="00607CBA" w:rsidRPr="005303F7">
        <w:rPr>
          <w:rFonts w:ascii="Times New Roman" w:hAnsi="Times New Roman"/>
          <w:b/>
          <w:sz w:val="24"/>
          <w:szCs w:val="22"/>
          <w:lang w:val="sr-Cyrl-CS"/>
        </w:rPr>
        <w:t>претпостављено</w:t>
      </w:r>
      <w:r w:rsidR="000576BD" w:rsidRPr="005303F7">
        <w:rPr>
          <w:rFonts w:ascii="Times New Roman" w:hAnsi="Times New Roman"/>
          <w:b/>
          <w:sz w:val="24"/>
          <w:szCs w:val="22"/>
          <w:lang w:val="sr-Cyrl-CS"/>
        </w:rPr>
        <w:t xml:space="preserve"> у</w:t>
      </w:r>
      <w:r w:rsidR="00370FB7"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основном</w:t>
      </w:r>
      <w:r w:rsidR="00370FB7"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сценарију</w:t>
      </w:r>
      <w:r w:rsidR="00EC6141"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Б</w:t>
      </w:r>
      <w:r w:rsidR="00370FB7" w:rsidRPr="005303F7">
        <w:rPr>
          <w:rFonts w:ascii="Times New Roman" w:hAnsi="Times New Roman"/>
          <w:b/>
          <w:sz w:val="24"/>
          <w:szCs w:val="22"/>
          <w:lang w:val="sr-Cyrl-CS"/>
        </w:rPr>
        <w:t>2</w:t>
      </w:r>
      <w:r w:rsidR="000576BD" w:rsidRPr="005303F7">
        <w:rPr>
          <w:rFonts w:ascii="Times New Roman" w:hAnsi="Times New Roman"/>
          <w:b/>
          <w:sz w:val="24"/>
          <w:szCs w:val="22"/>
          <w:lang w:val="sr-Cyrl-CS"/>
        </w:rPr>
        <w:t>,</w:t>
      </w:r>
      <w:r w:rsidR="000576BD" w:rsidRPr="005303F7">
        <w:rPr>
          <w:rFonts w:ascii="Times New Roman" w:hAnsi="Times New Roman"/>
          <w:sz w:val="24"/>
          <w:szCs w:val="22"/>
          <w:lang w:val="sr-Cyrl-CS"/>
        </w:rPr>
        <w:t xml:space="preserve"> уз улазак у ЕУ</w:t>
      </w:r>
      <w:r w:rsidR="00EC6141" w:rsidRPr="005303F7">
        <w:rPr>
          <w:rFonts w:ascii="Times New Roman" w:hAnsi="Times New Roman"/>
          <w:sz w:val="24"/>
          <w:szCs w:val="22"/>
          <w:lang w:val="sr-Cyrl-CS"/>
        </w:rPr>
        <w:t>.</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случају</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таквог</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нечињења</w:t>
      </w:r>
      <w:r w:rsidR="0035174D" w:rsidRPr="005303F7">
        <w:rPr>
          <w:rFonts w:ascii="Times New Roman" w:hAnsi="Times New Roman"/>
          <w:sz w:val="24"/>
          <w:szCs w:val="22"/>
          <w:lang w:val="sr-Cyrl-CS"/>
        </w:rPr>
        <w:t>”</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укупни</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додатни</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системски</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трошкови</w:t>
      </w:r>
      <w:r w:rsidR="00A15C20" w:rsidRPr="005303F7">
        <w:rPr>
          <w:rStyle w:val="FootnoteReference"/>
          <w:rFonts w:ascii="Times New Roman" w:hAnsi="Times New Roman"/>
          <w:sz w:val="18"/>
          <w:szCs w:val="22"/>
          <w:lang w:val="sr-Cyrl-CS"/>
        </w:rPr>
        <w:footnoteReference w:id="22"/>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енергетски</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сектор</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процењују</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се</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w:t>
      </w:r>
      <w:r w:rsidR="00E76E3E" w:rsidRPr="005303F7">
        <w:rPr>
          <w:rFonts w:ascii="Times New Roman" w:hAnsi="Times New Roman"/>
          <w:sz w:val="24"/>
          <w:szCs w:val="22"/>
          <w:lang w:val="sr-Cyrl-CS"/>
        </w:rPr>
        <w:t xml:space="preserve"> 1</w:t>
      </w:r>
      <w:r w:rsidR="005326FD" w:rsidRPr="005303F7">
        <w:rPr>
          <w:rFonts w:ascii="Times New Roman" w:hAnsi="Times New Roman"/>
          <w:sz w:val="24"/>
          <w:szCs w:val="22"/>
          <w:lang w:val="sr-Cyrl-CS"/>
        </w:rPr>
        <w:t>08</w:t>
      </w:r>
      <w:r w:rsidR="00E76E3E" w:rsidRPr="005303F7">
        <w:rPr>
          <w:rFonts w:ascii="Times New Roman" w:hAnsi="Times New Roman"/>
          <w:sz w:val="24"/>
          <w:szCs w:val="22"/>
          <w:lang w:val="sr-Cyrl-CS"/>
        </w:rPr>
        <w:t xml:space="preserve"> </w:t>
      </w:r>
      <w:r w:rsidR="005A4E6D" w:rsidRPr="005303F7">
        <w:rPr>
          <w:rFonts w:ascii="Times New Roman" w:hAnsi="Times New Roman"/>
          <w:sz w:val="24"/>
          <w:szCs w:val="22"/>
          <w:lang w:val="sr-Cyrl-CS"/>
        </w:rPr>
        <w:t xml:space="preserve">милијарди </w:t>
      </w:r>
      <w:r w:rsidR="00607CBA" w:rsidRPr="005303F7">
        <w:rPr>
          <w:rFonts w:ascii="Times New Roman" w:hAnsi="Times New Roman"/>
          <w:sz w:val="24"/>
          <w:szCs w:val="22"/>
          <w:lang w:val="sr-Cyrl-CS"/>
        </w:rPr>
        <w:t>евра</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периоду</w:t>
      </w:r>
      <w:r w:rsidR="00E76E3E" w:rsidRPr="005303F7">
        <w:rPr>
          <w:rFonts w:ascii="Times New Roman" w:hAnsi="Times New Roman"/>
          <w:sz w:val="24"/>
          <w:szCs w:val="22"/>
          <w:lang w:val="sr-Cyrl-CS"/>
        </w:rPr>
        <w:t xml:space="preserve"> 2020–2050. </w:t>
      </w:r>
      <w:r w:rsidR="00607CBA" w:rsidRPr="005303F7">
        <w:rPr>
          <w:rFonts w:ascii="Times New Roman" w:hAnsi="Times New Roman"/>
          <w:sz w:val="24"/>
          <w:szCs w:val="22"/>
          <w:lang w:val="sr-Cyrl-CS"/>
        </w:rPr>
        <w:t>године</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ЕU</w:t>
      </w:r>
      <w:r w:rsidR="00E76E3E" w:rsidRPr="005303F7">
        <w:rPr>
          <w:rFonts w:ascii="Times New Roman" w:hAnsi="Times New Roman"/>
          <w:sz w:val="24"/>
          <w:szCs w:val="22"/>
          <w:lang w:val="sr-Cyrl-CS"/>
        </w:rPr>
        <w:t>-</w:t>
      </w:r>
      <w:r w:rsidR="00607CBA" w:rsidRPr="005303F7">
        <w:rPr>
          <w:rFonts w:ascii="Times New Roman" w:hAnsi="Times New Roman"/>
          <w:sz w:val="24"/>
          <w:szCs w:val="22"/>
          <w:lang w:val="sr-Cyrl-CS"/>
        </w:rPr>
        <w:t>ЕТS</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трошкови</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емисије</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се</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примењују</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од</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претпостављеног</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датума</w:t>
      </w:r>
      <w:r w:rsidR="00E76E3E" w:rsidRPr="005303F7">
        <w:rPr>
          <w:rFonts w:ascii="Times New Roman" w:hAnsi="Times New Roman"/>
          <w:sz w:val="24"/>
          <w:szCs w:val="22"/>
          <w:lang w:val="sr-Cyrl-CS"/>
        </w:rPr>
        <w:t xml:space="preserve"> </w:t>
      </w:r>
      <w:r w:rsidR="005326FD" w:rsidRPr="005303F7">
        <w:rPr>
          <w:rFonts w:ascii="Times New Roman" w:hAnsi="Times New Roman"/>
          <w:sz w:val="24"/>
          <w:szCs w:val="22"/>
          <w:lang w:val="sr-Cyrl-CS"/>
        </w:rPr>
        <w:t>пуне имплементације</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w:t>
      </w:r>
      <w:r w:rsidR="005326FD" w:rsidRPr="005303F7">
        <w:rPr>
          <w:rFonts w:ascii="Times New Roman" w:hAnsi="Times New Roman"/>
          <w:sz w:val="24"/>
          <w:szCs w:val="22"/>
          <w:lang w:val="sr-Cyrl-CS"/>
        </w:rPr>
        <w:t>U-ETS</w:t>
      </w:r>
      <w:r w:rsidR="00E76E3E" w:rsidRPr="005303F7">
        <w:rPr>
          <w:rFonts w:ascii="Times New Roman" w:hAnsi="Times New Roman"/>
          <w:sz w:val="24"/>
          <w:szCs w:val="22"/>
          <w:lang w:val="sr-Cyrl-CS"/>
        </w:rPr>
        <w:t xml:space="preserve"> (20</w:t>
      </w:r>
      <w:r w:rsidR="005326FD" w:rsidRPr="005303F7">
        <w:rPr>
          <w:rFonts w:ascii="Times New Roman" w:hAnsi="Times New Roman"/>
          <w:sz w:val="24"/>
          <w:szCs w:val="22"/>
          <w:lang w:val="sr-Cyrl-CS"/>
        </w:rPr>
        <w:t>30</w:t>
      </w:r>
      <w:r w:rsidR="00A84C8C" w:rsidRPr="005303F7">
        <w:rPr>
          <w:rFonts w:ascii="Times New Roman" w:hAnsi="Times New Roman"/>
          <w:sz w:val="24"/>
          <w:szCs w:val="22"/>
          <w:lang w:val="sr-Cyrl-CS"/>
        </w:rPr>
        <w:t>).</w:t>
      </w:r>
    </w:p>
    <w:p w14:paraId="45D82EDC" w14:textId="77777777" w:rsidR="00DA2595" w:rsidRPr="005303F7" w:rsidRDefault="0039680D" w:rsidP="00DA2595">
      <w:pPr>
        <w:rPr>
          <w:rFonts w:ascii="Times New Roman" w:hAnsi="Times New Roman"/>
          <w:sz w:val="24"/>
          <w:lang w:val="sr-Cyrl-CS"/>
        </w:rPr>
      </w:pPr>
      <w:r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Графикон</w:t>
      </w:r>
      <w:r w:rsidR="00E76E3E" w:rsidRPr="005303F7">
        <w:rPr>
          <w:rFonts w:ascii="Times New Roman" w:hAnsi="Times New Roman"/>
          <w:sz w:val="24"/>
          <w:szCs w:val="22"/>
          <w:lang w:val="sr-Cyrl-CS"/>
        </w:rPr>
        <w:t xml:space="preserve"> </w:t>
      </w:r>
      <w:r w:rsidR="00BB0AA2" w:rsidRPr="005303F7">
        <w:rPr>
          <w:rFonts w:ascii="Times New Roman" w:hAnsi="Times New Roman"/>
          <w:sz w:val="24"/>
          <w:szCs w:val="22"/>
          <w:lang w:val="sr-Cyrl-CS"/>
        </w:rPr>
        <w:t>3</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показује</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да</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су</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ти</w:t>
      </w:r>
      <w:r w:rsidR="00A84C8C" w:rsidRPr="005303F7">
        <w:rPr>
          <w:rFonts w:ascii="Times New Roman" w:hAnsi="Times New Roman"/>
          <w:sz w:val="24"/>
          <w:szCs w:val="22"/>
          <w:lang w:val="sr-Cyrl-CS"/>
        </w:rPr>
        <w:t xml:space="preserve"> </w:t>
      </w:r>
      <w:r w:rsidR="00607CBA" w:rsidRPr="005303F7">
        <w:rPr>
          <w:rFonts w:ascii="Times New Roman" w:hAnsi="Times New Roman"/>
          <w:b/>
          <w:sz w:val="24"/>
          <w:szCs w:val="22"/>
          <w:lang w:val="sr-Cyrl-CS"/>
        </w:rPr>
        <w:t>системски</w:t>
      </w:r>
      <w:r w:rsidR="00E76E3E"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трошкови</w:t>
      </w:r>
      <w:r w:rsidR="00E76E3E" w:rsidRPr="005303F7">
        <w:rPr>
          <w:rFonts w:ascii="Times New Roman" w:hAnsi="Times New Roman"/>
          <w:b/>
          <w:sz w:val="24"/>
          <w:szCs w:val="22"/>
          <w:lang w:val="sr-Cyrl-CS"/>
        </w:rPr>
        <w:t xml:space="preserve"> </w:t>
      </w:r>
      <w:r w:rsidR="00D805FC" w:rsidRPr="005303F7">
        <w:rPr>
          <w:rFonts w:ascii="Times New Roman" w:hAnsi="Times New Roman"/>
          <w:b/>
          <w:sz w:val="24"/>
          <w:szCs w:val="22"/>
          <w:lang w:val="sr-Cyrl-CS"/>
        </w:rPr>
        <w:t xml:space="preserve"> </w:t>
      </w:r>
      <w:r w:rsidR="006525E7" w:rsidRPr="005303F7">
        <w:rPr>
          <w:rFonts w:ascii="Times New Roman" w:hAnsi="Times New Roman"/>
          <w:b/>
          <w:sz w:val="24"/>
          <w:szCs w:val="22"/>
          <w:lang w:val="sr-Cyrl-CS"/>
        </w:rPr>
        <w:t>„</w:t>
      </w:r>
      <w:r w:rsidR="00607CBA" w:rsidRPr="005303F7">
        <w:rPr>
          <w:rFonts w:ascii="Times New Roman" w:hAnsi="Times New Roman"/>
          <w:b/>
          <w:sz w:val="24"/>
          <w:szCs w:val="22"/>
          <w:lang w:val="sr-Cyrl-CS"/>
        </w:rPr>
        <w:t>неделовања</w:t>
      </w:r>
      <w:r w:rsidR="0035174D" w:rsidRPr="005303F7">
        <w:rPr>
          <w:rFonts w:ascii="Times New Roman" w:hAnsi="Times New Roman"/>
          <w:b/>
          <w:sz w:val="24"/>
          <w:szCs w:val="22"/>
          <w:lang w:val="sr-Cyrl-CS"/>
        </w:rPr>
        <w:t>”</w:t>
      </w:r>
      <w:r w:rsidR="00E76E3E"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виши</w:t>
      </w:r>
      <w:r w:rsidR="00E76E3E"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од</w:t>
      </w:r>
      <w:r w:rsidR="00E76E3E"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додатних</w:t>
      </w:r>
      <w:r w:rsidR="00E76E3E"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системских</w:t>
      </w:r>
      <w:r w:rsidR="00E76E3E"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трошкова</w:t>
      </w:r>
      <w:r w:rsidR="00E76E3E"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који</w:t>
      </w:r>
      <w:r w:rsidR="00E76E3E"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се</w:t>
      </w:r>
      <w:r w:rsidR="00E76E3E"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односе</w:t>
      </w:r>
      <w:r w:rsidR="00E76E3E"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на</w:t>
      </w:r>
      <w:r w:rsidR="00E76E3E"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активности</w:t>
      </w:r>
      <w:r w:rsidR="00E76E3E" w:rsidRPr="005303F7">
        <w:rPr>
          <w:rFonts w:ascii="Times New Roman" w:hAnsi="Times New Roman"/>
          <w:b/>
          <w:sz w:val="24"/>
          <w:szCs w:val="22"/>
          <w:lang w:val="sr-Cyrl-CS"/>
        </w:rPr>
        <w:t xml:space="preserve"> </w:t>
      </w:r>
      <w:r w:rsidR="005326FD" w:rsidRPr="005303F7">
        <w:rPr>
          <w:rFonts w:ascii="Times New Roman" w:hAnsi="Times New Roman"/>
          <w:b/>
          <w:sz w:val="24"/>
          <w:szCs w:val="22"/>
          <w:lang w:val="sr-Cyrl-CS"/>
        </w:rPr>
        <w:t xml:space="preserve">из М2 и М3 </w:t>
      </w:r>
      <w:r w:rsidR="00607CBA" w:rsidRPr="005303F7">
        <w:rPr>
          <w:rFonts w:ascii="Times New Roman" w:hAnsi="Times New Roman"/>
          <w:b/>
          <w:sz w:val="24"/>
          <w:szCs w:val="22"/>
          <w:lang w:val="sr-Cyrl-CS"/>
        </w:rPr>
        <w:t>сценарија</w:t>
      </w:r>
      <w:r w:rsidR="00E76E3E"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ублажавања</w:t>
      </w:r>
      <w:r w:rsidR="00AE606A" w:rsidRPr="005303F7">
        <w:rPr>
          <w:rFonts w:ascii="Times New Roman" w:hAnsi="Times New Roman"/>
          <w:b/>
          <w:sz w:val="24"/>
          <w:szCs w:val="22"/>
          <w:lang w:val="sr-Cyrl-CS"/>
        </w:rPr>
        <w:t xml:space="preserve">. </w:t>
      </w:r>
      <w:r w:rsidR="00607CBA" w:rsidRPr="005303F7">
        <w:rPr>
          <w:rFonts w:ascii="Times New Roman" w:hAnsi="Times New Roman"/>
          <w:sz w:val="24"/>
          <w:szCs w:val="22"/>
          <w:lang w:val="sr-Cyrl-CS"/>
        </w:rPr>
        <w:t>Додатни</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системски</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трошкови</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само</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0576BD" w:rsidRPr="005303F7">
        <w:rPr>
          <w:rFonts w:ascii="Times New Roman" w:hAnsi="Times New Roman"/>
          <w:sz w:val="24"/>
          <w:szCs w:val="22"/>
          <w:lang w:val="sr-Cyrl-CS"/>
        </w:rPr>
        <w:t xml:space="preserve"> сектору</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енергет</w:t>
      </w:r>
      <w:r w:rsidR="000576BD" w:rsidRPr="005303F7">
        <w:rPr>
          <w:rFonts w:ascii="Times New Roman" w:hAnsi="Times New Roman"/>
          <w:sz w:val="24"/>
          <w:szCs w:val="22"/>
          <w:lang w:val="sr-Cyrl-CS"/>
        </w:rPr>
        <w:t>ике</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случају</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не</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предузимања</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никаквих</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мера</w:t>
      </w:r>
      <w:r w:rsidR="00A84C8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су</w:t>
      </w:r>
      <w:r w:rsidR="00E76E3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w:t>
      </w:r>
      <w:r w:rsidR="00A84C8C" w:rsidRPr="005303F7">
        <w:rPr>
          <w:rFonts w:ascii="Times New Roman" w:hAnsi="Times New Roman"/>
          <w:sz w:val="24"/>
          <w:szCs w:val="22"/>
          <w:lang w:val="sr-Cyrl-CS"/>
        </w:rPr>
        <w:t xml:space="preserve"> </w:t>
      </w:r>
      <w:r w:rsidR="005326FD" w:rsidRPr="005303F7">
        <w:rPr>
          <w:rFonts w:ascii="Times New Roman" w:hAnsi="Times New Roman"/>
          <w:b/>
          <w:sz w:val="24"/>
          <w:szCs w:val="22"/>
          <w:lang w:val="sr-Cyrl-CS"/>
        </w:rPr>
        <w:t>48</w:t>
      </w:r>
      <w:r w:rsidR="00E76E3E" w:rsidRPr="005303F7">
        <w:rPr>
          <w:rFonts w:ascii="Times New Roman" w:hAnsi="Times New Roman"/>
          <w:b/>
          <w:sz w:val="24"/>
          <w:szCs w:val="22"/>
          <w:lang w:val="sr-Cyrl-CS"/>
        </w:rPr>
        <w:t xml:space="preserve"> </w:t>
      </w:r>
      <w:r w:rsidRPr="005303F7">
        <w:rPr>
          <w:rFonts w:ascii="Times New Roman" w:hAnsi="Times New Roman"/>
          <w:b/>
          <w:sz w:val="24"/>
          <w:szCs w:val="22"/>
          <w:lang w:val="sr-Cyrl-CS"/>
        </w:rPr>
        <w:t>милијарди</w:t>
      </w:r>
      <w:r w:rsidR="00E76E3E"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евра</w:t>
      </w:r>
      <w:r w:rsidR="00A84C8C"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виши</w:t>
      </w:r>
      <w:r w:rsidR="00E76E3E"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него</w:t>
      </w:r>
      <w:r w:rsidR="00E76E3E"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додатни</w:t>
      </w:r>
      <w:r w:rsidR="00E76E3E"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системски</w:t>
      </w:r>
      <w:r w:rsidR="00E76E3E"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трошкови</w:t>
      </w:r>
      <w:r w:rsidR="00E76E3E"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у</w:t>
      </w:r>
      <w:r w:rsidR="00E76E3E"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свим</w:t>
      </w:r>
      <w:r w:rsidR="00E76E3E"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секторима</w:t>
      </w:r>
      <w:r w:rsidR="00E76E3E"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у</w:t>
      </w:r>
      <w:r w:rsidR="00E76E3E"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сценарију</w:t>
      </w:r>
      <w:r w:rsidR="00E76E3E"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М</w:t>
      </w:r>
      <w:r w:rsidR="00E76E3E" w:rsidRPr="005303F7">
        <w:rPr>
          <w:rFonts w:ascii="Times New Roman" w:hAnsi="Times New Roman"/>
          <w:b/>
          <w:sz w:val="24"/>
          <w:szCs w:val="22"/>
          <w:lang w:val="sr-Cyrl-CS"/>
        </w:rPr>
        <w:t>2,</w:t>
      </w:r>
      <w:r w:rsidR="00415473" w:rsidRPr="005303F7">
        <w:rPr>
          <w:rFonts w:ascii="Times New Roman" w:hAnsi="Times New Roman"/>
          <w:b/>
          <w:sz w:val="24"/>
          <w:szCs w:val="22"/>
          <w:lang w:val="sr-Cyrl-CS"/>
        </w:rPr>
        <w:t xml:space="preserve"> </w:t>
      </w:r>
      <w:r w:rsidR="00A84C8C" w:rsidRPr="005303F7">
        <w:rPr>
          <w:rFonts w:ascii="Times New Roman" w:hAnsi="Times New Roman"/>
          <w:b/>
          <w:sz w:val="24"/>
          <w:lang w:val="sr-Cyrl-CS"/>
        </w:rPr>
        <w:t>3</w:t>
      </w:r>
      <w:r w:rsidR="005326FD" w:rsidRPr="005303F7">
        <w:rPr>
          <w:rFonts w:ascii="Times New Roman" w:hAnsi="Times New Roman"/>
          <w:b/>
          <w:sz w:val="24"/>
          <w:lang w:val="sr-Cyrl-CS"/>
        </w:rPr>
        <w:t>2</w:t>
      </w:r>
      <w:r w:rsidR="00A84C8C" w:rsidRPr="005303F7">
        <w:rPr>
          <w:rFonts w:ascii="Times New Roman" w:hAnsi="Times New Roman"/>
          <w:b/>
          <w:sz w:val="24"/>
          <w:lang w:val="sr-Cyrl-CS"/>
        </w:rPr>
        <w:t xml:space="preserve"> </w:t>
      </w:r>
      <w:r w:rsidRPr="005303F7">
        <w:rPr>
          <w:rFonts w:ascii="Times New Roman" w:hAnsi="Times New Roman"/>
          <w:b/>
          <w:sz w:val="24"/>
          <w:lang w:val="sr-Cyrl-CS"/>
        </w:rPr>
        <w:t>милијарди</w:t>
      </w:r>
      <w:r w:rsidR="00E76E3E" w:rsidRPr="005303F7">
        <w:rPr>
          <w:rFonts w:ascii="Times New Roman" w:hAnsi="Times New Roman"/>
          <w:b/>
          <w:sz w:val="24"/>
          <w:lang w:val="sr-Cyrl-CS"/>
        </w:rPr>
        <w:t xml:space="preserve"> </w:t>
      </w:r>
      <w:r w:rsidR="00607CBA" w:rsidRPr="005303F7">
        <w:rPr>
          <w:rFonts w:ascii="Times New Roman" w:hAnsi="Times New Roman"/>
          <w:b/>
          <w:sz w:val="24"/>
          <w:lang w:val="sr-Cyrl-CS"/>
        </w:rPr>
        <w:t>евра</w:t>
      </w:r>
      <w:r w:rsidR="00E76E3E" w:rsidRPr="005303F7">
        <w:rPr>
          <w:rFonts w:ascii="Times New Roman" w:hAnsi="Times New Roman"/>
          <w:b/>
          <w:sz w:val="24"/>
          <w:lang w:val="sr-Cyrl-CS"/>
        </w:rPr>
        <w:t xml:space="preserve"> </w:t>
      </w:r>
      <w:r w:rsidR="00607CBA" w:rsidRPr="005303F7">
        <w:rPr>
          <w:rFonts w:ascii="Times New Roman" w:hAnsi="Times New Roman"/>
          <w:b/>
          <w:sz w:val="24"/>
          <w:lang w:val="sr-Cyrl-CS"/>
        </w:rPr>
        <w:t>виши</w:t>
      </w:r>
      <w:r w:rsidR="00E76E3E" w:rsidRPr="005303F7">
        <w:rPr>
          <w:rFonts w:ascii="Times New Roman" w:hAnsi="Times New Roman"/>
          <w:b/>
          <w:sz w:val="24"/>
          <w:lang w:val="sr-Cyrl-CS"/>
        </w:rPr>
        <w:t xml:space="preserve"> </w:t>
      </w:r>
      <w:r w:rsidR="00607CBA" w:rsidRPr="005303F7">
        <w:rPr>
          <w:rFonts w:ascii="Times New Roman" w:hAnsi="Times New Roman"/>
          <w:b/>
          <w:sz w:val="24"/>
          <w:lang w:val="sr-Cyrl-CS"/>
        </w:rPr>
        <w:t>него</w:t>
      </w:r>
      <w:r w:rsidR="00E76E3E" w:rsidRPr="005303F7">
        <w:rPr>
          <w:rFonts w:ascii="Times New Roman" w:hAnsi="Times New Roman"/>
          <w:b/>
          <w:sz w:val="24"/>
          <w:lang w:val="sr-Cyrl-CS"/>
        </w:rPr>
        <w:t xml:space="preserve"> </w:t>
      </w:r>
      <w:r w:rsidR="00607CBA" w:rsidRPr="005303F7">
        <w:rPr>
          <w:rFonts w:ascii="Times New Roman" w:hAnsi="Times New Roman"/>
          <w:b/>
          <w:sz w:val="24"/>
          <w:lang w:val="sr-Cyrl-CS"/>
        </w:rPr>
        <w:t>у</w:t>
      </w:r>
      <w:r w:rsidR="00E76E3E" w:rsidRPr="005303F7">
        <w:rPr>
          <w:rFonts w:ascii="Times New Roman" w:hAnsi="Times New Roman"/>
          <w:b/>
          <w:sz w:val="24"/>
          <w:lang w:val="sr-Cyrl-CS"/>
        </w:rPr>
        <w:t xml:space="preserve"> </w:t>
      </w:r>
      <w:r w:rsidR="00607CBA" w:rsidRPr="005303F7">
        <w:rPr>
          <w:rFonts w:ascii="Times New Roman" w:hAnsi="Times New Roman"/>
          <w:b/>
          <w:sz w:val="24"/>
          <w:lang w:val="sr-Cyrl-CS"/>
        </w:rPr>
        <w:t>М</w:t>
      </w:r>
      <w:r w:rsidR="00E76E3E" w:rsidRPr="005303F7">
        <w:rPr>
          <w:rFonts w:ascii="Times New Roman" w:hAnsi="Times New Roman"/>
          <w:b/>
          <w:sz w:val="24"/>
          <w:lang w:val="sr-Cyrl-CS"/>
        </w:rPr>
        <w:t xml:space="preserve">3 </w:t>
      </w:r>
      <w:r w:rsidR="00607CBA" w:rsidRPr="005303F7">
        <w:rPr>
          <w:rFonts w:ascii="Times New Roman" w:hAnsi="Times New Roman"/>
          <w:b/>
          <w:sz w:val="24"/>
          <w:lang w:val="sr-Cyrl-CS"/>
        </w:rPr>
        <w:t>и</w:t>
      </w:r>
      <w:r w:rsidR="00A84C8C" w:rsidRPr="005303F7">
        <w:rPr>
          <w:rFonts w:ascii="Times New Roman" w:hAnsi="Times New Roman"/>
          <w:b/>
          <w:sz w:val="24"/>
          <w:lang w:val="sr-Cyrl-CS"/>
        </w:rPr>
        <w:t xml:space="preserve"> </w:t>
      </w:r>
      <w:r w:rsidR="005326FD" w:rsidRPr="005303F7">
        <w:rPr>
          <w:rFonts w:ascii="Times New Roman" w:hAnsi="Times New Roman"/>
          <w:b/>
          <w:sz w:val="24"/>
          <w:lang w:val="sr-Cyrl-CS"/>
        </w:rPr>
        <w:t>2</w:t>
      </w:r>
      <w:r w:rsidR="00E76E3E" w:rsidRPr="005303F7">
        <w:rPr>
          <w:rFonts w:ascii="Times New Roman" w:hAnsi="Times New Roman"/>
          <w:b/>
          <w:sz w:val="24"/>
          <w:lang w:val="sr-Cyrl-CS"/>
        </w:rPr>
        <w:t xml:space="preserve"> </w:t>
      </w:r>
      <w:r w:rsidRPr="005303F7">
        <w:rPr>
          <w:rFonts w:ascii="Times New Roman" w:hAnsi="Times New Roman"/>
          <w:b/>
          <w:sz w:val="24"/>
          <w:lang w:val="sr-Cyrl-CS"/>
        </w:rPr>
        <w:t>милијарди</w:t>
      </w:r>
      <w:r w:rsidR="00E76E3E" w:rsidRPr="005303F7">
        <w:rPr>
          <w:rFonts w:ascii="Times New Roman" w:hAnsi="Times New Roman"/>
          <w:b/>
          <w:sz w:val="24"/>
          <w:lang w:val="sr-Cyrl-CS"/>
        </w:rPr>
        <w:t xml:space="preserve"> </w:t>
      </w:r>
      <w:r w:rsidR="00607CBA" w:rsidRPr="005303F7">
        <w:rPr>
          <w:rFonts w:ascii="Times New Roman" w:hAnsi="Times New Roman"/>
          <w:b/>
          <w:sz w:val="24"/>
          <w:lang w:val="sr-Cyrl-CS"/>
        </w:rPr>
        <w:t>евра</w:t>
      </w:r>
      <w:r w:rsidR="00E76E3E" w:rsidRPr="005303F7">
        <w:rPr>
          <w:rFonts w:ascii="Times New Roman" w:hAnsi="Times New Roman"/>
          <w:b/>
          <w:sz w:val="24"/>
          <w:lang w:val="sr-Cyrl-CS"/>
        </w:rPr>
        <w:t xml:space="preserve"> </w:t>
      </w:r>
      <w:r w:rsidR="005326FD" w:rsidRPr="005303F7">
        <w:rPr>
          <w:rFonts w:ascii="Times New Roman" w:hAnsi="Times New Roman"/>
          <w:b/>
          <w:sz w:val="24"/>
          <w:lang w:val="sr-Cyrl-CS"/>
        </w:rPr>
        <w:t>ниж</w:t>
      </w:r>
      <w:r w:rsidR="00607CBA" w:rsidRPr="005303F7">
        <w:rPr>
          <w:rFonts w:ascii="Times New Roman" w:hAnsi="Times New Roman"/>
          <w:b/>
          <w:sz w:val="24"/>
          <w:lang w:val="sr-Cyrl-CS"/>
        </w:rPr>
        <w:t>и</w:t>
      </w:r>
      <w:r w:rsidR="00E76E3E" w:rsidRPr="005303F7">
        <w:rPr>
          <w:rFonts w:ascii="Times New Roman" w:hAnsi="Times New Roman"/>
          <w:b/>
          <w:sz w:val="24"/>
          <w:lang w:val="sr-Cyrl-CS"/>
        </w:rPr>
        <w:t xml:space="preserve"> </w:t>
      </w:r>
      <w:r w:rsidR="00607CBA" w:rsidRPr="005303F7">
        <w:rPr>
          <w:rFonts w:ascii="Times New Roman" w:hAnsi="Times New Roman"/>
          <w:b/>
          <w:sz w:val="24"/>
          <w:lang w:val="sr-Cyrl-CS"/>
        </w:rPr>
        <w:t>од</w:t>
      </w:r>
      <w:r w:rsidR="00E76E3E" w:rsidRPr="005303F7">
        <w:rPr>
          <w:rFonts w:ascii="Times New Roman" w:hAnsi="Times New Roman"/>
          <w:b/>
          <w:sz w:val="24"/>
          <w:lang w:val="sr-Cyrl-CS"/>
        </w:rPr>
        <w:t xml:space="preserve"> </w:t>
      </w:r>
      <w:r w:rsidR="00607CBA" w:rsidRPr="005303F7">
        <w:rPr>
          <w:rFonts w:ascii="Times New Roman" w:hAnsi="Times New Roman"/>
          <w:b/>
          <w:sz w:val="24"/>
          <w:lang w:val="sr-Cyrl-CS"/>
        </w:rPr>
        <w:t>трошкова</w:t>
      </w:r>
      <w:r w:rsidR="00E76E3E" w:rsidRPr="005303F7">
        <w:rPr>
          <w:rFonts w:ascii="Times New Roman" w:hAnsi="Times New Roman"/>
          <w:b/>
          <w:sz w:val="24"/>
          <w:lang w:val="sr-Cyrl-CS"/>
        </w:rPr>
        <w:t xml:space="preserve"> </w:t>
      </w:r>
      <w:r w:rsidR="00607CBA" w:rsidRPr="005303F7">
        <w:rPr>
          <w:rFonts w:ascii="Times New Roman" w:hAnsi="Times New Roman"/>
          <w:b/>
          <w:sz w:val="24"/>
          <w:lang w:val="sr-Cyrl-CS"/>
        </w:rPr>
        <w:t>сценарија</w:t>
      </w:r>
      <w:r w:rsidR="00E76E3E" w:rsidRPr="005303F7">
        <w:rPr>
          <w:rFonts w:ascii="Times New Roman" w:hAnsi="Times New Roman"/>
          <w:b/>
          <w:sz w:val="24"/>
          <w:lang w:val="sr-Cyrl-CS"/>
        </w:rPr>
        <w:t xml:space="preserve"> </w:t>
      </w:r>
      <w:r w:rsidR="00607CBA" w:rsidRPr="005303F7">
        <w:rPr>
          <w:rFonts w:ascii="Times New Roman" w:hAnsi="Times New Roman"/>
          <w:b/>
          <w:sz w:val="24"/>
          <w:lang w:val="sr-Cyrl-CS"/>
        </w:rPr>
        <w:t>М</w:t>
      </w:r>
      <w:r w:rsidR="00E76E3E" w:rsidRPr="005303F7">
        <w:rPr>
          <w:rFonts w:ascii="Times New Roman" w:hAnsi="Times New Roman"/>
          <w:b/>
          <w:sz w:val="24"/>
          <w:lang w:val="sr-Cyrl-CS"/>
        </w:rPr>
        <w:t>4</w:t>
      </w:r>
      <w:r w:rsidR="00A84C8C" w:rsidRPr="005303F7">
        <w:rPr>
          <w:rFonts w:ascii="Times New Roman" w:hAnsi="Times New Roman"/>
          <w:b/>
          <w:sz w:val="24"/>
          <w:lang w:val="sr-Cyrl-CS"/>
        </w:rPr>
        <w:t xml:space="preserve">, </w:t>
      </w:r>
      <w:r w:rsidR="00607CBA" w:rsidRPr="005303F7">
        <w:rPr>
          <w:rFonts w:ascii="Times New Roman" w:hAnsi="Times New Roman"/>
          <w:b/>
          <w:sz w:val="24"/>
          <w:lang w:val="sr-Cyrl-CS"/>
        </w:rPr>
        <w:t>у</w:t>
      </w:r>
      <w:r w:rsidR="00E76E3E" w:rsidRPr="005303F7">
        <w:rPr>
          <w:rFonts w:ascii="Times New Roman" w:hAnsi="Times New Roman"/>
          <w:b/>
          <w:sz w:val="24"/>
          <w:lang w:val="sr-Cyrl-CS"/>
        </w:rPr>
        <w:t xml:space="preserve"> </w:t>
      </w:r>
      <w:r w:rsidR="00607CBA" w:rsidRPr="005303F7">
        <w:rPr>
          <w:rFonts w:ascii="Times New Roman" w:hAnsi="Times New Roman"/>
          <w:b/>
          <w:sz w:val="24"/>
          <w:lang w:val="sr-Cyrl-CS"/>
        </w:rPr>
        <w:t>периоду</w:t>
      </w:r>
      <w:r w:rsidR="00E76E3E" w:rsidRPr="005303F7">
        <w:rPr>
          <w:rFonts w:ascii="Times New Roman" w:hAnsi="Times New Roman"/>
          <w:b/>
          <w:sz w:val="24"/>
          <w:lang w:val="sr-Cyrl-CS"/>
        </w:rPr>
        <w:t xml:space="preserve"> </w:t>
      </w:r>
      <w:r w:rsidR="00607CBA" w:rsidRPr="005303F7">
        <w:rPr>
          <w:rFonts w:ascii="Times New Roman" w:hAnsi="Times New Roman"/>
          <w:b/>
          <w:sz w:val="24"/>
          <w:lang w:val="sr-Cyrl-CS"/>
        </w:rPr>
        <w:t>од</w:t>
      </w:r>
      <w:r w:rsidR="00A84C8C" w:rsidRPr="005303F7">
        <w:rPr>
          <w:rFonts w:ascii="Times New Roman" w:hAnsi="Times New Roman"/>
          <w:b/>
          <w:sz w:val="24"/>
          <w:lang w:val="sr-Cyrl-CS"/>
        </w:rPr>
        <w:t xml:space="preserve"> 2020-2050</w:t>
      </w:r>
      <w:r w:rsidR="00E76E3E" w:rsidRPr="005303F7">
        <w:rPr>
          <w:rFonts w:ascii="Times New Roman" w:hAnsi="Times New Roman"/>
          <w:b/>
          <w:sz w:val="24"/>
          <w:lang w:val="sr-Cyrl-CS"/>
        </w:rPr>
        <w:t xml:space="preserve">. </w:t>
      </w:r>
      <w:r w:rsidR="00607CBA" w:rsidRPr="005303F7">
        <w:rPr>
          <w:rFonts w:ascii="Times New Roman" w:hAnsi="Times New Roman"/>
          <w:b/>
          <w:sz w:val="24"/>
          <w:lang w:val="sr-Cyrl-CS"/>
        </w:rPr>
        <w:t>године</w:t>
      </w:r>
      <w:r w:rsidR="00A84C8C" w:rsidRPr="005303F7">
        <w:rPr>
          <w:rFonts w:ascii="Times New Roman" w:hAnsi="Times New Roman"/>
          <w:sz w:val="24"/>
          <w:lang w:val="sr-Cyrl-CS"/>
        </w:rPr>
        <w:t xml:space="preserve"> (</w:t>
      </w:r>
      <w:r w:rsidR="00354B5D" w:rsidRPr="005303F7">
        <w:rPr>
          <w:rFonts w:ascii="Times New Roman" w:hAnsi="Times New Roman"/>
          <w:sz w:val="24"/>
          <w:lang w:val="sr-Cyrl-CS"/>
        </w:rPr>
        <w:fldChar w:fldCharType="begin"/>
      </w:r>
      <w:r w:rsidR="00354B5D" w:rsidRPr="005303F7">
        <w:rPr>
          <w:rFonts w:ascii="Times New Roman" w:hAnsi="Times New Roman"/>
          <w:sz w:val="24"/>
          <w:lang w:val="sr-Cyrl-CS"/>
        </w:rPr>
        <w:instrText xml:space="preserve"> REF _Ref21574980 \h  \* MERGEFORMAT </w:instrText>
      </w:r>
      <w:r w:rsidR="00354B5D" w:rsidRPr="005303F7">
        <w:rPr>
          <w:rFonts w:ascii="Times New Roman" w:hAnsi="Times New Roman"/>
          <w:sz w:val="24"/>
          <w:lang w:val="sr-Cyrl-CS"/>
        </w:rPr>
      </w:r>
      <w:r w:rsidR="00354B5D" w:rsidRPr="005303F7">
        <w:rPr>
          <w:rFonts w:ascii="Times New Roman" w:hAnsi="Times New Roman"/>
          <w:sz w:val="24"/>
          <w:lang w:val="sr-Cyrl-CS"/>
        </w:rPr>
        <w:fldChar w:fldCharType="separate"/>
      </w:r>
    </w:p>
    <w:p w14:paraId="40174769" w14:textId="0A8155C6" w:rsidR="00A84C8C" w:rsidRPr="005303F7" w:rsidRDefault="00DA2595" w:rsidP="00A84C8C">
      <w:pPr>
        <w:rPr>
          <w:rFonts w:ascii="Times New Roman" w:hAnsi="Times New Roman"/>
          <w:sz w:val="24"/>
          <w:lang w:val="sr-Cyrl-CS"/>
        </w:rPr>
      </w:pPr>
      <w:r w:rsidRPr="005303F7">
        <w:rPr>
          <w:rFonts w:ascii="Times New Roman" w:hAnsi="Times New Roman"/>
          <w:sz w:val="24"/>
          <w:lang w:val="sr-Cyrl-CS"/>
        </w:rPr>
        <w:t>Табела</w:t>
      </w:r>
      <w:r w:rsidRPr="005303F7">
        <w:rPr>
          <w:rFonts w:ascii="Times New Roman" w:hAnsi="Times New Roman"/>
          <w:noProof/>
          <w:sz w:val="24"/>
          <w:lang w:val="sr-Cyrl-CS"/>
        </w:rPr>
        <w:t xml:space="preserve"> </w:t>
      </w:r>
      <w:r w:rsidRPr="005303F7">
        <w:rPr>
          <w:rFonts w:ascii="Times New Roman" w:hAnsi="Times New Roman"/>
          <w:b/>
          <w:bCs/>
          <w:i/>
          <w:iCs/>
          <w:noProof/>
          <w:sz w:val="20"/>
          <w:szCs w:val="18"/>
          <w:lang w:val="sr-Cyrl-CS"/>
        </w:rPr>
        <w:t>2</w:t>
      </w:r>
      <w:r w:rsidR="00354B5D" w:rsidRPr="005303F7">
        <w:rPr>
          <w:rFonts w:ascii="Times New Roman" w:hAnsi="Times New Roman"/>
          <w:sz w:val="24"/>
          <w:lang w:val="sr-Cyrl-CS"/>
        </w:rPr>
        <w:fldChar w:fldCharType="end"/>
      </w:r>
      <w:r w:rsidR="00A84C8C" w:rsidRPr="005303F7">
        <w:rPr>
          <w:rFonts w:ascii="Times New Roman" w:hAnsi="Times New Roman"/>
          <w:sz w:val="24"/>
          <w:lang w:val="sr-Cyrl-CS"/>
        </w:rPr>
        <w:t xml:space="preserve">). </w:t>
      </w:r>
    </w:p>
    <w:p w14:paraId="398A3AAD" w14:textId="2000090A" w:rsidR="0014621B" w:rsidRPr="005303F7" w:rsidRDefault="0039680D" w:rsidP="00614618">
      <w:pPr>
        <w:spacing w:after="60"/>
        <w:rPr>
          <w:rFonts w:ascii="Times New Roman" w:hAnsi="Times New Roman"/>
          <w:sz w:val="24"/>
          <w:lang w:val="sr-Cyrl-CS"/>
        </w:rPr>
      </w:pPr>
      <w:r w:rsidRPr="005303F7">
        <w:rPr>
          <w:rFonts w:ascii="Times New Roman" w:hAnsi="Times New Roman"/>
          <w:sz w:val="24"/>
          <w:lang w:val="sr-Cyrl-CS"/>
        </w:rPr>
        <w:t xml:space="preserve">          </w:t>
      </w:r>
      <w:r w:rsidR="009965DA" w:rsidRPr="005303F7">
        <w:rPr>
          <w:rFonts w:ascii="Times New Roman" w:hAnsi="Times New Roman"/>
          <w:sz w:val="24"/>
          <w:lang w:val="sr-Cyrl-CS"/>
        </w:rPr>
        <w:t>Мора бити примећено, ипак, да ове процене трошкова „неделовања</w:t>
      </w:r>
      <w:r w:rsidR="0035174D" w:rsidRPr="005303F7">
        <w:rPr>
          <w:rFonts w:ascii="Times New Roman" w:hAnsi="Times New Roman"/>
          <w:sz w:val="24"/>
          <w:lang w:val="sr-Cyrl-CS"/>
        </w:rPr>
        <w:t>”</w:t>
      </w:r>
      <w:r w:rsidR="009965DA" w:rsidRPr="005303F7">
        <w:rPr>
          <w:rFonts w:ascii="Times New Roman" w:hAnsi="Times New Roman"/>
          <w:sz w:val="24"/>
          <w:lang w:val="sr-Cyrl-CS"/>
        </w:rPr>
        <w:t xml:space="preserve"> не узимају у обзир ЕУ Механизам за прекогранично прилагођавање</w:t>
      </w:r>
      <w:r w:rsidR="000331B5" w:rsidRPr="005303F7">
        <w:rPr>
          <w:rFonts w:ascii="Times New Roman" w:hAnsi="Times New Roman"/>
          <w:sz w:val="24"/>
          <w:lang w:val="sr-Cyrl-CS"/>
        </w:rPr>
        <w:t xml:space="preserve"> цене</w:t>
      </w:r>
      <w:r w:rsidR="009965DA" w:rsidRPr="005303F7">
        <w:rPr>
          <w:rFonts w:ascii="Times New Roman" w:hAnsi="Times New Roman"/>
          <w:sz w:val="24"/>
          <w:lang w:val="sr-Cyrl-CS"/>
        </w:rPr>
        <w:t xml:space="preserve"> угљеника - </w:t>
      </w:r>
      <w:r w:rsidR="00022153" w:rsidRPr="005303F7">
        <w:rPr>
          <w:rFonts w:ascii="Times New Roman" w:hAnsi="Times New Roman"/>
          <w:sz w:val="24"/>
          <w:lang w:val="sr-Cyrl-CS"/>
        </w:rPr>
        <w:t>Carbon Border Adjustment Mechanism</w:t>
      </w:r>
      <w:r w:rsidR="000B2060" w:rsidRPr="005303F7">
        <w:rPr>
          <w:rFonts w:ascii="Times New Roman" w:hAnsi="Times New Roman"/>
          <w:sz w:val="24"/>
          <w:lang w:val="sr-Cyrl-CS"/>
        </w:rPr>
        <w:t xml:space="preserve"> </w:t>
      </w:r>
      <w:r w:rsidR="00AB433B" w:rsidRPr="005303F7">
        <w:rPr>
          <w:rFonts w:ascii="Times New Roman" w:hAnsi="Times New Roman"/>
          <w:sz w:val="24"/>
          <w:lang w:val="sr-Cyrl-CS"/>
        </w:rPr>
        <w:t>– у даљем тексту:</w:t>
      </w:r>
      <w:r w:rsidR="00022153" w:rsidRPr="005303F7">
        <w:rPr>
          <w:rFonts w:ascii="Times New Roman" w:hAnsi="Times New Roman"/>
          <w:sz w:val="24"/>
          <w:lang w:val="sr-Cyrl-CS"/>
        </w:rPr>
        <w:t xml:space="preserve"> CBAM </w:t>
      </w:r>
      <w:r w:rsidR="000331B5" w:rsidRPr="005303F7">
        <w:rPr>
          <w:rFonts w:ascii="Times New Roman" w:hAnsi="Times New Roman"/>
          <w:sz w:val="24"/>
          <w:lang w:val="sr-Cyrl-CS"/>
        </w:rPr>
        <w:t xml:space="preserve">, </w:t>
      </w:r>
      <w:r w:rsidR="009965DA" w:rsidRPr="005303F7">
        <w:rPr>
          <w:rFonts w:ascii="Times New Roman" w:hAnsi="Times New Roman"/>
          <w:sz w:val="24"/>
          <w:lang w:val="sr-Cyrl-CS"/>
        </w:rPr>
        <w:t xml:space="preserve">за који се очекује да ће се примењивати </w:t>
      </w:r>
      <w:r w:rsidR="00BB0AA2" w:rsidRPr="005303F7">
        <w:rPr>
          <w:rFonts w:ascii="Times New Roman" w:hAnsi="Times New Roman"/>
          <w:sz w:val="24"/>
          <w:lang w:val="sr-Cyrl-CS"/>
        </w:rPr>
        <w:t>после</w:t>
      </w:r>
      <w:r w:rsidR="009965DA" w:rsidRPr="005303F7">
        <w:rPr>
          <w:rFonts w:ascii="Times New Roman" w:hAnsi="Times New Roman"/>
          <w:sz w:val="24"/>
          <w:lang w:val="sr-Cyrl-CS"/>
        </w:rPr>
        <w:t xml:space="preserve"> 2026. године на извозе појединих роба у ЕУ (гвожђе и челик, цемент, алуминијум, ђубрива и електричну енергију). Као такви, трошкови „неделовања</w:t>
      </w:r>
      <w:r w:rsidR="0035174D" w:rsidRPr="005303F7">
        <w:rPr>
          <w:rFonts w:ascii="Times New Roman" w:hAnsi="Times New Roman"/>
          <w:sz w:val="24"/>
          <w:lang w:val="sr-Cyrl-CS"/>
        </w:rPr>
        <w:t>”</w:t>
      </w:r>
      <w:r w:rsidR="009965DA" w:rsidRPr="005303F7">
        <w:rPr>
          <w:rFonts w:ascii="Times New Roman" w:hAnsi="Times New Roman"/>
          <w:sz w:val="24"/>
          <w:lang w:val="sr-Cyrl-CS"/>
        </w:rPr>
        <w:t xml:space="preserve"> су вероватно чак и виши од оних моделираних.</w:t>
      </w:r>
      <w:bookmarkStart w:id="141" w:name="_Ref21574980"/>
      <w:bookmarkStart w:id="142" w:name="_Toc26450874"/>
    </w:p>
    <w:p w14:paraId="6EF4246B" w14:textId="1075613C" w:rsidR="00D31C55" w:rsidRPr="005303F7" w:rsidRDefault="00607CBA" w:rsidP="00614618">
      <w:pPr>
        <w:spacing w:after="60"/>
        <w:rPr>
          <w:rFonts w:ascii="Times New Roman" w:hAnsi="Times New Roman"/>
          <w:b/>
          <w:bCs/>
          <w:i/>
          <w:iCs/>
          <w:sz w:val="20"/>
          <w:szCs w:val="18"/>
          <w:lang w:val="sr-Cyrl-CS"/>
        </w:rPr>
      </w:pPr>
      <w:r w:rsidRPr="005303F7">
        <w:rPr>
          <w:rFonts w:ascii="Times New Roman" w:hAnsi="Times New Roman"/>
          <w:b/>
          <w:bCs/>
          <w:i/>
          <w:iCs/>
          <w:sz w:val="20"/>
          <w:szCs w:val="18"/>
          <w:lang w:val="sr-Cyrl-CS"/>
        </w:rPr>
        <w:t>Табела</w:t>
      </w:r>
      <w:r w:rsidR="005E0E5D" w:rsidRPr="005303F7">
        <w:rPr>
          <w:rFonts w:ascii="Times New Roman" w:hAnsi="Times New Roman"/>
          <w:b/>
          <w:bCs/>
          <w:i/>
          <w:iCs/>
          <w:sz w:val="20"/>
          <w:szCs w:val="18"/>
          <w:lang w:val="sr-Cyrl-CS"/>
        </w:rPr>
        <w:t xml:space="preserve"> </w:t>
      </w:r>
      <w:r w:rsidR="005E0E5D" w:rsidRPr="005303F7">
        <w:rPr>
          <w:rFonts w:ascii="Times New Roman" w:hAnsi="Times New Roman"/>
          <w:b/>
          <w:bCs/>
          <w:i/>
          <w:iCs/>
          <w:sz w:val="20"/>
          <w:szCs w:val="18"/>
          <w:lang w:val="sr-Cyrl-CS"/>
        </w:rPr>
        <w:fldChar w:fldCharType="begin"/>
      </w:r>
      <w:r w:rsidR="005E0E5D" w:rsidRPr="005303F7">
        <w:rPr>
          <w:rFonts w:ascii="Times New Roman" w:hAnsi="Times New Roman"/>
          <w:b/>
          <w:bCs/>
          <w:i/>
          <w:iCs/>
          <w:sz w:val="20"/>
          <w:szCs w:val="18"/>
          <w:lang w:val="sr-Cyrl-CS"/>
        </w:rPr>
        <w:instrText xml:space="preserve"> SEQ Table \* ARABIC </w:instrText>
      </w:r>
      <w:r w:rsidR="005E0E5D" w:rsidRPr="005303F7">
        <w:rPr>
          <w:rFonts w:ascii="Times New Roman" w:hAnsi="Times New Roman"/>
          <w:b/>
          <w:bCs/>
          <w:i/>
          <w:iCs/>
          <w:sz w:val="20"/>
          <w:szCs w:val="18"/>
          <w:lang w:val="sr-Cyrl-CS"/>
        </w:rPr>
        <w:fldChar w:fldCharType="separate"/>
      </w:r>
      <w:r w:rsidR="00DA2595" w:rsidRPr="005303F7">
        <w:rPr>
          <w:rFonts w:ascii="Times New Roman" w:hAnsi="Times New Roman"/>
          <w:b/>
          <w:bCs/>
          <w:i/>
          <w:iCs/>
          <w:noProof/>
          <w:sz w:val="20"/>
          <w:szCs w:val="18"/>
          <w:lang w:val="sr-Cyrl-CS"/>
        </w:rPr>
        <w:t>2</w:t>
      </w:r>
      <w:r w:rsidR="005E0E5D" w:rsidRPr="005303F7">
        <w:rPr>
          <w:rFonts w:ascii="Times New Roman" w:hAnsi="Times New Roman"/>
          <w:b/>
          <w:bCs/>
          <w:i/>
          <w:iCs/>
          <w:sz w:val="20"/>
          <w:szCs w:val="18"/>
          <w:lang w:val="sr-Cyrl-CS"/>
        </w:rPr>
        <w:fldChar w:fldCharType="end"/>
      </w:r>
      <w:bookmarkEnd w:id="141"/>
      <w:r w:rsidR="00D31C55"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Системски</w:t>
      </w:r>
      <w:r w:rsidR="00054A6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трошкови</w:t>
      </w:r>
      <w:r w:rsidR="00054A6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непредузимања</w:t>
      </w:r>
      <w:r w:rsidR="00054A6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никаквих</w:t>
      </w:r>
      <w:r w:rsidR="00054A6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мера</w:t>
      </w:r>
      <w:r w:rsidR="00054A6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у</w:t>
      </w:r>
      <w:r w:rsidR="00054A6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поређењу</w:t>
      </w:r>
      <w:r w:rsidR="00054A6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са</w:t>
      </w:r>
      <w:r w:rsidR="00054A6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укупним</w:t>
      </w:r>
      <w:r w:rsidR="00054A6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трошковима</w:t>
      </w:r>
      <w:r w:rsidR="00054A6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енергетског</w:t>
      </w:r>
      <w:r w:rsidR="00054A6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система</w:t>
      </w:r>
      <w:r w:rsidR="00054A6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и</w:t>
      </w:r>
      <w:r w:rsidR="00054A6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трошковима</w:t>
      </w:r>
      <w:r w:rsidR="00054A6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улагања</w:t>
      </w:r>
      <w:r w:rsidR="00054A6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у</w:t>
      </w:r>
      <w:r w:rsidR="00054A6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неенергетске</w:t>
      </w:r>
      <w:r w:rsidR="00054A6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секторе</w:t>
      </w:r>
      <w:r w:rsidR="00054A6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у</w:t>
      </w:r>
      <w:r w:rsidR="00054A6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различитим</w:t>
      </w:r>
      <w:r w:rsidR="00054A6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сценаријима</w:t>
      </w:r>
      <w:r w:rsidR="00054A6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емисија</w:t>
      </w:r>
      <w:r w:rsidR="00054A63" w:rsidRPr="005303F7">
        <w:rPr>
          <w:rFonts w:ascii="Times New Roman" w:hAnsi="Times New Roman"/>
          <w:b/>
          <w:bCs/>
          <w:i/>
          <w:iCs/>
          <w:sz w:val="20"/>
          <w:szCs w:val="18"/>
          <w:lang w:val="sr-Cyrl-CS"/>
        </w:rPr>
        <w:t xml:space="preserve"> </w:t>
      </w:r>
      <w:r w:rsidR="00BF65FC" w:rsidRPr="005303F7">
        <w:rPr>
          <w:rFonts w:ascii="Times New Roman" w:hAnsi="Times New Roman"/>
          <w:b/>
          <w:bCs/>
          <w:i/>
          <w:iCs/>
          <w:sz w:val="20"/>
          <w:szCs w:val="18"/>
          <w:lang w:val="sr-Cyrl-CS"/>
        </w:rPr>
        <w:t>GHG</w:t>
      </w:r>
      <w:r w:rsidR="00054A6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за</w:t>
      </w:r>
      <w:r w:rsidR="00054A6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период</w:t>
      </w:r>
      <w:r w:rsidR="00054A63" w:rsidRPr="005303F7">
        <w:rPr>
          <w:rFonts w:ascii="Times New Roman" w:hAnsi="Times New Roman"/>
          <w:b/>
          <w:bCs/>
          <w:i/>
          <w:iCs/>
          <w:sz w:val="20"/>
          <w:szCs w:val="18"/>
          <w:lang w:val="sr-Cyrl-CS"/>
        </w:rPr>
        <w:t xml:space="preserve"> 2020-2050. </w:t>
      </w:r>
      <w:r w:rsidRPr="005303F7">
        <w:rPr>
          <w:rFonts w:ascii="Times New Roman" w:hAnsi="Times New Roman"/>
          <w:b/>
          <w:bCs/>
          <w:i/>
          <w:iCs/>
          <w:sz w:val="20"/>
          <w:szCs w:val="18"/>
          <w:lang w:val="sr-Cyrl-CS"/>
        </w:rPr>
        <w:t>годин</w:t>
      </w:r>
      <w:bookmarkEnd w:id="142"/>
      <w:r w:rsidRPr="005303F7">
        <w:rPr>
          <w:rFonts w:ascii="Times New Roman" w:hAnsi="Times New Roman"/>
          <w:b/>
          <w:bCs/>
          <w:i/>
          <w:iCs/>
          <w:sz w:val="20"/>
          <w:szCs w:val="18"/>
          <w:lang w:val="sr-Cyrl-CS"/>
        </w:rPr>
        <w:t>е</w:t>
      </w:r>
      <w:r w:rsidR="000576BD" w:rsidRPr="005303F7">
        <w:rPr>
          <w:rFonts w:ascii="Times New Roman" w:hAnsi="Times New Roman"/>
          <w:b/>
          <w:bCs/>
          <w:i/>
          <w:iCs/>
          <w:sz w:val="20"/>
          <w:szCs w:val="18"/>
          <w:lang w:val="sr-Cyrl-CS"/>
        </w:rPr>
        <w:t xml:space="preserve"> (</w:t>
      </w:r>
      <w:r w:rsidR="0039680D" w:rsidRPr="005303F7">
        <w:rPr>
          <w:rFonts w:ascii="Times New Roman" w:hAnsi="Times New Roman"/>
          <w:b/>
          <w:bCs/>
          <w:i/>
          <w:iCs/>
          <w:sz w:val="20"/>
          <w:szCs w:val="18"/>
          <w:lang w:val="sr-Cyrl-CS"/>
        </w:rPr>
        <w:t>у милијардама</w:t>
      </w:r>
      <w:r w:rsidR="000576BD" w:rsidRPr="005303F7">
        <w:rPr>
          <w:rFonts w:ascii="Times New Roman" w:hAnsi="Times New Roman"/>
          <w:b/>
          <w:bCs/>
          <w:i/>
          <w:iCs/>
          <w:sz w:val="20"/>
          <w:szCs w:val="18"/>
          <w:lang w:val="sr-Cyrl-CS"/>
        </w:rPr>
        <w:t xml:space="preserve"> </w:t>
      </w:r>
      <w:r w:rsidR="00761F25" w:rsidRPr="005303F7">
        <w:rPr>
          <w:rFonts w:ascii="Times New Roman" w:hAnsi="Times New Roman"/>
          <w:b/>
          <w:bCs/>
          <w:i/>
          <w:iCs/>
          <w:sz w:val="20"/>
          <w:szCs w:val="18"/>
          <w:lang w:val="sr-Cyrl-CS"/>
        </w:rPr>
        <w:t>евра)</w:t>
      </w:r>
    </w:p>
    <w:tbl>
      <w:tblPr>
        <w:tblStyle w:val="TableGrid"/>
        <w:tblW w:w="9188" w:type="dxa"/>
        <w:jc w:val="center"/>
        <w:tblLook w:val="04A0" w:firstRow="1" w:lastRow="0" w:firstColumn="1" w:lastColumn="0" w:noHBand="0" w:noVBand="1"/>
      </w:tblPr>
      <w:tblGrid>
        <w:gridCol w:w="3539"/>
        <w:gridCol w:w="1701"/>
        <w:gridCol w:w="1316"/>
        <w:gridCol w:w="1316"/>
        <w:gridCol w:w="1316"/>
      </w:tblGrid>
      <w:tr w:rsidR="00576D58" w:rsidRPr="005303F7" w14:paraId="4819AA95" w14:textId="77777777" w:rsidTr="00496237">
        <w:trPr>
          <w:trHeight w:val="380"/>
          <w:jc w:val="center"/>
        </w:trPr>
        <w:tc>
          <w:tcPr>
            <w:tcW w:w="3539" w:type="dxa"/>
            <w:shd w:val="clear" w:color="auto" w:fill="D9D9D9" w:themeFill="background1" w:themeFillShade="D9"/>
            <w:vAlign w:val="center"/>
          </w:tcPr>
          <w:p w14:paraId="5A41C34F" w14:textId="735A036F" w:rsidR="00576D58" w:rsidRPr="005303F7" w:rsidRDefault="00607CBA" w:rsidP="00496237">
            <w:pPr>
              <w:spacing w:before="0" w:after="0"/>
              <w:jc w:val="center"/>
              <w:rPr>
                <w:rFonts w:ascii="Times New Roman" w:hAnsi="Times New Roman"/>
                <w:szCs w:val="22"/>
                <w:lang w:val="sr-Cyrl-CS"/>
              </w:rPr>
            </w:pPr>
            <w:r w:rsidRPr="005303F7">
              <w:rPr>
                <w:rFonts w:ascii="Times New Roman" w:hAnsi="Times New Roman"/>
                <w:szCs w:val="22"/>
                <w:lang w:val="sr-Cyrl-CS"/>
              </w:rPr>
              <w:t>Сценарио</w:t>
            </w:r>
          </w:p>
        </w:tc>
        <w:tc>
          <w:tcPr>
            <w:tcW w:w="1701" w:type="dxa"/>
            <w:shd w:val="clear" w:color="auto" w:fill="D9D9D9" w:themeFill="background1" w:themeFillShade="D9"/>
            <w:vAlign w:val="center"/>
          </w:tcPr>
          <w:p w14:paraId="27EE8A16" w14:textId="5F42BE9F" w:rsidR="00576D58" w:rsidRPr="005303F7" w:rsidRDefault="00607CBA" w:rsidP="00496237">
            <w:pPr>
              <w:spacing w:before="0" w:after="0"/>
              <w:jc w:val="center"/>
              <w:rPr>
                <w:rFonts w:ascii="Times New Roman" w:hAnsi="Times New Roman"/>
                <w:szCs w:val="22"/>
                <w:lang w:val="sr-Cyrl-CS"/>
              </w:rPr>
            </w:pPr>
            <w:r w:rsidRPr="005303F7">
              <w:rPr>
                <w:rFonts w:ascii="Times New Roman" w:hAnsi="Times New Roman"/>
                <w:szCs w:val="22"/>
                <w:lang w:val="sr-Cyrl-CS"/>
              </w:rPr>
              <w:t>Б</w:t>
            </w:r>
            <w:r w:rsidR="00576D58" w:rsidRPr="005303F7">
              <w:rPr>
                <w:rFonts w:ascii="Times New Roman" w:hAnsi="Times New Roman"/>
                <w:szCs w:val="22"/>
                <w:lang w:val="sr-Cyrl-CS"/>
              </w:rPr>
              <w:t>2</w:t>
            </w:r>
          </w:p>
        </w:tc>
        <w:tc>
          <w:tcPr>
            <w:tcW w:w="1316" w:type="dxa"/>
            <w:shd w:val="clear" w:color="auto" w:fill="D9D9D9" w:themeFill="background1" w:themeFillShade="D9"/>
            <w:vAlign w:val="center"/>
          </w:tcPr>
          <w:p w14:paraId="417DEA82" w14:textId="1E97B8FF" w:rsidR="00576D58" w:rsidRPr="005303F7" w:rsidRDefault="00607CBA" w:rsidP="00496237">
            <w:pPr>
              <w:spacing w:before="0" w:after="0"/>
              <w:jc w:val="center"/>
              <w:rPr>
                <w:rFonts w:ascii="Times New Roman" w:hAnsi="Times New Roman"/>
                <w:szCs w:val="22"/>
                <w:lang w:val="sr-Cyrl-CS"/>
              </w:rPr>
            </w:pPr>
            <w:r w:rsidRPr="005303F7">
              <w:rPr>
                <w:rFonts w:ascii="Times New Roman" w:hAnsi="Times New Roman"/>
                <w:szCs w:val="22"/>
                <w:lang w:val="sr-Cyrl-CS"/>
              </w:rPr>
              <w:t>М</w:t>
            </w:r>
            <w:r w:rsidR="00576D58" w:rsidRPr="005303F7">
              <w:rPr>
                <w:rFonts w:ascii="Times New Roman" w:hAnsi="Times New Roman"/>
                <w:szCs w:val="22"/>
                <w:lang w:val="sr-Cyrl-CS"/>
              </w:rPr>
              <w:t>2</w:t>
            </w:r>
          </w:p>
        </w:tc>
        <w:tc>
          <w:tcPr>
            <w:tcW w:w="1316" w:type="dxa"/>
            <w:shd w:val="clear" w:color="auto" w:fill="D9D9D9" w:themeFill="background1" w:themeFillShade="D9"/>
            <w:vAlign w:val="center"/>
          </w:tcPr>
          <w:p w14:paraId="169A5831" w14:textId="3DA0E34E" w:rsidR="00576D58" w:rsidRPr="005303F7" w:rsidRDefault="00607CBA" w:rsidP="00496237">
            <w:pPr>
              <w:spacing w:before="0" w:after="0"/>
              <w:jc w:val="center"/>
              <w:rPr>
                <w:rFonts w:ascii="Times New Roman" w:hAnsi="Times New Roman"/>
                <w:szCs w:val="22"/>
                <w:lang w:val="sr-Cyrl-CS"/>
              </w:rPr>
            </w:pPr>
            <w:r w:rsidRPr="005303F7">
              <w:rPr>
                <w:rFonts w:ascii="Times New Roman" w:hAnsi="Times New Roman"/>
                <w:szCs w:val="22"/>
                <w:lang w:val="sr-Cyrl-CS"/>
              </w:rPr>
              <w:t>М</w:t>
            </w:r>
            <w:r w:rsidR="00576D58" w:rsidRPr="005303F7">
              <w:rPr>
                <w:rFonts w:ascii="Times New Roman" w:hAnsi="Times New Roman"/>
                <w:szCs w:val="22"/>
                <w:lang w:val="sr-Cyrl-CS"/>
              </w:rPr>
              <w:t>3</w:t>
            </w:r>
          </w:p>
        </w:tc>
        <w:tc>
          <w:tcPr>
            <w:tcW w:w="1316" w:type="dxa"/>
            <w:shd w:val="clear" w:color="auto" w:fill="D9D9D9" w:themeFill="background1" w:themeFillShade="D9"/>
            <w:vAlign w:val="center"/>
          </w:tcPr>
          <w:p w14:paraId="3A3616E9" w14:textId="603D0AEA" w:rsidR="00576D58" w:rsidRPr="005303F7" w:rsidRDefault="00607CBA" w:rsidP="00496237">
            <w:pPr>
              <w:spacing w:before="0" w:after="0"/>
              <w:jc w:val="center"/>
              <w:rPr>
                <w:rFonts w:ascii="Times New Roman" w:hAnsi="Times New Roman"/>
                <w:szCs w:val="22"/>
                <w:lang w:val="sr-Cyrl-CS"/>
              </w:rPr>
            </w:pPr>
            <w:r w:rsidRPr="005303F7">
              <w:rPr>
                <w:rFonts w:ascii="Times New Roman" w:hAnsi="Times New Roman"/>
                <w:szCs w:val="22"/>
                <w:lang w:val="sr-Cyrl-CS"/>
              </w:rPr>
              <w:t>М</w:t>
            </w:r>
            <w:r w:rsidR="00576D58" w:rsidRPr="005303F7">
              <w:rPr>
                <w:rFonts w:ascii="Times New Roman" w:hAnsi="Times New Roman"/>
                <w:szCs w:val="22"/>
                <w:lang w:val="sr-Cyrl-CS"/>
              </w:rPr>
              <w:t>4</w:t>
            </w:r>
          </w:p>
        </w:tc>
      </w:tr>
      <w:tr w:rsidR="00576D58" w:rsidRPr="005303F7" w14:paraId="4888EB42" w14:textId="77777777" w:rsidTr="00496237">
        <w:trPr>
          <w:trHeight w:val="343"/>
          <w:jc w:val="center"/>
        </w:trPr>
        <w:tc>
          <w:tcPr>
            <w:tcW w:w="3539" w:type="dxa"/>
            <w:vAlign w:val="center"/>
          </w:tcPr>
          <w:p w14:paraId="1BB1E9FA" w14:textId="3AFB09EF" w:rsidR="00576D58" w:rsidRPr="005303F7" w:rsidRDefault="00607CBA" w:rsidP="00144D08">
            <w:pPr>
              <w:spacing w:before="0" w:after="0"/>
              <w:rPr>
                <w:rFonts w:ascii="Times New Roman" w:hAnsi="Times New Roman"/>
                <w:szCs w:val="22"/>
                <w:lang w:val="sr-Cyrl-CS"/>
              </w:rPr>
            </w:pPr>
            <w:r w:rsidRPr="005303F7">
              <w:rPr>
                <w:rFonts w:ascii="Times New Roman" w:hAnsi="Times New Roman"/>
                <w:szCs w:val="22"/>
                <w:lang w:val="sr-Cyrl-CS"/>
              </w:rPr>
              <w:t>Трошкови</w:t>
            </w:r>
            <w:r w:rsidR="007C1A5C" w:rsidRPr="005303F7">
              <w:rPr>
                <w:rFonts w:ascii="Times New Roman" w:hAnsi="Times New Roman"/>
                <w:szCs w:val="22"/>
                <w:lang w:val="sr-Cyrl-CS"/>
              </w:rPr>
              <w:t xml:space="preserve"> </w:t>
            </w:r>
            <w:r w:rsidR="00552ADC" w:rsidRPr="005303F7">
              <w:rPr>
                <w:rFonts w:ascii="Times New Roman" w:hAnsi="Times New Roman"/>
                <w:szCs w:val="22"/>
                <w:lang w:val="sr-Cyrl-CS"/>
              </w:rPr>
              <w:t>„</w:t>
            </w:r>
            <w:r w:rsidRPr="005303F7">
              <w:rPr>
                <w:rFonts w:ascii="Times New Roman" w:hAnsi="Times New Roman"/>
                <w:szCs w:val="22"/>
                <w:lang w:val="sr-Cyrl-CS"/>
              </w:rPr>
              <w:t>неделовања</w:t>
            </w:r>
            <w:r w:rsidR="0035174D" w:rsidRPr="005303F7">
              <w:rPr>
                <w:rFonts w:ascii="Times New Roman" w:hAnsi="Times New Roman"/>
                <w:szCs w:val="22"/>
                <w:lang w:val="sr-Cyrl-CS"/>
              </w:rPr>
              <w:t>”</w:t>
            </w:r>
          </w:p>
        </w:tc>
        <w:tc>
          <w:tcPr>
            <w:tcW w:w="1701" w:type="dxa"/>
            <w:vAlign w:val="center"/>
          </w:tcPr>
          <w:p w14:paraId="1369D91D" w14:textId="1D0258B5" w:rsidR="00576D58" w:rsidRPr="005303F7" w:rsidRDefault="00576D58" w:rsidP="00144D08">
            <w:pPr>
              <w:spacing w:before="0" w:after="0"/>
              <w:jc w:val="center"/>
              <w:rPr>
                <w:rFonts w:ascii="Times New Roman" w:hAnsi="Times New Roman"/>
                <w:szCs w:val="22"/>
                <w:lang w:val="sr-Cyrl-CS"/>
              </w:rPr>
            </w:pPr>
            <w:r w:rsidRPr="005303F7">
              <w:rPr>
                <w:rFonts w:ascii="Times New Roman" w:hAnsi="Times New Roman"/>
                <w:szCs w:val="22"/>
                <w:lang w:val="sr-Cyrl-CS"/>
              </w:rPr>
              <w:t>1</w:t>
            </w:r>
            <w:r w:rsidR="00153DA0" w:rsidRPr="005303F7">
              <w:rPr>
                <w:rFonts w:ascii="Times New Roman" w:hAnsi="Times New Roman"/>
                <w:szCs w:val="22"/>
                <w:lang w:val="sr-Cyrl-CS"/>
              </w:rPr>
              <w:t>08</w:t>
            </w:r>
          </w:p>
        </w:tc>
        <w:tc>
          <w:tcPr>
            <w:tcW w:w="1316" w:type="dxa"/>
            <w:vAlign w:val="center"/>
          </w:tcPr>
          <w:p w14:paraId="45AF9B39" w14:textId="0ED17FE5" w:rsidR="00576D58" w:rsidRPr="005303F7" w:rsidRDefault="00244403" w:rsidP="00D31C55">
            <w:pPr>
              <w:spacing w:before="0" w:after="0"/>
              <w:jc w:val="center"/>
              <w:rPr>
                <w:rFonts w:ascii="Times New Roman" w:hAnsi="Times New Roman"/>
                <w:szCs w:val="22"/>
                <w:lang w:val="sr-Cyrl-CS"/>
              </w:rPr>
            </w:pPr>
            <w:r w:rsidRPr="005303F7">
              <w:rPr>
                <w:rFonts w:ascii="Times New Roman" w:hAnsi="Times New Roman"/>
                <w:szCs w:val="22"/>
                <w:lang w:val="sr-Cyrl-CS"/>
              </w:rPr>
              <w:t>-</w:t>
            </w:r>
          </w:p>
        </w:tc>
        <w:tc>
          <w:tcPr>
            <w:tcW w:w="1316" w:type="dxa"/>
            <w:vAlign w:val="center"/>
          </w:tcPr>
          <w:p w14:paraId="7CE2B2A5" w14:textId="16241FE1" w:rsidR="00576D58" w:rsidRPr="005303F7" w:rsidRDefault="00244403" w:rsidP="00D31C55">
            <w:pPr>
              <w:spacing w:before="0" w:after="0"/>
              <w:jc w:val="center"/>
              <w:rPr>
                <w:rFonts w:ascii="Times New Roman" w:hAnsi="Times New Roman"/>
                <w:szCs w:val="22"/>
                <w:lang w:val="sr-Cyrl-CS"/>
              </w:rPr>
            </w:pPr>
            <w:r w:rsidRPr="005303F7">
              <w:rPr>
                <w:rFonts w:ascii="Times New Roman" w:hAnsi="Times New Roman"/>
                <w:szCs w:val="22"/>
                <w:lang w:val="sr-Cyrl-CS"/>
              </w:rPr>
              <w:t>-</w:t>
            </w:r>
          </w:p>
        </w:tc>
        <w:tc>
          <w:tcPr>
            <w:tcW w:w="1316" w:type="dxa"/>
            <w:vAlign w:val="center"/>
          </w:tcPr>
          <w:p w14:paraId="1FEC5516" w14:textId="02E7AA3F" w:rsidR="00576D58" w:rsidRPr="005303F7" w:rsidRDefault="00244403" w:rsidP="00D31C55">
            <w:pPr>
              <w:spacing w:before="0" w:after="0"/>
              <w:jc w:val="center"/>
              <w:rPr>
                <w:rFonts w:ascii="Times New Roman" w:hAnsi="Times New Roman"/>
                <w:szCs w:val="22"/>
                <w:lang w:val="sr-Cyrl-CS"/>
              </w:rPr>
            </w:pPr>
            <w:r w:rsidRPr="005303F7">
              <w:rPr>
                <w:rFonts w:ascii="Times New Roman" w:hAnsi="Times New Roman"/>
                <w:szCs w:val="22"/>
                <w:lang w:val="sr-Cyrl-CS"/>
              </w:rPr>
              <w:t>-</w:t>
            </w:r>
          </w:p>
        </w:tc>
      </w:tr>
      <w:tr w:rsidR="00244403" w:rsidRPr="005303F7" w14:paraId="43B3173E" w14:textId="77777777" w:rsidTr="00496237">
        <w:trPr>
          <w:trHeight w:val="928"/>
          <w:jc w:val="center"/>
        </w:trPr>
        <w:tc>
          <w:tcPr>
            <w:tcW w:w="3539" w:type="dxa"/>
            <w:vAlign w:val="center"/>
          </w:tcPr>
          <w:p w14:paraId="42BBD6D1" w14:textId="07F8B0FB" w:rsidR="00244403" w:rsidRPr="005303F7" w:rsidRDefault="00607CBA" w:rsidP="000B29AB">
            <w:pPr>
              <w:spacing w:before="0" w:after="0"/>
              <w:jc w:val="left"/>
              <w:rPr>
                <w:rFonts w:ascii="Times New Roman" w:hAnsi="Times New Roman"/>
                <w:szCs w:val="22"/>
                <w:lang w:val="sr-Cyrl-CS"/>
              </w:rPr>
            </w:pPr>
            <w:r w:rsidRPr="005303F7">
              <w:rPr>
                <w:rFonts w:ascii="Times New Roman" w:hAnsi="Times New Roman"/>
                <w:szCs w:val="22"/>
                <w:lang w:val="sr-Cyrl-CS"/>
              </w:rPr>
              <w:t>Додатни</w:t>
            </w:r>
            <w:r w:rsidR="000B29AB" w:rsidRPr="005303F7">
              <w:rPr>
                <w:rFonts w:ascii="Times New Roman" w:hAnsi="Times New Roman"/>
                <w:szCs w:val="22"/>
                <w:lang w:val="sr-Cyrl-CS"/>
              </w:rPr>
              <w:t xml:space="preserve"> </w:t>
            </w:r>
            <w:r w:rsidRPr="005303F7">
              <w:rPr>
                <w:rFonts w:ascii="Times New Roman" w:hAnsi="Times New Roman"/>
                <w:szCs w:val="22"/>
                <w:lang w:val="sr-Cyrl-CS"/>
              </w:rPr>
              <w:t>системски</w:t>
            </w:r>
            <w:r w:rsidR="00A15C20" w:rsidRPr="005303F7">
              <w:rPr>
                <w:rFonts w:ascii="Times New Roman" w:hAnsi="Times New Roman"/>
                <w:szCs w:val="22"/>
                <w:lang w:val="sr-Cyrl-CS"/>
              </w:rPr>
              <w:t xml:space="preserve"> </w:t>
            </w:r>
            <w:r w:rsidRPr="005303F7">
              <w:rPr>
                <w:rFonts w:ascii="Times New Roman" w:hAnsi="Times New Roman"/>
                <w:szCs w:val="22"/>
                <w:lang w:val="sr-Cyrl-CS"/>
              </w:rPr>
              <w:t>трошкови</w:t>
            </w:r>
            <w:r w:rsidR="000B29AB" w:rsidRPr="005303F7">
              <w:rPr>
                <w:rFonts w:ascii="Times New Roman" w:hAnsi="Times New Roman"/>
                <w:szCs w:val="22"/>
                <w:lang w:val="sr-Cyrl-CS"/>
              </w:rPr>
              <w:t xml:space="preserve"> </w:t>
            </w:r>
            <w:r w:rsidRPr="005303F7">
              <w:rPr>
                <w:rFonts w:ascii="Times New Roman" w:hAnsi="Times New Roman"/>
                <w:szCs w:val="22"/>
                <w:lang w:val="sr-Cyrl-CS"/>
              </w:rPr>
              <w:t>енергетског</w:t>
            </w:r>
            <w:r w:rsidR="000B29AB" w:rsidRPr="005303F7">
              <w:rPr>
                <w:rFonts w:ascii="Times New Roman" w:hAnsi="Times New Roman"/>
                <w:szCs w:val="22"/>
                <w:lang w:val="sr-Cyrl-CS"/>
              </w:rPr>
              <w:t xml:space="preserve"> </w:t>
            </w:r>
            <w:r w:rsidRPr="005303F7">
              <w:rPr>
                <w:rFonts w:ascii="Times New Roman" w:hAnsi="Times New Roman"/>
                <w:szCs w:val="22"/>
                <w:lang w:val="sr-Cyrl-CS"/>
              </w:rPr>
              <w:t>система</w:t>
            </w:r>
            <w:r w:rsidR="000B29AB" w:rsidRPr="005303F7">
              <w:rPr>
                <w:rFonts w:ascii="Times New Roman" w:hAnsi="Times New Roman"/>
                <w:szCs w:val="22"/>
                <w:lang w:val="sr-Cyrl-CS"/>
              </w:rPr>
              <w:t xml:space="preserve"> </w:t>
            </w:r>
            <w:r w:rsidRPr="005303F7">
              <w:rPr>
                <w:rFonts w:ascii="Times New Roman" w:hAnsi="Times New Roman"/>
                <w:szCs w:val="22"/>
                <w:lang w:val="sr-Cyrl-CS"/>
              </w:rPr>
              <w:t>и</w:t>
            </w:r>
            <w:r w:rsidR="000B29AB" w:rsidRPr="005303F7">
              <w:rPr>
                <w:rFonts w:ascii="Times New Roman" w:hAnsi="Times New Roman"/>
                <w:szCs w:val="22"/>
                <w:lang w:val="sr-Cyrl-CS"/>
              </w:rPr>
              <w:t xml:space="preserve"> </w:t>
            </w:r>
            <w:r w:rsidRPr="005303F7">
              <w:rPr>
                <w:rFonts w:ascii="Times New Roman" w:hAnsi="Times New Roman"/>
                <w:szCs w:val="22"/>
                <w:lang w:val="sr-Cyrl-CS"/>
              </w:rPr>
              <w:t>трошкови</w:t>
            </w:r>
            <w:r w:rsidR="000B29AB" w:rsidRPr="005303F7">
              <w:rPr>
                <w:rFonts w:ascii="Times New Roman" w:hAnsi="Times New Roman"/>
                <w:szCs w:val="22"/>
                <w:lang w:val="sr-Cyrl-CS"/>
              </w:rPr>
              <w:t xml:space="preserve"> </w:t>
            </w:r>
            <w:r w:rsidRPr="005303F7">
              <w:rPr>
                <w:rFonts w:ascii="Times New Roman" w:hAnsi="Times New Roman"/>
                <w:szCs w:val="22"/>
                <w:lang w:val="sr-Cyrl-CS"/>
              </w:rPr>
              <w:t>улагања</w:t>
            </w:r>
            <w:r w:rsidR="000B29AB" w:rsidRPr="005303F7">
              <w:rPr>
                <w:rFonts w:ascii="Times New Roman" w:hAnsi="Times New Roman"/>
                <w:szCs w:val="22"/>
                <w:lang w:val="sr-Cyrl-CS"/>
              </w:rPr>
              <w:t xml:space="preserve"> </w:t>
            </w:r>
            <w:r w:rsidRPr="005303F7">
              <w:rPr>
                <w:rFonts w:ascii="Times New Roman" w:hAnsi="Times New Roman"/>
                <w:szCs w:val="22"/>
                <w:lang w:val="sr-Cyrl-CS"/>
              </w:rPr>
              <w:t>у</w:t>
            </w:r>
            <w:r w:rsidR="000B29AB" w:rsidRPr="005303F7">
              <w:rPr>
                <w:rFonts w:ascii="Times New Roman" w:hAnsi="Times New Roman"/>
                <w:szCs w:val="22"/>
                <w:lang w:val="sr-Cyrl-CS"/>
              </w:rPr>
              <w:t xml:space="preserve"> </w:t>
            </w:r>
            <w:r w:rsidRPr="005303F7">
              <w:rPr>
                <w:rFonts w:ascii="Times New Roman" w:hAnsi="Times New Roman"/>
                <w:szCs w:val="22"/>
                <w:lang w:val="sr-Cyrl-CS"/>
              </w:rPr>
              <w:t>неенергетске</w:t>
            </w:r>
            <w:r w:rsidR="000B29AB" w:rsidRPr="005303F7">
              <w:rPr>
                <w:rFonts w:ascii="Times New Roman" w:hAnsi="Times New Roman"/>
                <w:szCs w:val="22"/>
                <w:lang w:val="sr-Cyrl-CS"/>
              </w:rPr>
              <w:t xml:space="preserve"> </w:t>
            </w:r>
            <w:r w:rsidRPr="005303F7">
              <w:rPr>
                <w:rFonts w:ascii="Times New Roman" w:hAnsi="Times New Roman"/>
                <w:szCs w:val="22"/>
                <w:lang w:val="sr-Cyrl-CS"/>
              </w:rPr>
              <w:t>секторе</w:t>
            </w:r>
          </w:p>
        </w:tc>
        <w:tc>
          <w:tcPr>
            <w:tcW w:w="1701" w:type="dxa"/>
            <w:vAlign w:val="center"/>
          </w:tcPr>
          <w:p w14:paraId="3B2CD935" w14:textId="738B3535" w:rsidR="00244403" w:rsidRPr="005303F7" w:rsidRDefault="00244403" w:rsidP="00244403">
            <w:pPr>
              <w:spacing w:before="0" w:after="0"/>
              <w:jc w:val="center"/>
              <w:rPr>
                <w:rFonts w:ascii="Times New Roman" w:hAnsi="Times New Roman"/>
                <w:szCs w:val="22"/>
                <w:lang w:val="sr-Cyrl-CS"/>
              </w:rPr>
            </w:pPr>
            <w:r w:rsidRPr="005303F7">
              <w:rPr>
                <w:rFonts w:ascii="Times New Roman" w:hAnsi="Times New Roman"/>
                <w:szCs w:val="22"/>
                <w:lang w:val="sr-Cyrl-CS"/>
              </w:rPr>
              <w:t>-</w:t>
            </w:r>
          </w:p>
        </w:tc>
        <w:tc>
          <w:tcPr>
            <w:tcW w:w="1316" w:type="dxa"/>
            <w:vAlign w:val="center"/>
          </w:tcPr>
          <w:p w14:paraId="42959275" w14:textId="304BE51E" w:rsidR="00244403" w:rsidRPr="005303F7" w:rsidRDefault="00244403" w:rsidP="00244403">
            <w:pPr>
              <w:spacing w:before="0" w:after="0"/>
              <w:jc w:val="center"/>
              <w:rPr>
                <w:rFonts w:ascii="Times New Roman" w:hAnsi="Times New Roman"/>
                <w:szCs w:val="22"/>
                <w:lang w:val="sr-Cyrl-CS"/>
              </w:rPr>
            </w:pPr>
            <w:r w:rsidRPr="005303F7">
              <w:rPr>
                <w:rFonts w:ascii="Times New Roman" w:hAnsi="Times New Roman"/>
                <w:szCs w:val="22"/>
                <w:lang w:val="sr-Cyrl-CS"/>
              </w:rPr>
              <w:t>60</w:t>
            </w:r>
          </w:p>
        </w:tc>
        <w:tc>
          <w:tcPr>
            <w:tcW w:w="1316" w:type="dxa"/>
            <w:vAlign w:val="center"/>
          </w:tcPr>
          <w:p w14:paraId="7F2061ED" w14:textId="6AA16E29" w:rsidR="00244403" w:rsidRPr="005303F7" w:rsidRDefault="00244403" w:rsidP="00244403">
            <w:pPr>
              <w:spacing w:before="0" w:after="0"/>
              <w:jc w:val="center"/>
              <w:rPr>
                <w:rFonts w:ascii="Times New Roman" w:hAnsi="Times New Roman"/>
                <w:szCs w:val="22"/>
                <w:lang w:val="sr-Cyrl-CS"/>
              </w:rPr>
            </w:pPr>
            <w:r w:rsidRPr="005303F7">
              <w:rPr>
                <w:rFonts w:ascii="Times New Roman" w:hAnsi="Times New Roman"/>
                <w:szCs w:val="22"/>
                <w:lang w:val="sr-Cyrl-CS"/>
              </w:rPr>
              <w:t>76</w:t>
            </w:r>
          </w:p>
        </w:tc>
        <w:tc>
          <w:tcPr>
            <w:tcW w:w="1316" w:type="dxa"/>
            <w:vAlign w:val="center"/>
          </w:tcPr>
          <w:p w14:paraId="1859AF9F" w14:textId="4E0C18EC" w:rsidR="00244403" w:rsidRPr="005303F7" w:rsidRDefault="00244403" w:rsidP="00244403">
            <w:pPr>
              <w:spacing w:before="0" w:after="0"/>
              <w:jc w:val="center"/>
              <w:rPr>
                <w:rFonts w:ascii="Times New Roman" w:hAnsi="Times New Roman"/>
                <w:szCs w:val="22"/>
                <w:lang w:val="sr-Cyrl-CS"/>
              </w:rPr>
            </w:pPr>
            <w:r w:rsidRPr="005303F7">
              <w:rPr>
                <w:rFonts w:ascii="Times New Roman" w:hAnsi="Times New Roman"/>
                <w:szCs w:val="22"/>
                <w:lang w:val="sr-Cyrl-CS"/>
              </w:rPr>
              <w:t>110</w:t>
            </w:r>
          </w:p>
        </w:tc>
      </w:tr>
      <w:tr w:rsidR="00244403" w:rsidRPr="005303F7" w14:paraId="3740E42D" w14:textId="77777777" w:rsidTr="00496237">
        <w:trPr>
          <w:trHeight w:val="585"/>
          <w:jc w:val="center"/>
        </w:trPr>
        <w:tc>
          <w:tcPr>
            <w:tcW w:w="3539" w:type="dxa"/>
            <w:vAlign w:val="center"/>
          </w:tcPr>
          <w:p w14:paraId="47B61AA4" w14:textId="4BB8D97C" w:rsidR="00244403" w:rsidRPr="005303F7" w:rsidRDefault="00607CBA" w:rsidP="00761F25">
            <w:pPr>
              <w:spacing w:before="0" w:after="0"/>
              <w:jc w:val="left"/>
              <w:rPr>
                <w:rFonts w:ascii="Times New Roman" w:hAnsi="Times New Roman"/>
                <w:szCs w:val="22"/>
                <w:lang w:val="sr-Cyrl-CS"/>
              </w:rPr>
            </w:pPr>
            <w:r w:rsidRPr="005303F7">
              <w:rPr>
                <w:rFonts w:ascii="Times New Roman" w:hAnsi="Times New Roman"/>
                <w:szCs w:val="22"/>
                <w:lang w:val="sr-Cyrl-CS"/>
              </w:rPr>
              <w:t>Разлика</w:t>
            </w:r>
            <w:r w:rsidR="000B29AB" w:rsidRPr="005303F7">
              <w:rPr>
                <w:rFonts w:ascii="Times New Roman" w:hAnsi="Times New Roman"/>
                <w:szCs w:val="22"/>
                <w:lang w:val="sr-Cyrl-CS"/>
              </w:rPr>
              <w:t xml:space="preserve"> </w:t>
            </w:r>
            <w:r w:rsidRPr="005303F7">
              <w:rPr>
                <w:rFonts w:ascii="Times New Roman" w:hAnsi="Times New Roman"/>
                <w:szCs w:val="22"/>
                <w:lang w:val="sr-Cyrl-CS"/>
              </w:rPr>
              <w:t>у</w:t>
            </w:r>
            <w:r w:rsidR="00A15C20" w:rsidRPr="005303F7">
              <w:rPr>
                <w:rFonts w:ascii="Times New Roman" w:hAnsi="Times New Roman"/>
                <w:szCs w:val="22"/>
                <w:lang w:val="sr-Cyrl-CS"/>
              </w:rPr>
              <w:t xml:space="preserve"> </w:t>
            </w:r>
            <w:r w:rsidRPr="005303F7">
              <w:rPr>
                <w:rFonts w:ascii="Times New Roman" w:hAnsi="Times New Roman"/>
                <w:szCs w:val="22"/>
                <w:lang w:val="sr-Cyrl-CS"/>
              </w:rPr>
              <w:t>поређењу</w:t>
            </w:r>
            <w:r w:rsidR="00A15C20" w:rsidRPr="005303F7">
              <w:rPr>
                <w:rFonts w:ascii="Times New Roman" w:hAnsi="Times New Roman"/>
                <w:szCs w:val="22"/>
                <w:lang w:val="sr-Cyrl-CS"/>
              </w:rPr>
              <w:t xml:space="preserve"> </w:t>
            </w:r>
            <w:r w:rsidRPr="005303F7">
              <w:rPr>
                <w:rFonts w:ascii="Times New Roman" w:hAnsi="Times New Roman"/>
                <w:szCs w:val="22"/>
                <w:lang w:val="sr-Cyrl-CS"/>
              </w:rPr>
              <w:t>са</w:t>
            </w:r>
            <w:r w:rsidR="00A15C20" w:rsidRPr="005303F7">
              <w:rPr>
                <w:rFonts w:ascii="Times New Roman" w:hAnsi="Times New Roman"/>
                <w:szCs w:val="22"/>
                <w:lang w:val="sr-Cyrl-CS"/>
              </w:rPr>
              <w:t xml:space="preserve"> </w:t>
            </w:r>
            <w:r w:rsidR="000B29AB" w:rsidRPr="005303F7">
              <w:rPr>
                <w:rFonts w:ascii="Times New Roman" w:hAnsi="Times New Roman"/>
                <w:szCs w:val="22"/>
                <w:lang w:val="sr-Cyrl-CS"/>
              </w:rPr>
              <w:t>„</w:t>
            </w:r>
            <w:r w:rsidRPr="005303F7">
              <w:rPr>
                <w:rFonts w:ascii="Times New Roman" w:hAnsi="Times New Roman"/>
                <w:szCs w:val="22"/>
                <w:lang w:val="sr-Cyrl-CS"/>
              </w:rPr>
              <w:t>неделовањем</w:t>
            </w:r>
            <w:r w:rsidR="0035174D" w:rsidRPr="005303F7">
              <w:rPr>
                <w:rFonts w:ascii="Times New Roman" w:hAnsi="Times New Roman"/>
                <w:szCs w:val="22"/>
                <w:lang w:val="sr-Cyrl-CS"/>
              </w:rPr>
              <w:t>”</w:t>
            </w:r>
            <w:r w:rsidR="00244403" w:rsidRPr="005303F7">
              <w:rPr>
                <w:rFonts w:ascii="Times New Roman" w:hAnsi="Times New Roman"/>
                <w:szCs w:val="22"/>
                <w:lang w:val="sr-Cyrl-CS"/>
              </w:rPr>
              <w:t xml:space="preserve"> </w:t>
            </w:r>
          </w:p>
        </w:tc>
        <w:tc>
          <w:tcPr>
            <w:tcW w:w="1701" w:type="dxa"/>
            <w:vAlign w:val="center"/>
          </w:tcPr>
          <w:p w14:paraId="3028F359" w14:textId="62D004DA" w:rsidR="00244403" w:rsidRPr="005303F7" w:rsidRDefault="00244403" w:rsidP="00244403">
            <w:pPr>
              <w:spacing w:before="0" w:after="0"/>
              <w:rPr>
                <w:rFonts w:ascii="Times New Roman" w:hAnsi="Times New Roman"/>
                <w:szCs w:val="22"/>
                <w:lang w:val="sr-Cyrl-CS"/>
              </w:rPr>
            </w:pPr>
          </w:p>
        </w:tc>
        <w:tc>
          <w:tcPr>
            <w:tcW w:w="1316" w:type="dxa"/>
            <w:vAlign w:val="center"/>
          </w:tcPr>
          <w:p w14:paraId="2FDCFDCE" w14:textId="7E11E84C" w:rsidR="00244403" w:rsidRPr="005303F7" w:rsidRDefault="00244403" w:rsidP="00244403">
            <w:pPr>
              <w:pStyle w:val="ListParagraph"/>
              <w:spacing w:before="0" w:after="0"/>
              <w:jc w:val="center"/>
              <w:rPr>
                <w:rFonts w:ascii="Times New Roman" w:hAnsi="Times New Roman" w:cs="Times New Roman"/>
                <w:sz w:val="22"/>
                <w:szCs w:val="22"/>
                <w:lang w:val="sr-Cyrl-CS"/>
              </w:rPr>
            </w:pPr>
            <w:r w:rsidRPr="005303F7">
              <w:rPr>
                <w:rFonts w:ascii="Times New Roman" w:hAnsi="Times New Roman" w:cs="Times New Roman"/>
                <w:sz w:val="22"/>
                <w:szCs w:val="22"/>
                <w:lang w:val="sr-Cyrl-CS"/>
              </w:rPr>
              <w:t>-</w:t>
            </w:r>
            <w:r w:rsidR="00153DA0" w:rsidRPr="005303F7">
              <w:rPr>
                <w:rFonts w:ascii="Times New Roman" w:hAnsi="Times New Roman" w:cs="Times New Roman"/>
                <w:sz w:val="22"/>
                <w:szCs w:val="22"/>
                <w:lang w:val="sr-Cyrl-CS"/>
              </w:rPr>
              <w:t>48</w:t>
            </w:r>
          </w:p>
        </w:tc>
        <w:tc>
          <w:tcPr>
            <w:tcW w:w="1316" w:type="dxa"/>
            <w:vAlign w:val="center"/>
          </w:tcPr>
          <w:p w14:paraId="4C0186A0" w14:textId="1009B5EE" w:rsidR="00244403" w:rsidRPr="005303F7" w:rsidRDefault="00244403" w:rsidP="00244403">
            <w:pPr>
              <w:pStyle w:val="ListParagraph"/>
              <w:spacing w:before="0" w:after="0"/>
              <w:jc w:val="center"/>
              <w:rPr>
                <w:rFonts w:ascii="Times New Roman" w:hAnsi="Times New Roman" w:cs="Times New Roman"/>
                <w:sz w:val="22"/>
                <w:szCs w:val="22"/>
                <w:lang w:val="sr-Cyrl-CS"/>
              </w:rPr>
            </w:pPr>
            <w:r w:rsidRPr="005303F7">
              <w:rPr>
                <w:rFonts w:ascii="Times New Roman" w:hAnsi="Times New Roman" w:cs="Times New Roman"/>
                <w:sz w:val="22"/>
                <w:szCs w:val="22"/>
                <w:lang w:val="sr-Cyrl-CS"/>
              </w:rPr>
              <w:t>-3</w:t>
            </w:r>
            <w:r w:rsidR="00153DA0" w:rsidRPr="005303F7">
              <w:rPr>
                <w:rFonts w:ascii="Times New Roman" w:hAnsi="Times New Roman" w:cs="Times New Roman"/>
                <w:sz w:val="22"/>
                <w:szCs w:val="22"/>
                <w:lang w:val="sr-Cyrl-CS"/>
              </w:rPr>
              <w:t>2</w:t>
            </w:r>
          </w:p>
        </w:tc>
        <w:tc>
          <w:tcPr>
            <w:tcW w:w="1316" w:type="dxa"/>
            <w:vAlign w:val="center"/>
          </w:tcPr>
          <w:p w14:paraId="71968A34" w14:textId="789C9A2A" w:rsidR="00244403" w:rsidRPr="005303F7" w:rsidRDefault="00153DA0" w:rsidP="00244403">
            <w:pPr>
              <w:pStyle w:val="ListParagraph"/>
              <w:spacing w:before="0" w:after="0"/>
              <w:jc w:val="center"/>
              <w:rPr>
                <w:rFonts w:ascii="Times New Roman" w:hAnsi="Times New Roman" w:cs="Times New Roman"/>
                <w:sz w:val="22"/>
                <w:szCs w:val="22"/>
                <w:lang w:val="sr-Cyrl-CS"/>
              </w:rPr>
            </w:pPr>
            <w:r w:rsidRPr="005303F7">
              <w:rPr>
                <w:rFonts w:ascii="Times New Roman" w:hAnsi="Times New Roman" w:cs="Times New Roman"/>
                <w:sz w:val="22"/>
                <w:szCs w:val="22"/>
                <w:lang w:val="sr-Cyrl-CS"/>
              </w:rPr>
              <w:t>2</w:t>
            </w:r>
          </w:p>
        </w:tc>
      </w:tr>
    </w:tbl>
    <w:p w14:paraId="50AD8207" w14:textId="3C678DB0" w:rsidR="00545F61" w:rsidRPr="005303F7" w:rsidRDefault="003B42CB" w:rsidP="00545F61">
      <w:pPr>
        <w:keepNext/>
        <w:spacing w:after="60"/>
        <w:rPr>
          <w:rFonts w:ascii="Times New Roman" w:hAnsi="Times New Roman"/>
          <w:b/>
          <w:bCs/>
          <w:i/>
          <w:iCs/>
          <w:szCs w:val="18"/>
          <w:lang w:val="sr-Cyrl-CS"/>
        </w:rPr>
      </w:pPr>
      <w:bookmarkStart w:id="143" w:name="_Toc26759707"/>
      <w:r w:rsidRPr="005303F7">
        <w:rPr>
          <w:noProof/>
          <w:lang w:val="sr-Cyrl-CS" w:eastAsia="en-US"/>
        </w:rPr>
        <w:lastRenderedPageBreak/>
        <w:drawing>
          <wp:inline distT="0" distB="0" distL="0" distR="0" wp14:anchorId="5381DD90" wp14:editId="1B6AD038">
            <wp:extent cx="5855970" cy="4097328"/>
            <wp:effectExtent l="0" t="0" r="0" b="0"/>
            <wp:docPr id="3" name="Picture 3" descr="cid:image001.png@01D7B396.DE28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7B396.DE28053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855970" cy="4097328"/>
                    </a:xfrm>
                    <a:prstGeom prst="rect">
                      <a:avLst/>
                    </a:prstGeom>
                    <a:noFill/>
                    <a:ln>
                      <a:noFill/>
                    </a:ln>
                  </pic:spPr>
                </pic:pic>
              </a:graphicData>
            </a:graphic>
          </wp:inline>
        </w:drawing>
      </w:r>
      <w:r w:rsidR="00607CBA" w:rsidRPr="005303F7">
        <w:rPr>
          <w:rFonts w:ascii="Times New Roman" w:hAnsi="Times New Roman"/>
          <w:b/>
          <w:bCs/>
          <w:i/>
          <w:iCs/>
          <w:szCs w:val="18"/>
          <w:lang w:val="sr-Cyrl-CS"/>
        </w:rPr>
        <w:t>Графикон</w:t>
      </w:r>
      <w:r w:rsidR="00545F61" w:rsidRPr="005303F7">
        <w:rPr>
          <w:rFonts w:ascii="Times New Roman" w:hAnsi="Times New Roman"/>
          <w:b/>
          <w:bCs/>
          <w:i/>
          <w:iCs/>
          <w:szCs w:val="18"/>
          <w:lang w:val="sr-Cyrl-CS"/>
        </w:rPr>
        <w:t xml:space="preserve"> </w:t>
      </w:r>
      <w:r w:rsidR="00BB0AA2" w:rsidRPr="005303F7">
        <w:rPr>
          <w:rFonts w:ascii="Times New Roman" w:hAnsi="Times New Roman"/>
          <w:b/>
          <w:bCs/>
          <w:i/>
          <w:iCs/>
          <w:szCs w:val="18"/>
          <w:lang w:val="sr-Cyrl-CS"/>
        </w:rPr>
        <w:t>3</w:t>
      </w:r>
      <w:r w:rsidR="00545F61" w:rsidRPr="005303F7">
        <w:rPr>
          <w:rFonts w:ascii="Times New Roman" w:hAnsi="Times New Roman"/>
          <w:b/>
          <w:bCs/>
          <w:i/>
          <w:iCs/>
          <w:szCs w:val="18"/>
          <w:lang w:val="sr-Cyrl-CS"/>
        </w:rPr>
        <w:t xml:space="preserve">: </w:t>
      </w:r>
      <w:r w:rsidR="00607CBA" w:rsidRPr="005303F7">
        <w:rPr>
          <w:rFonts w:ascii="Times New Roman" w:hAnsi="Times New Roman"/>
          <w:b/>
          <w:bCs/>
          <w:i/>
          <w:iCs/>
          <w:szCs w:val="18"/>
          <w:lang w:val="sr-Cyrl-CS"/>
        </w:rPr>
        <w:t>Системски</w:t>
      </w:r>
      <w:r w:rsidR="00545F61" w:rsidRPr="005303F7">
        <w:rPr>
          <w:rFonts w:ascii="Times New Roman" w:hAnsi="Times New Roman"/>
          <w:b/>
          <w:bCs/>
          <w:i/>
          <w:iCs/>
          <w:szCs w:val="18"/>
          <w:lang w:val="sr-Cyrl-CS"/>
        </w:rPr>
        <w:t xml:space="preserve"> </w:t>
      </w:r>
      <w:r w:rsidR="00607CBA" w:rsidRPr="005303F7">
        <w:rPr>
          <w:rFonts w:ascii="Times New Roman" w:hAnsi="Times New Roman"/>
          <w:b/>
          <w:bCs/>
          <w:i/>
          <w:iCs/>
          <w:szCs w:val="18"/>
          <w:lang w:val="sr-Cyrl-CS"/>
        </w:rPr>
        <w:t>трошкови</w:t>
      </w:r>
      <w:r w:rsidR="00545F61" w:rsidRPr="005303F7">
        <w:rPr>
          <w:rFonts w:ascii="Times New Roman" w:hAnsi="Times New Roman"/>
          <w:b/>
          <w:bCs/>
          <w:i/>
          <w:iCs/>
          <w:szCs w:val="18"/>
          <w:lang w:val="sr-Cyrl-CS"/>
        </w:rPr>
        <w:t xml:space="preserve"> </w:t>
      </w:r>
      <w:r w:rsidR="00607CBA" w:rsidRPr="005303F7">
        <w:rPr>
          <w:rFonts w:ascii="Times New Roman" w:hAnsi="Times New Roman"/>
          <w:b/>
          <w:bCs/>
          <w:i/>
          <w:iCs/>
          <w:szCs w:val="18"/>
          <w:lang w:val="sr-Cyrl-CS"/>
        </w:rPr>
        <w:t>нечињења</w:t>
      </w:r>
      <w:r w:rsidR="00545F61" w:rsidRPr="005303F7">
        <w:rPr>
          <w:rFonts w:ascii="Times New Roman" w:hAnsi="Times New Roman"/>
          <w:b/>
          <w:bCs/>
          <w:i/>
          <w:iCs/>
          <w:szCs w:val="18"/>
          <w:lang w:val="sr-Cyrl-CS"/>
        </w:rPr>
        <w:t xml:space="preserve"> </w:t>
      </w:r>
      <w:r w:rsidR="00607CBA" w:rsidRPr="005303F7">
        <w:rPr>
          <w:rFonts w:ascii="Times New Roman" w:hAnsi="Times New Roman"/>
          <w:b/>
          <w:bCs/>
          <w:i/>
          <w:iCs/>
          <w:szCs w:val="18"/>
          <w:lang w:val="sr-Cyrl-CS"/>
        </w:rPr>
        <w:t>и</w:t>
      </w:r>
      <w:r w:rsidR="00545F61" w:rsidRPr="005303F7">
        <w:rPr>
          <w:rFonts w:ascii="Times New Roman" w:hAnsi="Times New Roman"/>
          <w:b/>
          <w:bCs/>
          <w:i/>
          <w:iCs/>
          <w:szCs w:val="18"/>
          <w:lang w:val="sr-Cyrl-CS"/>
        </w:rPr>
        <w:t xml:space="preserve"> </w:t>
      </w:r>
      <w:r w:rsidR="00607CBA" w:rsidRPr="005303F7">
        <w:rPr>
          <w:rFonts w:ascii="Times New Roman" w:hAnsi="Times New Roman"/>
          <w:b/>
          <w:bCs/>
          <w:i/>
          <w:iCs/>
          <w:szCs w:val="18"/>
          <w:lang w:val="sr-Cyrl-CS"/>
        </w:rPr>
        <w:t>трошкови</w:t>
      </w:r>
      <w:r w:rsidR="00545F61" w:rsidRPr="005303F7">
        <w:rPr>
          <w:rFonts w:ascii="Times New Roman" w:hAnsi="Times New Roman"/>
          <w:b/>
          <w:bCs/>
          <w:i/>
          <w:iCs/>
          <w:szCs w:val="18"/>
          <w:vertAlign w:val="superscript"/>
          <w:lang w:val="sr-Cyrl-CS"/>
        </w:rPr>
        <w:footnoteReference w:id="23"/>
      </w:r>
      <w:r w:rsidR="00545F61" w:rsidRPr="005303F7">
        <w:rPr>
          <w:rFonts w:ascii="Times New Roman" w:hAnsi="Times New Roman"/>
          <w:b/>
          <w:bCs/>
          <w:i/>
          <w:iCs/>
          <w:szCs w:val="18"/>
          <w:lang w:val="sr-Cyrl-CS"/>
        </w:rPr>
        <w:t xml:space="preserve"> </w:t>
      </w:r>
      <w:r w:rsidR="00607CBA" w:rsidRPr="005303F7">
        <w:rPr>
          <w:rFonts w:ascii="Times New Roman" w:hAnsi="Times New Roman"/>
          <w:b/>
          <w:bCs/>
          <w:i/>
          <w:iCs/>
          <w:szCs w:val="18"/>
          <w:lang w:val="sr-Cyrl-CS"/>
        </w:rPr>
        <w:t>сценарија</w:t>
      </w:r>
      <w:r w:rsidR="00545F61" w:rsidRPr="005303F7">
        <w:rPr>
          <w:rFonts w:ascii="Times New Roman" w:hAnsi="Times New Roman"/>
          <w:b/>
          <w:bCs/>
          <w:i/>
          <w:iCs/>
          <w:szCs w:val="18"/>
          <w:lang w:val="sr-Cyrl-CS"/>
        </w:rPr>
        <w:t xml:space="preserve"> </w:t>
      </w:r>
      <w:r w:rsidR="00607CBA" w:rsidRPr="005303F7">
        <w:rPr>
          <w:rFonts w:ascii="Times New Roman" w:hAnsi="Times New Roman"/>
          <w:b/>
          <w:bCs/>
          <w:i/>
          <w:iCs/>
          <w:szCs w:val="18"/>
          <w:lang w:val="sr-Cyrl-CS"/>
        </w:rPr>
        <w:t>ублажавања</w:t>
      </w:r>
      <w:r w:rsidR="00545F61" w:rsidRPr="005303F7">
        <w:rPr>
          <w:rFonts w:ascii="Times New Roman" w:hAnsi="Times New Roman"/>
          <w:b/>
          <w:bCs/>
          <w:i/>
          <w:iCs/>
          <w:szCs w:val="18"/>
          <w:lang w:val="sr-Cyrl-CS"/>
        </w:rPr>
        <w:t xml:space="preserve"> (</w:t>
      </w:r>
      <w:r w:rsidR="0039680D" w:rsidRPr="005303F7">
        <w:rPr>
          <w:rFonts w:ascii="Times New Roman" w:hAnsi="Times New Roman"/>
          <w:b/>
          <w:bCs/>
          <w:i/>
          <w:iCs/>
          <w:szCs w:val="18"/>
          <w:lang w:val="sr-Cyrl-CS"/>
        </w:rPr>
        <w:t>милијарди</w:t>
      </w:r>
      <w:r w:rsidR="00545F61" w:rsidRPr="005303F7">
        <w:rPr>
          <w:rFonts w:ascii="Times New Roman" w:hAnsi="Times New Roman"/>
          <w:b/>
          <w:bCs/>
          <w:i/>
          <w:iCs/>
          <w:szCs w:val="18"/>
          <w:lang w:val="sr-Cyrl-CS"/>
        </w:rPr>
        <w:t xml:space="preserve"> </w:t>
      </w:r>
      <w:r w:rsidR="00607CBA" w:rsidRPr="005303F7">
        <w:rPr>
          <w:rFonts w:ascii="Times New Roman" w:hAnsi="Times New Roman"/>
          <w:b/>
          <w:bCs/>
          <w:i/>
          <w:iCs/>
          <w:szCs w:val="18"/>
          <w:lang w:val="sr-Cyrl-CS"/>
        </w:rPr>
        <w:t>евра</w:t>
      </w:r>
      <w:r w:rsidR="00545F61" w:rsidRPr="005303F7">
        <w:rPr>
          <w:rFonts w:ascii="Times New Roman" w:hAnsi="Times New Roman"/>
          <w:b/>
          <w:bCs/>
          <w:i/>
          <w:iCs/>
          <w:szCs w:val="18"/>
          <w:lang w:val="sr-Cyrl-CS"/>
        </w:rPr>
        <w:t>)</w:t>
      </w:r>
      <w:bookmarkEnd w:id="143"/>
    </w:p>
    <w:p w14:paraId="12B15B90" w14:textId="38D129F8" w:rsidR="009308E4" w:rsidRPr="005303F7" w:rsidRDefault="0039680D" w:rsidP="009D6067">
      <w:pPr>
        <w:rPr>
          <w:rFonts w:ascii="Times New Roman" w:hAnsi="Times New Roman"/>
          <w:sz w:val="24"/>
          <w:lang w:val="sr-Cyrl-CS"/>
        </w:rPr>
      </w:pPr>
      <w:r w:rsidRPr="005303F7">
        <w:rPr>
          <w:rFonts w:ascii="Times New Roman" w:hAnsi="Times New Roman"/>
          <w:sz w:val="24"/>
          <w:lang w:val="sr-Cyrl-CS"/>
        </w:rPr>
        <w:t xml:space="preserve">            </w:t>
      </w:r>
      <w:r w:rsidR="00607CBA" w:rsidRPr="005303F7">
        <w:rPr>
          <w:rFonts w:ascii="Times New Roman" w:hAnsi="Times New Roman"/>
          <w:sz w:val="24"/>
          <w:lang w:val="sr-Cyrl-CS"/>
        </w:rPr>
        <w:t>Већина</w:t>
      </w:r>
      <w:r w:rsidR="009308E4" w:rsidRPr="005303F7">
        <w:rPr>
          <w:rFonts w:ascii="Times New Roman" w:hAnsi="Times New Roman"/>
          <w:sz w:val="24"/>
          <w:lang w:val="sr-Cyrl-CS"/>
        </w:rPr>
        <w:t xml:space="preserve"> </w:t>
      </w:r>
      <w:r w:rsidR="00607CBA" w:rsidRPr="005303F7">
        <w:rPr>
          <w:rFonts w:ascii="Times New Roman" w:hAnsi="Times New Roman"/>
          <w:sz w:val="24"/>
          <w:lang w:val="sr-Cyrl-CS"/>
        </w:rPr>
        <w:t>додатних</w:t>
      </w:r>
      <w:r w:rsidR="009308E4" w:rsidRPr="005303F7">
        <w:rPr>
          <w:rFonts w:ascii="Times New Roman" w:hAnsi="Times New Roman"/>
          <w:sz w:val="24"/>
          <w:lang w:val="sr-Cyrl-CS"/>
        </w:rPr>
        <w:t xml:space="preserve"> </w:t>
      </w:r>
      <w:r w:rsidR="00B15546" w:rsidRPr="005303F7">
        <w:rPr>
          <w:rFonts w:ascii="Times New Roman" w:hAnsi="Times New Roman"/>
          <w:sz w:val="24"/>
          <w:lang w:val="sr-Cyrl-CS"/>
        </w:rPr>
        <w:t xml:space="preserve">системских </w:t>
      </w:r>
      <w:r w:rsidR="00607CBA" w:rsidRPr="005303F7">
        <w:rPr>
          <w:rFonts w:ascii="Times New Roman" w:hAnsi="Times New Roman"/>
          <w:sz w:val="24"/>
          <w:lang w:val="sr-Cyrl-CS"/>
        </w:rPr>
        <w:t>трошкова</w:t>
      </w:r>
      <w:r w:rsidR="009308E4"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9308E4" w:rsidRPr="005303F7">
        <w:rPr>
          <w:rFonts w:ascii="Times New Roman" w:hAnsi="Times New Roman"/>
          <w:sz w:val="24"/>
          <w:lang w:val="sr-Cyrl-CS"/>
        </w:rPr>
        <w:t xml:space="preserve"> </w:t>
      </w:r>
      <w:r w:rsidR="00607CBA" w:rsidRPr="005303F7">
        <w:rPr>
          <w:rFonts w:ascii="Times New Roman" w:hAnsi="Times New Roman"/>
          <w:sz w:val="24"/>
          <w:lang w:val="sr-Cyrl-CS"/>
        </w:rPr>
        <w:t>сценарију</w:t>
      </w:r>
      <w:r w:rsidR="009308E4" w:rsidRPr="005303F7">
        <w:rPr>
          <w:rFonts w:ascii="Times New Roman" w:hAnsi="Times New Roman"/>
          <w:sz w:val="24"/>
          <w:lang w:val="sr-Cyrl-CS"/>
        </w:rPr>
        <w:t xml:space="preserve"> </w:t>
      </w:r>
      <w:r w:rsidR="00607CBA" w:rsidRPr="005303F7">
        <w:rPr>
          <w:rFonts w:ascii="Times New Roman" w:hAnsi="Times New Roman"/>
          <w:sz w:val="24"/>
          <w:lang w:val="sr-Cyrl-CS"/>
        </w:rPr>
        <w:t>М</w:t>
      </w:r>
      <w:r w:rsidR="009308E4" w:rsidRPr="005303F7">
        <w:rPr>
          <w:rFonts w:ascii="Times New Roman" w:hAnsi="Times New Roman"/>
          <w:sz w:val="24"/>
          <w:lang w:val="sr-Cyrl-CS"/>
        </w:rPr>
        <w:t xml:space="preserve">2 </w:t>
      </w:r>
      <w:r w:rsidR="00607CBA" w:rsidRPr="005303F7">
        <w:rPr>
          <w:rFonts w:ascii="Times New Roman" w:hAnsi="Times New Roman"/>
          <w:sz w:val="24"/>
          <w:lang w:val="sr-Cyrl-CS"/>
        </w:rPr>
        <w:t>чине</w:t>
      </w:r>
      <w:r w:rsidR="009308E4" w:rsidRPr="005303F7">
        <w:rPr>
          <w:rFonts w:ascii="Times New Roman" w:hAnsi="Times New Roman"/>
          <w:sz w:val="24"/>
          <w:lang w:val="sr-Cyrl-CS"/>
        </w:rPr>
        <w:t xml:space="preserve"> </w:t>
      </w:r>
      <w:r w:rsidR="00607CBA" w:rsidRPr="005303F7">
        <w:rPr>
          <w:rFonts w:ascii="Times New Roman" w:hAnsi="Times New Roman"/>
          <w:sz w:val="24"/>
          <w:lang w:val="sr-Cyrl-CS"/>
        </w:rPr>
        <w:t>додатни</w:t>
      </w:r>
      <w:r w:rsidR="009308E4" w:rsidRPr="005303F7">
        <w:rPr>
          <w:rFonts w:ascii="Times New Roman" w:hAnsi="Times New Roman"/>
          <w:sz w:val="24"/>
          <w:lang w:val="sr-Cyrl-CS"/>
        </w:rPr>
        <w:t xml:space="preserve"> </w:t>
      </w:r>
      <w:r w:rsidR="00B15546" w:rsidRPr="005303F7">
        <w:rPr>
          <w:rFonts w:ascii="Times New Roman" w:hAnsi="Times New Roman"/>
          <w:sz w:val="24"/>
          <w:lang w:val="sr-Cyrl-CS"/>
        </w:rPr>
        <w:t xml:space="preserve">системски </w:t>
      </w:r>
      <w:r w:rsidR="00607CBA" w:rsidRPr="005303F7">
        <w:rPr>
          <w:rFonts w:ascii="Times New Roman" w:hAnsi="Times New Roman"/>
          <w:sz w:val="24"/>
          <w:lang w:val="sr-Cyrl-CS"/>
        </w:rPr>
        <w:t>трошкови</w:t>
      </w:r>
      <w:r w:rsidR="009308E4" w:rsidRPr="005303F7">
        <w:rPr>
          <w:rFonts w:ascii="Times New Roman" w:hAnsi="Times New Roman"/>
          <w:sz w:val="24"/>
          <w:lang w:val="sr-Cyrl-CS"/>
        </w:rPr>
        <w:t xml:space="preserve"> </w:t>
      </w:r>
      <w:r w:rsidR="00607CBA" w:rsidRPr="005303F7">
        <w:rPr>
          <w:rFonts w:ascii="Times New Roman" w:hAnsi="Times New Roman"/>
          <w:sz w:val="24"/>
          <w:lang w:val="sr-Cyrl-CS"/>
        </w:rPr>
        <w:t>енергетског</w:t>
      </w:r>
      <w:r w:rsidR="00A13D48" w:rsidRPr="005303F7">
        <w:rPr>
          <w:rFonts w:ascii="Times New Roman" w:hAnsi="Times New Roman"/>
          <w:sz w:val="24"/>
          <w:lang w:val="sr-Cyrl-CS"/>
        </w:rPr>
        <w:t xml:space="preserve"> </w:t>
      </w:r>
      <w:r w:rsidR="00607CBA" w:rsidRPr="005303F7">
        <w:rPr>
          <w:rFonts w:ascii="Times New Roman" w:hAnsi="Times New Roman"/>
          <w:sz w:val="24"/>
          <w:lang w:val="sr-Cyrl-CS"/>
        </w:rPr>
        <w:t>сектора</w:t>
      </w:r>
      <w:r w:rsidR="00415473" w:rsidRPr="005303F7">
        <w:rPr>
          <w:rFonts w:ascii="Times New Roman" w:hAnsi="Times New Roman"/>
          <w:sz w:val="24"/>
          <w:lang w:val="sr-Cyrl-CS"/>
        </w:rPr>
        <w:t xml:space="preserve"> </w:t>
      </w:r>
      <w:r w:rsidR="009308E4" w:rsidRPr="005303F7">
        <w:rPr>
          <w:rFonts w:ascii="Times New Roman" w:hAnsi="Times New Roman"/>
          <w:sz w:val="24"/>
          <w:lang w:val="sr-Cyrl-CS"/>
        </w:rPr>
        <w:t xml:space="preserve">(46,2 </w:t>
      </w:r>
      <w:r w:rsidR="00607CBA" w:rsidRPr="005303F7">
        <w:rPr>
          <w:rFonts w:ascii="Times New Roman" w:hAnsi="Times New Roman"/>
          <w:sz w:val="24"/>
          <w:lang w:val="sr-Cyrl-CS"/>
        </w:rPr>
        <w:t>милијарде</w:t>
      </w:r>
      <w:r w:rsidR="009308E4" w:rsidRPr="005303F7">
        <w:rPr>
          <w:rFonts w:ascii="Times New Roman" w:hAnsi="Times New Roman"/>
          <w:sz w:val="24"/>
          <w:lang w:val="sr-Cyrl-CS"/>
        </w:rPr>
        <w:t xml:space="preserve"> </w:t>
      </w:r>
      <w:r w:rsidR="00607CBA" w:rsidRPr="005303F7">
        <w:rPr>
          <w:rFonts w:ascii="Times New Roman" w:hAnsi="Times New Roman"/>
          <w:sz w:val="24"/>
          <w:lang w:val="sr-Cyrl-CS"/>
        </w:rPr>
        <w:t>евра</w:t>
      </w:r>
      <w:r w:rsidR="009308E4" w:rsidRPr="005303F7">
        <w:rPr>
          <w:rFonts w:ascii="Times New Roman" w:hAnsi="Times New Roman"/>
          <w:sz w:val="24"/>
          <w:lang w:val="sr-Cyrl-CS"/>
        </w:rPr>
        <w:t xml:space="preserve">), </w:t>
      </w:r>
      <w:r w:rsidR="00607CBA" w:rsidRPr="005303F7">
        <w:rPr>
          <w:rFonts w:ascii="Times New Roman" w:hAnsi="Times New Roman"/>
          <w:sz w:val="24"/>
          <w:lang w:val="sr-Cyrl-CS"/>
        </w:rPr>
        <w:t>који</w:t>
      </w:r>
      <w:r w:rsidR="009308E4" w:rsidRPr="005303F7">
        <w:rPr>
          <w:rFonts w:ascii="Times New Roman" w:hAnsi="Times New Roman"/>
          <w:sz w:val="24"/>
          <w:lang w:val="sr-Cyrl-CS"/>
        </w:rPr>
        <w:t xml:space="preserve"> </w:t>
      </w:r>
      <w:r w:rsidR="00607CBA" w:rsidRPr="005303F7">
        <w:rPr>
          <w:rFonts w:ascii="Times New Roman" w:hAnsi="Times New Roman"/>
          <w:sz w:val="24"/>
          <w:lang w:val="sr-Cyrl-CS"/>
        </w:rPr>
        <w:t>је</w:t>
      </w:r>
      <w:r w:rsidR="009308E4"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9308E4" w:rsidRPr="005303F7">
        <w:rPr>
          <w:rFonts w:ascii="Times New Roman" w:hAnsi="Times New Roman"/>
          <w:sz w:val="24"/>
          <w:lang w:val="sr-Cyrl-CS"/>
        </w:rPr>
        <w:t xml:space="preserve"> </w:t>
      </w:r>
      <w:r w:rsidR="00607CBA" w:rsidRPr="005303F7">
        <w:rPr>
          <w:rFonts w:ascii="Times New Roman" w:hAnsi="Times New Roman"/>
          <w:sz w:val="24"/>
          <w:lang w:val="sr-Cyrl-CS"/>
        </w:rPr>
        <w:t>потпуности</w:t>
      </w:r>
      <w:r w:rsidR="00B15546" w:rsidRPr="005303F7">
        <w:rPr>
          <w:rFonts w:ascii="Times New Roman" w:hAnsi="Times New Roman"/>
          <w:sz w:val="24"/>
          <w:lang w:val="sr-Cyrl-CS"/>
        </w:rPr>
        <w:t xml:space="preserve"> или делимично </w:t>
      </w:r>
      <w:r w:rsidR="00607CBA" w:rsidRPr="005303F7">
        <w:rPr>
          <w:rFonts w:ascii="Times New Roman" w:hAnsi="Times New Roman"/>
          <w:sz w:val="24"/>
          <w:lang w:val="sr-Cyrl-CS"/>
        </w:rPr>
        <w:t>подложан</w:t>
      </w:r>
      <w:r w:rsidR="009308E4" w:rsidRPr="005303F7">
        <w:rPr>
          <w:rFonts w:ascii="Times New Roman" w:hAnsi="Times New Roman"/>
          <w:sz w:val="24"/>
          <w:lang w:val="sr-Cyrl-CS"/>
        </w:rPr>
        <w:t xml:space="preserve"> </w:t>
      </w:r>
      <w:r w:rsidR="00B15546" w:rsidRPr="005303F7">
        <w:rPr>
          <w:rFonts w:ascii="Times New Roman" w:hAnsi="Times New Roman"/>
          <w:sz w:val="24"/>
          <w:lang w:val="sr-Cyrl-CS"/>
        </w:rPr>
        <w:t xml:space="preserve">преношењу на потрошача, узимајући у обзир </w:t>
      </w:r>
      <w:r w:rsidR="00607CBA" w:rsidRPr="005303F7">
        <w:rPr>
          <w:rFonts w:ascii="Times New Roman" w:hAnsi="Times New Roman"/>
          <w:sz w:val="24"/>
          <w:lang w:val="sr-Cyrl-CS"/>
        </w:rPr>
        <w:t>услов</w:t>
      </w:r>
      <w:r w:rsidR="00B15546" w:rsidRPr="005303F7">
        <w:rPr>
          <w:rFonts w:ascii="Times New Roman" w:hAnsi="Times New Roman"/>
          <w:sz w:val="24"/>
          <w:lang w:val="sr-Cyrl-CS"/>
        </w:rPr>
        <w:t>е</w:t>
      </w:r>
      <w:r w:rsidR="009308E4" w:rsidRPr="005303F7">
        <w:rPr>
          <w:rFonts w:ascii="Times New Roman" w:hAnsi="Times New Roman"/>
          <w:sz w:val="24"/>
          <w:lang w:val="sr-Cyrl-CS"/>
        </w:rPr>
        <w:t xml:space="preserve"> </w:t>
      </w:r>
      <w:r w:rsidR="00607CBA" w:rsidRPr="005303F7">
        <w:rPr>
          <w:rFonts w:ascii="Times New Roman" w:hAnsi="Times New Roman"/>
          <w:sz w:val="24"/>
          <w:lang w:val="sr-Cyrl-CS"/>
        </w:rPr>
        <w:t>тржишта</w:t>
      </w:r>
      <w:r w:rsidR="009308E4" w:rsidRPr="005303F7">
        <w:rPr>
          <w:rFonts w:ascii="Times New Roman" w:hAnsi="Times New Roman"/>
          <w:sz w:val="24"/>
          <w:lang w:val="sr-Cyrl-CS"/>
        </w:rPr>
        <w:t>.</w:t>
      </w:r>
    </w:p>
    <w:p w14:paraId="2F8FBDA8" w14:textId="6E290C33" w:rsidR="006E31B2" w:rsidRPr="005303F7" w:rsidRDefault="0039680D" w:rsidP="009D6067">
      <w:pPr>
        <w:rPr>
          <w:rFonts w:ascii="Times New Roman" w:hAnsi="Times New Roman"/>
          <w:sz w:val="24"/>
          <w:lang w:val="sr-Cyrl-CS"/>
        </w:rPr>
      </w:pPr>
      <w:r w:rsidRPr="005303F7">
        <w:rPr>
          <w:rFonts w:ascii="Times New Roman" w:hAnsi="Times New Roman"/>
          <w:sz w:val="24"/>
          <w:lang w:val="sr-Cyrl-CS"/>
        </w:rPr>
        <w:t xml:space="preserve">            </w:t>
      </w:r>
      <w:r w:rsidR="00607CBA" w:rsidRPr="005303F7">
        <w:rPr>
          <w:rFonts w:ascii="Times New Roman" w:hAnsi="Times New Roman"/>
          <w:sz w:val="24"/>
          <w:lang w:val="sr-Cyrl-CS"/>
        </w:rPr>
        <w:t>Њих</w:t>
      </w:r>
      <w:r w:rsidR="00C12EE4" w:rsidRPr="005303F7">
        <w:rPr>
          <w:rFonts w:ascii="Times New Roman" w:hAnsi="Times New Roman"/>
          <w:sz w:val="24"/>
          <w:lang w:val="sr-Cyrl-CS"/>
        </w:rPr>
        <w:t xml:space="preserve"> </w:t>
      </w:r>
      <w:r w:rsidR="00607CBA" w:rsidRPr="005303F7">
        <w:rPr>
          <w:rFonts w:ascii="Times New Roman" w:hAnsi="Times New Roman"/>
          <w:sz w:val="24"/>
          <w:lang w:val="sr-Cyrl-CS"/>
        </w:rPr>
        <w:t>прате</w:t>
      </w:r>
      <w:r w:rsidR="00C12EE4" w:rsidRPr="005303F7">
        <w:rPr>
          <w:rFonts w:ascii="Times New Roman" w:hAnsi="Times New Roman"/>
          <w:sz w:val="24"/>
          <w:lang w:val="sr-Cyrl-CS"/>
        </w:rPr>
        <w:t xml:space="preserve"> </w:t>
      </w:r>
      <w:r w:rsidR="00607CBA" w:rsidRPr="005303F7">
        <w:rPr>
          <w:rFonts w:ascii="Times New Roman" w:hAnsi="Times New Roman"/>
          <w:sz w:val="24"/>
          <w:lang w:val="sr-Cyrl-CS"/>
        </w:rPr>
        <w:t>други</w:t>
      </w:r>
      <w:r w:rsidR="00155833" w:rsidRPr="005303F7">
        <w:rPr>
          <w:rFonts w:ascii="Times New Roman" w:hAnsi="Times New Roman"/>
          <w:sz w:val="24"/>
          <w:lang w:val="sr-Cyrl-CS"/>
        </w:rPr>
        <w:t xml:space="preserve"> </w:t>
      </w:r>
      <w:r w:rsidR="00607CBA" w:rsidRPr="005303F7">
        <w:rPr>
          <w:rFonts w:ascii="Times New Roman" w:hAnsi="Times New Roman"/>
          <w:sz w:val="24"/>
          <w:lang w:val="sr-Cyrl-CS"/>
        </w:rPr>
        <w:t>сектори</w:t>
      </w:r>
      <w:r w:rsidR="00D70160" w:rsidRPr="005303F7">
        <w:rPr>
          <w:rFonts w:ascii="Times New Roman" w:hAnsi="Times New Roman"/>
          <w:sz w:val="24"/>
          <w:lang w:val="sr-Cyrl-CS"/>
        </w:rPr>
        <w:t xml:space="preserve"> (</w:t>
      </w:r>
      <w:r w:rsidR="00607CBA" w:rsidRPr="005303F7">
        <w:rPr>
          <w:rFonts w:ascii="Times New Roman" w:hAnsi="Times New Roman"/>
          <w:sz w:val="24"/>
          <w:lang w:val="sr-Cyrl-CS"/>
        </w:rPr>
        <w:t>стамбени</w:t>
      </w:r>
      <w:r w:rsidR="00D70160" w:rsidRPr="005303F7">
        <w:rPr>
          <w:rFonts w:ascii="Times New Roman" w:hAnsi="Times New Roman"/>
          <w:sz w:val="24"/>
          <w:lang w:val="sr-Cyrl-CS"/>
        </w:rPr>
        <w:t xml:space="preserve">, </w:t>
      </w:r>
      <w:r w:rsidR="00607CBA" w:rsidRPr="005303F7">
        <w:rPr>
          <w:rFonts w:ascii="Times New Roman" w:hAnsi="Times New Roman"/>
          <w:sz w:val="24"/>
          <w:lang w:val="sr-Cyrl-CS"/>
        </w:rPr>
        <w:t>институционални</w:t>
      </w:r>
      <w:r w:rsidR="00AD4877" w:rsidRPr="005303F7">
        <w:rPr>
          <w:rFonts w:ascii="Times New Roman" w:hAnsi="Times New Roman"/>
          <w:sz w:val="24"/>
          <w:lang w:val="sr-Cyrl-CS"/>
        </w:rPr>
        <w:t xml:space="preserve"> </w:t>
      </w:r>
      <w:r w:rsidR="00607CBA" w:rsidRPr="005303F7">
        <w:rPr>
          <w:rFonts w:ascii="Times New Roman" w:hAnsi="Times New Roman"/>
          <w:sz w:val="24"/>
          <w:lang w:val="sr-Cyrl-CS"/>
        </w:rPr>
        <w:t>и</w:t>
      </w:r>
      <w:r w:rsidR="00AD4877" w:rsidRPr="005303F7">
        <w:rPr>
          <w:rFonts w:ascii="Times New Roman" w:hAnsi="Times New Roman"/>
          <w:sz w:val="24"/>
          <w:lang w:val="sr-Cyrl-CS"/>
        </w:rPr>
        <w:t xml:space="preserve"> </w:t>
      </w:r>
      <w:r w:rsidR="00607CBA" w:rsidRPr="005303F7">
        <w:rPr>
          <w:rFonts w:ascii="Times New Roman" w:hAnsi="Times New Roman"/>
          <w:sz w:val="24"/>
          <w:lang w:val="sr-Cyrl-CS"/>
        </w:rPr>
        <w:t>пословни</w:t>
      </w:r>
      <w:r w:rsidR="00D70160" w:rsidRPr="005303F7">
        <w:rPr>
          <w:rFonts w:ascii="Times New Roman" w:hAnsi="Times New Roman"/>
          <w:sz w:val="24"/>
          <w:lang w:val="sr-Cyrl-CS"/>
        </w:rPr>
        <w:t>)</w:t>
      </w:r>
      <w:r w:rsidR="00135ECB" w:rsidRPr="005303F7">
        <w:rPr>
          <w:rFonts w:ascii="Times New Roman" w:hAnsi="Times New Roman"/>
          <w:sz w:val="24"/>
          <w:lang w:val="sr-Cyrl-CS"/>
        </w:rPr>
        <w:t xml:space="preserve"> </w:t>
      </w:r>
      <w:r w:rsidR="00607CBA" w:rsidRPr="005303F7">
        <w:rPr>
          <w:rFonts w:ascii="Times New Roman" w:hAnsi="Times New Roman"/>
          <w:sz w:val="24"/>
          <w:lang w:val="sr-Cyrl-CS"/>
        </w:rPr>
        <w:t>са</w:t>
      </w:r>
      <w:r w:rsidR="00D70160" w:rsidRPr="005303F7">
        <w:rPr>
          <w:rFonts w:ascii="Times New Roman" w:hAnsi="Times New Roman"/>
          <w:sz w:val="24"/>
          <w:lang w:val="sr-Cyrl-CS"/>
        </w:rPr>
        <w:t xml:space="preserve"> </w:t>
      </w:r>
      <w:r w:rsidR="003F4600" w:rsidRPr="005303F7">
        <w:rPr>
          <w:rFonts w:ascii="Times New Roman" w:hAnsi="Times New Roman"/>
          <w:sz w:val="24"/>
          <w:lang w:val="sr-Cyrl-CS"/>
        </w:rPr>
        <w:t>1</w:t>
      </w:r>
      <w:r w:rsidR="00BC4C7E" w:rsidRPr="005303F7">
        <w:rPr>
          <w:rFonts w:ascii="Times New Roman" w:hAnsi="Times New Roman"/>
          <w:sz w:val="24"/>
          <w:lang w:val="sr-Cyrl-CS"/>
        </w:rPr>
        <w:t>2,7</w:t>
      </w:r>
      <w:r w:rsidR="00D70160" w:rsidRPr="005303F7">
        <w:rPr>
          <w:rFonts w:ascii="Times New Roman" w:hAnsi="Times New Roman"/>
          <w:sz w:val="24"/>
          <w:lang w:val="sr-Cyrl-CS"/>
        </w:rPr>
        <w:t xml:space="preserve"> </w:t>
      </w:r>
      <w:r w:rsidRPr="005303F7">
        <w:rPr>
          <w:rFonts w:ascii="Times New Roman" w:hAnsi="Times New Roman"/>
          <w:sz w:val="24"/>
          <w:lang w:val="sr-Cyrl-CS"/>
        </w:rPr>
        <w:t>милијарди</w:t>
      </w:r>
      <w:r w:rsidR="00D70160" w:rsidRPr="005303F7">
        <w:rPr>
          <w:rFonts w:ascii="Times New Roman" w:hAnsi="Times New Roman"/>
          <w:sz w:val="24"/>
          <w:lang w:val="sr-Cyrl-CS"/>
        </w:rPr>
        <w:t xml:space="preserve"> </w:t>
      </w:r>
      <w:r w:rsidR="00607CBA" w:rsidRPr="005303F7">
        <w:rPr>
          <w:rFonts w:ascii="Times New Roman" w:hAnsi="Times New Roman"/>
          <w:sz w:val="24"/>
          <w:lang w:val="sr-Cyrl-CS"/>
        </w:rPr>
        <w:t>евра</w:t>
      </w:r>
      <w:r w:rsidR="00D70160" w:rsidRPr="005303F7">
        <w:rPr>
          <w:rFonts w:ascii="Times New Roman" w:hAnsi="Times New Roman"/>
          <w:sz w:val="24"/>
          <w:lang w:val="sr-Cyrl-CS"/>
        </w:rPr>
        <w:t xml:space="preserve"> </w:t>
      </w:r>
      <w:r w:rsidR="00607CBA" w:rsidRPr="005303F7">
        <w:rPr>
          <w:rFonts w:ascii="Times New Roman" w:hAnsi="Times New Roman"/>
          <w:sz w:val="24"/>
          <w:lang w:val="sr-Cyrl-CS"/>
        </w:rPr>
        <w:t>и</w:t>
      </w:r>
      <w:r w:rsidR="00AD4877" w:rsidRPr="005303F7">
        <w:rPr>
          <w:rFonts w:ascii="Times New Roman" w:hAnsi="Times New Roman"/>
          <w:sz w:val="24"/>
          <w:lang w:val="sr-Cyrl-CS"/>
        </w:rPr>
        <w:t xml:space="preserve"> </w:t>
      </w:r>
      <w:r w:rsidR="00B15546" w:rsidRPr="005303F7">
        <w:rPr>
          <w:rFonts w:ascii="Times New Roman" w:hAnsi="Times New Roman"/>
          <w:sz w:val="24"/>
          <w:lang w:val="sr-Cyrl-CS"/>
        </w:rPr>
        <w:t>п</w:t>
      </w:r>
      <w:r w:rsidR="00607CBA" w:rsidRPr="005303F7">
        <w:rPr>
          <w:rFonts w:ascii="Times New Roman" w:hAnsi="Times New Roman"/>
          <w:sz w:val="24"/>
          <w:lang w:val="sr-Cyrl-CS"/>
        </w:rPr>
        <w:t>роизводна</w:t>
      </w:r>
      <w:r w:rsidR="00552ADC" w:rsidRPr="005303F7">
        <w:rPr>
          <w:rFonts w:ascii="Times New Roman" w:hAnsi="Times New Roman"/>
          <w:sz w:val="24"/>
          <w:lang w:val="sr-Cyrl-CS"/>
        </w:rPr>
        <w:t xml:space="preserve"> </w:t>
      </w:r>
      <w:r w:rsidR="00607CBA" w:rsidRPr="005303F7">
        <w:rPr>
          <w:rFonts w:ascii="Times New Roman" w:hAnsi="Times New Roman"/>
          <w:sz w:val="24"/>
          <w:lang w:val="sr-Cyrl-CS"/>
        </w:rPr>
        <w:t>индустрија</w:t>
      </w:r>
      <w:r w:rsidR="00552ADC" w:rsidRPr="005303F7">
        <w:rPr>
          <w:rFonts w:ascii="Times New Roman" w:hAnsi="Times New Roman"/>
          <w:sz w:val="24"/>
          <w:lang w:val="sr-Cyrl-CS"/>
        </w:rPr>
        <w:t xml:space="preserve"> </w:t>
      </w:r>
      <w:r w:rsidR="00607CBA" w:rsidRPr="005303F7">
        <w:rPr>
          <w:rFonts w:ascii="Times New Roman" w:hAnsi="Times New Roman"/>
          <w:sz w:val="24"/>
          <w:lang w:val="sr-Cyrl-CS"/>
        </w:rPr>
        <w:t>и</w:t>
      </w:r>
      <w:r w:rsidR="00AD4877" w:rsidRPr="005303F7">
        <w:rPr>
          <w:rFonts w:ascii="Times New Roman" w:hAnsi="Times New Roman"/>
          <w:sz w:val="24"/>
          <w:lang w:val="sr-Cyrl-CS"/>
        </w:rPr>
        <w:t xml:space="preserve"> </w:t>
      </w:r>
      <w:r w:rsidR="00607CBA" w:rsidRPr="005303F7">
        <w:rPr>
          <w:rFonts w:ascii="Times New Roman" w:hAnsi="Times New Roman"/>
          <w:sz w:val="24"/>
          <w:lang w:val="sr-Cyrl-CS"/>
        </w:rPr>
        <w:t>грађевинарство</w:t>
      </w:r>
      <w:r w:rsidR="004D5474" w:rsidRPr="005303F7">
        <w:rPr>
          <w:rFonts w:ascii="Times New Roman" w:hAnsi="Times New Roman"/>
          <w:sz w:val="24"/>
          <w:lang w:val="sr-Cyrl-CS"/>
        </w:rPr>
        <w:t xml:space="preserve"> </w:t>
      </w:r>
      <w:r w:rsidR="00607CBA" w:rsidRPr="005303F7">
        <w:rPr>
          <w:rFonts w:ascii="Times New Roman" w:hAnsi="Times New Roman"/>
          <w:sz w:val="24"/>
          <w:lang w:val="sr-Cyrl-CS"/>
        </w:rPr>
        <w:t>са</w:t>
      </w:r>
      <w:r w:rsidR="00D70160" w:rsidRPr="005303F7">
        <w:rPr>
          <w:rFonts w:ascii="Times New Roman" w:hAnsi="Times New Roman"/>
          <w:sz w:val="24"/>
          <w:lang w:val="sr-Cyrl-CS"/>
        </w:rPr>
        <w:t xml:space="preserve"> </w:t>
      </w:r>
      <w:r w:rsidR="003F4600" w:rsidRPr="005303F7">
        <w:rPr>
          <w:rFonts w:ascii="Times New Roman" w:hAnsi="Times New Roman"/>
          <w:sz w:val="24"/>
          <w:lang w:val="sr-Cyrl-CS"/>
        </w:rPr>
        <w:t>8,</w:t>
      </w:r>
      <w:r w:rsidR="00BC4C7E" w:rsidRPr="005303F7">
        <w:rPr>
          <w:rFonts w:ascii="Times New Roman" w:hAnsi="Times New Roman"/>
          <w:sz w:val="24"/>
          <w:lang w:val="sr-Cyrl-CS"/>
        </w:rPr>
        <w:t>3</w:t>
      </w:r>
      <w:r w:rsidR="00D70160" w:rsidRPr="005303F7">
        <w:rPr>
          <w:rFonts w:ascii="Times New Roman" w:hAnsi="Times New Roman"/>
          <w:sz w:val="24"/>
          <w:lang w:val="sr-Cyrl-CS"/>
        </w:rPr>
        <w:t xml:space="preserve"> </w:t>
      </w:r>
      <w:r w:rsidRPr="005303F7">
        <w:rPr>
          <w:rFonts w:ascii="Times New Roman" w:hAnsi="Times New Roman"/>
          <w:sz w:val="24"/>
          <w:lang w:val="sr-Cyrl-CS"/>
        </w:rPr>
        <w:t>милијарди</w:t>
      </w:r>
      <w:r w:rsidR="00EE3D33" w:rsidRPr="005303F7">
        <w:rPr>
          <w:rFonts w:ascii="Times New Roman" w:hAnsi="Times New Roman"/>
          <w:sz w:val="24"/>
          <w:lang w:val="sr-Cyrl-CS"/>
        </w:rPr>
        <w:t xml:space="preserve"> </w:t>
      </w:r>
      <w:r w:rsidR="00607CBA" w:rsidRPr="005303F7">
        <w:rPr>
          <w:rFonts w:ascii="Times New Roman" w:hAnsi="Times New Roman"/>
          <w:sz w:val="24"/>
          <w:lang w:val="sr-Cyrl-CS"/>
        </w:rPr>
        <w:t>евра</w:t>
      </w:r>
      <w:r w:rsidR="00D70160" w:rsidRPr="005303F7">
        <w:rPr>
          <w:rFonts w:ascii="Times New Roman" w:hAnsi="Times New Roman"/>
          <w:sz w:val="24"/>
          <w:lang w:val="sr-Cyrl-CS"/>
        </w:rPr>
        <w:t xml:space="preserve">. </w:t>
      </w:r>
    </w:p>
    <w:p w14:paraId="22FA77F0" w14:textId="37C5F963" w:rsidR="00761C6D" w:rsidRPr="005303F7" w:rsidRDefault="0039680D" w:rsidP="009D6067">
      <w:pPr>
        <w:rPr>
          <w:rFonts w:ascii="Times New Roman" w:hAnsi="Times New Roman"/>
          <w:sz w:val="24"/>
          <w:lang w:val="sr-Cyrl-CS"/>
        </w:rPr>
      </w:pPr>
      <w:r w:rsidRPr="005303F7">
        <w:rPr>
          <w:rFonts w:ascii="Times New Roman" w:hAnsi="Times New Roman"/>
          <w:sz w:val="24"/>
          <w:lang w:val="sr-Cyrl-CS"/>
        </w:rPr>
        <w:t xml:space="preserve">            </w:t>
      </w:r>
      <w:r w:rsidR="00607CBA" w:rsidRPr="005303F7">
        <w:rPr>
          <w:rFonts w:ascii="Times New Roman" w:hAnsi="Times New Roman"/>
          <w:sz w:val="24"/>
          <w:lang w:val="sr-Cyrl-CS"/>
        </w:rPr>
        <w:t>Додатни</w:t>
      </w:r>
      <w:r w:rsidR="009F4EED" w:rsidRPr="005303F7">
        <w:rPr>
          <w:rFonts w:ascii="Times New Roman" w:hAnsi="Times New Roman"/>
          <w:sz w:val="24"/>
          <w:lang w:val="sr-Cyrl-CS"/>
        </w:rPr>
        <w:t xml:space="preserve"> </w:t>
      </w:r>
      <w:r w:rsidR="00607CBA" w:rsidRPr="005303F7">
        <w:rPr>
          <w:rFonts w:ascii="Times New Roman" w:hAnsi="Times New Roman"/>
          <w:sz w:val="24"/>
          <w:lang w:val="sr-Cyrl-CS"/>
        </w:rPr>
        <w:t>системски</w:t>
      </w:r>
      <w:r w:rsidR="009F4EED" w:rsidRPr="005303F7">
        <w:rPr>
          <w:rFonts w:ascii="Times New Roman" w:hAnsi="Times New Roman"/>
          <w:sz w:val="24"/>
          <w:lang w:val="sr-Cyrl-CS"/>
        </w:rPr>
        <w:t xml:space="preserve"> </w:t>
      </w:r>
      <w:r w:rsidR="00607CBA" w:rsidRPr="005303F7">
        <w:rPr>
          <w:rFonts w:ascii="Times New Roman" w:hAnsi="Times New Roman"/>
          <w:sz w:val="24"/>
          <w:lang w:val="sr-Cyrl-CS"/>
        </w:rPr>
        <w:t>трошкови</w:t>
      </w:r>
      <w:r w:rsidR="009F4EED" w:rsidRPr="005303F7">
        <w:rPr>
          <w:rFonts w:ascii="Times New Roman" w:hAnsi="Times New Roman"/>
          <w:sz w:val="24"/>
          <w:lang w:val="sr-Cyrl-CS"/>
        </w:rPr>
        <w:t xml:space="preserve"> </w:t>
      </w:r>
      <w:r w:rsidR="00607CBA" w:rsidRPr="005303F7">
        <w:rPr>
          <w:rFonts w:ascii="Times New Roman" w:hAnsi="Times New Roman"/>
          <w:sz w:val="24"/>
          <w:lang w:val="sr-Cyrl-CS"/>
        </w:rPr>
        <w:t>свих</w:t>
      </w:r>
      <w:r w:rsidR="009F4EED" w:rsidRPr="005303F7">
        <w:rPr>
          <w:rFonts w:ascii="Times New Roman" w:hAnsi="Times New Roman"/>
          <w:sz w:val="24"/>
          <w:lang w:val="sr-Cyrl-CS"/>
        </w:rPr>
        <w:t xml:space="preserve"> </w:t>
      </w:r>
      <w:r w:rsidR="00607CBA" w:rsidRPr="005303F7">
        <w:rPr>
          <w:rFonts w:ascii="Times New Roman" w:hAnsi="Times New Roman"/>
          <w:sz w:val="24"/>
          <w:lang w:val="sr-Cyrl-CS"/>
        </w:rPr>
        <w:t>преосталих</w:t>
      </w:r>
      <w:r w:rsidR="009F4EED" w:rsidRPr="005303F7">
        <w:rPr>
          <w:rFonts w:ascii="Times New Roman" w:hAnsi="Times New Roman"/>
          <w:sz w:val="24"/>
          <w:lang w:val="sr-Cyrl-CS"/>
        </w:rPr>
        <w:t xml:space="preserve"> </w:t>
      </w:r>
      <w:r w:rsidR="00607CBA" w:rsidRPr="005303F7">
        <w:rPr>
          <w:rFonts w:ascii="Times New Roman" w:hAnsi="Times New Roman"/>
          <w:sz w:val="24"/>
          <w:lang w:val="sr-Cyrl-CS"/>
        </w:rPr>
        <w:t>сектора</w:t>
      </w:r>
      <w:r w:rsidR="009F4EED" w:rsidRPr="005303F7">
        <w:rPr>
          <w:rFonts w:ascii="Times New Roman" w:hAnsi="Times New Roman"/>
          <w:sz w:val="24"/>
          <w:lang w:val="sr-Cyrl-CS"/>
        </w:rPr>
        <w:t xml:space="preserve"> </w:t>
      </w:r>
      <w:r w:rsidR="00D70160" w:rsidRPr="005303F7">
        <w:rPr>
          <w:rFonts w:ascii="Times New Roman" w:hAnsi="Times New Roman"/>
          <w:sz w:val="24"/>
          <w:lang w:val="sr-Cyrl-CS"/>
        </w:rPr>
        <w:t>(</w:t>
      </w:r>
      <w:r w:rsidR="00607CBA" w:rsidRPr="005303F7">
        <w:rPr>
          <w:rFonts w:ascii="Times New Roman" w:hAnsi="Times New Roman"/>
          <w:sz w:val="24"/>
          <w:lang w:val="sr-Cyrl-CS"/>
        </w:rPr>
        <w:t>IPPU</w:t>
      </w:r>
      <w:r w:rsidR="00D70160" w:rsidRPr="005303F7">
        <w:rPr>
          <w:rFonts w:ascii="Times New Roman" w:hAnsi="Times New Roman"/>
          <w:sz w:val="24"/>
          <w:lang w:val="sr-Cyrl-CS"/>
        </w:rPr>
        <w:t xml:space="preserve">, </w:t>
      </w:r>
      <w:r w:rsidR="00607CBA" w:rsidRPr="005303F7">
        <w:rPr>
          <w:rFonts w:ascii="Times New Roman" w:hAnsi="Times New Roman"/>
          <w:sz w:val="24"/>
          <w:lang w:val="sr-Cyrl-CS"/>
        </w:rPr>
        <w:t>пољопривреда</w:t>
      </w:r>
      <w:r w:rsidR="00BC4C7E" w:rsidRPr="005303F7">
        <w:rPr>
          <w:rFonts w:ascii="Times New Roman" w:hAnsi="Times New Roman"/>
          <w:sz w:val="24"/>
          <w:lang w:val="sr-Cyrl-CS"/>
        </w:rPr>
        <w:t xml:space="preserve">, </w:t>
      </w:r>
      <w:r w:rsidR="00607CBA" w:rsidRPr="005303F7">
        <w:rPr>
          <w:rFonts w:ascii="Times New Roman" w:hAnsi="Times New Roman"/>
          <w:sz w:val="24"/>
          <w:lang w:val="sr-Cyrl-CS"/>
        </w:rPr>
        <w:t>шумарство</w:t>
      </w:r>
      <w:r w:rsidR="009F4EED" w:rsidRPr="005303F7">
        <w:rPr>
          <w:rFonts w:ascii="Times New Roman" w:hAnsi="Times New Roman"/>
          <w:sz w:val="24"/>
          <w:lang w:val="sr-Cyrl-CS"/>
        </w:rPr>
        <w:t xml:space="preserve">, </w:t>
      </w:r>
      <w:r w:rsidR="00607CBA" w:rsidRPr="005303F7">
        <w:rPr>
          <w:rFonts w:ascii="Times New Roman" w:hAnsi="Times New Roman"/>
          <w:sz w:val="24"/>
          <w:lang w:val="sr-Cyrl-CS"/>
        </w:rPr>
        <w:t>отпад</w:t>
      </w:r>
      <w:r w:rsidR="00D70160" w:rsidRPr="005303F7">
        <w:rPr>
          <w:rFonts w:ascii="Times New Roman" w:hAnsi="Times New Roman"/>
          <w:sz w:val="24"/>
          <w:lang w:val="sr-Cyrl-CS"/>
        </w:rPr>
        <w:t xml:space="preserve">) </w:t>
      </w:r>
      <w:r w:rsidR="00607CBA" w:rsidRPr="005303F7">
        <w:rPr>
          <w:rFonts w:ascii="Times New Roman" w:hAnsi="Times New Roman"/>
          <w:sz w:val="24"/>
          <w:lang w:val="sr-Cyrl-CS"/>
        </w:rPr>
        <w:t>се</w:t>
      </w:r>
      <w:r w:rsidR="00A07A56" w:rsidRPr="005303F7">
        <w:rPr>
          <w:rFonts w:ascii="Times New Roman" w:hAnsi="Times New Roman"/>
          <w:sz w:val="24"/>
          <w:lang w:val="sr-Cyrl-CS"/>
        </w:rPr>
        <w:t xml:space="preserve"> </w:t>
      </w:r>
      <w:r w:rsidR="00607CBA" w:rsidRPr="005303F7">
        <w:rPr>
          <w:rFonts w:ascii="Times New Roman" w:hAnsi="Times New Roman"/>
          <w:sz w:val="24"/>
          <w:lang w:val="sr-Cyrl-CS"/>
        </w:rPr>
        <w:t>процењују</w:t>
      </w:r>
      <w:r w:rsidR="00A07A56" w:rsidRPr="005303F7">
        <w:rPr>
          <w:rFonts w:ascii="Times New Roman" w:hAnsi="Times New Roman"/>
          <w:sz w:val="24"/>
          <w:lang w:val="sr-Cyrl-CS"/>
        </w:rPr>
        <w:t xml:space="preserve"> </w:t>
      </w:r>
      <w:r w:rsidR="00607CBA" w:rsidRPr="005303F7">
        <w:rPr>
          <w:rFonts w:ascii="Times New Roman" w:hAnsi="Times New Roman"/>
          <w:sz w:val="24"/>
          <w:lang w:val="sr-Cyrl-CS"/>
        </w:rPr>
        <w:t>на</w:t>
      </w:r>
      <w:r w:rsidR="00A07A56" w:rsidRPr="005303F7">
        <w:rPr>
          <w:rFonts w:ascii="Times New Roman" w:hAnsi="Times New Roman"/>
          <w:sz w:val="24"/>
          <w:lang w:val="sr-Cyrl-CS"/>
        </w:rPr>
        <w:t xml:space="preserve"> </w:t>
      </w:r>
      <w:r w:rsidR="003F4600" w:rsidRPr="005303F7">
        <w:rPr>
          <w:rFonts w:ascii="Times New Roman" w:hAnsi="Times New Roman"/>
          <w:sz w:val="24"/>
          <w:lang w:val="sr-Cyrl-CS"/>
        </w:rPr>
        <w:t>0,9</w:t>
      </w:r>
      <w:r w:rsidR="00D70160" w:rsidRPr="005303F7">
        <w:rPr>
          <w:rFonts w:ascii="Times New Roman" w:hAnsi="Times New Roman"/>
          <w:sz w:val="24"/>
          <w:lang w:val="sr-Cyrl-CS"/>
        </w:rPr>
        <w:t xml:space="preserve"> </w:t>
      </w:r>
      <w:r w:rsidRPr="005303F7">
        <w:rPr>
          <w:rFonts w:ascii="Times New Roman" w:hAnsi="Times New Roman"/>
          <w:sz w:val="24"/>
          <w:lang w:val="sr-Cyrl-CS"/>
        </w:rPr>
        <w:t>милијарди</w:t>
      </w:r>
      <w:r w:rsidR="00A07A56" w:rsidRPr="005303F7">
        <w:rPr>
          <w:rFonts w:ascii="Times New Roman" w:hAnsi="Times New Roman"/>
          <w:sz w:val="24"/>
          <w:lang w:val="sr-Cyrl-CS"/>
        </w:rPr>
        <w:t xml:space="preserve"> </w:t>
      </w:r>
      <w:r w:rsidR="00607CBA" w:rsidRPr="005303F7">
        <w:rPr>
          <w:rFonts w:ascii="Times New Roman" w:hAnsi="Times New Roman"/>
          <w:sz w:val="24"/>
          <w:lang w:val="sr-Cyrl-CS"/>
        </w:rPr>
        <w:t>евра</w:t>
      </w:r>
      <w:r w:rsidR="00D70160" w:rsidRPr="005303F7">
        <w:rPr>
          <w:rFonts w:ascii="Times New Roman" w:hAnsi="Times New Roman"/>
          <w:sz w:val="24"/>
          <w:lang w:val="sr-Cyrl-CS"/>
        </w:rPr>
        <w:t xml:space="preserve">, </w:t>
      </w:r>
      <w:r w:rsidR="00607CBA" w:rsidRPr="005303F7">
        <w:rPr>
          <w:rFonts w:ascii="Times New Roman" w:hAnsi="Times New Roman"/>
          <w:sz w:val="24"/>
          <w:lang w:val="sr-Cyrl-CS"/>
        </w:rPr>
        <w:t>док</w:t>
      </w:r>
      <w:r w:rsidR="00A07A56" w:rsidRPr="005303F7">
        <w:rPr>
          <w:rFonts w:ascii="Times New Roman" w:hAnsi="Times New Roman"/>
          <w:sz w:val="24"/>
          <w:lang w:val="sr-Cyrl-CS"/>
        </w:rPr>
        <w:t xml:space="preserve"> </w:t>
      </w:r>
      <w:r w:rsidR="00607CBA" w:rsidRPr="005303F7">
        <w:rPr>
          <w:rFonts w:ascii="Times New Roman" w:hAnsi="Times New Roman"/>
          <w:sz w:val="24"/>
          <w:lang w:val="sr-Cyrl-CS"/>
        </w:rPr>
        <w:t>сектор</w:t>
      </w:r>
      <w:r w:rsidR="00A07A56" w:rsidRPr="005303F7">
        <w:rPr>
          <w:rFonts w:ascii="Times New Roman" w:hAnsi="Times New Roman"/>
          <w:sz w:val="24"/>
          <w:lang w:val="sr-Cyrl-CS"/>
        </w:rPr>
        <w:t xml:space="preserve"> </w:t>
      </w:r>
      <w:r w:rsidR="00607CBA" w:rsidRPr="005303F7">
        <w:rPr>
          <w:rFonts w:ascii="Times New Roman" w:hAnsi="Times New Roman"/>
          <w:sz w:val="24"/>
          <w:lang w:val="sr-Cyrl-CS"/>
        </w:rPr>
        <w:t>саобраћаја</w:t>
      </w:r>
      <w:r w:rsidR="004D5474" w:rsidRPr="005303F7">
        <w:rPr>
          <w:rFonts w:ascii="Times New Roman" w:hAnsi="Times New Roman"/>
          <w:sz w:val="24"/>
          <w:lang w:val="sr-Cyrl-CS"/>
        </w:rPr>
        <w:t xml:space="preserve"> </w:t>
      </w:r>
      <w:r w:rsidR="00607CBA" w:rsidRPr="005303F7">
        <w:rPr>
          <w:rFonts w:ascii="Times New Roman" w:hAnsi="Times New Roman"/>
          <w:sz w:val="24"/>
          <w:lang w:val="sr-Cyrl-CS"/>
        </w:rPr>
        <w:t>указује</w:t>
      </w:r>
      <w:r w:rsidR="00A07A56" w:rsidRPr="005303F7">
        <w:rPr>
          <w:rFonts w:ascii="Times New Roman" w:hAnsi="Times New Roman"/>
          <w:sz w:val="24"/>
          <w:lang w:val="sr-Cyrl-CS"/>
        </w:rPr>
        <w:t xml:space="preserve"> </w:t>
      </w:r>
      <w:r w:rsidR="00607CBA" w:rsidRPr="005303F7">
        <w:rPr>
          <w:rFonts w:ascii="Times New Roman" w:hAnsi="Times New Roman"/>
          <w:sz w:val="24"/>
          <w:lang w:val="sr-Cyrl-CS"/>
        </w:rPr>
        <w:t>на</w:t>
      </w:r>
      <w:r w:rsidR="00A07A56" w:rsidRPr="005303F7">
        <w:rPr>
          <w:rFonts w:ascii="Times New Roman" w:hAnsi="Times New Roman"/>
          <w:sz w:val="24"/>
          <w:lang w:val="sr-Cyrl-CS"/>
        </w:rPr>
        <w:t xml:space="preserve"> </w:t>
      </w:r>
      <w:r w:rsidR="00607CBA" w:rsidRPr="005303F7">
        <w:rPr>
          <w:rFonts w:ascii="Times New Roman" w:hAnsi="Times New Roman"/>
          <w:sz w:val="24"/>
          <w:lang w:val="sr-Cyrl-CS"/>
        </w:rPr>
        <w:t>негативне</w:t>
      </w:r>
      <w:r w:rsidR="00A07A56" w:rsidRPr="005303F7">
        <w:rPr>
          <w:rFonts w:ascii="Times New Roman" w:hAnsi="Times New Roman"/>
          <w:sz w:val="24"/>
          <w:lang w:val="sr-Cyrl-CS"/>
        </w:rPr>
        <w:t xml:space="preserve"> </w:t>
      </w:r>
      <w:r w:rsidR="00607CBA" w:rsidRPr="005303F7">
        <w:rPr>
          <w:rFonts w:ascii="Times New Roman" w:hAnsi="Times New Roman"/>
          <w:sz w:val="24"/>
          <w:lang w:val="sr-Cyrl-CS"/>
        </w:rPr>
        <w:t>додатне</w:t>
      </w:r>
      <w:r w:rsidR="00A07A56" w:rsidRPr="005303F7">
        <w:rPr>
          <w:rFonts w:ascii="Times New Roman" w:hAnsi="Times New Roman"/>
          <w:sz w:val="24"/>
          <w:lang w:val="sr-Cyrl-CS"/>
        </w:rPr>
        <w:t xml:space="preserve"> </w:t>
      </w:r>
      <w:r w:rsidR="00607CBA" w:rsidRPr="005303F7">
        <w:rPr>
          <w:rFonts w:ascii="Times New Roman" w:hAnsi="Times New Roman"/>
          <w:sz w:val="24"/>
          <w:lang w:val="sr-Cyrl-CS"/>
        </w:rPr>
        <w:t>системске</w:t>
      </w:r>
      <w:r w:rsidR="00A07A56" w:rsidRPr="005303F7">
        <w:rPr>
          <w:rFonts w:ascii="Times New Roman" w:hAnsi="Times New Roman"/>
          <w:sz w:val="24"/>
          <w:lang w:val="sr-Cyrl-CS"/>
        </w:rPr>
        <w:t xml:space="preserve"> </w:t>
      </w:r>
      <w:r w:rsidR="00607CBA" w:rsidRPr="005303F7">
        <w:rPr>
          <w:rFonts w:ascii="Times New Roman" w:hAnsi="Times New Roman"/>
          <w:sz w:val="24"/>
          <w:lang w:val="sr-Cyrl-CS"/>
        </w:rPr>
        <w:t>трошкове</w:t>
      </w:r>
      <w:r w:rsidR="0098684B" w:rsidRPr="005303F7">
        <w:rPr>
          <w:rStyle w:val="FootnoteReference"/>
          <w:rFonts w:ascii="Times New Roman" w:hAnsi="Times New Roman"/>
          <w:sz w:val="18"/>
          <w:lang w:val="sr-Cyrl-CS"/>
        </w:rPr>
        <w:footnoteReference w:id="24"/>
      </w:r>
      <w:r w:rsidR="00D70160"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A07A56" w:rsidRPr="005303F7">
        <w:rPr>
          <w:rFonts w:ascii="Times New Roman" w:hAnsi="Times New Roman"/>
          <w:sz w:val="24"/>
          <w:lang w:val="sr-Cyrl-CS"/>
        </w:rPr>
        <w:t xml:space="preserve"> </w:t>
      </w:r>
      <w:r w:rsidR="00607CBA" w:rsidRPr="005303F7">
        <w:rPr>
          <w:rFonts w:ascii="Times New Roman" w:hAnsi="Times New Roman"/>
          <w:sz w:val="24"/>
          <w:lang w:val="sr-Cyrl-CS"/>
        </w:rPr>
        <w:t>периоду</w:t>
      </w:r>
      <w:r w:rsidR="00A07A56" w:rsidRPr="005303F7">
        <w:rPr>
          <w:rFonts w:ascii="Times New Roman" w:hAnsi="Times New Roman"/>
          <w:sz w:val="24"/>
          <w:lang w:val="sr-Cyrl-CS"/>
        </w:rPr>
        <w:t xml:space="preserve"> </w:t>
      </w:r>
      <w:r w:rsidR="00607CBA" w:rsidRPr="005303F7">
        <w:rPr>
          <w:rFonts w:ascii="Times New Roman" w:hAnsi="Times New Roman"/>
          <w:sz w:val="24"/>
          <w:lang w:val="sr-Cyrl-CS"/>
        </w:rPr>
        <w:t>од</w:t>
      </w:r>
      <w:r w:rsidR="00D70160" w:rsidRPr="005303F7">
        <w:rPr>
          <w:rFonts w:ascii="Times New Roman" w:hAnsi="Times New Roman"/>
          <w:sz w:val="24"/>
          <w:lang w:val="sr-Cyrl-CS"/>
        </w:rPr>
        <w:t xml:space="preserve"> 2020-2050</w:t>
      </w:r>
      <w:r w:rsidR="00A07A56" w:rsidRPr="005303F7">
        <w:rPr>
          <w:rFonts w:ascii="Times New Roman" w:hAnsi="Times New Roman"/>
          <w:sz w:val="24"/>
          <w:lang w:val="sr-Cyrl-CS"/>
        </w:rPr>
        <w:t xml:space="preserve">. </w:t>
      </w:r>
      <w:r w:rsidR="00607CBA" w:rsidRPr="005303F7">
        <w:rPr>
          <w:rFonts w:ascii="Times New Roman" w:hAnsi="Times New Roman"/>
          <w:sz w:val="24"/>
          <w:lang w:val="sr-Cyrl-CS"/>
        </w:rPr>
        <w:t>године</w:t>
      </w:r>
      <w:r w:rsidR="00787AA0" w:rsidRPr="005303F7">
        <w:rPr>
          <w:rFonts w:ascii="Times New Roman" w:hAnsi="Times New Roman"/>
          <w:sz w:val="24"/>
          <w:lang w:val="sr-Cyrl-CS"/>
        </w:rPr>
        <w:t>,</w:t>
      </w:r>
      <w:r w:rsidR="00D70160" w:rsidRPr="005303F7">
        <w:rPr>
          <w:rFonts w:ascii="Times New Roman" w:hAnsi="Times New Roman"/>
          <w:sz w:val="24"/>
          <w:lang w:val="sr-Cyrl-CS"/>
        </w:rPr>
        <w:t xml:space="preserve"> </w:t>
      </w:r>
      <w:r w:rsidR="00607CBA" w:rsidRPr="005303F7">
        <w:rPr>
          <w:rFonts w:ascii="Times New Roman" w:hAnsi="Times New Roman"/>
          <w:sz w:val="24"/>
          <w:lang w:val="sr-Cyrl-CS"/>
        </w:rPr>
        <w:t>због</w:t>
      </w:r>
      <w:r w:rsidR="00A07A56" w:rsidRPr="005303F7">
        <w:rPr>
          <w:rFonts w:ascii="Times New Roman" w:hAnsi="Times New Roman"/>
          <w:sz w:val="24"/>
          <w:lang w:val="sr-Cyrl-CS"/>
        </w:rPr>
        <w:t xml:space="preserve"> </w:t>
      </w:r>
      <w:r w:rsidR="00607CBA" w:rsidRPr="005303F7">
        <w:rPr>
          <w:rFonts w:ascii="Times New Roman" w:hAnsi="Times New Roman"/>
          <w:sz w:val="24"/>
          <w:lang w:val="sr-Cyrl-CS"/>
        </w:rPr>
        <w:t>будућих</w:t>
      </w:r>
      <w:r w:rsidR="00A07A56" w:rsidRPr="005303F7">
        <w:rPr>
          <w:rFonts w:ascii="Times New Roman" w:hAnsi="Times New Roman"/>
          <w:sz w:val="24"/>
          <w:lang w:val="sr-Cyrl-CS"/>
        </w:rPr>
        <w:t xml:space="preserve"> </w:t>
      </w:r>
      <w:r w:rsidR="00607CBA" w:rsidRPr="005303F7">
        <w:rPr>
          <w:rFonts w:ascii="Times New Roman" w:hAnsi="Times New Roman"/>
          <w:sz w:val="24"/>
          <w:lang w:val="sr-Cyrl-CS"/>
        </w:rPr>
        <w:t>уштеда</w:t>
      </w:r>
      <w:r w:rsidR="00A07A56" w:rsidRPr="005303F7">
        <w:rPr>
          <w:rFonts w:ascii="Times New Roman" w:hAnsi="Times New Roman"/>
          <w:sz w:val="24"/>
          <w:lang w:val="sr-Cyrl-CS"/>
        </w:rPr>
        <w:t xml:space="preserve"> </w:t>
      </w:r>
      <w:r w:rsidR="00607CBA" w:rsidRPr="005303F7">
        <w:rPr>
          <w:rFonts w:ascii="Times New Roman" w:hAnsi="Times New Roman"/>
          <w:sz w:val="24"/>
          <w:lang w:val="sr-Cyrl-CS"/>
        </w:rPr>
        <w:t>горива</w:t>
      </w:r>
      <w:r w:rsidR="00A07A56" w:rsidRPr="005303F7">
        <w:rPr>
          <w:rFonts w:ascii="Times New Roman" w:hAnsi="Times New Roman"/>
          <w:sz w:val="24"/>
          <w:lang w:val="sr-Cyrl-CS"/>
        </w:rPr>
        <w:t xml:space="preserve"> </w:t>
      </w:r>
      <w:r w:rsidR="00607CBA" w:rsidRPr="005303F7">
        <w:rPr>
          <w:rFonts w:ascii="Times New Roman" w:hAnsi="Times New Roman"/>
          <w:sz w:val="24"/>
          <w:lang w:val="sr-Cyrl-CS"/>
        </w:rPr>
        <w:t>предвиђаних</w:t>
      </w:r>
      <w:r w:rsidR="00A07A56"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A07A56" w:rsidRPr="005303F7">
        <w:rPr>
          <w:rFonts w:ascii="Times New Roman" w:hAnsi="Times New Roman"/>
          <w:sz w:val="24"/>
          <w:lang w:val="sr-Cyrl-CS"/>
        </w:rPr>
        <w:t xml:space="preserve"> </w:t>
      </w:r>
      <w:r w:rsidR="00607CBA" w:rsidRPr="005303F7">
        <w:rPr>
          <w:rFonts w:ascii="Times New Roman" w:hAnsi="Times New Roman"/>
          <w:sz w:val="24"/>
          <w:lang w:val="sr-Cyrl-CS"/>
        </w:rPr>
        <w:t>законодавству</w:t>
      </w:r>
      <w:r w:rsidR="00A07A56" w:rsidRPr="005303F7">
        <w:rPr>
          <w:rFonts w:ascii="Times New Roman" w:hAnsi="Times New Roman"/>
          <w:sz w:val="24"/>
          <w:lang w:val="sr-Cyrl-CS"/>
        </w:rPr>
        <w:t xml:space="preserve"> </w:t>
      </w:r>
      <w:r w:rsidR="00607CBA" w:rsidRPr="005303F7">
        <w:rPr>
          <w:rFonts w:ascii="Times New Roman" w:hAnsi="Times New Roman"/>
          <w:sz w:val="24"/>
          <w:lang w:val="sr-Cyrl-CS"/>
        </w:rPr>
        <w:t>ЕУ</w:t>
      </w:r>
      <w:r w:rsidR="00A07A56"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A07A56" w:rsidRPr="005303F7">
        <w:rPr>
          <w:rFonts w:ascii="Times New Roman" w:hAnsi="Times New Roman"/>
          <w:sz w:val="24"/>
          <w:lang w:val="sr-Cyrl-CS"/>
        </w:rPr>
        <w:t xml:space="preserve"> </w:t>
      </w:r>
      <w:r w:rsidR="00607CBA" w:rsidRPr="005303F7">
        <w:rPr>
          <w:rFonts w:ascii="Times New Roman" w:hAnsi="Times New Roman"/>
          <w:sz w:val="24"/>
          <w:lang w:val="sr-Cyrl-CS"/>
        </w:rPr>
        <w:t>области</w:t>
      </w:r>
      <w:r w:rsidR="00A07A56" w:rsidRPr="005303F7">
        <w:rPr>
          <w:rFonts w:ascii="Times New Roman" w:hAnsi="Times New Roman"/>
          <w:sz w:val="24"/>
          <w:lang w:val="sr-Cyrl-CS"/>
        </w:rPr>
        <w:t xml:space="preserve"> </w:t>
      </w:r>
      <w:r w:rsidR="00607CBA" w:rsidRPr="005303F7">
        <w:rPr>
          <w:rFonts w:ascii="Times New Roman" w:hAnsi="Times New Roman"/>
          <w:sz w:val="24"/>
          <w:lang w:val="sr-Cyrl-CS"/>
        </w:rPr>
        <w:t>климе</w:t>
      </w:r>
      <w:r w:rsidR="00A07A56" w:rsidRPr="005303F7">
        <w:rPr>
          <w:rFonts w:ascii="Times New Roman" w:hAnsi="Times New Roman"/>
          <w:sz w:val="24"/>
          <w:lang w:val="sr-Cyrl-CS"/>
        </w:rPr>
        <w:t>.</w:t>
      </w:r>
    </w:p>
    <w:p w14:paraId="622C2B38" w14:textId="49E00268" w:rsidR="009D6067" w:rsidRPr="005303F7" w:rsidRDefault="0039680D" w:rsidP="0084428A">
      <w:pPr>
        <w:spacing w:after="240"/>
        <w:rPr>
          <w:rFonts w:ascii="Times New Roman" w:hAnsi="Times New Roman"/>
          <w:sz w:val="24"/>
          <w:lang w:val="sr-Cyrl-CS"/>
        </w:rPr>
      </w:pPr>
      <w:r w:rsidRPr="005303F7">
        <w:rPr>
          <w:rFonts w:ascii="Times New Roman" w:hAnsi="Times New Roman"/>
          <w:sz w:val="24"/>
          <w:lang w:val="sr-Cyrl-CS"/>
        </w:rPr>
        <w:t xml:space="preserve">            </w:t>
      </w:r>
      <w:r w:rsidR="00607CBA" w:rsidRPr="005303F7">
        <w:rPr>
          <w:rFonts w:ascii="Times New Roman" w:hAnsi="Times New Roman"/>
          <w:sz w:val="24"/>
          <w:lang w:val="sr-Cyrl-CS"/>
        </w:rPr>
        <w:t>Са</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повећањем</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амбиција</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као</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сценаријима</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М</w:t>
      </w:r>
      <w:r w:rsidR="00994760" w:rsidRPr="005303F7">
        <w:rPr>
          <w:rFonts w:ascii="Times New Roman" w:hAnsi="Times New Roman"/>
          <w:sz w:val="24"/>
          <w:lang w:val="sr-Cyrl-CS"/>
        </w:rPr>
        <w:t xml:space="preserve">3 </w:t>
      </w:r>
      <w:r w:rsidR="00607CBA" w:rsidRPr="005303F7">
        <w:rPr>
          <w:rFonts w:ascii="Times New Roman" w:hAnsi="Times New Roman"/>
          <w:sz w:val="24"/>
          <w:lang w:val="sr-Cyrl-CS"/>
        </w:rPr>
        <w:t>и</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М</w:t>
      </w:r>
      <w:r w:rsidR="00994760" w:rsidRPr="005303F7">
        <w:rPr>
          <w:rFonts w:ascii="Times New Roman" w:hAnsi="Times New Roman"/>
          <w:sz w:val="24"/>
          <w:lang w:val="sr-Cyrl-CS"/>
        </w:rPr>
        <w:t xml:space="preserve">4) </w:t>
      </w:r>
      <w:r w:rsidR="00607CBA" w:rsidRPr="005303F7">
        <w:rPr>
          <w:rFonts w:ascii="Times New Roman" w:hAnsi="Times New Roman"/>
          <w:sz w:val="24"/>
          <w:lang w:val="sr-Cyrl-CS"/>
        </w:rPr>
        <w:t>у</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периоду</w:t>
      </w:r>
      <w:r w:rsidR="00994760" w:rsidRPr="005303F7">
        <w:rPr>
          <w:rFonts w:ascii="Times New Roman" w:hAnsi="Times New Roman"/>
          <w:sz w:val="24"/>
          <w:lang w:val="sr-Cyrl-CS"/>
        </w:rPr>
        <w:t xml:space="preserve"> 2020 - 2050. </w:t>
      </w:r>
      <w:r w:rsidR="00607CBA" w:rsidRPr="005303F7">
        <w:rPr>
          <w:rFonts w:ascii="Times New Roman" w:hAnsi="Times New Roman"/>
          <w:sz w:val="24"/>
          <w:lang w:val="sr-Cyrl-CS"/>
        </w:rPr>
        <w:t>године</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додатни</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системски</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трошкови</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енергетског</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сектора</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благо</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се</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смањују</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због</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већег</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коришћења</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ОИЕ</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на</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пример</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који</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немају</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текуће</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трошкове</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везане</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за</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емисије</w:t>
      </w:r>
      <w:r w:rsidR="005E369B" w:rsidRPr="005303F7">
        <w:rPr>
          <w:rFonts w:ascii="Times New Roman" w:hAnsi="Times New Roman"/>
          <w:sz w:val="24"/>
          <w:lang w:val="sr-Cyrl-CS"/>
        </w:rPr>
        <w:t xml:space="preserve"> </w:t>
      </w:r>
      <w:r w:rsidR="00607CBA" w:rsidRPr="005303F7">
        <w:rPr>
          <w:rFonts w:ascii="Times New Roman" w:hAnsi="Times New Roman"/>
          <w:sz w:val="24"/>
          <w:lang w:val="sr-Cyrl-CS"/>
        </w:rPr>
        <w:t>угљеника</w:t>
      </w:r>
      <w:r w:rsidR="005E369B" w:rsidRPr="005303F7">
        <w:rPr>
          <w:rFonts w:ascii="Times New Roman" w:hAnsi="Times New Roman"/>
          <w:sz w:val="24"/>
          <w:lang w:val="sr-Cyrl-CS"/>
        </w:rPr>
        <w:t xml:space="preserve"> </w:t>
      </w:r>
      <w:r w:rsidR="00607CBA" w:rsidRPr="005303F7">
        <w:rPr>
          <w:rFonts w:ascii="Times New Roman" w:hAnsi="Times New Roman"/>
          <w:sz w:val="24"/>
          <w:lang w:val="sr-Cyrl-CS"/>
        </w:rPr>
        <w:t>и</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многи</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од</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њих</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немају</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трошкове</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горива</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као</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што</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је</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хидро</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ветар</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соларна</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док</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се</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додатни</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трошкови</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стамбеног</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и</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комерцијалног</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сектора</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повећавају</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због</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повећања</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цене</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електричне</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енергије</w:t>
      </w:r>
      <w:r w:rsidR="00994760" w:rsidRPr="005303F7">
        <w:rPr>
          <w:rFonts w:ascii="Times New Roman" w:hAnsi="Times New Roman"/>
          <w:sz w:val="24"/>
          <w:lang w:val="sr-Cyrl-CS"/>
        </w:rPr>
        <w:t>).</w:t>
      </w:r>
      <w:r w:rsidR="006D38F8"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преосталим</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секторима</w:t>
      </w:r>
      <w:r w:rsidR="00BC4C7E" w:rsidRPr="005303F7">
        <w:rPr>
          <w:rFonts w:ascii="Times New Roman" w:hAnsi="Times New Roman"/>
          <w:sz w:val="24"/>
          <w:lang w:val="sr-Cyrl-CS"/>
        </w:rPr>
        <w:t xml:space="preserve"> (</w:t>
      </w:r>
      <w:r w:rsidR="00607CBA" w:rsidRPr="005303F7">
        <w:rPr>
          <w:rFonts w:ascii="Times New Roman" w:hAnsi="Times New Roman"/>
          <w:sz w:val="24"/>
          <w:lang w:val="sr-Cyrl-CS"/>
        </w:rPr>
        <w:t>IPPU</w:t>
      </w:r>
      <w:r w:rsidR="00BC4C7E" w:rsidRPr="005303F7">
        <w:rPr>
          <w:rFonts w:ascii="Times New Roman" w:hAnsi="Times New Roman"/>
          <w:sz w:val="24"/>
          <w:lang w:val="sr-Cyrl-CS"/>
        </w:rPr>
        <w:t xml:space="preserve">, </w:t>
      </w:r>
      <w:r w:rsidR="00607CBA" w:rsidRPr="005303F7">
        <w:rPr>
          <w:rFonts w:ascii="Times New Roman" w:hAnsi="Times New Roman"/>
          <w:sz w:val="24"/>
          <w:lang w:val="sr-Cyrl-CS"/>
        </w:rPr>
        <w:t>пољопривреда</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шумарство</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отпад</w:t>
      </w:r>
      <w:r w:rsidR="00BC4C7E" w:rsidRPr="005303F7">
        <w:rPr>
          <w:rFonts w:ascii="Times New Roman" w:hAnsi="Times New Roman"/>
          <w:sz w:val="24"/>
          <w:lang w:val="sr-Cyrl-CS"/>
        </w:rPr>
        <w:t>)</w:t>
      </w:r>
      <w:r w:rsidR="006D38F8" w:rsidRPr="005303F7">
        <w:rPr>
          <w:rFonts w:ascii="Times New Roman" w:hAnsi="Times New Roman"/>
          <w:sz w:val="24"/>
          <w:lang w:val="sr-Cyrl-CS"/>
        </w:rPr>
        <w:t xml:space="preserve"> </w:t>
      </w:r>
      <w:r w:rsidR="00607CBA" w:rsidRPr="005303F7">
        <w:rPr>
          <w:rFonts w:ascii="Times New Roman" w:hAnsi="Times New Roman"/>
          <w:sz w:val="24"/>
          <w:lang w:val="sr-Cyrl-CS"/>
        </w:rPr>
        <w:t>додатни</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трошкови</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се</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повећавају</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за</w:t>
      </w:r>
      <w:r w:rsidR="00BC4C7E" w:rsidRPr="005303F7">
        <w:rPr>
          <w:rFonts w:ascii="Times New Roman" w:hAnsi="Times New Roman"/>
          <w:sz w:val="24"/>
          <w:lang w:val="sr-Cyrl-CS"/>
        </w:rPr>
        <w:t xml:space="preserve"> 0,9</w:t>
      </w:r>
      <w:r w:rsidR="00994760" w:rsidRPr="005303F7">
        <w:rPr>
          <w:rFonts w:ascii="Times New Roman" w:hAnsi="Times New Roman"/>
          <w:sz w:val="24"/>
          <w:lang w:val="sr-Cyrl-CS"/>
        </w:rPr>
        <w:t xml:space="preserve"> </w:t>
      </w:r>
      <w:r w:rsidRPr="005303F7">
        <w:rPr>
          <w:rFonts w:ascii="Times New Roman" w:hAnsi="Times New Roman"/>
          <w:sz w:val="24"/>
          <w:lang w:val="sr-Cyrl-CS"/>
        </w:rPr>
        <w:t>милијарди</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евра</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BC4C7E" w:rsidRPr="005303F7">
        <w:rPr>
          <w:rFonts w:ascii="Times New Roman" w:hAnsi="Times New Roman"/>
          <w:sz w:val="24"/>
          <w:lang w:val="sr-Cyrl-CS"/>
        </w:rPr>
        <w:t xml:space="preserve"> </w:t>
      </w:r>
      <w:r w:rsidR="00607CBA" w:rsidRPr="005303F7">
        <w:rPr>
          <w:rFonts w:ascii="Times New Roman" w:hAnsi="Times New Roman"/>
          <w:sz w:val="24"/>
          <w:lang w:val="sr-Cyrl-CS"/>
        </w:rPr>
        <w:t>М</w:t>
      </w:r>
      <w:r w:rsidR="00BC4C7E" w:rsidRPr="005303F7">
        <w:rPr>
          <w:rFonts w:ascii="Times New Roman" w:hAnsi="Times New Roman"/>
          <w:sz w:val="24"/>
          <w:lang w:val="sr-Cyrl-CS"/>
        </w:rPr>
        <w:t>2</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до</w:t>
      </w:r>
      <w:r w:rsidR="00BC4C7E" w:rsidRPr="005303F7">
        <w:rPr>
          <w:rFonts w:ascii="Times New Roman" w:hAnsi="Times New Roman"/>
          <w:sz w:val="24"/>
          <w:lang w:val="sr-Cyrl-CS"/>
        </w:rPr>
        <w:t xml:space="preserve"> 1,8</w:t>
      </w:r>
      <w:r w:rsidR="00994760" w:rsidRPr="005303F7">
        <w:rPr>
          <w:rFonts w:ascii="Times New Roman" w:hAnsi="Times New Roman"/>
          <w:sz w:val="24"/>
          <w:lang w:val="sr-Cyrl-CS"/>
        </w:rPr>
        <w:t xml:space="preserve"> </w:t>
      </w:r>
      <w:r w:rsidRPr="005303F7">
        <w:rPr>
          <w:rFonts w:ascii="Times New Roman" w:hAnsi="Times New Roman"/>
          <w:sz w:val="24"/>
          <w:lang w:val="sr-Cyrl-CS"/>
        </w:rPr>
        <w:t>милијарди</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евра</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BC4C7E" w:rsidRPr="005303F7">
        <w:rPr>
          <w:rFonts w:ascii="Times New Roman" w:hAnsi="Times New Roman"/>
          <w:sz w:val="24"/>
          <w:lang w:val="sr-Cyrl-CS"/>
        </w:rPr>
        <w:t xml:space="preserve"> </w:t>
      </w:r>
      <w:r w:rsidR="00607CBA" w:rsidRPr="005303F7">
        <w:rPr>
          <w:rFonts w:ascii="Times New Roman" w:hAnsi="Times New Roman"/>
          <w:sz w:val="24"/>
          <w:lang w:val="sr-Cyrl-CS"/>
        </w:rPr>
        <w:t>М</w:t>
      </w:r>
      <w:r w:rsidR="00BC4C7E" w:rsidRPr="005303F7">
        <w:rPr>
          <w:rFonts w:ascii="Times New Roman" w:hAnsi="Times New Roman"/>
          <w:sz w:val="24"/>
          <w:lang w:val="sr-Cyrl-CS"/>
        </w:rPr>
        <w:t xml:space="preserve">3 </w:t>
      </w:r>
      <w:r w:rsidR="00607CBA" w:rsidRPr="005303F7">
        <w:rPr>
          <w:rFonts w:ascii="Times New Roman" w:hAnsi="Times New Roman"/>
          <w:sz w:val="24"/>
          <w:lang w:val="sr-Cyrl-CS"/>
        </w:rPr>
        <w:t>и</w:t>
      </w:r>
      <w:r w:rsidR="00BC4C7E" w:rsidRPr="005303F7">
        <w:rPr>
          <w:rFonts w:ascii="Times New Roman" w:hAnsi="Times New Roman"/>
          <w:sz w:val="24"/>
          <w:lang w:val="sr-Cyrl-CS"/>
        </w:rPr>
        <w:t xml:space="preserve"> 3,4</w:t>
      </w:r>
      <w:r w:rsidR="00994760" w:rsidRPr="005303F7">
        <w:rPr>
          <w:rFonts w:ascii="Times New Roman" w:hAnsi="Times New Roman"/>
          <w:sz w:val="24"/>
          <w:lang w:val="sr-Cyrl-CS"/>
        </w:rPr>
        <w:t xml:space="preserve"> </w:t>
      </w:r>
      <w:r w:rsidRPr="005303F7">
        <w:rPr>
          <w:rFonts w:ascii="Times New Roman" w:hAnsi="Times New Roman"/>
          <w:sz w:val="24"/>
          <w:lang w:val="sr-Cyrl-CS"/>
        </w:rPr>
        <w:t>милијарди</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евра</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сценарију</w:t>
      </w:r>
      <w:r w:rsidR="00BC4C7E" w:rsidRPr="005303F7">
        <w:rPr>
          <w:rFonts w:ascii="Times New Roman" w:hAnsi="Times New Roman"/>
          <w:sz w:val="24"/>
          <w:lang w:val="sr-Cyrl-CS"/>
        </w:rPr>
        <w:t xml:space="preserve"> </w:t>
      </w:r>
      <w:r w:rsidR="00607CBA" w:rsidRPr="005303F7">
        <w:rPr>
          <w:rFonts w:ascii="Times New Roman" w:hAnsi="Times New Roman"/>
          <w:sz w:val="24"/>
          <w:lang w:val="sr-Cyrl-CS"/>
        </w:rPr>
        <w:t>М</w:t>
      </w:r>
      <w:r w:rsidR="00BC4C7E" w:rsidRPr="005303F7">
        <w:rPr>
          <w:rFonts w:ascii="Times New Roman" w:hAnsi="Times New Roman"/>
          <w:sz w:val="24"/>
          <w:lang w:val="sr-Cyrl-CS"/>
        </w:rPr>
        <w:t xml:space="preserve">4, </w:t>
      </w:r>
      <w:r w:rsidR="00607CBA" w:rsidRPr="005303F7">
        <w:rPr>
          <w:rFonts w:ascii="Times New Roman" w:hAnsi="Times New Roman"/>
          <w:sz w:val="24"/>
          <w:lang w:val="sr-Cyrl-CS"/>
        </w:rPr>
        <w:t>услед</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увођења</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додатних</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и</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интензивирања</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постојећих</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мера</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посебно</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пољопривредном</w:t>
      </w:r>
      <w:r w:rsidR="00994760" w:rsidRPr="005303F7">
        <w:rPr>
          <w:rFonts w:ascii="Times New Roman" w:hAnsi="Times New Roman"/>
          <w:sz w:val="24"/>
          <w:lang w:val="sr-Cyrl-CS"/>
        </w:rPr>
        <w:t xml:space="preserve"> </w:t>
      </w:r>
      <w:r w:rsidR="00607CBA" w:rsidRPr="005303F7">
        <w:rPr>
          <w:rFonts w:ascii="Times New Roman" w:hAnsi="Times New Roman"/>
          <w:sz w:val="24"/>
          <w:lang w:val="sr-Cyrl-CS"/>
        </w:rPr>
        <w:t>сектору</w:t>
      </w:r>
      <w:r w:rsidR="00BC4C7E" w:rsidRPr="005303F7">
        <w:rPr>
          <w:rFonts w:ascii="Times New Roman" w:hAnsi="Times New Roman"/>
          <w:sz w:val="24"/>
          <w:lang w:val="sr-Cyrl-CS"/>
        </w:rPr>
        <w:t>).</w:t>
      </w:r>
    </w:p>
    <w:p w14:paraId="2AB83BC1" w14:textId="214DC4FB" w:rsidR="009D6067" w:rsidRPr="005303F7" w:rsidRDefault="00607CBA" w:rsidP="00D93231">
      <w:pPr>
        <w:pStyle w:val="Heading2"/>
        <w:numPr>
          <w:ilvl w:val="2"/>
          <w:numId w:val="40"/>
        </w:numPr>
        <w:tabs>
          <w:tab w:val="clear" w:pos="3825"/>
          <w:tab w:val="left" w:pos="1134"/>
        </w:tabs>
        <w:spacing w:before="0" w:after="0"/>
        <w:rPr>
          <w:rFonts w:ascii="Times New Roman" w:hAnsi="Times New Roman" w:cs="Times New Roman"/>
          <w:szCs w:val="22"/>
          <w:lang w:val="sr-Cyrl-CS"/>
        </w:rPr>
      </w:pPr>
      <w:bookmarkStart w:id="144" w:name="_Toc26686103"/>
      <w:bookmarkStart w:id="145" w:name="_Hlk19182942"/>
      <w:r w:rsidRPr="005303F7">
        <w:rPr>
          <w:rFonts w:ascii="Times New Roman" w:hAnsi="Times New Roman" w:cs="Times New Roman"/>
          <w:szCs w:val="22"/>
          <w:lang w:val="sr-Cyrl-CS"/>
        </w:rPr>
        <w:lastRenderedPageBreak/>
        <w:t>Друштвени</w:t>
      </w:r>
      <w:r w:rsidR="004B0FD0"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економски</w:t>
      </w:r>
      <w:r w:rsidR="004B0FD0"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и</w:t>
      </w:r>
      <w:r w:rsidR="004B0FD0"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еколошки</w:t>
      </w:r>
      <w:r w:rsidR="004B0FD0"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утицај</w:t>
      </w:r>
      <w:bookmarkEnd w:id="144"/>
      <w:r w:rsidRPr="005303F7">
        <w:rPr>
          <w:rFonts w:ascii="Times New Roman" w:hAnsi="Times New Roman" w:cs="Times New Roman"/>
          <w:szCs w:val="22"/>
          <w:lang w:val="sr-Cyrl-CS"/>
        </w:rPr>
        <w:t>и</w:t>
      </w:r>
    </w:p>
    <w:bookmarkEnd w:id="145"/>
    <w:p w14:paraId="5344CD1E" w14:textId="16FC7F70" w:rsidR="0039680D" w:rsidRPr="005303F7" w:rsidRDefault="0039680D" w:rsidP="00F30D84">
      <w:pPr>
        <w:rPr>
          <w:rFonts w:ascii="Times New Roman" w:hAnsi="Times New Roman"/>
          <w:sz w:val="24"/>
          <w:lang w:val="sr-Cyrl-CS"/>
        </w:rPr>
      </w:pPr>
      <w:r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Идентификација</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најприкладнијег</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начина</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смањење</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емисије</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гасова</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са</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ефектом</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стаклене</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баште</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зависи</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од</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трошкова</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као</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од</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друштвених</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економских</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утицаја</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животну</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средину</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Како</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би</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се</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дефинисао</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друштвено</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праведан</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исплатив</w:t>
      </w:r>
      <w:r w:rsidR="00045397"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пут</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смањења</w:t>
      </w:r>
      <w:r w:rsidR="006B40D5"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емисија</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GHG</w:t>
      </w:r>
      <w:r w:rsidR="009D32C8" w:rsidRPr="005303F7">
        <w:rPr>
          <w:rFonts w:ascii="Times New Roman" w:hAnsi="Times New Roman"/>
          <w:sz w:val="24"/>
          <w:szCs w:val="22"/>
          <w:lang w:val="sr-Cyrl-CS"/>
        </w:rPr>
        <w:t>,</w:t>
      </w:r>
      <w:r w:rsidR="001C3BA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процењени</w:t>
      </w:r>
      <w:r w:rsidR="00E01E4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су</w:t>
      </w:r>
      <w:r w:rsidR="00E01E4C" w:rsidRPr="005303F7">
        <w:rPr>
          <w:rFonts w:ascii="Times New Roman" w:hAnsi="Times New Roman"/>
          <w:sz w:val="24"/>
          <w:szCs w:val="22"/>
          <w:lang w:val="sr-Cyrl-CS"/>
        </w:rPr>
        <w:t xml:space="preserve"> </w:t>
      </w:r>
      <w:r w:rsidR="00607CBA" w:rsidRPr="005303F7">
        <w:rPr>
          <w:rFonts w:ascii="Times New Roman" w:hAnsi="Times New Roman"/>
          <w:bCs/>
          <w:sz w:val="24"/>
          <w:szCs w:val="22"/>
          <w:lang w:val="sr-Cyrl-CS"/>
        </w:rPr>
        <w:t>утицаји</w:t>
      </w:r>
      <w:r w:rsidR="00C70993" w:rsidRPr="005303F7">
        <w:rPr>
          <w:rFonts w:ascii="Times New Roman" w:hAnsi="Times New Roman"/>
          <w:bCs/>
          <w:sz w:val="24"/>
          <w:szCs w:val="22"/>
          <w:lang w:val="sr-Cyrl-CS"/>
        </w:rPr>
        <w:t xml:space="preserve"> </w:t>
      </w:r>
      <w:r w:rsidR="00607CBA" w:rsidRPr="005303F7">
        <w:rPr>
          <w:rFonts w:ascii="Times New Roman" w:hAnsi="Times New Roman"/>
          <w:bCs/>
          <w:sz w:val="24"/>
          <w:szCs w:val="22"/>
          <w:lang w:val="sr-Cyrl-CS"/>
        </w:rPr>
        <w:t>на</w:t>
      </w:r>
      <w:r w:rsidR="00C70993" w:rsidRPr="005303F7">
        <w:rPr>
          <w:rFonts w:ascii="Times New Roman" w:hAnsi="Times New Roman"/>
          <w:bCs/>
          <w:sz w:val="24"/>
          <w:szCs w:val="22"/>
          <w:lang w:val="sr-Cyrl-CS"/>
        </w:rPr>
        <w:t xml:space="preserve"> </w:t>
      </w:r>
      <w:r w:rsidR="00607CBA" w:rsidRPr="005303F7">
        <w:rPr>
          <w:rFonts w:ascii="Times New Roman" w:hAnsi="Times New Roman"/>
          <w:bCs/>
          <w:sz w:val="24"/>
          <w:szCs w:val="22"/>
          <w:lang w:val="sr-Cyrl-CS"/>
        </w:rPr>
        <w:t>раст</w:t>
      </w:r>
      <w:r w:rsidR="00C70993" w:rsidRPr="005303F7">
        <w:rPr>
          <w:rFonts w:ascii="Times New Roman" w:hAnsi="Times New Roman"/>
          <w:bCs/>
          <w:sz w:val="24"/>
          <w:szCs w:val="22"/>
          <w:lang w:val="sr-Cyrl-CS"/>
        </w:rPr>
        <w:t xml:space="preserve"> </w:t>
      </w:r>
      <w:r w:rsidR="00607CBA" w:rsidRPr="005303F7">
        <w:rPr>
          <w:rFonts w:ascii="Times New Roman" w:hAnsi="Times New Roman"/>
          <w:bCs/>
          <w:sz w:val="24"/>
          <w:szCs w:val="22"/>
          <w:lang w:val="sr-Cyrl-CS"/>
        </w:rPr>
        <w:t>бруто</w:t>
      </w:r>
      <w:r w:rsidR="00D96D3C" w:rsidRPr="005303F7">
        <w:rPr>
          <w:rFonts w:ascii="Times New Roman" w:hAnsi="Times New Roman"/>
          <w:bCs/>
          <w:sz w:val="24"/>
          <w:szCs w:val="22"/>
          <w:lang w:val="sr-Cyrl-CS"/>
        </w:rPr>
        <w:t xml:space="preserve"> </w:t>
      </w:r>
      <w:r w:rsidR="00607CBA" w:rsidRPr="005303F7">
        <w:rPr>
          <w:rFonts w:ascii="Times New Roman" w:hAnsi="Times New Roman"/>
          <w:bCs/>
          <w:sz w:val="24"/>
          <w:szCs w:val="22"/>
          <w:lang w:val="sr-Cyrl-CS"/>
        </w:rPr>
        <w:t>домаћег</w:t>
      </w:r>
      <w:r w:rsidR="00D96D3C" w:rsidRPr="005303F7">
        <w:rPr>
          <w:rFonts w:ascii="Times New Roman" w:hAnsi="Times New Roman"/>
          <w:bCs/>
          <w:sz w:val="24"/>
          <w:szCs w:val="22"/>
          <w:lang w:val="sr-Cyrl-CS"/>
        </w:rPr>
        <w:t xml:space="preserve"> </w:t>
      </w:r>
      <w:r w:rsidR="00607CBA" w:rsidRPr="005303F7">
        <w:rPr>
          <w:rFonts w:ascii="Times New Roman" w:hAnsi="Times New Roman"/>
          <w:bCs/>
          <w:sz w:val="24"/>
          <w:szCs w:val="22"/>
          <w:lang w:val="sr-Cyrl-CS"/>
        </w:rPr>
        <w:t>производа</w:t>
      </w:r>
      <w:r w:rsidR="00D96D3C" w:rsidRPr="005303F7">
        <w:rPr>
          <w:rFonts w:ascii="Times New Roman" w:hAnsi="Times New Roman"/>
          <w:bCs/>
          <w:sz w:val="24"/>
          <w:szCs w:val="22"/>
          <w:lang w:val="sr-Cyrl-CS"/>
        </w:rPr>
        <w:t xml:space="preserve"> (</w:t>
      </w:r>
      <w:r w:rsidR="00607CBA" w:rsidRPr="005303F7">
        <w:rPr>
          <w:rFonts w:ascii="Times New Roman" w:hAnsi="Times New Roman"/>
          <w:bCs/>
          <w:sz w:val="24"/>
          <w:szCs w:val="22"/>
          <w:lang w:val="sr-Cyrl-CS"/>
        </w:rPr>
        <w:t>БДП</w:t>
      </w:r>
      <w:r w:rsidR="00D96D3C" w:rsidRPr="005303F7">
        <w:rPr>
          <w:rFonts w:ascii="Times New Roman" w:hAnsi="Times New Roman"/>
          <w:bCs/>
          <w:sz w:val="24"/>
          <w:szCs w:val="22"/>
          <w:lang w:val="sr-Cyrl-CS"/>
        </w:rPr>
        <w:t>)</w:t>
      </w:r>
      <w:r w:rsidR="00DD1C73" w:rsidRPr="005303F7">
        <w:rPr>
          <w:rFonts w:ascii="Times New Roman" w:hAnsi="Times New Roman"/>
          <w:bCs/>
          <w:sz w:val="24"/>
          <w:szCs w:val="22"/>
          <w:lang w:val="sr-Cyrl-CS"/>
        </w:rPr>
        <w:t xml:space="preserve">, </w:t>
      </w:r>
      <w:r w:rsidR="00607CBA" w:rsidRPr="005303F7">
        <w:rPr>
          <w:rFonts w:ascii="Times New Roman" w:hAnsi="Times New Roman"/>
          <w:bCs/>
          <w:sz w:val="24"/>
          <w:szCs w:val="22"/>
          <w:lang w:val="sr-Cyrl-CS"/>
        </w:rPr>
        <w:t>на</w:t>
      </w:r>
      <w:r w:rsidR="00E01E4C" w:rsidRPr="005303F7">
        <w:rPr>
          <w:rFonts w:ascii="Times New Roman" w:hAnsi="Times New Roman"/>
          <w:bCs/>
          <w:sz w:val="24"/>
          <w:szCs w:val="22"/>
          <w:lang w:val="sr-Cyrl-CS"/>
        </w:rPr>
        <w:t xml:space="preserve"> </w:t>
      </w:r>
      <w:r w:rsidR="00607CBA" w:rsidRPr="005303F7">
        <w:rPr>
          <w:rFonts w:ascii="Times New Roman" w:hAnsi="Times New Roman"/>
          <w:bCs/>
          <w:sz w:val="24"/>
          <w:szCs w:val="22"/>
          <w:lang w:val="sr-Cyrl-CS"/>
        </w:rPr>
        <w:t>запосленост</w:t>
      </w:r>
      <w:r w:rsidR="008D2595" w:rsidRPr="005303F7">
        <w:rPr>
          <w:rFonts w:ascii="Times New Roman" w:hAnsi="Times New Roman"/>
          <w:bCs/>
          <w:sz w:val="24"/>
          <w:szCs w:val="22"/>
          <w:lang w:val="sr-Cyrl-CS"/>
        </w:rPr>
        <w:t xml:space="preserve"> </w:t>
      </w:r>
      <w:r w:rsidR="00607CBA" w:rsidRPr="005303F7">
        <w:rPr>
          <w:rFonts w:ascii="Times New Roman" w:hAnsi="Times New Roman"/>
          <w:bCs/>
          <w:sz w:val="24"/>
          <w:szCs w:val="22"/>
          <w:lang w:val="sr-Cyrl-CS"/>
        </w:rPr>
        <w:t>и</w:t>
      </w:r>
      <w:r w:rsidR="00C70993" w:rsidRPr="005303F7">
        <w:rPr>
          <w:rFonts w:ascii="Times New Roman" w:hAnsi="Times New Roman"/>
          <w:bCs/>
          <w:sz w:val="24"/>
          <w:szCs w:val="22"/>
          <w:lang w:val="sr-Cyrl-CS"/>
        </w:rPr>
        <w:t xml:space="preserve"> </w:t>
      </w:r>
      <w:r w:rsidR="00607CBA" w:rsidRPr="005303F7">
        <w:rPr>
          <w:rFonts w:ascii="Times New Roman" w:hAnsi="Times New Roman"/>
          <w:bCs/>
          <w:sz w:val="24"/>
          <w:szCs w:val="22"/>
          <w:lang w:val="sr-Cyrl-CS"/>
        </w:rPr>
        <w:t>на</w:t>
      </w:r>
      <w:r w:rsidR="00C70993" w:rsidRPr="005303F7">
        <w:rPr>
          <w:rFonts w:ascii="Times New Roman" w:hAnsi="Times New Roman"/>
          <w:bCs/>
          <w:sz w:val="24"/>
          <w:szCs w:val="22"/>
          <w:lang w:val="sr-Cyrl-CS"/>
        </w:rPr>
        <w:t xml:space="preserve"> </w:t>
      </w:r>
      <w:r w:rsidR="00607CBA" w:rsidRPr="005303F7">
        <w:rPr>
          <w:rFonts w:ascii="Times New Roman" w:hAnsi="Times New Roman"/>
          <w:sz w:val="24"/>
          <w:lang w:val="sr-Cyrl-CS"/>
        </w:rPr>
        <w:t>удео</w:t>
      </w:r>
      <w:r w:rsidR="00C70993" w:rsidRPr="005303F7">
        <w:rPr>
          <w:rFonts w:ascii="Times New Roman" w:hAnsi="Times New Roman"/>
          <w:sz w:val="24"/>
          <w:lang w:val="sr-Cyrl-CS"/>
        </w:rPr>
        <w:t xml:space="preserve"> </w:t>
      </w:r>
      <w:r w:rsidR="00607CBA" w:rsidRPr="005303F7">
        <w:rPr>
          <w:rFonts w:ascii="Times New Roman" w:hAnsi="Times New Roman"/>
          <w:sz w:val="24"/>
          <w:lang w:val="sr-Cyrl-CS"/>
        </w:rPr>
        <w:t>трошкова</w:t>
      </w:r>
      <w:r w:rsidR="00C70993" w:rsidRPr="005303F7">
        <w:rPr>
          <w:rFonts w:ascii="Times New Roman" w:hAnsi="Times New Roman"/>
          <w:sz w:val="24"/>
          <w:lang w:val="sr-Cyrl-CS"/>
        </w:rPr>
        <w:t xml:space="preserve"> </w:t>
      </w:r>
      <w:r w:rsidR="00607CBA" w:rsidRPr="005303F7">
        <w:rPr>
          <w:rFonts w:ascii="Times New Roman" w:hAnsi="Times New Roman"/>
          <w:sz w:val="24"/>
          <w:lang w:val="sr-Cyrl-CS"/>
        </w:rPr>
        <w:t>за</w:t>
      </w:r>
      <w:r w:rsidR="00C70993" w:rsidRPr="005303F7">
        <w:rPr>
          <w:rFonts w:ascii="Times New Roman" w:hAnsi="Times New Roman"/>
          <w:sz w:val="24"/>
          <w:lang w:val="sr-Cyrl-CS"/>
        </w:rPr>
        <w:t xml:space="preserve"> </w:t>
      </w:r>
      <w:r w:rsidR="00607CBA" w:rsidRPr="005303F7">
        <w:rPr>
          <w:rFonts w:ascii="Times New Roman" w:hAnsi="Times New Roman"/>
          <w:sz w:val="24"/>
          <w:lang w:val="sr-Cyrl-CS"/>
        </w:rPr>
        <w:t>енергију</w:t>
      </w:r>
      <w:r w:rsidR="00C70993"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C70993" w:rsidRPr="005303F7">
        <w:rPr>
          <w:rFonts w:ascii="Times New Roman" w:hAnsi="Times New Roman"/>
          <w:sz w:val="24"/>
          <w:lang w:val="sr-Cyrl-CS"/>
        </w:rPr>
        <w:t xml:space="preserve"> </w:t>
      </w:r>
      <w:r w:rsidR="00607CBA" w:rsidRPr="005303F7">
        <w:rPr>
          <w:rFonts w:ascii="Times New Roman" w:hAnsi="Times New Roman"/>
          <w:sz w:val="24"/>
          <w:lang w:val="sr-Cyrl-CS"/>
        </w:rPr>
        <w:t>домаћинству</w:t>
      </w:r>
      <w:r w:rsidR="009D32C8" w:rsidRPr="005303F7">
        <w:rPr>
          <w:rFonts w:ascii="Times New Roman" w:hAnsi="Times New Roman"/>
          <w:sz w:val="24"/>
          <w:lang w:val="sr-Cyrl-CS"/>
        </w:rPr>
        <w:t>,</w:t>
      </w:r>
      <w:r w:rsidR="00C70993" w:rsidRPr="005303F7">
        <w:rPr>
          <w:rFonts w:ascii="Times New Roman" w:hAnsi="Times New Roman"/>
          <w:sz w:val="24"/>
          <w:lang w:val="sr-Cyrl-CS"/>
        </w:rPr>
        <w:t xml:space="preserve"> </w:t>
      </w:r>
      <w:r w:rsidR="00607CBA" w:rsidRPr="005303F7">
        <w:rPr>
          <w:rFonts w:ascii="Times New Roman" w:hAnsi="Times New Roman"/>
          <w:sz w:val="24"/>
          <w:lang w:val="sr-Cyrl-CS"/>
        </w:rPr>
        <w:t>за</w:t>
      </w:r>
      <w:r w:rsidR="00C70993" w:rsidRPr="005303F7">
        <w:rPr>
          <w:rFonts w:ascii="Times New Roman" w:hAnsi="Times New Roman"/>
          <w:sz w:val="24"/>
          <w:lang w:val="sr-Cyrl-CS"/>
        </w:rPr>
        <w:t xml:space="preserve"> </w:t>
      </w:r>
      <w:r w:rsidR="00607CBA" w:rsidRPr="005303F7">
        <w:rPr>
          <w:rFonts w:ascii="Times New Roman" w:hAnsi="Times New Roman"/>
          <w:sz w:val="24"/>
          <w:lang w:val="sr-Cyrl-CS"/>
        </w:rPr>
        <w:t>различите</w:t>
      </w:r>
      <w:r w:rsidR="00C70993" w:rsidRPr="005303F7">
        <w:rPr>
          <w:rFonts w:ascii="Times New Roman" w:hAnsi="Times New Roman"/>
          <w:sz w:val="24"/>
          <w:lang w:val="sr-Cyrl-CS"/>
        </w:rPr>
        <w:t xml:space="preserve"> </w:t>
      </w:r>
      <w:r w:rsidR="00607CBA" w:rsidRPr="005303F7">
        <w:rPr>
          <w:rFonts w:ascii="Times New Roman" w:hAnsi="Times New Roman"/>
          <w:sz w:val="24"/>
          <w:lang w:val="sr-Cyrl-CS"/>
        </w:rPr>
        <w:t>сценарије</w:t>
      </w:r>
      <w:r w:rsidR="00C70993" w:rsidRPr="005303F7">
        <w:rPr>
          <w:rFonts w:ascii="Times New Roman" w:hAnsi="Times New Roman"/>
          <w:sz w:val="24"/>
          <w:lang w:val="sr-Cyrl-CS"/>
        </w:rPr>
        <w:t xml:space="preserve"> </w:t>
      </w:r>
      <w:r w:rsidR="00607CBA" w:rsidRPr="005303F7">
        <w:rPr>
          <w:rFonts w:ascii="Times New Roman" w:hAnsi="Times New Roman"/>
          <w:sz w:val="24"/>
          <w:lang w:val="sr-Cyrl-CS"/>
        </w:rPr>
        <w:t>ублажавања</w:t>
      </w:r>
      <w:r w:rsidR="00DD1C73" w:rsidRPr="005303F7">
        <w:rPr>
          <w:rFonts w:ascii="Times New Roman" w:hAnsi="Times New Roman"/>
          <w:bCs/>
          <w:sz w:val="24"/>
          <w:szCs w:val="22"/>
          <w:lang w:val="sr-Cyrl-CS"/>
        </w:rPr>
        <w:t xml:space="preserve">. </w:t>
      </w:r>
      <w:r w:rsidR="00CF4DD4" w:rsidRPr="005303F7">
        <w:rPr>
          <w:rFonts w:ascii="Times New Roman" w:hAnsi="Times New Roman"/>
          <w:bCs/>
          <w:sz w:val="24"/>
          <w:szCs w:val="22"/>
          <w:lang w:val="sr-Cyrl-CS"/>
        </w:rPr>
        <w:t>Резултати о економском утицају примене мера добијени су коришћењем GEM E3 модела уз уважавање националних околности. Међутим, резултати примене овог модела могу бити различити у зависности од тога у којој мери су националне специфичности узете у обзир као и могућности њихове квантификације.</w:t>
      </w:r>
    </w:p>
    <w:p w14:paraId="65FC965C" w14:textId="6FB1B6C3" w:rsidR="0039680D" w:rsidRPr="005303F7" w:rsidRDefault="0039680D" w:rsidP="00FE004C">
      <w:pPr>
        <w:rPr>
          <w:rFonts w:ascii="Times New Roman" w:hAnsi="Times New Roman"/>
          <w:sz w:val="24"/>
          <w:szCs w:val="22"/>
          <w:lang w:val="sr-Cyrl-CS"/>
        </w:rPr>
      </w:pPr>
      <w:r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Утицаји</w:t>
      </w:r>
      <w:r w:rsidR="00974D7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сценарија</w:t>
      </w:r>
      <w:r w:rsidR="0013191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131919" w:rsidRPr="005303F7">
        <w:rPr>
          <w:rFonts w:ascii="Times New Roman" w:hAnsi="Times New Roman"/>
          <w:sz w:val="24"/>
          <w:szCs w:val="22"/>
          <w:lang w:val="sr-Cyrl-CS"/>
        </w:rPr>
        <w:t xml:space="preserve">2, </w:t>
      </w:r>
      <w:r w:rsidR="00607CBA" w:rsidRPr="005303F7">
        <w:rPr>
          <w:rFonts w:ascii="Times New Roman" w:hAnsi="Times New Roman"/>
          <w:sz w:val="24"/>
          <w:szCs w:val="22"/>
          <w:lang w:val="sr-Cyrl-CS"/>
        </w:rPr>
        <w:t>М</w:t>
      </w:r>
      <w:r w:rsidR="00131919" w:rsidRPr="005303F7">
        <w:rPr>
          <w:rFonts w:ascii="Times New Roman" w:hAnsi="Times New Roman"/>
          <w:sz w:val="24"/>
          <w:szCs w:val="22"/>
          <w:lang w:val="sr-Cyrl-CS"/>
        </w:rPr>
        <w:t xml:space="preserve">3 </w:t>
      </w:r>
      <w:r w:rsidR="00607CBA" w:rsidRPr="005303F7">
        <w:rPr>
          <w:rFonts w:ascii="Times New Roman" w:hAnsi="Times New Roman"/>
          <w:sz w:val="24"/>
          <w:szCs w:val="22"/>
          <w:lang w:val="sr-Cyrl-CS"/>
        </w:rPr>
        <w:t>и</w:t>
      </w:r>
      <w:r w:rsidR="0013191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11295F" w:rsidRPr="005303F7">
        <w:rPr>
          <w:rFonts w:ascii="Times New Roman" w:hAnsi="Times New Roman"/>
          <w:sz w:val="24"/>
          <w:szCs w:val="22"/>
          <w:lang w:val="sr-Cyrl-CS"/>
        </w:rPr>
        <w:t xml:space="preserve">4 </w:t>
      </w:r>
      <w:r w:rsidR="00607CBA" w:rsidRPr="005303F7">
        <w:rPr>
          <w:rFonts w:ascii="Times New Roman" w:hAnsi="Times New Roman"/>
          <w:sz w:val="24"/>
          <w:szCs w:val="22"/>
          <w:lang w:val="sr-Cyrl-CS"/>
        </w:rPr>
        <w:t>на</w:t>
      </w:r>
      <w:r w:rsidR="00974D7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раст</w:t>
      </w:r>
      <w:r w:rsidR="00974D7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БДП</w:t>
      </w:r>
      <w:r w:rsidR="00974D73" w:rsidRPr="005303F7">
        <w:rPr>
          <w:rFonts w:ascii="Times New Roman" w:hAnsi="Times New Roman"/>
          <w:sz w:val="24"/>
          <w:szCs w:val="22"/>
          <w:lang w:val="sr-Cyrl-CS"/>
        </w:rPr>
        <w:t>-</w:t>
      </w:r>
      <w:r w:rsidR="00607CBA" w:rsidRPr="005303F7">
        <w:rPr>
          <w:rFonts w:ascii="Times New Roman" w:hAnsi="Times New Roman"/>
          <w:sz w:val="24"/>
          <w:szCs w:val="22"/>
          <w:lang w:val="sr-Cyrl-CS"/>
        </w:rPr>
        <w:t>а</w:t>
      </w:r>
      <w:r w:rsidR="00974D7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су</w:t>
      </w:r>
      <w:r w:rsidR="00974D7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веома</w:t>
      </w:r>
      <w:r w:rsidR="00974D7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ограничени</w:t>
      </w:r>
      <w:r w:rsidR="0011295F" w:rsidRPr="005303F7">
        <w:rPr>
          <w:rFonts w:ascii="Times New Roman" w:hAnsi="Times New Roman"/>
          <w:sz w:val="24"/>
          <w:szCs w:val="22"/>
          <w:lang w:val="sr-Cyrl-CS"/>
        </w:rPr>
        <w:t>.</w:t>
      </w:r>
      <w:r w:rsidR="0013191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974D7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периоду</w:t>
      </w:r>
      <w:r w:rsidR="00974D7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од</w:t>
      </w:r>
      <w:r w:rsidR="00131919" w:rsidRPr="005303F7">
        <w:rPr>
          <w:rFonts w:ascii="Times New Roman" w:hAnsi="Times New Roman"/>
          <w:sz w:val="24"/>
          <w:szCs w:val="22"/>
          <w:lang w:val="sr-Cyrl-CS"/>
        </w:rPr>
        <w:t xml:space="preserve"> 2020-2050</w:t>
      </w:r>
      <w:r w:rsidR="00974D73" w:rsidRPr="005303F7">
        <w:rPr>
          <w:rFonts w:ascii="Times New Roman" w:hAnsi="Times New Roman"/>
          <w:sz w:val="24"/>
          <w:szCs w:val="22"/>
          <w:lang w:val="sr-Cyrl-CS"/>
        </w:rPr>
        <w:t>.</w:t>
      </w:r>
      <w:r w:rsidR="000E1644" w:rsidRPr="005303F7">
        <w:rPr>
          <w:rFonts w:ascii="Times New Roman" w:hAnsi="Times New Roman"/>
          <w:sz w:val="24"/>
          <w:szCs w:val="22"/>
          <w:lang w:val="sr-Cyrl-CS"/>
        </w:rPr>
        <w:t xml:space="preserve"> године</w:t>
      </w:r>
      <w:r w:rsidR="0013191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пројектовани</w:t>
      </w:r>
      <w:r w:rsidR="00974D7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просечни</w:t>
      </w:r>
      <w:r w:rsidR="00974D7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годишњи</w:t>
      </w:r>
      <w:r w:rsidR="00974D7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раст</w:t>
      </w:r>
      <w:r w:rsidR="00974D7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БДП</w:t>
      </w:r>
      <w:r w:rsidR="00974D73" w:rsidRPr="005303F7">
        <w:rPr>
          <w:rFonts w:ascii="Times New Roman" w:hAnsi="Times New Roman"/>
          <w:sz w:val="24"/>
          <w:szCs w:val="22"/>
          <w:lang w:val="sr-Cyrl-CS"/>
        </w:rPr>
        <w:t>-</w:t>
      </w:r>
      <w:r w:rsidR="00607CBA" w:rsidRPr="005303F7">
        <w:rPr>
          <w:rFonts w:ascii="Times New Roman" w:hAnsi="Times New Roman"/>
          <w:sz w:val="24"/>
          <w:szCs w:val="22"/>
          <w:lang w:val="sr-Cyrl-CS"/>
        </w:rPr>
        <w:t>а</w:t>
      </w:r>
      <w:r w:rsidR="00974D7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974D73" w:rsidRPr="005303F7">
        <w:rPr>
          <w:rFonts w:ascii="Times New Roman" w:hAnsi="Times New Roman"/>
          <w:sz w:val="24"/>
          <w:szCs w:val="22"/>
          <w:lang w:val="sr-Cyrl-CS"/>
        </w:rPr>
        <w:t xml:space="preserve"> </w:t>
      </w:r>
      <w:r w:rsidR="00D73AAB" w:rsidRPr="005303F7">
        <w:rPr>
          <w:rFonts w:ascii="Times New Roman" w:hAnsi="Times New Roman"/>
          <w:sz w:val="24"/>
          <w:szCs w:val="22"/>
          <w:lang w:val="sr-Cyrl-CS"/>
        </w:rPr>
        <w:t>Републици Србији</w:t>
      </w:r>
      <w:r w:rsidR="00767CEA" w:rsidRPr="005303F7">
        <w:rPr>
          <w:rStyle w:val="FootnoteReference"/>
          <w:rFonts w:ascii="Times New Roman" w:hAnsi="Times New Roman"/>
          <w:sz w:val="20"/>
          <w:szCs w:val="22"/>
          <w:lang w:val="sr-Cyrl-CS"/>
        </w:rPr>
        <w:footnoteReference w:id="25"/>
      </w:r>
      <w:r w:rsidR="0013191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је</w:t>
      </w:r>
      <w:r w:rsidR="00131919" w:rsidRPr="005303F7">
        <w:rPr>
          <w:rFonts w:ascii="Times New Roman" w:hAnsi="Times New Roman"/>
          <w:sz w:val="24"/>
          <w:szCs w:val="22"/>
          <w:lang w:val="sr-Cyrl-CS"/>
        </w:rPr>
        <w:t xml:space="preserve"> 3,77</w:t>
      </w:r>
      <w:r w:rsidR="007262C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7262C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Б</w:t>
      </w:r>
      <w:r w:rsidR="007262CA" w:rsidRPr="005303F7">
        <w:rPr>
          <w:rFonts w:ascii="Times New Roman" w:hAnsi="Times New Roman"/>
          <w:sz w:val="24"/>
          <w:szCs w:val="22"/>
          <w:lang w:val="sr-Cyrl-CS"/>
        </w:rPr>
        <w:t xml:space="preserve">2, 3,68% </w:t>
      </w:r>
      <w:r w:rsidR="00607CBA" w:rsidRPr="005303F7">
        <w:rPr>
          <w:rFonts w:ascii="Times New Roman" w:hAnsi="Times New Roman"/>
          <w:sz w:val="24"/>
          <w:szCs w:val="22"/>
          <w:lang w:val="sr-Cyrl-CS"/>
        </w:rPr>
        <w:t>у</w:t>
      </w:r>
      <w:r w:rsidR="007262C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7262CA" w:rsidRPr="005303F7">
        <w:rPr>
          <w:rFonts w:ascii="Times New Roman" w:hAnsi="Times New Roman"/>
          <w:sz w:val="24"/>
          <w:szCs w:val="22"/>
          <w:lang w:val="sr-Cyrl-CS"/>
        </w:rPr>
        <w:t xml:space="preserve">2, 3,68% </w:t>
      </w:r>
      <w:r w:rsidR="00607CBA" w:rsidRPr="005303F7">
        <w:rPr>
          <w:rFonts w:ascii="Times New Roman" w:hAnsi="Times New Roman"/>
          <w:sz w:val="24"/>
          <w:szCs w:val="22"/>
          <w:lang w:val="sr-Cyrl-CS"/>
        </w:rPr>
        <w:t>у</w:t>
      </w:r>
      <w:r w:rsidR="007262C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7262CA" w:rsidRPr="005303F7">
        <w:rPr>
          <w:rFonts w:ascii="Times New Roman" w:hAnsi="Times New Roman"/>
          <w:sz w:val="24"/>
          <w:szCs w:val="22"/>
          <w:lang w:val="sr-Cyrl-CS"/>
        </w:rPr>
        <w:t xml:space="preserve">3 </w:t>
      </w:r>
      <w:r w:rsidR="00607CBA" w:rsidRPr="005303F7">
        <w:rPr>
          <w:rFonts w:ascii="Times New Roman" w:hAnsi="Times New Roman"/>
          <w:sz w:val="24"/>
          <w:szCs w:val="22"/>
          <w:lang w:val="sr-Cyrl-CS"/>
        </w:rPr>
        <w:t>и</w:t>
      </w:r>
      <w:r w:rsidR="007262CA" w:rsidRPr="005303F7">
        <w:rPr>
          <w:rFonts w:ascii="Times New Roman" w:hAnsi="Times New Roman"/>
          <w:sz w:val="24"/>
          <w:szCs w:val="22"/>
          <w:lang w:val="sr-Cyrl-CS"/>
        </w:rPr>
        <w:t xml:space="preserve"> 3,64% </w:t>
      </w:r>
      <w:r w:rsidR="00607CBA" w:rsidRPr="005303F7">
        <w:rPr>
          <w:rFonts w:ascii="Times New Roman" w:hAnsi="Times New Roman"/>
          <w:sz w:val="24"/>
          <w:szCs w:val="22"/>
          <w:lang w:val="sr-Cyrl-CS"/>
        </w:rPr>
        <w:t>у</w:t>
      </w:r>
      <w:r w:rsidR="007262C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7262CA" w:rsidRPr="005303F7">
        <w:rPr>
          <w:rFonts w:ascii="Times New Roman" w:hAnsi="Times New Roman"/>
          <w:sz w:val="24"/>
          <w:szCs w:val="22"/>
          <w:lang w:val="sr-Cyrl-CS"/>
        </w:rPr>
        <w:t>4</w:t>
      </w:r>
      <w:r w:rsidR="006704F0"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док</w:t>
      </w:r>
      <w:r w:rsidR="00974D7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су</w:t>
      </w:r>
      <w:r w:rsidR="00974D7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ефекти</w:t>
      </w:r>
      <w:r w:rsidR="00974D7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w:t>
      </w:r>
      <w:r w:rsidR="00974D7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раст</w:t>
      </w:r>
      <w:r w:rsidR="00974D7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БДП</w:t>
      </w:r>
      <w:r w:rsidR="00974D73" w:rsidRPr="005303F7">
        <w:rPr>
          <w:rFonts w:ascii="Times New Roman" w:hAnsi="Times New Roman"/>
          <w:sz w:val="24"/>
          <w:szCs w:val="22"/>
          <w:lang w:val="sr-Cyrl-CS"/>
        </w:rPr>
        <w:t>-</w:t>
      </w:r>
      <w:r w:rsidR="00607CBA" w:rsidRPr="005303F7">
        <w:rPr>
          <w:rFonts w:ascii="Times New Roman" w:hAnsi="Times New Roman"/>
          <w:sz w:val="24"/>
          <w:szCs w:val="22"/>
          <w:lang w:val="sr-Cyrl-CS"/>
        </w:rPr>
        <w:t>а</w:t>
      </w:r>
      <w:r w:rsidR="006704F0" w:rsidRPr="005303F7">
        <w:rPr>
          <w:rFonts w:ascii="Times New Roman" w:hAnsi="Times New Roman"/>
          <w:sz w:val="24"/>
          <w:szCs w:val="22"/>
          <w:lang w:val="sr-Cyrl-CS"/>
        </w:rPr>
        <w:t xml:space="preserve"> -1,0% </w:t>
      </w:r>
      <w:r w:rsidR="00607CBA" w:rsidRPr="005303F7">
        <w:rPr>
          <w:rFonts w:ascii="Times New Roman" w:hAnsi="Times New Roman"/>
          <w:sz w:val="24"/>
          <w:szCs w:val="22"/>
          <w:lang w:val="sr-Cyrl-CS"/>
        </w:rPr>
        <w:t>у</w:t>
      </w:r>
      <w:r w:rsidR="006704F0"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6704F0" w:rsidRPr="005303F7">
        <w:rPr>
          <w:rFonts w:ascii="Times New Roman" w:hAnsi="Times New Roman"/>
          <w:sz w:val="24"/>
          <w:szCs w:val="22"/>
          <w:lang w:val="sr-Cyrl-CS"/>
        </w:rPr>
        <w:t>2, -3,5%</w:t>
      </w:r>
      <w:r w:rsidR="0034194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34194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34194E" w:rsidRPr="005303F7">
        <w:rPr>
          <w:rFonts w:ascii="Times New Roman" w:hAnsi="Times New Roman"/>
          <w:sz w:val="24"/>
          <w:szCs w:val="22"/>
          <w:lang w:val="sr-Cyrl-CS"/>
        </w:rPr>
        <w:t xml:space="preserve">3 </w:t>
      </w:r>
      <w:r w:rsidR="00607CBA" w:rsidRPr="005303F7">
        <w:rPr>
          <w:rFonts w:ascii="Times New Roman" w:hAnsi="Times New Roman"/>
          <w:sz w:val="24"/>
          <w:szCs w:val="22"/>
          <w:lang w:val="sr-Cyrl-CS"/>
        </w:rPr>
        <w:t>и</w:t>
      </w:r>
      <w:r w:rsidR="0034194E" w:rsidRPr="005303F7">
        <w:rPr>
          <w:rFonts w:ascii="Times New Roman" w:hAnsi="Times New Roman"/>
          <w:sz w:val="24"/>
          <w:szCs w:val="22"/>
          <w:lang w:val="sr-Cyrl-CS"/>
        </w:rPr>
        <w:t xml:space="preserve"> -3,4% </w:t>
      </w:r>
      <w:r w:rsidR="00607CBA" w:rsidRPr="005303F7">
        <w:rPr>
          <w:rFonts w:ascii="Times New Roman" w:hAnsi="Times New Roman"/>
          <w:sz w:val="24"/>
          <w:szCs w:val="22"/>
          <w:lang w:val="sr-Cyrl-CS"/>
        </w:rPr>
        <w:t>у</w:t>
      </w:r>
      <w:r w:rsidR="0034194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34194E" w:rsidRPr="005303F7">
        <w:rPr>
          <w:rFonts w:ascii="Times New Roman" w:hAnsi="Times New Roman"/>
          <w:sz w:val="24"/>
          <w:szCs w:val="22"/>
          <w:lang w:val="sr-Cyrl-CS"/>
        </w:rPr>
        <w:t xml:space="preserve">4 </w:t>
      </w:r>
      <w:r w:rsidR="00607CBA" w:rsidRPr="005303F7">
        <w:rPr>
          <w:rFonts w:ascii="Times New Roman" w:hAnsi="Times New Roman"/>
          <w:sz w:val="24"/>
          <w:szCs w:val="22"/>
          <w:lang w:val="sr-Cyrl-CS"/>
        </w:rPr>
        <w:t>до</w:t>
      </w:r>
      <w:r w:rsidR="0034194E" w:rsidRPr="005303F7">
        <w:rPr>
          <w:rFonts w:ascii="Times New Roman" w:hAnsi="Times New Roman"/>
          <w:sz w:val="24"/>
          <w:szCs w:val="22"/>
          <w:lang w:val="sr-Cyrl-CS"/>
        </w:rPr>
        <w:t xml:space="preserve"> 2030</w:t>
      </w:r>
      <w:r w:rsidR="00974D7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године</w:t>
      </w:r>
      <w:r w:rsidR="0034194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док</w:t>
      </w:r>
      <w:r w:rsidR="00974D7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су</w:t>
      </w:r>
      <w:r w:rsidR="00974D7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ти</w:t>
      </w:r>
      <w:r w:rsidR="00974D7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ефекти</w:t>
      </w:r>
      <w:r w:rsidR="00F551C9" w:rsidRPr="005303F7">
        <w:rPr>
          <w:rFonts w:ascii="Times New Roman" w:hAnsi="Times New Roman"/>
          <w:sz w:val="24"/>
          <w:szCs w:val="22"/>
          <w:lang w:val="sr-Cyrl-CS"/>
        </w:rPr>
        <w:t xml:space="preserve"> -1</w:t>
      </w:r>
      <w:r w:rsidR="0034194E" w:rsidRPr="005303F7">
        <w:rPr>
          <w:rFonts w:ascii="Times New Roman" w:hAnsi="Times New Roman"/>
          <w:sz w:val="24"/>
          <w:szCs w:val="22"/>
          <w:lang w:val="sr-Cyrl-CS"/>
        </w:rPr>
        <w:t>,</w:t>
      </w:r>
      <w:r w:rsidR="00F551C9" w:rsidRPr="005303F7">
        <w:rPr>
          <w:rFonts w:ascii="Times New Roman" w:hAnsi="Times New Roman"/>
          <w:sz w:val="24"/>
          <w:szCs w:val="22"/>
          <w:lang w:val="sr-Cyrl-CS"/>
        </w:rPr>
        <w:t>6</w:t>
      </w:r>
      <w:r w:rsidR="0034194E" w:rsidRPr="005303F7">
        <w:rPr>
          <w:rFonts w:ascii="Times New Roman" w:hAnsi="Times New Roman"/>
          <w:sz w:val="24"/>
          <w:szCs w:val="22"/>
          <w:lang w:val="sr-Cyrl-CS"/>
        </w:rPr>
        <w:t>%</w:t>
      </w:r>
      <w:r w:rsidR="00F551C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F551C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F551C9" w:rsidRPr="005303F7">
        <w:rPr>
          <w:rFonts w:ascii="Times New Roman" w:hAnsi="Times New Roman"/>
          <w:sz w:val="24"/>
          <w:szCs w:val="22"/>
          <w:lang w:val="sr-Cyrl-CS"/>
        </w:rPr>
        <w:t xml:space="preserve">2, -1,8% </w:t>
      </w:r>
      <w:r w:rsidR="00607CBA" w:rsidRPr="005303F7">
        <w:rPr>
          <w:rFonts w:ascii="Times New Roman" w:hAnsi="Times New Roman"/>
          <w:sz w:val="24"/>
          <w:szCs w:val="22"/>
          <w:lang w:val="sr-Cyrl-CS"/>
        </w:rPr>
        <w:t>у</w:t>
      </w:r>
      <w:r w:rsidR="00F551C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F551C9" w:rsidRPr="005303F7">
        <w:rPr>
          <w:rFonts w:ascii="Times New Roman" w:hAnsi="Times New Roman"/>
          <w:sz w:val="24"/>
          <w:szCs w:val="22"/>
          <w:lang w:val="sr-Cyrl-CS"/>
        </w:rPr>
        <w:t xml:space="preserve">3 </w:t>
      </w:r>
      <w:r w:rsidR="00607CBA" w:rsidRPr="005303F7">
        <w:rPr>
          <w:rFonts w:ascii="Times New Roman" w:hAnsi="Times New Roman"/>
          <w:sz w:val="24"/>
          <w:szCs w:val="22"/>
          <w:lang w:val="sr-Cyrl-CS"/>
        </w:rPr>
        <w:t>и</w:t>
      </w:r>
      <w:r w:rsidR="00F551C9" w:rsidRPr="005303F7">
        <w:rPr>
          <w:rFonts w:ascii="Times New Roman" w:hAnsi="Times New Roman"/>
          <w:sz w:val="24"/>
          <w:szCs w:val="22"/>
          <w:lang w:val="sr-Cyrl-CS"/>
        </w:rPr>
        <w:t xml:space="preserve"> -3,9% </w:t>
      </w:r>
      <w:r w:rsidR="00607CBA" w:rsidRPr="005303F7">
        <w:rPr>
          <w:rFonts w:ascii="Times New Roman" w:hAnsi="Times New Roman"/>
          <w:sz w:val="24"/>
          <w:szCs w:val="22"/>
          <w:lang w:val="sr-Cyrl-CS"/>
        </w:rPr>
        <w:t>у</w:t>
      </w:r>
      <w:r w:rsidR="00F551C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F551C9" w:rsidRPr="005303F7">
        <w:rPr>
          <w:rFonts w:ascii="Times New Roman" w:hAnsi="Times New Roman"/>
          <w:sz w:val="24"/>
          <w:szCs w:val="22"/>
          <w:lang w:val="sr-Cyrl-CS"/>
        </w:rPr>
        <w:t xml:space="preserve">4 </w:t>
      </w:r>
      <w:r w:rsidR="00607CBA" w:rsidRPr="005303F7">
        <w:rPr>
          <w:rFonts w:ascii="Times New Roman" w:hAnsi="Times New Roman"/>
          <w:sz w:val="24"/>
          <w:szCs w:val="22"/>
          <w:lang w:val="sr-Cyrl-CS"/>
        </w:rPr>
        <w:t>до</w:t>
      </w:r>
      <w:r w:rsidR="00F551C9" w:rsidRPr="005303F7">
        <w:rPr>
          <w:rFonts w:ascii="Times New Roman" w:hAnsi="Times New Roman"/>
          <w:sz w:val="24"/>
          <w:szCs w:val="22"/>
          <w:lang w:val="sr-Cyrl-CS"/>
        </w:rPr>
        <w:t xml:space="preserve"> 2050. </w:t>
      </w:r>
      <w:r w:rsidR="00607CBA" w:rsidRPr="005303F7">
        <w:rPr>
          <w:rFonts w:ascii="Times New Roman" w:hAnsi="Times New Roman"/>
          <w:sz w:val="24"/>
          <w:szCs w:val="22"/>
          <w:lang w:val="sr-Cyrl-CS"/>
        </w:rPr>
        <w:t>године</w:t>
      </w:r>
      <w:r w:rsidR="00974D7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Имајући</w:t>
      </w:r>
      <w:r w:rsidR="00981EE0"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981EE0"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виду</w:t>
      </w:r>
      <w:r w:rsidR="00981EE0"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раст</w:t>
      </w:r>
      <w:r w:rsidR="00981EE0"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БДП</w:t>
      </w:r>
      <w:r w:rsidR="00981EE0" w:rsidRPr="005303F7">
        <w:rPr>
          <w:rFonts w:ascii="Times New Roman" w:hAnsi="Times New Roman"/>
          <w:sz w:val="24"/>
          <w:szCs w:val="22"/>
          <w:lang w:val="sr-Cyrl-CS"/>
        </w:rPr>
        <w:t>-</w:t>
      </w:r>
      <w:r w:rsidR="00607CBA" w:rsidRPr="005303F7">
        <w:rPr>
          <w:rFonts w:ascii="Times New Roman" w:hAnsi="Times New Roman"/>
          <w:sz w:val="24"/>
          <w:szCs w:val="22"/>
          <w:lang w:val="sr-Cyrl-CS"/>
        </w:rPr>
        <w:t>а</w:t>
      </w:r>
      <w:r w:rsidR="00981EE0"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ови</w:t>
      </w:r>
      <w:r w:rsidR="00981EE0"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ефекти</w:t>
      </w:r>
      <w:r w:rsidR="00981EE0"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су</w:t>
      </w:r>
      <w:r w:rsidR="00981EE0"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мали</w:t>
      </w:r>
      <w:r w:rsidR="00974D73" w:rsidRPr="005303F7">
        <w:rPr>
          <w:rFonts w:ascii="Times New Roman" w:hAnsi="Times New Roman"/>
          <w:sz w:val="24"/>
          <w:szCs w:val="22"/>
          <w:lang w:val="sr-Cyrl-CS"/>
        </w:rPr>
        <w:t>.</w:t>
      </w:r>
    </w:p>
    <w:p w14:paraId="4D9A3346" w14:textId="6DC6D27B" w:rsidR="00131919" w:rsidRPr="005303F7" w:rsidRDefault="0039680D" w:rsidP="00FE004C">
      <w:pPr>
        <w:rPr>
          <w:rFonts w:ascii="Times New Roman" w:hAnsi="Times New Roman"/>
          <w:sz w:val="24"/>
          <w:szCs w:val="22"/>
          <w:lang w:val="sr-Cyrl-CS"/>
        </w:rPr>
      </w:pPr>
      <w:r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свим</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сценаријима</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постоји</w:t>
      </w:r>
      <w:r w:rsidR="00187D1C" w:rsidRPr="005303F7">
        <w:rPr>
          <w:rFonts w:ascii="Times New Roman" w:hAnsi="Times New Roman"/>
          <w:sz w:val="24"/>
          <w:szCs w:val="22"/>
          <w:lang w:val="sr-Cyrl-CS"/>
        </w:rPr>
        <w:t xml:space="preserve"> </w:t>
      </w:r>
      <w:r w:rsidR="00761F25" w:rsidRPr="005303F7">
        <w:rPr>
          <w:rFonts w:ascii="Times New Roman" w:hAnsi="Times New Roman"/>
          <w:sz w:val="24"/>
          <w:szCs w:val="22"/>
          <w:lang w:val="sr-Cyrl-CS"/>
        </w:rPr>
        <w:t xml:space="preserve"> одређени</w:t>
      </w:r>
      <w:r w:rsidR="00B1554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нето</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губитак</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радних</w:t>
      </w:r>
      <w:r w:rsidR="002355E5"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места</w:t>
      </w:r>
      <w:r w:rsidR="00787AA0" w:rsidRPr="005303F7">
        <w:rPr>
          <w:rStyle w:val="FootnoteReference"/>
          <w:rFonts w:ascii="Times New Roman" w:hAnsi="Times New Roman"/>
          <w:sz w:val="20"/>
          <w:szCs w:val="22"/>
          <w:lang w:val="sr-Cyrl-CS"/>
        </w:rPr>
        <w:footnoteReference w:id="26"/>
      </w:r>
      <w:r w:rsidR="00565501" w:rsidRPr="005303F7">
        <w:rPr>
          <w:rFonts w:ascii="Times New Roman" w:hAnsi="Times New Roman"/>
          <w:sz w:val="24"/>
          <w:szCs w:val="22"/>
          <w:lang w:val="sr-Cyrl-CS"/>
        </w:rPr>
        <w:t xml:space="preserve">: -1,4% </w:t>
      </w:r>
      <w:r w:rsidR="00607CBA" w:rsidRPr="005303F7">
        <w:rPr>
          <w:rFonts w:ascii="Times New Roman" w:hAnsi="Times New Roman"/>
          <w:sz w:val="24"/>
          <w:szCs w:val="22"/>
          <w:lang w:val="sr-Cyrl-CS"/>
        </w:rPr>
        <w:t>у</w:t>
      </w:r>
      <w:r w:rsidR="0056550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565501" w:rsidRPr="005303F7">
        <w:rPr>
          <w:rFonts w:ascii="Times New Roman" w:hAnsi="Times New Roman"/>
          <w:sz w:val="24"/>
          <w:szCs w:val="22"/>
          <w:lang w:val="sr-Cyrl-CS"/>
        </w:rPr>
        <w:t xml:space="preserve">2, -2% </w:t>
      </w:r>
      <w:r w:rsidR="00607CBA" w:rsidRPr="005303F7">
        <w:rPr>
          <w:rFonts w:ascii="Times New Roman" w:hAnsi="Times New Roman"/>
          <w:sz w:val="24"/>
          <w:szCs w:val="22"/>
          <w:lang w:val="sr-Cyrl-CS"/>
        </w:rPr>
        <w:t>у</w:t>
      </w:r>
      <w:r w:rsidR="0056550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565501" w:rsidRPr="005303F7">
        <w:rPr>
          <w:rFonts w:ascii="Times New Roman" w:hAnsi="Times New Roman"/>
          <w:sz w:val="24"/>
          <w:szCs w:val="22"/>
          <w:lang w:val="sr-Cyrl-CS"/>
        </w:rPr>
        <w:t>3</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702268" w:rsidRPr="005303F7">
        <w:rPr>
          <w:rFonts w:ascii="Times New Roman" w:hAnsi="Times New Roman"/>
          <w:sz w:val="24"/>
          <w:szCs w:val="22"/>
          <w:lang w:val="sr-Cyrl-CS"/>
        </w:rPr>
        <w:t xml:space="preserve"> -2,1% </w:t>
      </w:r>
      <w:r w:rsidR="00607CBA" w:rsidRPr="005303F7">
        <w:rPr>
          <w:rFonts w:ascii="Times New Roman" w:hAnsi="Times New Roman"/>
          <w:sz w:val="24"/>
          <w:szCs w:val="22"/>
          <w:lang w:val="sr-Cyrl-CS"/>
        </w:rPr>
        <w:t>у</w:t>
      </w:r>
      <w:r w:rsidR="005F6E1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5F6E19" w:rsidRPr="005303F7">
        <w:rPr>
          <w:rFonts w:ascii="Times New Roman" w:hAnsi="Times New Roman"/>
          <w:sz w:val="24"/>
          <w:szCs w:val="22"/>
          <w:lang w:val="sr-Cyrl-CS"/>
        </w:rPr>
        <w:t xml:space="preserve">4 </w:t>
      </w:r>
      <w:r w:rsidR="00607CBA" w:rsidRPr="005303F7">
        <w:rPr>
          <w:rFonts w:ascii="Times New Roman" w:hAnsi="Times New Roman"/>
          <w:sz w:val="24"/>
          <w:szCs w:val="22"/>
          <w:lang w:val="sr-Cyrl-CS"/>
        </w:rPr>
        <w:t>у</w:t>
      </w:r>
      <w:r w:rsidR="00702268" w:rsidRPr="005303F7">
        <w:rPr>
          <w:rFonts w:ascii="Times New Roman" w:hAnsi="Times New Roman"/>
          <w:sz w:val="24"/>
          <w:szCs w:val="22"/>
          <w:lang w:val="sr-Cyrl-CS"/>
        </w:rPr>
        <w:t xml:space="preserve"> 2030</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години</w:t>
      </w:r>
      <w:r w:rsidR="00702268"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702268" w:rsidRPr="005303F7">
        <w:rPr>
          <w:rFonts w:ascii="Times New Roman" w:hAnsi="Times New Roman"/>
          <w:sz w:val="24"/>
          <w:szCs w:val="22"/>
          <w:lang w:val="sr-Cyrl-CS"/>
        </w:rPr>
        <w:t xml:space="preserve"> -2% </w:t>
      </w:r>
      <w:r w:rsidR="00607CBA" w:rsidRPr="005303F7">
        <w:rPr>
          <w:rFonts w:ascii="Times New Roman" w:hAnsi="Times New Roman"/>
          <w:sz w:val="24"/>
          <w:szCs w:val="22"/>
          <w:lang w:val="sr-Cyrl-CS"/>
        </w:rPr>
        <w:t>у</w:t>
      </w:r>
      <w:r w:rsidR="00702268"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702268" w:rsidRPr="005303F7">
        <w:rPr>
          <w:rFonts w:ascii="Times New Roman" w:hAnsi="Times New Roman"/>
          <w:sz w:val="24"/>
          <w:szCs w:val="22"/>
          <w:lang w:val="sr-Cyrl-CS"/>
        </w:rPr>
        <w:t xml:space="preserve">2, -1,7% </w:t>
      </w:r>
      <w:r w:rsidR="00607CBA" w:rsidRPr="005303F7">
        <w:rPr>
          <w:rFonts w:ascii="Times New Roman" w:hAnsi="Times New Roman"/>
          <w:sz w:val="24"/>
          <w:szCs w:val="22"/>
          <w:lang w:val="sr-Cyrl-CS"/>
        </w:rPr>
        <w:t>у</w:t>
      </w:r>
      <w:r w:rsidR="00702268"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702268" w:rsidRPr="005303F7">
        <w:rPr>
          <w:rFonts w:ascii="Times New Roman" w:hAnsi="Times New Roman"/>
          <w:sz w:val="24"/>
          <w:szCs w:val="22"/>
          <w:lang w:val="sr-Cyrl-CS"/>
        </w:rPr>
        <w:t>3</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702268" w:rsidRPr="005303F7">
        <w:rPr>
          <w:rFonts w:ascii="Times New Roman" w:hAnsi="Times New Roman"/>
          <w:sz w:val="24"/>
          <w:szCs w:val="22"/>
          <w:lang w:val="sr-Cyrl-CS"/>
        </w:rPr>
        <w:t xml:space="preserve"> -2,5%</w:t>
      </w:r>
      <w:r w:rsidR="005F6E1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5F6E1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5F6E19" w:rsidRPr="005303F7">
        <w:rPr>
          <w:rFonts w:ascii="Times New Roman" w:hAnsi="Times New Roman"/>
          <w:sz w:val="24"/>
          <w:szCs w:val="22"/>
          <w:lang w:val="sr-Cyrl-CS"/>
        </w:rPr>
        <w:t>4</w:t>
      </w:r>
      <w:r w:rsidR="00702268"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702268" w:rsidRPr="005303F7">
        <w:rPr>
          <w:rFonts w:ascii="Times New Roman" w:hAnsi="Times New Roman"/>
          <w:sz w:val="24"/>
          <w:szCs w:val="22"/>
          <w:lang w:val="sr-Cyrl-CS"/>
        </w:rPr>
        <w:t xml:space="preserve"> 2050. </w:t>
      </w:r>
      <w:r w:rsidR="00607CBA" w:rsidRPr="005303F7">
        <w:rPr>
          <w:rFonts w:ascii="Times New Roman" w:hAnsi="Times New Roman"/>
          <w:sz w:val="24"/>
          <w:szCs w:val="22"/>
          <w:lang w:val="sr-Cyrl-CS"/>
        </w:rPr>
        <w:t>Ови</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нето</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губици</w:t>
      </w:r>
      <w:r w:rsidR="00E450A7"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су</w:t>
      </w:r>
      <w:r w:rsidR="00E450A7"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углавном</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последица</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смањења</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радних</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места</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секторима</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који</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се</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везују</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фосилна</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горива</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одређеној</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мери</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187D1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пољопривреди</w:t>
      </w:r>
      <w:r w:rsidR="007262CA" w:rsidRPr="005303F7">
        <w:rPr>
          <w:rStyle w:val="FootnoteReference"/>
          <w:rFonts w:ascii="Times New Roman" w:hAnsi="Times New Roman"/>
          <w:sz w:val="20"/>
          <w:szCs w:val="22"/>
          <w:lang w:val="sr-Cyrl-CS"/>
        </w:rPr>
        <w:footnoteReference w:id="27"/>
      </w:r>
      <w:r w:rsidR="00C748C7"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Међутим</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ти</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се</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губици</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могу</w:t>
      </w:r>
      <w:r w:rsidR="00337C53" w:rsidRPr="005303F7">
        <w:rPr>
          <w:rFonts w:ascii="Times New Roman" w:hAnsi="Times New Roman"/>
          <w:sz w:val="24"/>
          <w:szCs w:val="22"/>
          <w:lang w:val="sr-Cyrl-CS"/>
        </w:rPr>
        <w:t xml:space="preserve"> </w:t>
      </w:r>
      <w:r w:rsidR="00AE693B" w:rsidRPr="005303F7">
        <w:rPr>
          <w:rFonts w:ascii="Times New Roman" w:hAnsi="Times New Roman"/>
          <w:sz w:val="24"/>
          <w:szCs w:val="22"/>
          <w:lang w:val="sr-Cyrl-CS"/>
        </w:rPr>
        <w:t>трансформисати у нова</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радн</w:t>
      </w:r>
      <w:r w:rsidR="00AE693B" w:rsidRPr="005303F7">
        <w:rPr>
          <w:rFonts w:ascii="Times New Roman" w:hAnsi="Times New Roman"/>
          <w:sz w:val="24"/>
          <w:szCs w:val="22"/>
          <w:lang w:val="sr-Cyrl-CS"/>
        </w:rPr>
        <w:t>а</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места</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секторима</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који</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се</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односе</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обновљиве</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изворе</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енергије</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енергетску</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ефикасност</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грађевинарство</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шумарству</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секторима</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који</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су</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повезани</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са</w:t>
      </w:r>
      <w:r w:rsidR="00337C5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шумарством</w:t>
      </w:r>
      <w:r w:rsidR="00AE693B" w:rsidRPr="005303F7">
        <w:rPr>
          <w:rFonts w:ascii="Times New Roman" w:hAnsi="Times New Roman"/>
          <w:sz w:val="24"/>
          <w:szCs w:val="22"/>
          <w:lang w:val="sr-Cyrl-CS"/>
        </w:rPr>
        <w:t xml:space="preserve">, уколико се рециклирају приходи из </w:t>
      </w:r>
      <w:r w:rsidRPr="005303F7">
        <w:rPr>
          <w:rFonts w:ascii="Times New Roman" w:hAnsi="Times New Roman"/>
          <w:sz w:val="24"/>
          <w:szCs w:val="22"/>
          <w:lang w:val="sr-Cyrl-CS"/>
        </w:rPr>
        <w:t xml:space="preserve">EU </w:t>
      </w:r>
      <w:r w:rsidR="00AE693B" w:rsidRPr="005303F7">
        <w:rPr>
          <w:rFonts w:ascii="Times New Roman" w:hAnsi="Times New Roman"/>
          <w:sz w:val="24"/>
          <w:szCs w:val="22"/>
          <w:lang w:val="sr-Cyrl-CS"/>
        </w:rPr>
        <w:t xml:space="preserve">ETS-a </w:t>
      </w:r>
      <w:r w:rsidR="000B2060" w:rsidRPr="005303F7">
        <w:rPr>
          <w:rFonts w:ascii="Times New Roman" w:hAnsi="Times New Roman"/>
          <w:sz w:val="24"/>
          <w:szCs w:val="22"/>
          <w:lang w:val="sr-Cyrl-CS"/>
        </w:rPr>
        <w:t>и/</w:t>
      </w:r>
      <w:r w:rsidR="0022798D" w:rsidRPr="005303F7">
        <w:rPr>
          <w:rFonts w:ascii="Times New Roman" w:hAnsi="Times New Roman"/>
          <w:sz w:val="24"/>
          <w:szCs w:val="22"/>
          <w:lang w:val="sr-Cyrl-CS"/>
        </w:rPr>
        <w:t>или других  инструмената за одређивање цена угљеника</w:t>
      </w:r>
      <w:r w:rsidR="00074ACC" w:rsidRPr="005303F7">
        <w:rPr>
          <w:rFonts w:ascii="Times New Roman" w:hAnsi="Times New Roman"/>
          <w:sz w:val="24"/>
          <w:szCs w:val="22"/>
          <w:lang w:val="sr-Cyrl-CS"/>
        </w:rPr>
        <w:t>, када буд</w:t>
      </w:r>
      <w:r w:rsidR="003C5512" w:rsidRPr="005303F7">
        <w:rPr>
          <w:rFonts w:ascii="Times New Roman" w:hAnsi="Times New Roman"/>
          <w:sz w:val="24"/>
          <w:szCs w:val="22"/>
          <w:lang w:val="sr-Cyrl-CS"/>
        </w:rPr>
        <w:t>у</w:t>
      </w:r>
      <w:r w:rsidR="00074ACC" w:rsidRPr="005303F7">
        <w:rPr>
          <w:rFonts w:ascii="Times New Roman" w:hAnsi="Times New Roman"/>
          <w:sz w:val="24"/>
          <w:szCs w:val="22"/>
          <w:lang w:val="sr-Cyrl-CS"/>
        </w:rPr>
        <w:t xml:space="preserve"> примењен</w:t>
      </w:r>
      <w:r w:rsidR="003C5512" w:rsidRPr="005303F7">
        <w:rPr>
          <w:rFonts w:ascii="Times New Roman" w:hAnsi="Times New Roman"/>
          <w:sz w:val="24"/>
          <w:szCs w:val="22"/>
          <w:lang w:val="sr-Cyrl-CS"/>
        </w:rPr>
        <w:t>и</w:t>
      </w:r>
      <w:r w:rsidR="00074ACC" w:rsidRPr="005303F7">
        <w:rPr>
          <w:rFonts w:ascii="Times New Roman" w:hAnsi="Times New Roman"/>
          <w:sz w:val="24"/>
          <w:szCs w:val="22"/>
          <w:lang w:val="sr-Cyrl-CS"/>
        </w:rPr>
        <w:t xml:space="preserve"> </w:t>
      </w:r>
      <w:r w:rsidR="00AE693B" w:rsidRPr="005303F7">
        <w:rPr>
          <w:rFonts w:ascii="Times New Roman" w:hAnsi="Times New Roman"/>
          <w:sz w:val="24"/>
          <w:szCs w:val="22"/>
          <w:lang w:val="sr-Cyrl-CS"/>
        </w:rPr>
        <w:t xml:space="preserve">(види </w:t>
      </w:r>
      <w:r w:rsidR="005A4E6D" w:rsidRPr="005303F7">
        <w:rPr>
          <w:rFonts w:ascii="Times New Roman" w:hAnsi="Times New Roman"/>
          <w:sz w:val="24"/>
          <w:szCs w:val="22"/>
          <w:lang w:val="sr-Cyrl-CS"/>
        </w:rPr>
        <w:t xml:space="preserve">пододељак </w:t>
      </w:r>
      <w:r w:rsidR="00AE693B" w:rsidRPr="005303F7">
        <w:rPr>
          <w:rFonts w:ascii="Times New Roman" w:hAnsi="Times New Roman"/>
          <w:sz w:val="24"/>
          <w:szCs w:val="22"/>
          <w:lang w:val="sr-Cyrl-CS"/>
        </w:rPr>
        <w:t>5.2.1)</w:t>
      </w:r>
      <w:r w:rsidR="00337C53" w:rsidRPr="005303F7">
        <w:rPr>
          <w:rFonts w:ascii="Times New Roman" w:hAnsi="Times New Roman"/>
          <w:sz w:val="24"/>
          <w:szCs w:val="22"/>
          <w:lang w:val="sr-Cyrl-CS"/>
        </w:rPr>
        <w:t>.</w:t>
      </w:r>
    </w:p>
    <w:p w14:paraId="300234D5" w14:textId="47D0911C" w:rsidR="00131C61" w:rsidRPr="005303F7" w:rsidRDefault="0039680D" w:rsidP="0041705F">
      <w:pPr>
        <w:rPr>
          <w:rFonts w:ascii="Times New Roman" w:hAnsi="Times New Roman"/>
          <w:sz w:val="24"/>
          <w:lang w:val="sr-Cyrl-CS"/>
        </w:rPr>
      </w:pPr>
      <w:r w:rsidRPr="005303F7">
        <w:rPr>
          <w:rFonts w:ascii="Times New Roman" w:hAnsi="Times New Roman"/>
          <w:sz w:val="24"/>
          <w:lang w:val="sr-Cyrl-CS"/>
        </w:rPr>
        <w:t xml:space="preserve">             </w:t>
      </w:r>
      <w:r w:rsidR="00607CBA" w:rsidRPr="005303F7">
        <w:rPr>
          <w:rFonts w:ascii="Times New Roman" w:hAnsi="Times New Roman"/>
          <w:sz w:val="24"/>
          <w:lang w:val="sr-Cyrl-CS"/>
        </w:rPr>
        <w:t>Ако</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се</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инвестиције</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финансирају</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из</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кредита</w:t>
      </w:r>
      <w:r w:rsidR="004F54E9" w:rsidRPr="005303F7">
        <w:rPr>
          <w:rFonts w:ascii="Times New Roman" w:hAnsi="Times New Roman"/>
          <w:sz w:val="24"/>
          <w:lang w:val="sr-Cyrl-CS"/>
        </w:rPr>
        <w:t xml:space="preserve">, </w:t>
      </w:r>
      <w:r w:rsidR="00607CBA" w:rsidRPr="005303F7">
        <w:rPr>
          <w:rFonts w:ascii="Times New Roman" w:hAnsi="Times New Roman"/>
          <w:sz w:val="24"/>
          <w:lang w:val="sr-Cyrl-CS"/>
        </w:rPr>
        <w:t>док</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се</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приходи</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од</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аукција</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из</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ЕТS</w:t>
      </w:r>
      <w:r w:rsidR="004F54E9" w:rsidRPr="005303F7">
        <w:rPr>
          <w:rStyle w:val="FootnoteReference"/>
          <w:rFonts w:ascii="Times New Roman" w:hAnsi="Times New Roman"/>
          <w:sz w:val="18"/>
          <w:lang w:val="sr-Cyrl-CS"/>
        </w:rPr>
        <w:footnoteReference w:id="28"/>
      </w:r>
      <w:r w:rsidR="004F54E9" w:rsidRPr="005303F7">
        <w:rPr>
          <w:rFonts w:ascii="Times New Roman" w:hAnsi="Times New Roman"/>
          <w:sz w:val="24"/>
          <w:lang w:val="sr-Cyrl-CS"/>
        </w:rPr>
        <w:t xml:space="preserve"> </w:t>
      </w:r>
      <w:r w:rsidR="0041705F" w:rsidRPr="005303F7">
        <w:rPr>
          <w:rFonts w:ascii="Times New Roman" w:hAnsi="Times New Roman"/>
          <w:sz w:val="24"/>
          <w:lang w:val="sr-Cyrl-CS"/>
        </w:rPr>
        <w:t xml:space="preserve">или  других инструмената за одређивање цена угљеника, када буду примењени, </w:t>
      </w:r>
      <w:r w:rsidR="00607CBA" w:rsidRPr="005303F7">
        <w:rPr>
          <w:rFonts w:ascii="Times New Roman" w:hAnsi="Times New Roman"/>
          <w:sz w:val="24"/>
          <w:lang w:val="sr-Cyrl-CS"/>
        </w:rPr>
        <w:t>користе</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за</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подршку</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мерама</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за</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борбу</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против</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климатских</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промена</w:t>
      </w:r>
      <w:r w:rsidR="000B2060" w:rsidRPr="005303F7">
        <w:rPr>
          <w:rStyle w:val="FootnoteReference"/>
          <w:rFonts w:ascii="Times New Roman" w:hAnsi="Times New Roman"/>
          <w:sz w:val="18"/>
          <w:lang w:val="sr-Cyrl-CS"/>
        </w:rPr>
        <w:footnoteReference w:id="29"/>
      </w:r>
      <w:r w:rsidR="000B2060" w:rsidRPr="005303F7">
        <w:rPr>
          <w:rFonts w:ascii="Times New Roman" w:hAnsi="Times New Roman"/>
          <w:sz w:val="24"/>
          <w:lang w:val="sr-Cyrl-CS"/>
        </w:rPr>
        <w:t xml:space="preserve"> </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и</w:t>
      </w:r>
      <w:r w:rsidR="004F54E9" w:rsidRPr="005303F7">
        <w:rPr>
          <w:rFonts w:ascii="Times New Roman" w:hAnsi="Times New Roman"/>
          <w:sz w:val="24"/>
          <w:lang w:val="sr-Cyrl-CS"/>
        </w:rPr>
        <w:t xml:space="preserve">, </w:t>
      </w:r>
      <w:r w:rsidR="00607CBA" w:rsidRPr="005303F7">
        <w:rPr>
          <w:rFonts w:ascii="Times New Roman" w:hAnsi="Times New Roman"/>
          <w:sz w:val="24"/>
          <w:lang w:val="sr-Cyrl-CS"/>
        </w:rPr>
        <w:t>уместо</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за</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смањење</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јавног</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дуга</w:t>
      </w:r>
      <w:r w:rsidR="004F54E9" w:rsidRPr="005303F7">
        <w:rPr>
          <w:rFonts w:ascii="Times New Roman" w:hAnsi="Times New Roman"/>
          <w:sz w:val="24"/>
          <w:lang w:val="sr-Cyrl-CS"/>
        </w:rPr>
        <w:t xml:space="preserve">, </w:t>
      </w:r>
      <w:r w:rsidR="00607CBA" w:rsidRPr="005303F7">
        <w:rPr>
          <w:rFonts w:ascii="Times New Roman" w:hAnsi="Times New Roman"/>
          <w:sz w:val="24"/>
          <w:lang w:val="sr-Cyrl-CS"/>
        </w:rPr>
        <w:t>ефекти</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на</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БДП</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могу</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да</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буду</w:t>
      </w:r>
      <w:r w:rsidR="004F54E9" w:rsidRPr="005303F7">
        <w:rPr>
          <w:rFonts w:ascii="Times New Roman" w:hAnsi="Times New Roman"/>
          <w:sz w:val="24"/>
          <w:lang w:val="sr-Cyrl-CS"/>
        </w:rPr>
        <w:t xml:space="preserve"> </w:t>
      </w:r>
      <w:r w:rsidR="00607CBA" w:rsidRPr="005303F7">
        <w:rPr>
          <w:rFonts w:ascii="Times New Roman" w:hAnsi="Times New Roman"/>
          <w:sz w:val="24"/>
          <w:lang w:val="sr-Cyrl-CS"/>
        </w:rPr>
        <w:t>благо</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позитивни</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4F54E9" w:rsidRPr="005303F7">
        <w:rPr>
          <w:rFonts w:ascii="Times New Roman" w:hAnsi="Times New Roman"/>
          <w:sz w:val="24"/>
          <w:lang w:val="sr-Cyrl-CS"/>
        </w:rPr>
        <w:t xml:space="preserve"> </w:t>
      </w:r>
      <w:r w:rsidR="00607CBA" w:rsidRPr="005303F7">
        <w:rPr>
          <w:rFonts w:ascii="Times New Roman" w:hAnsi="Times New Roman"/>
          <w:sz w:val="24"/>
          <w:lang w:val="sr-Cyrl-CS"/>
        </w:rPr>
        <w:t>М</w:t>
      </w:r>
      <w:r w:rsidR="004F54E9" w:rsidRPr="005303F7">
        <w:rPr>
          <w:rFonts w:ascii="Times New Roman" w:hAnsi="Times New Roman"/>
          <w:sz w:val="24"/>
          <w:lang w:val="sr-Cyrl-CS"/>
        </w:rPr>
        <w:t xml:space="preserve">2 </w:t>
      </w:r>
      <w:r w:rsidR="00607CBA" w:rsidRPr="005303F7">
        <w:rPr>
          <w:rFonts w:ascii="Times New Roman" w:hAnsi="Times New Roman"/>
          <w:sz w:val="24"/>
          <w:lang w:val="sr-Cyrl-CS"/>
        </w:rPr>
        <w:t>и</w:t>
      </w:r>
      <w:r w:rsidR="004F54E9" w:rsidRPr="005303F7">
        <w:rPr>
          <w:rFonts w:ascii="Times New Roman" w:hAnsi="Times New Roman"/>
          <w:sz w:val="24"/>
          <w:lang w:val="sr-Cyrl-CS"/>
        </w:rPr>
        <w:t xml:space="preserve"> </w:t>
      </w:r>
      <w:r w:rsidR="00607CBA" w:rsidRPr="005303F7">
        <w:rPr>
          <w:rFonts w:ascii="Times New Roman" w:hAnsi="Times New Roman"/>
          <w:sz w:val="24"/>
          <w:lang w:val="sr-Cyrl-CS"/>
        </w:rPr>
        <w:t>М</w:t>
      </w:r>
      <w:r w:rsidR="004F54E9" w:rsidRPr="005303F7">
        <w:rPr>
          <w:rFonts w:ascii="Times New Roman" w:hAnsi="Times New Roman"/>
          <w:sz w:val="24"/>
          <w:lang w:val="sr-Cyrl-CS"/>
        </w:rPr>
        <w:t>3</w:t>
      </w:r>
      <w:r w:rsidR="005738AD" w:rsidRPr="005303F7">
        <w:rPr>
          <w:rFonts w:ascii="Times New Roman" w:hAnsi="Times New Roman"/>
          <w:sz w:val="24"/>
          <w:lang w:val="sr-Cyrl-CS"/>
        </w:rPr>
        <w:t>,</w:t>
      </w:r>
      <w:r w:rsidR="004F54E9" w:rsidRPr="005303F7">
        <w:rPr>
          <w:rFonts w:ascii="Times New Roman" w:hAnsi="Times New Roman"/>
          <w:sz w:val="24"/>
          <w:lang w:val="sr-Cyrl-CS"/>
        </w:rPr>
        <w:t xml:space="preserve"> </w:t>
      </w:r>
      <w:r w:rsidR="00607CBA" w:rsidRPr="005303F7">
        <w:rPr>
          <w:rFonts w:ascii="Times New Roman" w:hAnsi="Times New Roman"/>
          <w:sz w:val="24"/>
          <w:lang w:val="sr-Cyrl-CS"/>
        </w:rPr>
        <w:t>као</w:t>
      </w:r>
      <w:r w:rsidR="006B40D5" w:rsidRPr="005303F7">
        <w:rPr>
          <w:rFonts w:ascii="Times New Roman" w:hAnsi="Times New Roman"/>
          <w:sz w:val="24"/>
          <w:lang w:val="sr-Cyrl-CS"/>
        </w:rPr>
        <w:t xml:space="preserve"> </w:t>
      </w:r>
      <w:r w:rsidR="00607CBA" w:rsidRPr="005303F7">
        <w:rPr>
          <w:rFonts w:ascii="Times New Roman" w:hAnsi="Times New Roman"/>
          <w:sz w:val="24"/>
          <w:lang w:val="sr-Cyrl-CS"/>
        </w:rPr>
        <w:t>и</w:t>
      </w:r>
      <w:r w:rsidR="00F443E2" w:rsidRPr="005303F7">
        <w:rPr>
          <w:rFonts w:ascii="Times New Roman" w:hAnsi="Times New Roman"/>
          <w:sz w:val="24"/>
          <w:lang w:val="sr-Cyrl-CS"/>
        </w:rPr>
        <w:t xml:space="preserve"> </w:t>
      </w:r>
      <w:r w:rsidR="00607CBA" w:rsidRPr="005303F7">
        <w:rPr>
          <w:rFonts w:ascii="Times New Roman" w:hAnsi="Times New Roman"/>
          <w:sz w:val="24"/>
          <w:lang w:val="sr-Cyrl-CS"/>
        </w:rPr>
        <w:t>на</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нето</w:t>
      </w:r>
      <w:r w:rsidR="006B40D5" w:rsidRPr="005303F7">
        <w:rPr>
          <w:rFonts w:ascii="Times New Roman" w:hAnsi="Times New Roman"/>
          <w:sz w:val="24"/>
          <w:lang w:val="sr-Cyrl-CS"/>
        </w:rPr>
        <w:t xml:space="preserve"> </w:t>
      </w:r>
      <w:r w:rsidR="00607CBA" w:rsidRPr="005303F7">
        <w:rPr>
          <w:rFonts w:ascii="Times New Roman" w:hAnsi="Times New Roman"/>
          <w:sz w:val="24"/>
          <w:lang w:val="sr-Cyrl-CS"/>
        </w:rPr>
        <w:t>запосленост</w:t>
      </w:r>
      <w:r w:rsidR="008B1312" w:rsidRPr="005303F7">
        <w:rPr>
          <w:rFonts w:ascii="Times New Roman" w:hAnsi="Times New Roman"/>
          <w:sz w:val="24"/>
          <w:lang w:val="sr-Cyrl-CS"/>
        </w:rPr>
        <w:t xml:space="preserve"> </w:t>
      </w:r>
      <w:r w:rsidR="004F54E9" w:rsidRPr="005303F7">
        <w:rPr>
          <w:rFonts w:ascii="Times New Roman" w:hAnsi="Times New Roman"/>
          <w:sz w:val="24"/>
          <w:lang w:val="sr-Cyrl-CS"/>
        </w:rPr>
        <w:t>(</w:t>
      </w:r>
      <w:r w:rsidR="00607CBA" w:rsidRPr="005303F7">
        <w:rPr>
          <w:rFonts w:ascii="Times New Roman" w:hAnsi="Times New Roman"/>
          <w:sz w:val="24"/>
          <w:lang w:val="sr-Cyrl-CS"/>
        </w:rPr>
        <w:t>што</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значи</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да</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се</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ствара</w:t>
      </w:r>
      <w:r w:rsidR="006B40D5" w:rsidRPr="005303F7">
        <w:rPr>
          <w:rFonts w:ascii="Times New Roman" w:hAnsi="Times New Roman"/>
          <w:sz w:val="24"/>
          <w:lang w:val="sr-Cyrl-CS"/>
        </w:rPr>
        <w:t xml:space="preserve"> </w:t>
      </w:r>
      <w:r w:rsidR="00607CBA" w:rsidRPr="005303F7">
        <w:rPr>
          <w:rFonts w:ascii="Times New Roman" w:hAnsi="Times New Roman"/>
          <w:sz w:val="24"/>
          <w:lang w:val="sr-Cyrl-CS"/>
        </w:rPr>
        <w:t>више</w:t>
      </w:r>
      <w:r w:rsidR="008B1312" w:rsidRPr="005303F7">
        <w:rPr>
          <w:rFonts w:ascii="Times New Roman" w:hAnsi="Times New Roman"/>
          <w:sz w:val="24"/>
          <w:lang w:val="sr-Cyrl-CS"/>
        </w:rPr>
        <w:t xml:space="preserve"> </w:t>
      </w:r>
      <w:r w:rsidR="00607CBA" w:rsidRPr="005303F7">
        <w:rPr>
          <w:rFonts w:ascii="Times New Roman" w:hAnsi="Times New Roman"/>
          <w:sz w:val="24"/>
          <w:lang w:val="sr-Cyrl-CS"/>
        </w:rPr>
        <w:t>радних</w:t>
      </w:r>
      <w:r w:rsidR="00A420A2" w:rsidRPr="005303F7">
        <w:rPr>
          <w:rFonts w:ascii="Times New Roman" w:hAnsi="Times New Roman"/>
          <w:sz w:val="24"/>
          <w:lang w:val="sr-Cyrl-CS"/>
        </w:rPr>
        <w:t xml:space="preserve"> </w:t>
      </w:r>
      <w:r w:rsidR="00607CBA" w:rsidRPr="005303F7">
        <w:rPr>
          <w:rFonts w:ascii="Times New Roman" w:hAnsi="Times New Roman"/>
          <w:sz w:val="24"/>
          <w:lang w:val="sr-Cyrl-CS"/>
        </w:rPr>
        <w:t>места</w:t>
      </w:r>
      <w:r w:rsidR="006B40D5" w:rsidRPr="005303F7">
        <w:rPr>
          <w:rFonts w:ascii="Times New Roman" w:hAnsi="Times New Roman"/>
          <w:sz w:val="24"/>
          <w:lang w:val="sr-Cyrl-CS"/>
        </w:rPr>
        <w:t xml:space="preserve"> </w:t>
      </w:r>
      <w:r w:rsidR="00607CBA" w:rsidRPr="005303F7">
        <w:rPr>
          <w:rFonts w:ascii="Times New Roman" w:hAnsi="Times New Roman"/>
          <w:sz w:val="24"/>
          <w:lang w:val="sr-Cyrl-CS"/>
        </w:rPr>
        <w:t>него</w:t>
      </w:r>
      <w:r w:rsidR="006B40D5" w:rsidRPr="005303F7">
        <w:rPr>
          <w:rFonts w:ascii="Times New Roman" w:hAnsi="Times New Roman"/>
          <w:sz w:val="24"/>
          <w:lang w:val="sr-Cyrl-CS"/>
        </w:rPr>
        <w:t xml:space="preserve"> </w:t>
      </w:r>
      <w:r w:rsidR="00607CBA" w:rsidRPr="005303F7">
        <w:rPr>
          <w:rFonts w:ascii="Times New Roman" w:hAnsi="Times New Roman"/>
          <w:sz w:val="24"/>
          <w:lang w:val="sr-Cyrl-CS"/>
        </w:rPr>
        <w:t>што</w:t>
      </w:r>
      <w:r w:rsidR="006B40D5" w:rsidRPr="005303F7">
        <w:rPr>
          <w:rFonts w:ascii="Times New Roman" w:hAnsi="Times New Roman"/>
          <w:sz w:val="24"/>
          <w:lang w:val="sr-Cyrl-CS"/>
        </w:rPr>
        <w:t xml:space="preserve"> </w:t>
      </w:r>
      <w:r w:rsidR="00607CBA" w:rsidRPr="005303F7">
        <w:rPr>
          <w:rFonts w:ascii="Times New Roman" w:hAnsi="Times New Roman"/>
          <w:sz w:val="24"/>
          <w:lang w:val="sr-Cyrl-CS"/>
        </w:rPr>
        <w:t>се</w:t>
      </w:r>
      <w:r w:rsidR="006B40D5" w:rsidRPr="005303F7">
        <w:rPr>
          <w:rFonts w:ascii="Times New Roman" w:hAnsi="Times New Roman"/>
          <w:sz w:val="24"/>
          <w:lang w:val="sr-Cyrl-CS"/>
        </w:rPr>
        <w:t xml:space="preserve"> </w:t>
      </w:r>
      <w:r w:rsidR="00607CBA" w:rsidRPr="005303F7">
        <w:rPr>
          <w:rFonts w:ascii="Times New Roman" w:hAnsi="Times New Roman"/>
          <w:sz w:val="24"/>
          <w:lang w:val="sr-Cyrl-CS"/>
        </w:rPr>
        <w:t>губи</w:t>
      </w:r>
      <w:r w:rsidR="004F54E9" w:rsidRPr="005303F7">
        <w:rPr>
          <w:rFonts w:ascii="Times New Roman" w:hAnsi="Times New Roman"/>
          <w:sz w:val="24"/>
          <w:lang w:val="sr-Cyrl-CS"/>
        </w:rPr>
        <w:t>).</w:t>
      </w:r>
      <w:r w:rsidR="00397EB9" w:rsidRPr="005303F7">
        <w:rPr>
          <w:rFonts w:ascii="Times New Roman" w:hAnsi="Times New Roman"/>
          <w:sz w:val="24"/>
          <w:lang w:val="sr-Cyrl-CS"/>
        </w:rPr>
        <w:t xml:space="preserve"> </w:t>
      </w:r>
      <w:r w:rsidR="00607CBA" w:rsidRPr="005303F7">
        <w:rPr>
          <w:rFonts w:ascii="Times New Roman" w:hAnsi="Times New Roman"/>
          <w:sz w:val="24"/>
          <w:lang w:val="sr-Cyrl-CS"/>
        </w:rPr>
        <w:t>Остали</w:t>
      </w:r>
      <w:r w:rsidR="0057442B" w:rsidRPr="005303F7">
        <w:rPr>
          <w:rFonts w:ascii="Times New Roman" w:hAnsi="Times New Roman"/>
          <w:sz w:val="24"/>
          <w:lang w:val="sr-Cyrl-CS"/>
        </w:rPr>
        <w:t xml:space="preserve"> </w:t>
      </w:r>
      <w:r w:rsidR="00607CBA" w:rsidRPr="005303F7">
        <w:rPr>
          <w:rFonts w:ascii="Times New Roman" w:hAnsi="Times New Roman"/>
          <w:sz w:val="24"/>
          <w:lang w:val="sr-Cyrl-CS"/>
        </w:rPr>
        <w:t>релевантни</w:t>
      </w:r>
      <w:r w:rsidR="0057442B" w:rsidRPr="005303F7">
        <w:rPr>
          <w:rFonts w:ascii="Times New Roman" w:hAnsi="Times New Roman"/>
          <w:sz w:val="24"/>
          <w:lang w:val="sr-Cyrl-CS"/>
        </w:rPr>
        <w:t xml:space="preserve"> </w:t>
      </w:r>
      <w:r w:rsidR="00607CBA" w:rsidRPr="005303F7">
        <w:rPr>
          <w:rFonts w:ascii="Times New Roman" w:hAnsi="Times New Roman"/>
          <w:sz w:val="24"/>
          <w:lang w:val="sr-Cyrl-CS"/>
        </w:rPr>
        <w:t>утицаји</w:t>
      </w:r>
      <w:r w:rsidR="0057442B" w:rsidRPr="005303F7">
        <w:rPr>
          <w:rFonts w:ascii="Times New Roman" w:hAnsi="Times New Roman"/>
          <w:sz w:val="24"/>
          <w:lang w:val="sr-Cyrl-CS"/>
        </w:rPr>
        <w:t xml:space="preserve"> </w:t>
      </w:r>
      <w:r w:rsidR="00607CBA" w:rsidRPr="005303F7">
        <w:rPr>
          <w:rFonts w:ascii="Times New Roman" w:hAnsi="Times New Roman"/>
          <w:sz w:val="24"/>
          <w:lang w:val="sr-Cyrl-CS"/>
        </w:rPr>
        <w:t>за</w:t>
      </w:r>
      <w:r w:rsidR="0057442B" w:rsidRPr="005303F7">
        <w:rPr>
          <w:rFonts w:ascii="Times New Roman" w:hAnsi="Times New Roman"/>
          <w:sz w:val="24"/>
          <w:lang w:val="sr-Cyrl-CS"/>
        </w:rPr>
        <w:t xml:space="preserve"> </w:t>
      </w:r>
      <w:r w:rsidR="00607CBA" w:rsidRPr="005303F7">
        <w:rPr>
          <w:rFonts w:ascii="Times New Roman" w:hAnsi="Times New Roman"/>
          <w:sz w:val="24"/>
          <w:lang w:val="sr-Cyrl-CS"/>
        </w:rPr>
        <w:t>процену</w:t>
      </w:r>
      <w:r w:rsidR="0057442B" w:rsidRPr="005303F7">
        <w:rPr>
          <w:rFonts w:ascii="Times New Roman" w:hAnsi="Times New Roman"/>
          <w:sz w:val="24"/>
          <w:lang w:val="sr-Cyrl-CS"/>
        </w:rPr>
        <w:t xml:space="preserve"> </w:t>
      </w:r>
      <w:r w:rsidR="00607CBA" w:rsidRPr="005303F7">
        <w:rPr>
          <w:rFonts w:ascii="Times New Roman" w:hAnsi="Times New Roman"/>
          <w:spacing w:val="-2"/>
          <w:sz w:val="24"/>
          <w:lang w:val="sr-Cyrl-CS"/>
        </w:rPr>
        <w:t>трошковно</w:t>
      </w:r>
      <w:r w:rsidR="00BA3C0A" w:rsidRPr="005303F7">
        <w:rPr>
          <w:rFonts w:ascii="Times New Roman" w:hAnsi="Times New Roman"/>
          <w:spacing w:val="-2"/>
          <w:sz w:val="24"/>
          <w:lang w:val="sr-Cyrl-CS"/>
        </w:rPr>
        <w:t xml:space="preserve"> </w:t>
      </w:r>
      <w:r w:rsidR="00607CBA" w:rsidRPr="005303F7">
        <w:rPr>
          <w:rFonts w:ascii="Times New Roman" w:hAnsi="Times New Roman"/>
          <w:spacing w:val="-2"/>
          <w:sz w:val="24"/>
          <w:lang w:val="sr-Cyrl-CS"/>
        </w:rPr>
        <w:t>најефективније</w:t>
      </w:r>
      <w:r w:rsidR="0057442B" w:rsidRPr="005303F7">
        <w:rPr>
          <w:rFonts w:ascii="Times New Roman" w:hAnsi="Times New Roman"/>
          <w:spacing w:val="-2"/>
          <w:sz w:val="24"/>
          <w:lang w:val="sr-Cyrl-CS"/>
        </w:rPr>
        <w:t xml:space="preserve"> </w:t>
      </w:r>
      <w:r w:rsidR="00607CBA" w:rsidRPr="005303F7">
        <w:rPr>
          <w:rFonts w:ascii="Times New Roman" w:hAnsi="Times New Roman"/>
          <w:spacing w:val="-2"/>
          <w:sz w:val="24"/>
          <w:lang w:val="sr-Cyrl-CS"/>
        </w:rPr>
        <w:t>и</w:t>
      </w:r>
      <w:r w:rsidR="0057442B" w:rsidRPr="005303F7">
        <w:rPr>
          <w:rFonts w:ascii="Times New Roman" w:hAnsi="Times New Roman"/>
          <w:spacing w:val="-2"/>
          <w:sz w:val="24"/>
          <w:lang w:val="sr-Cyrl-CS"/>
        </w:rPr>
        <w:t xml:space="preserve"> </w:t>
      </w:r>
      <w:r w:rsidR="00607CBA" w:rsidRPr="005303F7">
        <w:rPr>
          <w:rFonts w:ascii="Times New Roman" w:hAnsi="Times New Roman"/>
          <w:spacing w:val="-2"/>
          <w:sz w:val="24"/>
          <w:lang w:val="sr-Cyrl-CS"/>
        </w:rPr>
        <w:t>социјално</w:t>
      </w:r>
      <w:r w:rsidR="0057442B" w:rsidRPr="005303F7">
        <w:rPr>
          <w:rFonts w:ascii="Times New Roman" w:hAnsi="Times New Roman"/>
          <w:spacing w:val="-2"/>
          <w:sz w:val="24"/>
          <w:lang w:val="sr-Cyrl-CS"/>
        </w:rPr>
        <w:t xml:space="preserve"> </w:t>
      </w:r>
      <w:r w:rsidR="00607CBA" w:rsidRPr="005303F7">
        <w:rPr>
          <w:rFonts w:ascii="Times New Roman" w:hAnsi="Times New Roman"/>
          <w:spacing w:val="-2"/>
          <w:sz w:val="24"/>
          <w:lang w:val="sr-Cyrl-CS"/>
        </w:rPr>
        <w:t>правичне</w:t>
      </w:r>
      <w:r w:rsidR="0057442B" w:rsidRPr="005303F7">
        <w:rPr>
          <w:rFonts w:ascii="Times New Roman" w:hAnsi="Times New Roman"/>
          <w:spacing w:val="-2"/>
          <w:sz w:val="24"/>
          <w:lang w:val="sr-Cyrl-CS"/>
        </w:rPr>
        <w:t xml:space="preserve"> </w:t>
      </w:r>
      <w:r w:rsidR="00607CBA" w:rsidRPr="005303F7">
        <w:rPr>
          <w:rFonts w:ascii="Times New Roman" w:hAnsi="Times New Roman"/>
          <w:spacing w:val="-2"/>
          <w:sz w:val="24"/>
          <w:lang w:val="sr-Cyrl-CS"/>
        </w:rPr>
        <w:t>транзиције</w:t>
      </w:r>
      <w:r w:rsidR="0057442B" w:rsidRPr="005303F7">
        <w:rPr>
          <w:rFonts w:ascii="Times New Roman" w:hAnsi="Times New Roman"/>
          <w:spacing w:val="-2"/>
          <w:sz w:val="24"/>
          <w:lang w:val="sr-Cyrl-CS"/>
        </w:rPr>
        <w:t xml:space="preserve"> </w:t>
      </w:r>
      <w:r w:rsidR="00607CBA" w:rsidRPr="005303F7">
        <w:rPr>
          <w:rFonts w:ascii="Times New Roman" w:hAnsi="Times New Roman"/>
          <w:spacing w:val="-2"/>
          <w:sz w:val="24"/>
          <w:lang w:val="sr-Cyrl-CS"/>
        </w:rPr>
        <w:t>српског</w:t>
      </w:r>
      <w:r w:rsidR="0057442B" w:rsidRPr="005303F7">
        <w:rPr>
          <w:rFonts w:ascii="Times New Roman" w:hAnsi="Times New Roman"/>
          <w:spacing w:val="-2"/>
          <w:sz w:val="24"/>
          <w:lang w:val="sr-Cyrl-CS"/>
        </w:rPr>
        <w:t xml:space="preserve"> </w:t>
      </w:r>
      <w:r w:rsidR="00607CBA" w:rsidRPr="005303F7">
        <w:rPr>
          <w:rFonts w:ascii="Times New Roman" w:hAnsi="Times New Roman"/>
          <w:spacing w:val="-2"/>
          <w:sz w:val="24"/>
          <w:lang w:val="sr-Cyrl-CS"/>
        </w:rPr>
        <w:t>друштва</w:t>
      </w:r>
      <w:r w:rsidR="0057442B" w:rsidRPr="005303F7">
        <w:rPr>
          <w:rFonts w:ascii="Times New Roman" w:hAnsi="Times New Roman"/>
          <w:spacing w:val="-2"/>
          <w:sz w:val="24"/>
          <w:lang w:val="sr-Cyrl-CS"/>
        </w:rPr>
        <w:t xml:space="preserve"> </w:t>
      </w:r>
      <w:r w:rsidR="00607CBA" w:rsidRPr="005303F7">
        <w:rPr>
          <w:rFonts w:ascii="Times New Roman" w:hAnsi="Times New Roman"/>
          <w:spacing w:val="-2"/>
          <w:sz w:val="24"/>
          <w:lang w:val="sr-Cyrl-CS"/>
        </w:rPr>
        <w:t>представљени</w:t>
      </w:r>
      <w:r w:rsidR="0057442B" w:rsidRPr="005303F7">
        <w:rPr>
          <w:rFonts w:ascii="Times New Roman" w:hAnsi="Times New Roman"/>
          <w:spacing w:val="-2"/>
          <w:sz w:val="24"/>
          <w:lang w:val="sr-Cyrl-CS"/>
        </w:rPr>
        <w:t xml:space="preserve"> </w:t>
      </w:r>
      <w:r w:rsidR="00607CBA" w:rsidRPr="005303F7">
        <w:rPr>
          <w:rFonts w:ascii="Times New Roman" w:hAnsi="Times New Roman"/>
          <w:spacing w:val="-2"/>
          <w:sz w:val="24"/>
          <w:lang w:val="sr-Cyrl-CS"/>
        </w:rPr>
        <w:t>су</w:t>
      </w:r>
      <w:r w:rsidR="0057442B" w:rsidRPr="005303F7">
        <w:rPr>
          <w:rFonts w:ascii="Times New Roman" w:hAnsi="Times New Roman"/>
          <w:spacing w:val="-2"/>
          <w:sz w:val="24"/>
          <w:lang w:val="sr-Cyrl-CS"/>
        </w:rPr>
        <w:t xml:space="preserve"> </w:t>
      </w:r>
      <w:r w:rsidR="00607CBA" w:rsidRPr="005303F7">
        <w:rPr>
          <w:rFonts w:ascii="Times New Roman" w:hAnsi="Times New Roman"/>
          <w:spacing w:val="-2"/>
          <w:sz w:val="24"/>
          <w:lang w:val="sr-Cyrl-CS"/>
        </w:rPr>
        <w:t>у</w:t>
      </w:r>
      <w:r w:rsidR="0057442B" w:rsidRPr="005303F7">
        <w:rPr>
          <w:rFonts w:ascii="Times New Roman" w:hAnsi="Times New Roman"/>
          <w:spacing w:val="-2"/>
          <w:sz w:val="24"/>
          <w:lang w:val="sr-Cyrl-CS"/>
        </w:rPr>
        <w:t xml:space="preserve"> </w:t>
      </w:r>
      <w:r w:rsidR="00607CBA" w:rsidRPr="005303F7">
        <w:rPr>
          <w:rFonts w:ascii="Times New Roman" w:hAnsi="Times New Roman"/>
          <w:spacing w:val="-2"/>
          <w:sz w:val="24"/>
          <w:lang w:val="sr-Cyrl-CS"/>
        </w:rPr>
        <w:t>Табели</w:t>
      </w:r>
      <w:r w:rsidR="00DF4371" w:rsidRPr="005303F7">
        <w:rPr>
          <w:rFonts w:ascii="Times New Roman" w:hAnsi="Times New Roman"/>
          <w:spacing w:val="-2"/>
          <w:sz w:val="24"/>
          <w:lang w:val="sr-Cyrl-CS"/>
        </w:rPr>
        <w:t xml:space="preserve"> </w:t>
      </w:r>
      <w:r w:rsidR="00C91A4C" w:rsidRPr="005303F7">
        <w:rPr>
          <w:rFonts w:ascii="Times New Roman" w:hAnsi="Times New Roman"/>
          <w:spacing w:val="-2"/>
          <w:sz w:val="24"/>
          <w:lang w:val="sr-Cyrl-CS"/>
        </w:rPr>
        <w:t>3</w:t>
      </w:r>
      <w:r w:rsidR="00DF4371" w:rsidRPr="005303F7">
        <w:rPr>
          <w:rFonts w:ascii="Times New Roman" w:hAnsi="Times New Roman"/>
          <w:spacing w:val="-2"/>
          <w:sz w:val="24"/>
          <w:lang w:val="sr-Cyrl-CS"/>
        </w:rPr>
        <w:t>.</w:t>
      </w:r>
      <w:r w:rsidR="004724E1" w:rsidRPr="005303F7">
        <w:rPr>
          <w:rFonts w:ascii="Times New Roman" w:hAnsi="Times New Roman"/>
          <w:sz w:val="24"/>
          <w:lang w:val="sr-Cyrl-CS"/>
        </w:rPr>
        <w:t xml:space="preserve"> </w:t>
      </w:r>
      <w:bookmarkStart w:id="146" w:name="_Ref21575045"/>
      <w:bookmarkStart w:id="147" w:name="_Toc13132538"/>
    </w:p>
    <w:p w14:paraId="58D3279B" w14:textId="0E5DCB05" w:rsidR="008A23DD" w:rsidRPr="005303F7" w:rsidRDefault="00607CBA" w:rsidP="00BA6D66">
      <w:pPr>
        <w:keepNext/>
        <w:spacing w:after="60"/>
        <w:rPr>
          <w:rFonts w:ascii="Times New Roman" w:hAnsi="Times New Roman"/>
          <w:b/>
          <w:bCs/>
          <w:i/>
          <w:iCs/>
          <w:sz w:val="20"/>
          <w:szCs w:val="18"/>
          <w:lang w:val="sr-Cyrl-CS"/>
        </w:rPr>
      </w:pPr>
      <w:bookmarkStart w:id="148" w:name="_Ref21575118"/>
      <w:bookmarkStart w:id="149" w:name="_Toc26450875"/>
      <w:r w:rsidRPr="005303F7">
        <w:rPr>
          <w:rFonts w:ascii="Times New Roman" w:hAnsi="Times New Roman"/>
          <w:b/>
          <w:bCs/>
          <w:i/>
          <w:iCs/>
          <w:sz w:val="20"/>
          <w:szCs w:val="18"/>
          <w:lang w:val="sr-Cyrl-CS"/>
        </w:rPr>
        <w:t>Табела</w:t>
      </w:r>
      <w:r w:rsidR="008B2B5C" w:rsidRPr="005303F7">
        <w:rPr>
          <w:rFonts w:ascii="Times New Roman" w:hAnsi="Times New Roman"/>
          <w:b/>
          <w:bCs/>
          <w:i/>
          <w:iCs/>
          <w:sz w:val="20"/>
          <w:szCs w:val="18"/>
          <w:lang w:val="sr-Cyrl-CS"/>
        </w:rPr>
        <w:t xml:space="preserve"> </w:t>
      </w:r>
      <w:r w:rsidR="005E0E5D" w:rsidRPr="005303F7">
        <w:rPr>
          <w:rFonts w:ascii="Times New Roman" w:hAnsi="Times New Roman"/>
          <w:b/>
          <w:bCs/>
          <w:i/>
          <w:iCs/>
          <w:sz w:val="20"/>
          <w:szCs w:val="18"/>
          <w:lang w:val="sr-Cyrl-CS"/>
        </w:rPr>
        <w:fldChar w:fldCharType="begin"/>
      </w:r>
      <w:r w:rsidR="005E0E5D" w:rsidRPr="005303F7">
        <w:rPr>
          <w:rFonts w:ascii="Times New Roman" w:hAnsi="Times New Roman"/>
          <w:b/>
          <w:bCs/>
          <w:i/>
          <w:iCs/>
          <w:sz w:val="20"/>
          <w:szCs w:val="18"/>
          <w:lang w:val="sr-Cyrl-CS"/>
        </w:rPr>
        <w:instrText xml:space="preserve"> SEQ Table \* ARABIC </w:instrText>
      </w:r>
      <w:r w:rsidR="005E0E5D" w:rsidRPr="005303F7">
        <w:rPr>
          <w:rFonts w:ascii="Times New Roman" w:hAnsi="Times New Roman"/>
          <w:b/>
          <w:bCs/>
          <w:i/>
          <w:iCs/>
          <w:sz w:val="20"/>
          <w:szCs w:val="18"/>
          <w:lang w:val="sr-Cyrl-CS"/>
        </w:rPr>
        <w:fldChar w:fldCharType="separate"/>
      </w:r>
      <w:r w:rsidR="00DA2595" w:rsidRPr="005303F7">
        <w:rPr>
          <w:rFonts w:ascii="Times New Roman" w:hAnsi="Times New Roman"/>
          <w:b/>
          <w:bCs/>
          <w:i/>
          <w:iCs/>
          <w:noProof/>
          <w:sz w:val="20"/>
          <w:szCs w:val="18"/>
          <w:lang w:val="sr-Cyrl-CS"/>
        </w:rPr>
        <w:t>3</w:t>
      </w:r>
      <w:r w:rsidR="005E0E5D" w:rsidRPr="005303F7">
        <w:rPr>
          <w:rFonts w:ascii="Times New Roman" w:hAnsi="Times New Roman"/>
          <w:b/>
          <w:bCs/>
          <w:i/>
          <w:iCs/>
          <w:sz w:val="20"/>
          <w:szCs w:val="18"/>
          <w:lang w:val="sr-Cyrl-CS"/>
        </w:rPr>
        <w:fldChar w:fldCharType="end"/>
      </w:r>
      <w:bookmarkEnd w:id="146"/>
      <w:bookmarkEnd w:id="148"/>
      <w:r w:rsidR="008A23DD" w:rsidRPr="005303F7">
        <w:rPr>
          <w:rFonts w:ascii="Times New Roman" w:hAnsi="Times New Roman"/>
          <w:b/>
          <w:bCs/>
          <w:i/>
          <w:iCs/>
          <w:sz w:val="20"/>
          <w:szCs w:val="18"/>
          <w:lang w:val="sr-Cyrl-CS"/>
        </w:rPr>
        <w:t xml:space="preserve">: </w:t>
      </w:r>
      <w:bookmarkEnd w:id="147"/>
      <w:r w:rsidRPr="005303F7">
        <w:rPr>
          <w:rFonts w:ascii="Times New Roman" w:hAnsi="Times New Roman"/>
          <w:b/>
          <w:bCs/>
          <w:i/>
          <w:iCs/>
          <w:sz w:val="20"/>
          <w:szCs w:val="18"/>
          <w:lang w:val="sr-Cyrl-CS"/>
        </w:rPr>
        <w:t>Кључни</w:t>
      </w:r>
      <w:r w:rsidR="008B2B5C"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социјални</w:t>
      </w:r>
      <w:r w:rsidR="008B2B5C"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економски</w:t>
      </w:r>
      <w:r w:rsidR="008B2B5C"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и</w:t>
      </w:r>
      <w:r w:rsidR="008B2B5C"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еколошки</w:t>
      </w:r>
      <w:r w:rsidR="008B2B5C"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утицаји</w:t>
      </w:r>
      <w:r w:rsidR="008B2B5C"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сценарија</w:t>
      </w:r>
      <w:r w:rsidR="008B2B5C"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ублажавања</w:t>
      </w:r>
      <w:r w:rsidR="008B2B5C"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у</w:t>
      </w:r>
      <w:r w:rsidR="008B2B5C"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поређењу</w:t>
      </w:r>
      <w:r w:rsidR="008B2B5C"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са</w:t>
      </w:r>
      <w:r w:rsidR="008B2B5C"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основним</w:t>
      </w:r>
      <w:r w:rsidR="008B2B5C"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сценаријем</w:t>
      </w:r>
      <w:r w:rsidR="008B2B5C"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Б</w:t>
      </w:r>
      <w:r w:rsidR="008B2B5C" w:rsidRPr="005303F7">
        <w:rPr>
          <w:rFonts w:ascii="Times New Roman" w:hAnsi="Times New Roman"/>
          <w:b/>
          <w:bCs/>
          <w:i/>
          <w:iCs/>
          <w:sz w:val="20"/>
          <w:szCs w:val="18"/>
          <w:lang w:val="sr-Cyrl-CS"/>
        </w:rPr>
        <w:t>2</w:t>
      </w:r>
      <w:bookmarkEnd w:id="149"/>
    </w:p>
    <w:tbl>
      <w:tblPr>
        <w:tblW w:w="5000" w:type="pct"/>
        <w:tblInd w:w="-5" w:type="dxa"/>
        <w:tblLayout w:type="fixed"/>
        <w:tblLook w:val="04A0" w:firstRow="1" w:lastRow="0" w:firstColumn="1" w:lastColumn="0" w:noHBand="0" w:noVBand="1"/>
      </w:tblPr>
      <w:tblGrid>
        <w:gridCol w:w="3631"/>
        <w:gridCol w:w="879"/>
        <w:gridCol w:w="938"/>
        <w:gridCol w:w="899"/>
        <w:gridCol w:w="1023"/>
        <w:gridCol w:w="875"/>
        <w:gridCol w:w="967"/>
      </w:tblGrid>
      <w:tr w:rsidR="008A23DD" w:rsidRPr="005303F7" w14:paraId="40B50A80" w14:textId="77777777" w:rsidTr="0080257F">
        <w:trPr>
          <w:trHeight w:val="300"/>
          <w:tblHeader/>
        </w:trPr>
        <w:tc>
          <w:tcPr>
            <w:tcW w:w="1971" w:type="pct"/>
            <w:vMerge w:val="restart"/>
            <w:tcBorders>
              <w:top w:val="single" w:sz="4" w:space="0" w:color="auto"/>
              <w:left w:val="single" w:sz="4" w:space="0" w:color="auto"/>
              <w:right w:val="nil"/>
            </w:tcBorders>
            <w:shd w:val="clear" w:color="auto" w:fill="D9D9D9" w:themeFill="background1" w:themeFillShade="D9"/>
            <w:noWrap/>
            <w:vAlign w:val="center"/>
            <w:hideMark/>
          </w:tcPr>
          <w:p w14:paraId="37A35D45" w14:textId="331DDEEA" w:rsidR="008A23DD" w:rsidRPr="005303F7" w:rsidRDefault="00607CBA" w:rsidP="00BA6D66">
            <w:pPr>
              <w:spacing w:before="0" w:after="0"/>
              <w:jc w:val="center"/>
              <w:rPr>
                <w:rFonts w:ascii="Times New Roman" w:hAnsi="Times New Roman"/>
                <w:b/>
                <w:sz w:val="20"/>
                <w:lang w:val="sr-Cyrl-CS"/>
              </w:rPr>
            </w:pPr>
            <w:r w:rsidRPr="005303F7">
              <w:rPr>
                <w:rFonts w:ascii="Times New Roman" w:hAnsi="Times New Roman"/>
                <w:b/>
                <w:sz w:val="20"/>
                <w:lang w:val="sr-Cyrl-CS"/>
              </w:rPr>
              <w:t>Показатељ</w:t>
            </w:r>
          </w:p>
        </w:tc>
        <w:tc>
          <w:tcPr>
            <w:tcW w:w="477" w:type="pct"/>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113DF27E" w14:textId="77777777" w:rsidR="008A23DD" w:rsidRPr="005303F7" w:rsidRDefault="008A23DD" w:rsidP="00BA6D66">
            <w:pPr>
              <w:spacing w:before="0" w:after="0"/>
              <w:jc w:val="center"/>
              <w:rPr>
                <w:rFonts w:ascii="Times New Roman" w:hAnsi="Times New Roman"/>
                <w:b/>
                <w:sz w:val="20"/>
                <w:lang w:val="sr-Cyrl-CS"/>
              </w:rPr>
            </w:pPr>
            <w:r w:rsidRPr="005303F7">
              <w:rPr>
                <w:rFonts w:ascii="Times New Roman" w:hAnsi="Times New Roman"/>
                <w:b/>
                <w:sz w:val="20"/>
                <w:lang w:val="sr-Cyrl-CS"/>
              </w:rPr>
              <w:t> </w:t>
            </w:r>
          </w:p>
        </w:tc>
        <w:tc>
          <w:tcPr>
            <w:tcW w:w="509" w:type="pct"/>
            <w:tcBorders>
              <w:top w:val="single" w:sz="4" w:space="0" w:color="auto"/>
              <w:left w:val="nil"/>
              <w:bottom w:val="single" w:sz="4" w:space="0" w:color="auto"/>
              <w:right w:val="nil"/>
            </w:tcBorders>
            <w:shd w:val="clear" w:color="auto" w:fill="D9D9D9" w:themeFill="background1" w:themeFillShade="D9"/>
            <w:noWrap/>
            <w:vAlign w:val="center"/>
            <w:hideMark/>
          </w:tcPr>
          <w:p w14:paraId="108C77C2" w14:textId="65C1B0E3" w:rsidR="008A23DD" w:rsidRPr="005303F7" w:rsidRDefault="008A23DD" w:rsidP="00BA6D66">
            <w:pPr>
              <w:spacing w:before="0" w:after="0"/>
              <w:jc w:val="center"/>
              <w:rPr>
                <w:rFonts w:ascii="Times New Roman" w:hAnsi="Times New Roman"/>
                <w:b/>
                <w:sz w:val="20"/>
                <w:lang w:val="sr-Cyrl-CS"/>
              </w:rPr>
            </w:pPr>
            <w:r w:rsidRPr="005303F7">
              <w:rPr>
                <w:rFonts w:ascii="Times New Roman" w:hAnsi="Times New Roman"/>
                <w:b/>
                <w:sz w:val="20"/>
                <w:lang w:val="sr-Cyrl-CS"/>
              </w:rPr>
              <w:t>2030</w:t>
            </w:r>
            <w:r w:rsidR="006D267D" w:rsidRPr="005303F7">
              <w:rPr>
                <w:rFonts w:ascii="Times New Roman" w:hAnsi="Times New Roman"/>
                <w:b/>
                <w:sz w:val="20"/>
                <w:lang w:val="sr-Cyrl-CS"/>
              </w:rPr>
              <w:t>.</w:t>
            </w:r>
          </w:p>
        </w:tc>
        <w:tc>
          <w:tcPr>
            <w:tcW w:w="48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7DB18DA" w14:textId="77777777" w:rsidR="008A23DD" w:rsidRPr="005303F7" w:rsidRDefault="008A23DD" w:rsidP="00BA6D66">
            <w:pPr>
              <w:spacing w:before="0" w:after="0"/>
              <w:jc w:val="center"/>
              <w:rPr>
                <w:rFonts w:ascii="Times New Roman" w:hAnsi="Times New Roman"/>
                <w:b/>
                <w:sz w:val="20"/>
                <w:lang w:val="sr-Cyrl-CS"/>
              </w:rPr>
            </w:pPr>
            <w:r w:rsidRPr="005303F7">
              <w:rPr>
                <w:rFonts w:ascii="Times New Roman" w:hAnsi="Times New Roman"/>
                <w:b/>
                <w:sz w:val="20"/>
                <w:lang w:val="sr-Cyrl-CS"/>
              </w:rPr>
              <w:t> </w:t>
            </w:r>
          </w:p>
        </w:tc>
        <w:tc>
          <w:tcPr>
            <w:tcW w:w="555" w:type="pct"/>
            <w:tcBorders>
              <w:top w:val="single" w:sz="4" w:space="0" w:color="auto"/>
              <w:left w:val="nil"/>
              <w:bottom w:val="single" w:sz="4" w:space="0" w:color="auto"/>
              <w:right w:val="nil"/>
            </w:tcBorders>
            <w:shd w:val="clear" w:color="auto" w:fill="D9D9D9" w:themeFill="background1" w:themeFillShade="D9"/>
            <w:noWrap/>
            <w:vAlign w:val="center"/>
            <w:hideMark/>
          </w:tcPr>
          <w:p w14:paraId="2B55590F" w14:textId="77777777" w:rsidR="008A23DD" w:rsidRPr="005303F7" w:rsidRDefault="008A23DD" w:rsidP="00BA6D66">
            <w:pPr>
              <w:spacing w:before="0" w:after="0"/>
              <w:jc w:val="center"/>
              <w:rPr>
                <w:rFonts w:ascii="Times New Roman" w:hAnsi="Times New Roman"/>
                <w:b/>
                <w:sz w:val="20"/>
                <w:lang w:val="sr-Cyrl-CS"/>
              </w:rPr>
            </w:pPr>
            <w:r w:rsidRPr="005303F7">
              <w:rPr>
                <w:rFonts w:ascii="Times New Roman" w:hAnsi="Times New Roman"/>
                <w:b/>
                <w:sz w:val="20"/>
                <w:lang w:val="sr-Cyrl-CS"/>
              </w:rPr>
              <w:t> </w:t>
            </w:r>
          </w:p>
        </w:tc>
        <w:tc>
          <w:tcPr>
            <w:tcW w:w="475" w:type="pct"/>
            <w:tcBorders>
              <w:top w:val="single" w:sz="4" w:space="0" w:color="auto"/>
              <w:left w:val="nil"/>
              <w:bottom w:val="single" w:sz="4" w:space="0" w:color="auto"/>
              <w:right w:val="nil"/>
            </w:tcBorders>
            <w:shd w:val="clear" w:color="auto" w:fill="D9D9D9" w:themeFill="background1" w:themeFillShade="D9"/>
            <w:noWrap/>
            <w:vAlign w:val="center"/>
            <w:hideMark/>
          </w:tcPr>
          <w:p w14:paraId="044663A7" w14:textId="52ABD5F2" w:rsidR="008A23DD" w:rsidRPr="005303F7" w:rsidRDefault="008A23DD" w:rsidP="00BA6D66">
            <w:pPr>
              <w:spacing w:before="0" w:after="0"/>
              <w:jc w:val="center"/>
              <w:rPr>
                <w:rFonts w:ascii="Times New Roman" w:hAnsi="Times New Roman"/>
                <w:b/>
                <w:sz w:val="20"/>
                <w:lang w:val="sr-Cyrl-CS"/>
              </w:rPr>
            </w:pPr>
            <w:r w:rsidRPr="005303F7">
              <w:rPr>
                <w:rFonts w:ascii="Times New Roman" w:hAnsi="Times New Roman"/>
                <w:b/>
                <w:sz w:val="20"/>
                <w:lang w:val="sr-Cyrl-CS"/>
              </w:rPr>
              <w:t>2050</w:t>
            </w:r>
            <w:r w:rsidR="006D267D" w:rsidRPr="005303F7">
              <w:rPr>
                <w:rFonts w:ascii="Times New Roman" w:hAnsi="Times New Roman"/>
                <w:b/>
                <w:sz w:val="20"/>
                <w:lang w:val="sr-Cyrl-CS"/>
              </w:rPr>
              <w:t>.</w:t>
            </w:r>
          </w:p>
        </w:tc>
        <w:tc>
          <w:tcPr>
            <w:tcW w:w="52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B69B0EC" w14:textId="77777777" w:rsidR="008A23DD" w:rsidRPr="005303F7" w:rsidRDefault="008A23DD" w:rsidP="00BA6D66">
            <w:pPr>
              <w:spacing w:before="0" w:after="0"/>
              <w:jc w:val="center"/>
              <w:rPr>
                <w:rFonts w:ascii="Times New Roman" w:hAnsi="Times New Roman"/>
                <w:b/>
                <w:sz w:val="20"/>
                <w:lang w:val="sr-Cyrl-CS"/>
              </w:rPr>
            </w:pPr>
            <w:r w:rsidRPr="005303F7">
              <w:rPr>
                <w:rFonts w:ascii="Times New Roman" w:hAnsi="Times New Roman"/>
                <w:b/>
                <w:sz w:val="20"/>
                <w:lang w:val="sr-Cyrl-CS"/>
              </w:rPr>
              <w:t> </w:t>
            </w:r>
          </w:p>
        </w:tc>
      </w:tr>
      <w:tr w:rsidR="008A23DD" w:rsidRPr="005303F7" w14:paraId="6411A938" w14:textId="77777777" w:rsidTr="0080257F">
        <w:trPr>
          <w:trHeight w:val="377"/>
          <w:tblHeader/>
        </w:trPr>
        <w:tc>
          <w:tcPr>
            <w:tcW w:w="1971" w:type="pct"/>
            <w:vMerge/>
            <w:tcBorders>
              <w:left w:val="single" w:sz="4" w:space="0" w:color="auto"/>
              <w:bottom w:val="single" w:sz="4" w:space="0" w:color="auto"/>
              <w:right w:val="single" w:sz="4" w:space="0" w:color="auto"/>
            </w:tcBorders>
            <w:shd w:val="clear" w:color="auto" w:fill="D9D9D9" w:themeFill="background1" w:themeFillShade="D9"/>
            <w:noWrap/>
            <w:vAlign w:val="bottom"/>
            <w:hideMark/>
          </w:tcPr>
          <w:p w14:paraId="7C60B640" w14:textId="77777777" w:rsidR="008A23DD" w:rsidRPr="005303F7" w:rsidRDefault="008A23DD" w:rsidP="00353B06">
            <w:pPr>
              <w:spacing w:before="0" w:after="0"/>
              <w:rPr>
                <w:rFonts w:ascii="Times New Roman" w:hAnsi="Times New Roman"/>
                <w:b/>
                <w:sz w:val="20"/>
                <w:lang w:val="sr-Cyrl-CS"/>
              </w:rPr>
            </w:pPr>
          </w:p>
        </w:tc>
        <w:tc>
          <w:tcPr>
            <w:tcW w:w="477" w:type="pct"/>
            <w:tcBorders>
              <w:top w:val="nil"/>
              <w:left w:val="nil"/>
              <w:bottom w:val="single" w:sz="4" w:space="0" w:color="auto"/>
              <w:right w:val="nil"/>
            </w:tcBorders>
            <w:shd w:val="clear" w:color="auto" w:fill="D9D9D9" w:themeFill="background1" w:themeFillShade="D9"/>
            <w:noWrap/>
            <w:vAlign w:val="center"/>
            <w:hideMark/>
          </w:tcPr>
          <w:p w14:paraId="253CA8B7" w14:textId="1BFD7C2B" w:rsidR="008A23DD" w:rsidRPr="005303F7" w:rsidRDefault="00607CBA" w:rsidP="00353B06">
            <w:pPr>
              <w:spacing w:before="0" w:after="0"/>
              <w:jc w:val="center"/>
              <w:rPr>
                <w:rFonts w:ascii="Times New Roman" w:hAnsi="Times New Roman"/>
                <w:b/>
                <w:sz w:val="20"/>
                <w:lang w:val="sr-Cyrl-CS"/>
              </w:rPr>
            </w:pPr>
            <w:r w:rsidRPr="005303F7">
              <w:rPr>
                <w:rFonts w:ascii="Times New Roman" w:hAnsi="Times New Roman"/>
                <w:b/>
                <w:sz w:val="20"/>
                <w:lang w:val="sr-Cyrl-CS"/>
              </w:rPr>
              <w:t>М</w:t>
            </w:r>
            <w:r w:rsidR="008A23DD" w:rsidRPr="005303F7">
              <w:rPr>
                <w:rFonts w:ascii="Times New Roman" w:hAnsi="Times New Roman"/>
                <w:b/>
                <w:sz w:val="20"/>
                <w:lang w:val="sr-Cyrl-CS"/>
              </w:rPr>
              <w:t>2</w:t>
            </w:r>
          </w:p>
        </w:tc>
        <w:tc>
          <w:tcPr>
            <w:tcW w:w="509" w:type="pct"/>
            <w:tcBorders>
              <w:top w:val="nil"/>
              <w:left w:val="nil"/>
              <w:bottom w:val="single" w:sz="4" w:space="0" w:color="auto"/>
              <w:right w:val="nil"/>
            </w:tcBorders>
            <w:shd w:val="clear" w:color="auto" w:fill="D9D9D9" w:themeFill="background1" w:themeFillShade="D9"/>
            <w:noWrap/>
            <w:vAlign w:val="center"/>
            <w:hideMark/>
          </w:tcPr>
          <w:p w14:paraId="23214AE0" w14:textId="66914A32" w:rsidR="008A23DD" w:rsidRPr="005303F7" w:rsidRDefault="00607CBA" w:rsidP="00353B06">
            <w:pPr>
              <w:spacing w:before="0" w:after="0"/>
              <w:jc w:val="center"/>
              <w:rPr>
                <w:rFonts w:ascii="Times New Roman" w:hAnsi="Times New Roman"/>
                <w:b/>
                <w:sz w:val="20"/>
                <w:lang w:val="sr-Cyrl-CS"/>
              </w:rPr>
            </w:pPr>
            <w:r w:rsidRPr="005303F7">
              <w:rPr>
                <w:rFonts w:ascii="Times New Roman" w:hAnsi="Times New Roman"/>
                <w:b/>
                <w:sz w:val="20"/>
                <w:lang w:val="sr-Cyrl-CS"/>
              </w:rPr>
              <w:t>М</w:t>
            </w:r>
            <w:r w:rsidR="008A23DD" w:rsidRPr="005303F7">
              <w:rPr>
                <w:rFonts w:ascii="Times New Roman" w:hAnsi="Times New Roman"/>
                <w:b/>
                <w:sz w:val="20"/>
                <w:lang w:val="sr-Cyrl-CS"/>
              </w:rPr>
              <w:t>3</w:t>
            </w:r>
          </w:p>
        </w:tc>
        <w:tc>
          <w:tcPr>
            <w:tcW w:w="488" w:type="pct"/>
            <w:tcBorders>
              <w:top w:val="nil"/>
              <w:left w:val="nil"/>
              <w:bottom w:val="single" w:sz="4" w:space="0" w:color="auto"/>
              <w:right w:val="single" w:sz="4" w:space="0" w:color="auto"/>
            </w:tcBorders>
            <w:shd w:val="clear" w:color="auto" w:fill="D9D9D9" w:themeFill="background1" w:themeFillShade="D9"/>
            <w:noWrap/>
            <w:vAlign w:val="center"/>
            <w:hideMark/>
          </w:tcPr>
          <w:p w14:paraId="4F423769" w14:textId="6ED8526D" w:rsidR="008A23DD" w:rsidRPr="005303F7" w:rsidRDefault="00607CBA" w:rsidP="00353B06">
            <w:pPr>
              <w:spacing w:before="0" w:after="0"/>
              <w:jc w:val="center"/>
              <w:rPr>
                <w:rFonts w:ascii="Times New Roman" w:hAnsi="Times New Roman"/>
                <w:b/>
                <w:sz w:val="20"/>
                <w:lang w:val="sr-Cyrl-CS"/>
              </w:rPr>
            </w:pPr>
            <w:r w:rsidRPr="005303F7">
              <w:rPr>
                <w:rFonts w:ascii="Times New Roman" w:hAnsi="Times New Roman"/>
                <w:b/>
                <w:sz w:val="20"/>
                <w:lang w:val="sr-Cyrl-CS"/>
              </w:rPr>
              <w:t>М</w:t>
            </w:r>
            <w:r w:rsidR="008A23DD" w:rsidRPr="005303F7">
              <w:rPr>
                <w:rFonts w:ascii="Times New Roman" w:hAnsi="Times New Roman"/>
                <w:b/>
                <w:sz w:val="20"/>
                <w:lang w:val="sr-Cyrl-CS"/>
              </w:rPr>
              <w:t>4</w:t>
            </w:r>
          </w:p>
        </w:tc>
        <w:tc>
          <w:tcPr>
            <w:tcW w:w="555" w:type="pct"/>
            <w:tcBorders>
              <w:top w:val="nil"/>
              <w:left w:val="nil"/>
              <w:bottom w:val="single" w:sz="4" w:space="0" w:color="auto"/>
              <w:right w:val="nil"/>
            </w:tcBorders>
            <w:shd w:val="clear" w:color="auto" w:fill="D9D9D9" w:themeFill="background1" w:themeFillShade="D9"/>
            <w:noWrap/>
            <w:vAlign w:val="center"/>
            <w:hideMark/>
          </w:tcPr>
          <w:p w14:paraId="3A548E49" w14:textId="7BDF1FDF" w:rsidR="008A23DD" w:rsidRPr="005303F7" w:rsidRDefault="00607CBA" w:rsidP="00353B06">
            <w:pPr>
              <w:spacing w:before="0" w:after="0"/>
              <w:jc w:val="center"/>
              <w:rPr>
                <w:rFonts w:ascii="Times New Roman" w:hAnsi="Times New Roman"/>
                <w:b/>
                <w:sz w:val="20"/>
                <w:lang w:val="sr-Cyrl-CS"/>
              </w:rPr>
            </w:pPr>
            <w:r w:rsidRPr="005303F7">
              <w:rPr>
                <w:rFonts w:ascii="Times New Roman" w:hAnsi="Times New Roman"/>
                <w:b/>
                <w:sz w:val="20"/>
                <w:lang w:val="sr-Cyrl-CS"/>
              </w:rPr>
              <w:t>М</w:t>
            </w:r>
            <w:r w:rsidR="008A23DD" w:rsidRPr="005303F7">
              <w:rPr>
                <w:rFonts w:ascii="Times New Roman" w:hAnsi="Times New Roman"/>
                <w:b/>
                <w:sz w:val="20"/>
                <w:lang w:val="sr-Cyrl-CS"/>
              </w:rPr>
              <w:t>2</w:t>
            </w:r>
          </w:p>
        </w:tc>
        <w:tc>
          <w:tcPr>
            <w:tcW w:w="475" w:type="pct"/>
            <w:tcBorders>
              <w:top w:val="nil"/>
              <w:left w:val="nil"/>
              <w:bottom w:val="single" w:sz="4" w:space="0" w:color="auto"/>
              <w:right w:val="nil"/>
            </w:tcBorders>
            <w:shd w:val="clear" w:color="auto" w:fill="D9D9D9" w:themeFill="background1" w:themeFillShade="D9"/>
            <w:noWrap/>
            <w:vAlign w:val="center"/>
            <w:hideMark/>
          </w:tcPr>
          <w:p w14:paraId="58E369E0" w14:textId="39D6AD04" w:rsidR="008A23DD" w:rsidRPr="005303F7" w:rsidRDefault="00607CBA" w:rsidP="00353B06">
            <w:pPr>
              <w:spacing w:before="0" w:after="0"/>
              <w:jc w:val="center"/>
              <w:rPr>
                <w:rFonts w:ascii="Times New Roman" w:hAnsi="Times New Roman"/>
                <w:b/>
                <w:sz w:val="20"/>
                <w:lang w:val="sr-Cyrl-CS"/>
              </w:rPr>
            </w:pPr>
            <w:r w:rsidRPr="005303F7">
              <w:rPr>
                <w:rFonts w:ascii="Times New Roman" w:hAnsi="Times New Roman"/>
                <w:b/>
                <w:sz w:val="20"/>
                <w:lang w:val="sr-Cyrl-CS"/>
              </w:rPr>
              <w:t>М</w:t>
            </w:r>
            <w:r w:rsidR="008A23DD" w:rsidRPr="005303F7">
              <w:rPr>
                <w:rFonts w:ascii="Times New Roman" w:hAnsi="Times New Roman"/>
                <w:b/>
                <w:sz w:val="20"/>
                <w:lang w:val="sr-Cyrl-CS"/>
              </w:rPr>
              <w:t>3</w:t>
            </w:r>
          </w:p>
        </w:tc>
        <w:tc>
          <w:tcPr>
            <w:tcW w:w="526" w:type="pct"/>
            <w:tcBorders>
              <w:top w:val="nil"/>
              <w:left w:val="nil"/>
              <w:bottom w:val="single" w:sz="4" w:space="0" w:color="auto"/>
              <w:right w:val="single" w:sz="4" w:space="0" w:color="auto"/>
            </w:tcBorders>
            <w:shd w:val="clear" w:color="auto" w:fill="D9D9D9" w:themeFill="background1" w:themeFillShade="D9"/>
            <w:noWrap/>
            <w:vAlign w:val="center"/>
            <w:hideMark/>
          </w:tcPr>
          <w:p w14:paraId="27618AAC" w14:textId="7BB847CB" w:rsidR="008A23DD" w:rsidRPr="005303F7" w:rsidRDefault="00607CBA" w:rsidP="00353B06">
            <w:pPr>
              <w:spacing w:before="0" w:after="0"/>
              <w:jc w:val="center"/>
              <w:rPr>
                <w:rFonts w:ascii="Times New Roman" w:hAnsi="Times New Roman"/>
                <w:b/>
                <w:sz w:val="20"/>
                <w:lang w:val="sr-Cyrl-CS"/>
              </w:rPr>
            </w:pPr>
            <w:r w:rsidRPr="005303F7">
              <w:rPr>
                <w:rFonts w:ascii="Times New Roman" w:hAnsi="Times New Roman"/>
                <w:b/>
                <w:sz w:val="20"/>
                <w:lang w:val="sr-Cyrl-CS"/>
              </w:rPr>
              <w:t>М</w:t>
            </w:r>
            <w:r w:rsidR="008A23DD" w:rsidRPr="005303F7">
              <w:rPr>
                <w:rFonts w:ascii="Times New Roman" w:hAnsi="Times New Roman"/>
                <w:b/>
                <w:sz w:val="20"/>
                <w:lang w:val="sr-Cyrl-CS"/>
              </w:rPr>
              <w:t>4</w:t>
            </w:r>
          </w:p>
        </w:tc>
      </w:tr>
      <w:tr w:rsidR="008A23DD" w:rsidRPr="005303F7" w14:paraId="137C0C18" w14:textId="77777777" w:rsidTr="0080257F">
        <w:trPr>
          <w:trHeight w:val="300"/>
        </w:trPr>
        <w:tc>
          <w:tcPr>
            <w:tcW w:w="19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5C727" w14:textId="6F4BB0AC" w:rsidR="008A23DD" w:rsidRPr="005303F7" w:rsidRDefault="00607CBA" w:rsidP="008B2B5C">
            <w:pPr>
              <w:spacing w:before="60" w:after="60"/>
              <w:jc w:val="left"/>
              <w:rPr>
                <w:rFonts w:ascii="Times New Roman" w:hAnsi="Times New Roman"/>
                <w:color w:val="000000"/>
                <w:sz w:val="19"/>
                <w:szCs w:val="19"/>
                <w:lang w:val="sr-Cyrl-CS"/>
              </w:rPr>
            </w:pPr>
            <w:r w:rsidRPr="005303F7">
              <w:rPr>
                <w:rFonts w:ascii="Times New Roman" w:hAnsi="Times New Roman"/>
                <w:color w:val="000000"/>
                <w:sz w:val="19"/>
                <w:szCs w:val="19"/>
                <w:lang w:val="sr-Cyrl-CS"/>
              </w:rPr>
              <w:t>Смањење</w:t>
            </w:r>
            <w:r w:rsidR="008B2B5C" w:rsidRPr="005303F7">
              <w:rPr>
                <w:rFonts w:ascii="Times New Roman" w:hAnsi="Times New Roman"/>
                <w:color w:val="000000"/>
                <w:sz w:val="19"/>
                <w:szCs w:val="19"/>
                <w:lang w:val="sr-Cyrl-CS"/>
              </w:rPr>
              <w:t xml:space="preserve"> </w:t>
            </w:r>
            <w:r w:rsidRPr="005303F7">
              <w:rPr>
                <w:rFonts w:ascii="Times New Roman" w:hAnsi="Times New Roman"/>
                <w:color w:val="000000"/>
                <w:sz w:val="19"/>
                <w:szCs w:val="19"/>
                <w:lang w:val="sr-Cyrl-CS"/>
              </w:rPr>
              <w:t>емисија</w:t>
            </w:r>
            <w:r w:rsidR="008B2B5C" w:rsidRPr="005303F7">
              <w:rPr>
                <w:rFonts w:ascii="Times New Roman" w:hAnsi="Times New Roman"/>
                <w:color w:val="000000"/>
                <w:sz w:val="19"/>
                <w:szCs w:val="19"/>
                <w:lang w:val="sr-Cyrl-CS"/>
              </w:rPr>
              <w:t xml:space="preserve"> </w:t>
            </w:r>
            <w:r w:rsidR="00BF65FC" w:rsidRPr="005303F7">
              <w:rPr>
                <w:rFonts w:ascii="Times New Roman" w:hAnsi="Times New Roman"/>
                <w:color w:val="000000"/>
                <w:sz w:val="19"/>
                <w:szCs w:val="19"/>
                <w:lang w:val="sr-Cyrl-CS"/>
              </w:rPr>
              <w:t>GHG</w:t>
            </w:r>
            <w:r w:rsidR="008A23DD" w:rsidRPr="005303F7">
              <w:rPr>
                <w:rFonts w:ascii="Times New Roman" w:hAnsi="Times New Roman"/>
                <w:color w:val="000000"/>
                <w:sz w:val="19"/>
                <w:szCs w:val="19"/>
                <w:lang w:val="sr-Cyrl-CS"/>
              </w:rPr>
              <w:t xml:space="preserve"> [</w:t>
            </w:r>
            <w:r w:rsidRPr="005303F7">
              <w:rPr>
                <w:rFonts w:ascii="Times New Roman" w:hAnsi="Times New Roman"/>
                <w:color w:val="000000"/>
                <w:sz w:val="19"/>
                <w:szCs w:val="19"/>
                <w:lang w:val="sr-Cyrl-CS"/>
              </w:rPr>
              <w:t>ktCО</w:t>
            </w:r>
            <w:r w:rsidR="008A23DD" w:rsidRPr="005303F7">
              <w:rPr>
                <w:rFonts w:ascii="Times New Roman" w:hAnsi="Times New Roman"/>
                <w:color w:val="000000"/>
                <w:sz w:val="19"/>
                <w:szCs w:val="19"/>
                <w:vertAlign w:val="subscript"/>
                <w:lang w:val="sr-Cyrl-CS"/>
              </w:rPr>
              <w:t>2</w:t>
            </w:r>
            <w:r w:rsidRPr="005303F7">
              <w:rPr>
                <w:rFonts w:ascii="Times New Roman" w:hAnsi="Times New Roman"/>
                <w:color w:val="000000"/>
                <w:sz w:val="19"/>
                <w:szCs w:val="19"/>
                <w:vertAlign w:val="subscript"/>
                <w:lang w:val="sr-Cyrl-CS"/>
              </w:rPr>
              <w:t>е</w:t>
            </w:r>
            <w:r w:rsidR="008A23DD" w:rsidRPr="005303F7">
              <w:rPr>
                <w:rFonts w:ascii="Times New Roman" w:hAnsi="Times New Roman"/>
                <w:color w:val="000000"/>
                <w:sz w:val="19"/>
                <w:szCs w:val="19"/>
                <w:lang w:val="sr-Cyrl-CS"/>
              </w:rPr>
              <w:t xml:space="preserve"> </w:t>
            </w:r>
            <w:r w:rsidRPr="005303F7">
              <w:rPr>
                <w:rFonts w:ascii="Times New Roman" w:hAnsi="Times New Roman"/>
                <w:color w:val="000000"/>
                <w:sz w:val="19"/>
                <w:szCs w:val="19"/>
                <w:lang w:val="sr-Cyrl-CS"/>
              </w:rPr>
              <w:t>у</w:t>
            </w:r>
            <w:r w:rsidR="008B2B5C" w:rsidRPr="005303F7">
              <w:rPr>
                <w:rFonts w:ascii="Times New Roman" w:hAnsi="Times New Roman"/>
                <w:color w:val="000000"/>
                <w:sz w:val="19"/>
                <w:szCs w:val="19"/>
                <w:lang w:val="sr-Cyrl-CS"/>
              </w:rPr>
              <w:t xml:space="preserve"> </w:t>
            </w:r>
            <w:r w:rsidRPr="005303F7">
              <w:rPr>
                <w:rFonts w:ascii="Times New Roman" w:hAnsi="Times New Roman"/>
                <w:color w:val="000000"/>
                <w:sz w:val="19"/>
                <w:szCs w:val="19"/>
                <w:lang w:val="sr-Cyrl-CS"/>
              </w:rPr>
              <w:t>поређењу</w:t>
            </w:r>
            <w:r w:rsidR="008B2B5C" w:rsidRPr="005303F7">
              <w:rPr>
                <w:rFonts w:ascii="Times New Roman" w:hAnsi="Times New Roman"/>
                <w:color w:val="000000"/>
                <w:sz w:val="19"/>
                <w:szCs w:val="19"/>
                <w:lang w:val="sr-Cyrl-CS"/>
              </w:rPr>
              <w:t xml:space="preserve"> </w:t>
            </w:r>
            <w:r w:rsidRPr="005303F7">
              <w:rPr>
                <w:rFonts w:ascii="Times New Roman" w:hAnsi="Times New Roman"/>
                <w:color w:val="000000"/>
                <w:sz w:val="19"/>
                <w:szCs w:val="19"/>
                <w:lang w:val="sr-Cyrl-CS"/>
              </w:rPr>
              <w:t>са</w:t>
            </w:r>
            <w:r w:rsidR="008A23DD" w:rsidRPr="005303F7">
              <w:rPr>
                <w:rFonts w:ascii="Times New Roman" w:hAnsi="Times New Roman"/>
                <w:color w:val="000000"/>
                <w:sz w:val="19"/>
                <w:szCs w:val="19"/>
                <w:lang w:val="sr-Cyrl-CS"/>
              </w:rPr>
              <w:t xml:space="preserve"> </w:t>
            </w:r>
            <w:r w:rsidRPr="005303F7">
              <w:rPr>
                <w:rFonts w:ascii="Times New Roman" w:hAnsi="Times New Roman"/>
                <w:color w:val="000000"/>
                <w:sz w:val="19"/>
                <w:szCs w:val="19"/>
                <w:lang w:val="sr-Cyrl-CS"/>
              </w:rPr>
              <w:t>Б</w:t>
            </w:r>
            <w:r w:rsidR="008A23DD" w:rsidRPr="005303F7">
              <w:rPr>
                <w:rFonts w:ascii="Times New Roman" w:hAnsi="Times New Roman"/>
                <w:color w:val="000000"/>
                <w:sz w:val="19"/>
                <w:szCs w:val="19"/>
                <w:lang w:val="sr-Cyrl-CS"/>
              </w:rPr>
              <w:t>2]</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5D5AB" w14:textId="77777777" w:rsidR="008A23DD" w:rsidRPr="005303F7" w:rsidRDefault="008A23DD" w:rsidP="00934175">
            <w:pPr>
              <w:spacing w:before="60" w:after="60"/>
              <w:jc w:val="center"/>
              <w:rPr>
                <w:rFonts w:ascii="Times New Roman" w:hAnsi="Times New Roman"/>
                <w:color w:val="000000"/>
                <w:sz w:val="19"/>
                <w:szCs w:val="19"/>
                <w:lang w:val="sr-Cyrl-CS"/>
              </w:rPr>
            </w:pPr>
            <w:r w:rsidRPr="005303F7">
              <w:rPr>
                <w:rFonts w:ascii="Times New Roman" w:hAnsi="Times New Roman"/>
                <w:color w:val="000000"/>
                <w:sz w:val="19"/>
                <w:szCs w:val="19"/>
                <w:lang w:val="sr-Cyrl-CS"/>
              </w:rPr>
              <w:t>10.254</w:t>
            </w: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2EB4B" w14:textId="77777777" w:rsidR="008A23DD" w:rsidRPr="005303F7" w:rsidRDefault="008A23DD" w:rsidP="00934175">
            <w:pPr>
              <w:spacing w:before="60" w:after="60"/>
              <w:jc w:val="center"/>
              <w:rPr>
                <w:rFonts w:ascii="Times New Roman" w:hAnsi="Times New Roman"/>
                <w:color w:val="000000"/>
                <w:sz w:val="19"/>
                <w:szCs w:val="19"/>
                <w:lang w:val="sr-Cyrl-CS"/>
              </w:rPr>
            </w:pPr>
            <w:r w:rsidRPr="005303F7">
              <w:rPr>
                <w:rFonts w:ascii="Times New Roman" w:hAnsi="Times New Roman"/>
                <w:color w:val="000000"/>
                <w:sz w:val="19"/>
                <w:szCs w:val="19"/>
                <w:lang w:val="sr-Cyrl-CS"/>
              </w:rPr>
              <w:t>19.958</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984DA" w14:textId="77777777" w:rsidR="008A23DD" w:rsidRPr="005303F7" w:rsidRDefault="008A23DD" w:rsidP="00934175">
            <w:pPr>
              <w:spacing w:before="60" w:after="60"/>
              <w:jc w:val="center"/>
              <w:rPr>
                <w:rFonts w:ascii="Times New Roman" w:hAnsi="Times New Roman"/>
                <w:color w:val="000000"/>
                <w:sz w:val="19"/>
                <w:szCs w:val="19"/>
                <w:lang w:val="sr-Cyrl-CS"/>
              </w:rPr>
            </w:pPr>
            <w:r w:rsidRPr="005303F7">
              <w:rPr>
                <w:rFonts w:ascii="Times New Roman" w:hAnsi="Times New Roman"/>
                <w:color w:val="000000"/>
                <w:sz w:val="19"/>
                <w:szCs w:val="19"/>
                <w:lang w:val="sr-Cyrl-CS"/>
              </w:rPr>
              <w:t>18.510</w:t>
            </w:r>
          </w:p>
        </w:tc>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A422F" w14:textId="77777777" w:rsidR="008A23DD" w:rsidRPr="005303F7" w:rsidRDefault="008A23DD" w:rsidP="00934175">
            <w:pPr>
              <w:spacing w:before="60" w:after="60"/>
              <w:jc w:val="center"/>
              <w:rPr>
                <w:rFonts w:ascii="Times New Roman" w:hAnsi="Times New Roman"/>
                <w:color w:val="000000"/>
                <w:sz w:val="19"/>
                <w:szCs w:val="19"/>
                <w:lang w:val="sr-Cyrl-CS"/>
              </w:rPr>
            </w:pPr>
            <w:r w:rsidRPr="005303F7">
              <w:rPr>
                <w:rFonts w:ascii="Times New Roman" w:hAnsi="Times New Roman"/>
                <w:color w:val="000000"/>
                <w:sz w:val="19"/>
                <w:szCs w:val="19"/>
                <w:lang w:val="sr-Cyrl-CS"/>
              </w:rPr>
              <w:t>41.195</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9FE9B" w14:textId="77777777" w:rsidR="008A23DD" w:rsidRPr="005303F7" w:rsidRDefault="008A23DD" w:rsidP="00934175">
            <w:pPr>
              <w:spacing w:before="60" w:after="60"/>
              <w:jc w:val="center"/>
              <w:rPr>
                <w:rFonts w:ascii="Times New Roman" w:hAnsi="Times New Roman"/>
                <w:color w:val="000000"/>
                <w:sz w:val="19"/>
                <w:szCs w:val="19"/>
                <w:lang w:val="sr-Cyrl-CS"/>
              </w:rPr>
            </w:pPr>
            <w:r w:rsidRPr="005303F7">
              <w:rPr>
                <w:rFonts w:ascii="Times New Roman" w:hAnsi="Times New Roman"/>
                <w:color w:val="000000"/>
                <w:sz w:val="19"/>
                <w:szCs w:val="19"/>
                <w:lang w:val="sr-Cyrl-CS"/>
              </w:rPr>
              <w:t>44.105</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97220" w14:textId="77777777" w:rsidR="008A23DD" w:rsidRPr="005303F7" w:rsidRDefault="008A23DD" w:rsidP="00934175">
            <w:pPr>
              <w:spacing w:before="60" w:after="60"/>
              <w:jc w:val="center"/>
              <w:rPr>
                <w:rFonts w:ascii="Times New Roman" w:hAnsi="Times New Roman"/>
                <w:color w:val="000000"/>
                <w:sz w:val="19"/>
                <w:szCs w:val="19"/>
                <w:lang w:val="sr-Cyrl-CS"/>
              </w:rPr>
            </w:pPr>
            <w:r w:rsidRPr="005303F7">
              <w:rPr>
                <w:rFonts w:ascii="Times New Roman" w:hAnsi="Times New Roman"/>
                <w:color w:val="000000"/>
                <w:sz w:val="19"/>
                <w:szCs w:val="19"/>
                <w:lang w:val="sr-Cyrl-CS"/>
              </w:rPr>
              <w:t>50.009</w:t>
            </w:r>
          </w:p>
        </w:tc>
      </w:tr>
      <w:tr w:rsidR="008A23DD" w:rsidRPr="005303F7" w14:paraId="5D27985D" w14:textId="77777777" w:rsidTr="0080257F">
        <w:trPr>
          <w:trHeight w:val="300"/>
        </w:trPr>
        <w:tc>
          <w:tcPr>
            <w:tcW w:w="19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8BFBA" w14:textId="077BDB3F" w:rsidR="008A23DD" w:rsidRPr="005303F7" w:rsidRDefault="00607CBA" w:rsidP="008B2B5C">
            <w:pPr>
              <w:tabs>
                <w:tab w:val="clear" w:pos="3825"/>
              </w:tabs>
              <w:overflowPunct/>
              <w:autoSpaceDE/>
              <w:autoSpaceDN/>
              <w:adjustRightInd/>
              <w:spacing w:before="60" w:after="60"/>
              <w:jc w:val="left"/>
              <w:textAlignment w:val="auto"/>
              <w:rPr>
                <w:rFonts w:ascii="Times New Roman" w:hAnsi="Times New Roman"/>
                <w:sz w:val="19"/>
                <w:szCs w:val="19"/>
                <w:lang w:val="sr-Cyrl-CS"/>
              </w:rPr>
            </w:pPr>
            <w:r w:rsidRPr="005303F7">
              <w:rPr>
                <w:rFonts w:ascii="Times New Roman" w:hAnsi="Times New Roman"/>
                <w:sz w:val="19"/>
                <w:szCs w:val="19"/>
                <w:lang w:val="sr-Cyrl-CS"/>
              </w:rPr>
              <w:lastRenderedPageBreak/>
              <w:t>Кумулативни</w:t>
            </w:r>
            <w:r w:rsidR="008B2B5C" w:rsidRPr="005303F7">
              <w:rPr>
                <w:rFonts w:ascii="Times New Roman" w:hAnsi="Times New Roman"/>
                <w:sz w:val="19"/>
                <w:szCs w:val="19"/>
                <w:lang w:val="sr-Cyrl-CS"/>
              </w:rPr>
              <w:t xml:space="preserve"> </w:t>
            </w:r>
            <w:r w:rsidRPr="005303F7">
              <w:rPr>
                <w:rFonts w:ascii="Times New Roman" w:hAnsi="Times New Roman"/>
                <w:sz w:val="19"/>
                <w:szCs w:val="19"/>
                <w:lang w:val="sr-Cyrl-CS"/>
              </w:rPr>
              <w:t>додатни</w:t>
            </w:r>
            <w:r w:rsidR="008B2B5C" w:rsidRPr="005303F7">
              <w:rPr>
                <w:rFonts w:ascii="Times New Roman" w:hAnsi="Times New Roman"/>
                <w:sz w:val="19"/>
                <w:szCs w:val="19"/>
                <w:lang w:val="sr-Cyrl-CS"/>
              </w:rPr>
              <w:t xml:space="preserve"> </w:t>
            </w:r>
            <w:r w:rsidRPr="005303F7">
              <w:rPr>
                <w:rFonts w:ascii="Times New Roman" w:hAnsi="Times New Roman"/>
                <w:sz w:val="19"/>
                <w:szCs w:val="19"/>
                <w:lang w:val="sr-Cyrl-CS"/>
              </w:rPr>
              <w:t>трошкови</w:t>
            </w:r>
            <w:r w:rsidR="008B2B5C" w:rsidRPr="005303F7">
              <w:rPr>
                <w:rFonts w:ascii="Times New Roman" w:hAnsi="Times New Roman"/>
                <w:sz w:val="19"/>
                <w:szCs w:val="19"/>
                <w:lang w:val="sr-Cyrl-CS"/>
              </w:rPr>
              <w:t xml:space="preserve"> </w:t>
            </w:r>
            <w:r w:rsidRPr="005303F7">
              <w:rPr>
                <w:rFonts w:ascii="Times New Roman" w:hAnsi="Times New Roman"/>
                <w:sz w:val="19"/>
                <w:szCs w:val="19"/>
                <w:lang w:val="sr-Cyrl-CS"/>
              </w:rPr>
              <w:t>енергетског</w:t>
            </w:r>
            <w:r w:rsidR="008B2B5C" w:rsidRPr="005303F7">
              <w:rPr>
                <w:rFonts w:ascii="Times New Roman" w:hAnsi="Times New Roman"/>
                <w:sz w:val="19"/>
                <w:szCs w:val="19"/>
                <w:lang w:val="sr-Cyrl-CS"/>
              </w:rPr>
              <w:t xml:space="preserve"> </w:t>
            </w:r>
            <w:r w:rsidRPr="005303F7">
              <w:rPr>
                <w:rFonts w:ascii="Times New Roman" w:hAnsi="Times New Roman"/>
                <w:sz w:val="19"/>
                <w:szCs w:val="19"/>
                <w:lang w:val="sr-Cyrl-CS"/>
              </w:rPr>
              <w:t>система</w:t>
            </w:r>
            <w:r w:rsidR="008B2B5C" w:rsidRPr="005303F7">
              <w:rPr>
                <w:rFonts w:ascii="Times New Roman" w:hAnsi="Times New Roman"/>
                <w:sz w:val="19"/>
                <w:szCs w:val="19"/>
                <w:lang w:val="sr-Cyrl-CS"/>
              </w:rPr>
              <w:t xml:space="preserve"> </w:t>
            </w:r>
            <w:r w:rsidR="008A23DD" w:rsidRPr="005303F7">
              <w:rPr>
                <w:rFonts w:ascii="Times New Roman" w:hAnsi="Times New Roman"/>
                <w:sz w:val="19"/>
                <w:szCs w:val="19"/>
                <w:lang w:val="sr-Cyrl-CS"/>
              </w:rPr>
              <w:t>[</w:t>
            </w:r>
            <w:r w:rsidR="0039680D" w:rsidRPr="005303F7">
              <w:rPr>
                <w:rFonts w:ascii="Times New Roman" w:hAnsi="Times New Roman"/>
                <w:sz w:val="19"/>
                <w:szCs w:val="19"/>
                <w:lang w:val="sr-Cyrl-CS"/>
              </w:rPr>
              <w:t>милиона</w:t>
            </w:r>
            <w:r w:rsidR="008B2B5C" w:rsidRPr="005303F7">
              <w:rPr>
                <w:rFonts w:ascii="Times New Roman" w:hAnsi="Times New Roman"/>
                <w:sz w:val="19"/>
                <w:szCs w:val="19"/>
                <w:lang w:val="sr-Cyrl-CS"/>
              </w:rPr>
              <w:t xml:space="preserve"> </w:t>
            </w:r>
            <w:r w:rsidRPr="005303F7">
              <w:rPr>
                <w:rFonts w:ascii="Times New Roman" w:hAnsi="Times New Roman"/>
                <w:sz w:val="19"/>
                <w:szCs w:val="19"/>
                <w:lang w:val="sr-Cyrl-CS"/>
              </w:rPr>
              <w:t>евра</w:t>
            </w:r>
            <w:r w:rsidR="008B2B5C" w:rsidRPr="005303F7">
              <w:rPr>
                <w:rFonts w:ascii="Times New Roman" w:hAnsi="Times New Roman"/>
                <w:sz w:val="19"/>
                <w:szCs w:val="19"/>
                <w:lang w:val="sr-Cyrl-CS"/>
              </w:rPr>
              <w:t>]</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FEF3B" w14:textId="77777777" w:rsidR="008A23DD" w:rsidRPr="005303F7" w:rsidRDefault="008A23DD" w:rsidP="00934175">
            <w:pPr>
              <w:spacing w:before="0" w:after="0"/>
              <w:jc w:val="center"/>
              <w:rPr>
                <w:rFonts w:ascii="Times New Roman" w:hAnsi="Times New Roman"/>
                <w:color w:val="006100"/>
                <w:sz w:val="19"/>
                <w:szCs w:val="19"/>
                <w:lang w:val="sr-Cyrl-CS"/>
              </w:rPr>
            </w:pPr>
            <w:r w:rsidRPr="005303F7">
              <w:rPr>
                <w:rFonts w:ascii="Times New Roman" w:hAnsi="Times New Roman"/>
                <w:sz w:val="19"/>
                <w:szCs w:val="19"/>
                <w:lang w:val="sr-Cyrl-CS"/>
              </w:rPr>
              <w:t>2.397</w:t>
            </w: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967CC" w14:textId="77777777" w:rsidR="008A23DD" w:rsidRPr="005303F7" w:rsidRDefault="008A23DD" w:rsidP="00934175">
            <w:pPr>
              <w:spacing w:before="0" w:after="0"/>
              <w:jc w:val="center"/>
              <w:rPr>
                <w:rFonts w:ascii="Times New Roman" w:hAnsi="Times New Roman"/>
                <w:color w:val="9C0006"/>
                <w:sz w:val="19"/>
                <w:szCs w:val="19"/>
                <w:lang w:val="sr-Cyrl-CS"/>
              </w:rPr>
            </w:pPr>
            <w:r w:rsidRPr="005303F7">
              <w:rPr>
                <w:rFonts w:ascii="Times New Roman" w:hAnsi="Times New Roman"/>
                <w:sz w:val="19"/>
                <w:szCs w:val="19"/>
                <w:lang w:val="sr-Cyrl-CS"/>
              </w:rPr>
              <w:t>7.403</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FF43F" w14:textId="77777777" w:rsidR="008A23DD" w:rsidRPr="005303F7" w:rsidRDefault="008A23DD" w:rsidP="00934175">
            <w:pPr>
              <w:spacing w:before="0" w:after="0"/>
              <w:jc w:val="center"/>
              <w:rPr>
                <w:rFonts w:ascii="Times New Roman" w:hAnsi="Times New Roman"/>
                <w:color w:val="9C0006"/>
                <w:sz w:val="19"/>
                <w:szCs w:val="19"/>
                <w:lang w:val="sr-Cyrl-CS"/>
              </w:rPr>
            </w:pPr>
            <w:r w:rsidRPr="005303F7">
              <w:rPr>
                <w:rFonts w:ascii="Times New Roman" w:hAnsi="Times New Roman"/>
                <w:sz w:val="19"/>
                <w:szCs w:val="19"/>
                <w:lang w:val="sr-Cyrl-CS"/>
              </w:rPr>
              <w:t>5.344</w:t>
            </w:r>
          </w:p>
        </w:tc>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9E763" w14:textId="77777777" w:rsidR="008A23DD" w:rsidRPr="005303F7" w:rsidRDefault="008A23DD" w:rsidP="00934175">
            <w:pPr>
              <w:spacing w:before="0" w:after="0"/>
              <w:jc w:val="center"/>
              <w:rPr>
                <w:rFonts w:ascii="Times New Roman" w:hAnsi="Times New Roman"/>
                <w:color w:val="006100"/>
                <w:sz w:val="19"/>
                <w:szCs w:val="19"/>
                <w:lang w:val="sr-Cyrl-CS"/>
              </w:rPr>
            </w:pPr>
            <w:r w:rsidRPr="005303F7">
              <w:rPr>
                <w:rFonts w:ascii="Times New Roman" w:hAnsi="Times New Roman"/>
                <w:sz w:val="19"/>
                <w:szCs w:val="19"/>
                <w:lang w:val="sr-Cyrl-CS"/>
              </w:rPr>
              <w:t>58.999</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E73EB" w14:textId="77777777" w:rsidR="008A23DD" w:rsidRPr="005303F7" w:rsidRDefault="008A23DD" w:rsidP="00934175">
            <w:pPr>
              <w:spacing w:before="0" w:after="0"/>
              <w:jc w:val="center"/>
              <w:rPr>
                <w:rFonts w:ascii="Times New Roman" w:hAnsi="Times New Roman"/>
                <w:color w:val="9C5700"/>
                <w:sz w:val="19"/>
                <w:szCs w:val="19"/>
                <w:lang w:val="sr-Cyrl-CS"/>
              </w:rPr>
            </w:pPr>
            <w:r w:rsidRPr="005303F7">
              <w:rPr>
                <w:rFonts w:ascii="Times New Roman" w:hAnsi="Times New Roman"/>
                <w:sz w:val="19"/>
                <w:szCs w:val="19"/>
                <w:lang w:val="sr-Cyrl-CS"/>
              </w:rPr>
              <w:t>74.436</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1C5A1" w14:textId="77777777" w:rsidR="008A23DD" w:rsidRPr="005303F7" w:rsidRDefault="008A23DD" w:rsidP="00934175">
            <w:pPr>
              <w:spacing w:before="0" w:after="0"/>
              <w:jc w:val="center"/>
              <w:rPr>
                <w:rFonts w:ascii="Times New Roman" w:hAnsi="Times New Roman"/>
                <w:color w:val="9C0006"/>
                <w:sz w:val="19"/>
                <w:szCs w:val="19"/>
                <w:lang w:val="sr-Cyrl-CS"/>
              </w:rPr>
            </w:pPr>
            <w:r w:rsidRPr="005303F7">
              <w:rPr>
                <w:rFonts w:ascii="Times New Roman" w:hAnsi="Times New Roman"/>
                <w:sz w:val="19"/>
                <w:szCs w:val="19"/>
                <w:lang w:val="sr-Cyrl-CS"/>
              </w:rPr>
              <w:t>106.942</w:t>
            </w:r>
          </w:p>
        </w:tc>
      </w:tr>
      <w:tr w:rsidR="008A23DD" w:rsidRPr="005303F7" w14:paraId="0CD07514" w14:textId="77777777" w:rsidTr="009B7CEE">
        <w:trPr>
          <w:trHeight w:val="440"/>
        </w:trPr>
        <w:tc>
          <w:tcPr>
            <w:tcW w:w="19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D10AF" w14:textId="6F552082" w:rsidR="008A23DD" w:rsidRPr="005303F7" w:rsidRDefault="00607CBA" w:rsidP="008B2B5C">
            <w:pPr>
              <w:spacing w:before="60" w:after="60"/>
              <w:jc w:val="left"/>
              <w:rPr>
                <w:rFonts w:ascii="Times New Roman" w:hAnsi="Times New Roman"/>
                <w:sz w:val="19"/>
                <w:szCs w:val="19"/>
                <w:lang w:val="sr-Cyrl-CS"/>
              </w:rPr>
            </w:pPr>
            <w:r w:rsidRPr="005303F7">
              <w:rPr>
                <w:rFonts w:ascii="Times New Roman" w:hAnsi="Times New Roman"/>
                <w:sz w:val="19"/>
                <w:szCs w:val="19"/>
                <w:lang w:val="sr-Cyrl-CS"/>
              </w:rPr>
              <w:t>Изложеност</w:t>
            </w:r>
            <w:r w:rsidR="008B2B5C" w:rsidRPr="005303F7">
              <w:rPr>
                <w:rFonts w:ascii="Times New Roman" w:hAnsi="Times New Roman"/>
                <w:sz w:val="19"/>
                <w:szCs w:val="19"/>
                <w:lang w:val="sr-Cyrl-CS"/>
              </w:rPr>
              <w:t xml:space="preserve"> </w:t>
            </w:r>
            <w:r w:rsidRPr="005303F7">
              <w:rPr>
                <w:rFonts w:ascii="Times New Roman" w:hAnsi="Times New Roman"/>
                <w:sz w:val="19"/>
                <w:szCs w:val="19"/>
                <w:lang w:val="sr-Cyrl-CS"/>
              </w:rPr>
              <w:t>ценама</w:t>
            </w:r>
            <w:r w:rsidR="008B2B5C" w:rsidRPr="005303F7">
              <w:rPr>
                <w:rFonts w:ascii="Times New Roman" w:hAnsi="Times New Roman"/>
                <w:sz w:val="19"/>
                <w:szCs w:val="19"/>
                <w:lang w:val="sr-Cyrl-CS"/>
              </w:rPr>
              <w:t xml:space="preserve"> </w:t>
            </w:r>
            <w:r w:rsidRPr="005303F7">
              <w:rPr>
                <w:rFonts w:ascii="Times New Roman" w:hAnsi="Times New Roman"/>
                <w:sz w:val="19"/>
                <w:szCs w:val="19"/>
                <w:lang w:val="sr-Cyrl-CS"/>
              </w:rPr>
              <w:t>ЕТS</w:t>
            </w:r>
            <w:r w:rsidR="008B2B5C" w:rsidRPr="005303F7">
              <w:rPr>
                <w:rFonts w:ascii="Times New Roman" w:hAnsi="Times New Roman"/>
                <w:sz w:val="19"/>
                <w:szCs w:val="19"/>
                <w:lang w:val="sr-Cyrl-CS"/>
              </w:rPr>
              <w:t>-</w:t>
            </w:r>
            <w:r w:rsidRPr="005303F7">
              <w:rPr>
                <w:rFonts w:ascii="Times New Roman" w:hAnsi="Times New Roman"/>
                <w:sz w:val="19"/>
                <w:szCs w:val="19"/>
                <w:lang w:val="sr-Cyrl-CS"/>
              </w:rPr>
              <w:t>а</w:t>
            </w:r>
            <w:r w:rsidR="008B2B5C" w:rsidRPr="005303F7">
              <w:rPr>
                <w:rFonts w:ascii="Times New Roman" w:hAnsi="Times New Roman"/>
                <w:sz w:val="19"/>
                <w:szCs w:val="19"/>
                <w:lang w:val="sr-Cyrl-CS"/>
              </w:rPr>
              <w:t xml:space="preserve"> [</w:t>
            </w:r>
            <w:r w:rsidR="0039680D" w:rsidRPr="005303F7">
              <w:rPr>
                <w:rFonts w:ascii="Times New Roman" w:hAnsi="Times New Roman"/>
                <w:sz w:val="19"/>
                <w:szCs w:val="19"/>
                <w:lang w:val="sr-Cyrl-CS"/>
              </w:rPr>
              <w:t>милиона</w:t>
            </w:r>
            <w:r w:rsidR="008B2B5C" w:rsidRPr="005303F7">
              <w:rPr>
                <w:rFonts w:ascii="Times New Roman" w:hAnsi="Times New Roman"/>
                <w:sz w:val="19"/>
                <w:szCs w:val="19"/>
                <w:lang w:val="sr-Cyrl-CS"/>
              </w:rPr>
              <w:t xml:space="preserve"> </w:t>
            </w:r>
            <w:r w:rsidRPr="005303F7">
              <w:rPr>
                <w:rFonts w:ascii="Times New Roman" w:hAnsi="Times New Roman"/>
                <w:sz w:val="19"/>
                <w:szCs w:val="19"/>
                <w:lang w:val="sr-Cyrl-CS"/>
              </w:rPr>
              <w:t>евра</w:t>
            </w:r>
            <w:r w:rsidR="008B2B5C" w:rsidRPr="005303F7">
              <w:rPr>
                <w:rFonts w:ascii="Times New Roman" w:hAnsi="Times New Roman"/>
                <w:sz w:val="19"/>
                <w:szCs w:val="19"/>
                <w:lang w:val="sr-Cyrl-CS"/>
              </w:rPr>
              <w:t>]</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5EECE" w14:textId="77401BAB" w:rsidR="008A23DD" w:rsidRPr="005303F7" w:rsidRDefault="005E2E6D" w:rsidP="00934175">
            <w:pPr>
              <w:spacing w:before="0" w:after="0"/>
              <w:jc w:val="center"/>
              <w:rPr>
                <w:rFonts w:ascii="Times New Roman" w:hAnsi="Times New Roman"/>
                <w:color w:val="9C0006"/>
                <w:sz w:val="19"/>
                <w:szCs w:val="19"/>
                <w:lang w:val="sr-Cyrl-CS"/>
              </w:rPr>
            </w:pPr>
            <w:r w:rsidRPr="005303F7">
              <w:rPr>
                <w:rFonts w:ascii="Times New Roman" w:hAnsi="Times New Roman"/>
                <w:sz w:val="19"/>
                <w:szCs w:val="19"/>
                <w:lang w:val="sr-Cyrl-CS"/>
              </w:rPr>
              <w:t>809</w:t>
            </w: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71786" w14:textId="7172758A" w:rsidR="008A23DD" w:rsidRPr="005303F7" w:rsidRDefault="005E2E6D" w:rsidP="0064274B">
            <w:pPr>
              <w:spacing w:before="0" w:after="0"/>
              <w:jc w:val="center"/>
              <w:rPr>
                <w:rFonts w:ascii="Times New Roman" w:hAnsi="Times New Roman"/>
                <w:color w:val="006100"/>
                <w:sz w:val="19"/>
                <w:szCs w:val="19"/>
                <w:lang w:val="sr-Cyrl-CS"/>
              </w:rPr>
            </w:pPr>
            <w:r w:rsidRPr="005303F7">
              <w:rPr>
                <w:rFonts w:ascii="Times New Roman" w:hAnsi="Times New Roman"/>
                <w:sz w:val="19"/>
                <w:szCs w:val="19"/>
                <w:lang w:val="sr-Cyrl-CS"/>
              </w:rPr>
              <w:t>621</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E3C7C" w14:textId="4F142A3D" w:rsidR="008A23DD" w:rsidRPr="005303F7" w:rsidRDefault="005E2E6D" w:rsidP="0064274B">
            <w:pPr>
              <w:spacing w:before="0" w:after="0"/>
              <w:jc w:val="center"/>
              <w:rPr>
                <w:rFonts w:ascii="Times New Roman" w:hAnsi="Times New Roman"/>
                <w:color w:val="006100"/>
                <w:sz w:val="19"/>
                <w:szCs w:val="19"/>
                <w:lang w:val="sr-Cyrl-CS"/>
              </w:rPr>
            </w:pPr>
            <w:r w:rsidRPr="005303F7">
              <w:rPr>
                <w:rFonts w:ascii="Times New Roman" w:hAnsi="Times New Roman"/>
                <w:sz w:val="19"/>
                <w:szCs w:val="19"/>
                <w:lang w:val="sr-Cyrl-CS"/>
              </w:rPr>
              <w:t>675</w:t>
            </w:r>
          </w:p>
        </w:tc>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31B7D" w14:textId="53A550C8" w:rsidR="008A23DD" w:rsidRPr="005303F7" w:rsidRDefault="005E2E6D">
            <w:pPr>
              <w:spacing w:before="0" w:after="0"/>
              <w:jc w:val="center"/>
              <w:rPr>
                <w:rFonts w:ascii="Times New Roman" w:hAnsi="Times New Roman"/>
                <w:color w:val="9C0006"/>
                <w:sz w:val="19"/>
                <w:szCs w:val="19"/>
                <w:lang w:val="sr-Cyrl-CS"/>
              </w:rPr>
            </w:pPr>
            <w:r w:rsidRPr="005303F7">
              <w:rPr>
                <w:rFonts w:ascii="Times New Roman" w:hAnsi="Times New Roman"/>
                <w:sz w:val="19"/>
                <w:szCs w:val="19"/>
                <w:lang w:val="sr-Cyrl-CS"/>
              </w:rPr>
              <w:t>33.050</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27E53" w14:textId="0818F4B5" w:rsidR="008A23DD" w:rsidRPr="005303F7" w:rsidRDefault="008A23DD">
            <w:pPr>
              <w:spacing w:before="0" w:after="0"/>
              <w:jc w:val="center"/>
              <w:rPr>
                <w:rFonts w:ascii="Times New Roman" w:hAnsi="Times New Roman"/>
                <w:color w:val="006100"/>
                <w:sz w:val="19"/>
                <w:szCs w:val="19"/>
                <w:lang w:val="sr-Cyrl-CS"/>
              </w:rPr>
            </w:pPr>
            <w:r w:rsidRPr="005303F7">
              <w:rPr>
                <w:rFonts w:ascii="Times New Roman" w:hAnsi="Times New Roman"/>
                <w:sz w:val="19"/>
                <w:szCs w:val="19"/>
                <w:lang w:val="sr-Cyrl-CS"/>
              </w:rPr>
              <w:t>2</w:t>
            </w:r>
            <w:r w:rsidR="005E2E6D" w:rsidRPr="005303F7">
              <w:rPr>
                <w:rFonts w:ascii="Times New Roman" w:hAnsi="Times New Roman"/>
                <w:sz w:val="19"/>
                <w:szCs w:val="19"/>
                <w:lang w:val="sr-Cyrl-CS"/>
              </w:rPr>
              <w:t>6.521</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50FEA" w14:textId="40707462" w:rsidR="008A23DD" w:rsidRPr="005303F7" w:rsidRDefault="008A23DD">
            <w:pPr>
              <w:spacing w:before="0" w:after="0"/>
              <w:jc w:val="center"/>
              <w:rPr>
                <w:rFonts w:ascii="Times New Roman" w:hAnsi="Times New Roman"/>
                <w:color w:val="006100"/>
                <w:sz w:val="19"/>
                <w:szCs w:val="19"/>
                <w:lang w:val="sr-Cyrl-CS"/>
              </w:rPr>
            </w:pPr>
            <w:r w:rsidRPr="005303F7">
              <w:rPr>
                <w:rFonts w:ascii="Times New Roman" w:hAnsi="Times New Roman"/>
                <w:sz w:val="19"/>
                <w:szCs w:val="19"/>
                <w:lang w:val="sr-Cyrl-CS"/>
              </w:rPr>
              <w:t>2</w:t>
            </w:r>
            <w:r w:rsidR="005E2E6D" w:rsidRPr="005303F7">
              <w:rPr>
                <w:rFonts w:ascii="Times New Roman" w:hAnsi="Times New Roman"/>
                <w:sz w:val="19"/>
                <w:szCs w:val="19"/>
                <w:lang w:val="sr-Cyrl-CS"/>
              </w:rPr>
              <w:t>7.109</w:t>
            </w:r>
          </w:p>
        </w:tc>
      </w:tr>
      <w:tr w:rsidR="008A23DD" w:rsidRPr="005303F7" w14:paraId="34342760" w14:textId="77777777" w:rsidTr="0080257F">
        <w:trPr>
          <w:trHeight w:val="300"/>
        </w:trPr>
        <w:tc>
          <w:tcPr>
            <w:tcW w:w="19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28376A" w14:textId="239636E4" w:rsidR="008A23DD" w:rsidRPr="005303F7" w:rsidRDefault="00607CBA" w:rsidP="00934175">
            <w:pPr>
              <w:spacing w:before="60" w:after="60"/>
              <w:jc w:val="left"/>
              <w:rPr>
                <w:rFonts w:ascii="Times New Roman" w:hAnsi="Times New Roman"/>
                <w:sz w:val="19"/>
                <w:szCs w:val="19"/>
                <w:lang w:val="sr-Cyrl-CS"/>
              </w:rPr>
            </w:pPr>
            <w:r w:rsidRPr="005303F7">
              <w:rPr>
                <w:rFonts w:ascii="Times New Roman" w:hAnsi="Times New Roman"/>
                <w:sz w:val="19"/>
                <w:szCs w:val="19"/>
                <w:lang w:val="sr-Cyrl-CS"/>
              </w:rPr>
              <w:t>Ефекти</w:t>
            </w:r>
            <w:r w:rsidR="00522636" w:rsidRPr="005303F7">
              <w:rPr>
                <w:rFonts w:ascii="Times New Roman" w:hAnsi="Times New Roman"/>
                <w:sz w:val="19"/>
                <w:szCs w:val="19"/>
                <w:lang w:val="sr-Cyrl-CS"/>
              </w:rPr>
              <w:t xml:space="preserve"> </w:t>
            </w:r>
            <w:r w:rsidRPr="005303F7">
              <w:rPr>
                <w:rFonts w:ascii="Times New Roman" w:hAnsi="Times New Roman"/>
                <w:sz w:val="19"/>
                <w:szCs w:val="19"/>
                <w:lang w:val="sr-Cyrl-CS"/>
              </w:rPr>
              <w:t>на</w:t>
            </w:r>
            <w:r w:rsidR="00522636" w:rsidRPr="005303F7">
              <w:rPr>
                <w:rFonts w:ascii="Times New Roman" w:hAnsi="Times New Roman"/>
                <w:sz w:val="19"/>
                <w:szCs w:val="19"/>
                <w:lang w:val="sr-Cyrl-CS"/>
              </w:rPr>
              <w:t xml:space="preserve"> </w:t>
            </w:r>
            <w:r w:rsidRPr="005303F7">
              <w:rPr>
                <w:rFonts w:ascii="Times New Roman" w:hAnsi="Times New Roman"/>
                <w:sz w:val="19"/>
                <w:szCs w:val="19"/>
                <w:lang w:val="sr-Cyrl-CS"/>
              </w:rPr>
              <w:t>раст</w:t>
            </w:r>
            <w:r w:rsidR="00522636" w:rsidRPr="005303F7">
              <w:rPr>
                <w:rFonts w:ascii="Times New Roman" w:hAnsi="Times New Roman"/>
                <w:sz w:val="19"/>
                <w:szCs w:val="19"/>
                <w:lang w:val="sr-Cyrl-CS"/>
              </w:rPr>
              <w:t xml:space="preserve"> </w:t>
            </w:r>
            <w:r w:rsidRPr="005303F7">
              <w:rPr>
                <w:rFonts w:ascii="Times New Roman" w:hAnsi="Times New Roman"/>
                <w:sz w:val="19"/>
                <w:szCs w:val="19"/>
                <w:lang w:val="sr-Cyrl-CS"/>
              </w:rPr>
              <w:t>БДП</w:t>
            </w:r>
            <w:r w:rsidR="00522636" w:rsidRPr="005303F7">
              <w:rPr>
                <w:rFonts w:ascii="Times New Roman" w:hAnsi="Times New Roman"/>
                <w:sz w:val="19"/>
                <w:szCs w:val="19"/>
                <w:lang w:val="sr-Cyrl-CS"/>
              </w:rPr>
              <w:t>-</w:t>
            </w:r>
            <w:r w:rsidRPr="005303F7">
              <w:rPr>
                <w:rFonts w:ascii="Times New Roman" w:hAnsi="Times New Roman"/>
                <w:sz w:val="19"/>
                <w:szCs w:val="19"/>
                <w:lang w:val="sr-Cyrl-CS"/>
              </w:rPr>
              <w:t>а</w:t>
            </w:r>
            <w:r w:rsidR="008A23DD" w:rsidRPr="005303F7">
              <w:rPr>
                <w:rFonts w:ascii="Times New Roman" w:hAnsi="Times New Roman"/>
                <w:sz w:val="19"/>
                <w:szCs w:val="19"/>
                <w:lang w:val="sr-Cyrl-CS"/>
              </w:rPr>
              <w:t xml:space="preserve"> [%]</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2AB5D" w14:textId="77777777" w:rsidR="008A23DD" w:rsidRPr="005303F7" w:rsidRDefault="008A23DD" w:rsidP="00934175">
            <w:pPr>
              <w:spacing w:before="0" w:after="0"/>
              <w:jc w:val="center"/>
              <w:rPr>
                <w:rFonts w:ascii="Times New Roman" w:hAnsi="Times New Roman"/>
                <w:sz w:val="19"/>
                <w:szCs w:val="19"/>
                <w:lang w:val="sr-Cyrl-CS"/>
              </w:rPr>
            </w:pPr>
            <w:r w:rsidRPr="005303F7">
              <w:rPr>
                <w:rFonts w:ascii="Times New Roman" w:hAnsi="Times New Roman"/>
                <w:sz w:val="19"/>
                <w:szCs w:val="19"/>
                <w:lang w:val="sr-Cyrl-CS"/>
              </w:rPr>
              <w:t>-1,0%</w:t>
            </w: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D4B7B2" w14:textId="77777777" w:rsidR="008A23DD" w:rsidRPr="005303F7" w:rsidRDefault="008A23DD" w:rsidP="00934175">
            <w:pPr>
              <w:spacing w:before="0" w:after="0"/>
              <w:jc w:val="center"/>
              <w:rPr>
                <w:rFonts w:ascii="Times New Roman" w:hAnsi="Times New Roman"/>
                <w:sz w:val="19"/>
                <w:szCs w:val="19"/>
                <w:lang w:val="sr-Cyrl-CS"/>
              </w:rPr>
            </w:pPr>
            <w:r w:rsidRPr="005303F7">
              <w:rPr>
                <w:rFonts w:ascii="Times New Roman" w:hAnsi="Times New Roman"/>
                <w:sz w:val="19"/>
                <w:szCs w:val="19"/>
                <w:lang w:val="sr-Cyrl-CS"/>
              </w:rPr>
              <w:t>-3,5%</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8083E" w14:textId="77777777" w:rsidR="008A23DD" w:rsidRPr="005303F7" w:rsidRDefault="008A23DD" w:rsidP="00934175">
            <w:pPr>
              <w:spacing w:before="0" w:after="0"/>
              <w:jc w:val="center"/>
              <w:rPr>
                <w:rFonts w:ascii="Times New Roman" w:hAnsi="Times New Roman"/>
                <w:sz w:val="19"/>
                <w:szCs w:val="19"/>
                <w:lang w:val="sr-Cyrl-CS"/>
              </w:rPr>
            </w:pPr>
            <w:r w:rsidRPr="005303F7">
              <w:rPr>
                <w:rFonts w:ascii="Times New Roman" w:hAnsi="Times New Roman"/>
                <w:sz w:val="19"/>
                <w:szCs w:val="19"/>
                <w:lang w:val="sr-Cyrl-CS"/>
              </w:rPr>
              <w:t>-3,4%</w:t>
            </w:r>
          </w:p>
        </w:tc>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137E5" w14:textId="77777777" w:rsidR="008A23DD" w:rsidRPr="005303F7" w:rsidRDefault="008A23DD" w:rsidP="00934175">
            <w:pPr>
              <w:spacing w:before="0" w:after="0"/>
              <w:jc w:val="center"/>
              <w:rPr>
                <w:rFonts w:ascii="Times New Roman" w:hAnsi="Times New Roman"/>
                <w:sz w:val="19"/>
                <w:szCs w:val="19"/>
                <w:lang w:val="sr-Cyrl-CS"/>
              </w:rPr>
            </w:pPr>
            <w:r w:rsidRPr="005303F7">
              <w:rPr>
                <w:rFonts w:ascii="Times New Roman" w:hAnsi="Times New Roman"/>
                <w:sz w:val="19"/>
                <w:szCs w:val="19"/>
                <w:lang w:val="sr-Cyrl-CS"/>
              </w:rPr>
              <w:t>-1,6%</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4A3251" w14:textId="77777777" w:rsidR="008A23DD" w:rsidRPr="005303F7" w:rsidRDefault="008A23DD" w:rsidP="00934175">
            <w:pPr>
              <w:spacing w:before="0" w:after="0"/>
              <w:jc w:val="center"/>
              <w:rPr>
                <w:rFonts w:ascii="Times New Roman" w:hAnsi="Times New Roman"/>
                <w:sz w:val="19"/>
                <w:szCs w:val="19"/>
                <w:lang w:val="sr-Cyrl-CS"/>
              </w:rPr>
            </w:pPr>
            <w:r w:rsidRPr="005303F7">
              <w:rPr>
                <w:rFonts w:ascii="Times New Roman" w:hAnsi="Times New Roman"/>
                <w:sz w:val="19"/>
                <w:szCs w:val="19"/>
                <w:lang w:val="sr-Cyrl-CS"/>
              </w:rPr>
              <w:t>-1,8%</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93D5E" w14:textId="77777777" w:rsidR="008A23DD" w:rsidRPr="005303F7" w:rsidRDefault="008A23DD" w:rsidP="00934175">
            <w:pPr>
              <w:spacing w:before="0" w:after="0"/>
              <w:jc w:val="center"/>
              <w:rPr>
                <w:rFonts w:ascii="Times New Roman" w:hAnsi="Times New Roman"/>
                <w:sz w:val="19"/>
                <w:szCs w:val="19"/>
                <w:lang w:val="sr-Cyrl-CS"/>
              </w:rPr>
            </w:pPr>
            <w:r w:rsidRPr="005303F7">
              <w:rPr>
                <w:rFonts w:ascii="Times New Roman" w:hAnsi="Times New Roman"/>
                <w:sz w:val="19"/>
                <w:szCs w:val="19"/>
                <w:lang w:val="sr-Cyrl-CS"/>
              </w:rPr>
              <w:t>-3,9%</w:t>
            </w:r>
          </w:p>
        </w:tc>
      </w:tr>
      <w:tr w:rsidR="008A23DD" w:rsidRPr="005303F7" w14:paraId="53D75CAA" w14:textId="77777777" w:rsidTr="0080257F">
        <w:trPr>
          <w:trHeight w:val="300"/>
        </w:trPr>
        <w:tc>
          <w:tcPr>
            <w:tcW w:w="19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75AC0" w14:textId="7899869B" w:rsidR="008A23DD" w:rsidRPr="005303F7" w:rsidRDefault="00607CBA" w:rsidP="003019E6">
            <w:pPr>
              <w:spacing w:before="60" w:after="60"/>
              <w:jc w:val="left"/>
              <w:rPr>
                <w:rFonts w:ascii="Times New Roman" w:hAnsi="Times New Roman"/>
                <w:sz w:val="19"/>
                <w:szCs w:val="19"/>
                <w:lang w:val="sr-Cyrl-CS"/>
              </w:rPr>
            </w:pPr>
            <w:r w:rsidRPr="005303F7">
              <w:rPr>
                <w:rFonts w:ascii="Times New Roman" w:hAnsi="Times New Roman"/>
                <w:sz w:val="19"/>
                <w:szCs w:val="19"/>
                <w:lang w:val="sr-Cyrl-CS"/>
              </w:rPr>
              <w:t>Удео</w:t>
            </w:r>
            <w:r w:rsidR="00DD5C3D" w:rsidRPr="005303F7">
              <w:rPr>
                <w:rFonts w:ascii="Times New Roman" w:hAnsi="Times New Roman"/>
                <w:sz w:val="19"/>
                <w:szCs w:val="19"/>
                <w:lang w:val="sr-Cyrl-CS"/>
              </w:rPr>
              <w:t xml:space="preserve"> </w:t>
            </w:r>
            <w:r w:rsidRPr="005303F7">
              <w:rPr>
                <w:rFonts w:ascii="Times New Roman" w:hAnsi="Times New Roman"/>
                <w:sz w:val="19"/>
                <w:szCs w:val="19"/>
                <w:lang w:val="sr-Cyrl-CS"/>
              </w:rPr>
              <w:t>трошкова</w:t>
            </w:r>
            <w:r w:rsidR="00DD5C3D" w:rsidRPr="005303F7">
              <w:rPr>
                <w:rFonts w:ascii="Times New Roman" w:hAnsi="Times New Roman"/>
                <w:sz w:val="19"/>
                <w:szCs w:val="19"/>
                <w:lang w:val="sr-Cyrl-CS"/>
              </w:rPr>
              <w:t xml:space="preserve"> </w:t>
            </w:r>
            <w:r w:rsidRPr="005303F7">
              <w:rPr>
                <w:rFonts w:ascii="Times New Roman" w:hAnsi="Times New Roman"/>
                <w:sz w:val="19"/>
                <w:szCs w:val="19"/>
                <w:lang w:val="sr-Cyrl-CS"/>
              </w:rPr>
              <w:t>за</w:t>
            </w:r>
            <w:r w:rsidR="00DD5C3D" w:rsidRPr="005303F7">
              <w:rPr>
                <w:rFonts w:ascii="Times New Roman" w:hAnsi="Times New Roman"/>
                <w:sz w:val="19"/>
                <w:szCs w:val="19"/>
                <w:lang w:val="sr-Cyrl-CS"/>
              </w:rPr>
              <w:t xml:space="preserve"> </w:t>
            </w:r>
            <w:r w:rsidRPr="005303F7">
              <w:rPr>
                <w:rFonts w:ascii="Times New Roman" w:hAnsi="Times New Roman"/>
                <w:sz w:val="19"/>
                <w:szCs w:val="19"/>
                <w:lang w:val="sr-Cyrl-CS"/>
              </w:rPr>
              <w:t>енергију</w:t>
            </w:r>
            <w:r w:rsidR="00DD5C3D" w:rsidRPr="005303F7">
              <w:rPr>
                <w:rFonts w:ascii="Times New Roman" w:hAnsi="Times New Roman"/>
                <w:sz w:val="19"/>
                <w:szCs w:val="19"/>
                <w:lang w:val="sr-Cyrl-CS"/>
              </w:rPr>
              <w:t xml:space="preserve"> </w:t>
            </w:r>
            <w:r w:rsidRPr="005303F7">
              <w:rPr>
                <w:rFonts w:ascii="Times New Roman" w:hAnsi="Times New Roman"/>
                <w:sz w:val="19"/>
                <w:szCs w:val="19"/>
                <w:lang w:val="sr-Cyrl-CS"/>
              </w:rPr>
              <w:t>у</w:t>
            </w:r>
            <w:r w:rsidR="00DD5C3D" w:rsidRPr="005303F7">
              <w:rPr>
                <w:rFonts w:ascii="Times New Roman" w:hAnsi="Times New Roman"/>
                <w:sz w:val="19"/>
                <w:szCs w:val="19"/>
                <w:lang w:val="sr-Cyrl-CS"/>
              </w:rPr>
              <w:t xml:space="preserve"> </w:t>
            </w:r>
            <w:r w:rsidRPr="005303F7">
              <w:rPr>
                <w:rFonts w:ascii="Times New Roman" w:hAnsi="Times New Roman"/>
                <w:sz w:val="19"/>
                <w:szCs w:val="19"/>
                <w:lang w:val="sr-Cyrl-CS"/>
              </w:rPr>
              <w:t>потрошњи</w:t>
            </w:r>
            <w:r w:rsidR="00DD5C3D" w:rsidRPr="005303F7">
              <w:rPr>
                <w:rFonts w:ascii="Times New Roman" w:hAnsi="Times New Roman"/>
                <w:sz w:val="19"/>
                <w:szCs w:val="19"/>
                <w:lang w:val="sr-Cyrl-CS"/>
              </w:rPr>
              <w:t xml:space="preserve"> </w:t>
            </w:r>
            <w:r w:rsidRPr="005303F7">
              <w:rPr>
                <w:rFonts w:ascii="Times New Roman" w:hAnsi="Times New Roman"/>
                <w:sz w:val="19"/>
                <w:szCs w:val="19"/>
                <w:lang w:val="sr-Cyrl-CS"/>
              </w:rPr>
              <w:t>домаћинства</w:t>
            </w:r>
            <w:r w:rsidR="008A23DD" w:rsidRPr="005303F7">
              <w:rPr>
                <w:rFonts w:ascii="Times New Roman" w:hAnsi="Times New Roman"/>
                <w:sz w:val="19"/>
                <w:szCs w:val="19"/>
                <w:lang w:val="sr-Cyrl-CS"/>
              </w:rPr>
              <w:t xml:space="preserve"> (</w:t>
            </w:r>
            <w:r w:rsidRPr="005303F7">
              <w:rPr>
                <w:rFonts w:ascii="Times New Roman" w:hAnsi="Times New Roman"/>
                <w:sz w:val="19"/>
                <w:szCs w:val="19"/>
                <w:lang w:val="sr-Cyrl-CS"/>
              </w:rPr>
              <w:t>у</w:t>
            </w:r>
            <w:r w:rsidR="00DD5C3D" w:rsidRPr="005303F7">
              <w:rPr>
                <w:rFonts w:ascii="Times New Roman" w:hAnsi="Times New Roman"/>
                <w:sz w:val="19"/>
                <w:szCs w:val="19"/>
                <w:lang w:val="sr-Cyrl-CS"/>
              </w:rPr>
              <w:t xml:space="preserve"> </w:t>
            </w:r>
            <w:r w:rsidRPr="005303F7">
              <w:rPr>
                <w:rFonts w:ascii="Times New Roman" w:hAnsi="Times New Roman"/>
                <w:sz w:val="19"/>
                <w:szCs w:val="19"/>
                <w:lang w:val="sr-Cyrl-CS"/>
              </w:rPr>
              <w:t>односу</w:t>
            </w:r>
            <w:r w:rsidR="00DD5C3D" w:rsidRPr="005303F7">
              <w:rPr>
                <w:rFonts w:ascii="Times New Roman" w:hAnsi="Times New Roman"/>
                <w:sz w:val="19"/>
                <w:szCs w:val="19"/>
                <w:lang w:val="sr-Cyrl-CS"/>
              </w:rPr>
              <w:t xml:space="preserve"> </w:t>
            </w:r>
            <w:r w:rsidRPr="005303F7">
              <w:rPr>
                <w:rFonts w:ascii="Times New Roman" w:hAnsi="Times New Roman"/>
                <w:sz w:val="19"/>
                <w:szCs w:val="19"/>
                <w:lang w:val="sr-Cyrl-CS"/>
              </w:rPr>
              <w:t>на</w:t>
            </w:r>
            <w:r w:rsidR="008A23DD" w:rsidRPr="005303F7">
              <w:rPr>
                <w:rFonts w:ascii="Times New Roman" w:hAnsi="Times New Roman"/>
                <w:sz w:val="19"/>
                <w:szCs w:val="19"/>
                <w:lang w:val="sr-Cyrl-CS"/>
              </w:rPr>
              <w:t xml:space="preserve"> </w:t>
            </w:r>
            <w:r w:rsidRPr="005303F7">
              <w:rPr>
                <w:rFonts w:ascii="Times New Roman" w:hAnsi="Times New Roman"/>
                <w:sz w:val="19"/>
                <w:szCs w:val="19"/>
                <w:lang w:val="sr-Cyrl-CS"/>
              </w:rPr>
              <w:t>Б</w:t>
            </w:r>
            <w:r w:rsidR="008A23DD" w:rsidRPr="005303F7">
              <w:rPr>
                <w:rFonts w:ascii="Times New Roman" w:hAnsi="Times New Roman"/>
                <w:sz w:val="19"/>
                <w:szCs w:val="19"/>
                <w:lang w:val="sr-Cyrl-CS"/>
              </w:rPr>
              <w:t>2)</w:t>
            </w:r>
            <w:r w:rsidR="00AE693B" w:rsidRPr="005303F7">
              <w:rPr>
                <w:lang w:val="sr-Cyrl-CS"/>
              </w:rPr>
              <w:t xml:space="preserve"> </w:t>
            </w:r>
            <w:r w:rsidR="00AE693B" w:rsidRPr="005303F7">
              <w:rPr>
                <w:rFonts w:ascii="Times New Roman" w:hAnsi="Times New Roman"/>
                <w:sz w:val="19"/>
                <w:szCs w:val="19"/>
                <w:lang w:val="sr-Cyrl-CS"/>
              </w:rPr>
              <w:t>[%]</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15F87" w14:textId="5015EC7E" w:rsidR="008A23DD" w:rsidRPr="005303F7" w:rsidRDefault="00AE693B" w:rsidP="00934175">
            <w:pPr>
              <w:spacing w:before="0" w:after="0"/>
              <w:jc w:val="center"/>
              <w:rPr>
                <w:rFonts w:ascii="Times New Roman" w:hAnsi="Times New Roman"/>
                <w:sz w:val="19"/>
                <w:szCs w:val="19"/>
                <w:lang w:val="sr-Cyrl-CS"/>
              </w:rPr>
            </w:pPr>
            <w:r w:rsidRPr="005303F7">
              <w:rPr>
                <w:rFonts w:ascii="Times New Roman" w:hAnsi="Times New Roman"/>
                <w:sz w:val="19"/>
                <w:szCs w:val="19"/>
                <w:lang w:val="sr-Cyrl-CS"/>
              </w:rPr>
              <w:t>+</w:t>
            </w:r>
            <w:r w:rsidR="008A23DD" w:rsidRPr="005303F7">
              <w:rPr>
                <w:rFonts w:ascii="Times New Roman" w:hAnsi="Times New Roman"/>
                <w:sz w:val="19"/>
                <w:szCs w:val="19"/>
                <w:lang w:val="sr-Cyrl-CS"/>
              </w:rPr>
              <w:t>1,1</w:t>
            </w:r>
            <w:r w:rsidRPr="005303F7">
              <w:rPr>
                <w:rFonts w:ascii="Times New Roman" w:hAnsi="Times New Roman"/>
                <w:sz w:val="19"/>
                <w:szCs w:val="19"/>
                <w:lang w:val="sr-Cyrl-CS"/>
              </w:rPr>
              <w:t>%</w:t>
            </w: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7A8778" w14:textId="3E893A66" w:rsidR="008A23DD" w:rsidRPr="005303F7" w:rsidRDefault="00AE693B" w:rsidP="00934175">
            <w:pPr>
              <w:spacing w:before="0" w:after="0"/>
              <w:jc w:val="center"/>
              <w:rPr>
                <w:rFonts w:ascii="Times New Roman" w:hAnsi="Times New Roman"/>
                <w:sz w:val="19"/>
                <w:szCs w:val="19"/>
                <w:lang w:val="sr-Cyrl-CS"/>
              </w:rPr>
            </w:pPr>
            <w:r w:rsidRPr="005303F7">
              <w:rPr>
                <w:rFonts w:ascii="Times New Roman" w:hAnsi="Times New Roman"/>
                <w:sz w:val="19"/>
                <w:szCs w:val="19"/>
                <w:lang w:val="sr-Cyrl-CS"/>
              </w:rPr>
              <w:t>+</w:t>
            </w:r>
            <w:r w:rsidR="008A23DD" w:rsidRPr="005303F7">
              <w:rPr>
                <w:rFonts w:ascii="Times New Roman" w:hAnsi="Times New Roman"/>
                <w:sz w:val="19"/>
                <w:szCs w:val="19"/>
                <w:lang w:val="sr-Cyrl-CS"/>
              </w:rPr>
              <w:t>2,3</w:t>
            </w:r>
            <w:r w:rsidRPr="005303F7">
              <w:rPr>
                <w:rFonts w:ascii="Times New Roman" w:hAnsi="Times New Roman"/>
                <w:sz w:val="19"/>
                <w:szCs w:val="19"/>
                <w:lang w:val="sr-Cyrl-CS"/>
              </w:rPr>
              <w:t>%</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C071A" w14:textId="2622CA18" w:rsidR="008A23DD" w:rsidRPr="005303F7" w:rsidRDefault="00AE693B" w:rsidP="00934175">
            <w:pPr>
              <w:spacing w:before="0" w:after="0"/>
              <w:jc w:val="center"/>
              <w:rPr>
                <w:rFonts w:ascii="Times New Roman" w:hAnsi="Times New Roman"/>
                <w:sz w:val="19"/>
                <w:szCs w:val="19"/>
                <w:lang w:val="sr-Cyrl-CS"/>
              </w:rPr>
            </w:pPr>
            <w:r w:rsidRPr="005303F7">
              <w:rPr>
                <w:rFonts w:ascii="Times New Roman" w:hAnsi="Times New Roman"/>
                <w:sz w:val="19"/>
                <w:szCs w:val="19"/>
                <w:lang w:val="sr-Cyrl-CS"/>
              </w:rPr>
              <w:t>+</w:t>
            </w:r>
            <w:r w:rsidR="008A23DD" w:rsidRPr="005303F7">
              <w:rPr>
                <w:rFonts w:ascii="Times New Roman" w:hAnsi="Times New Roman"/>
                <w:sz w:val="19"/>
                <w:szCs w:val="19"/>
                <w:lang w:val="sr-Cyrl-CS"/>
              </w:rPr>
              <w:t>2,0</w:t>
            </w:r>
            <w:r w:rsidRPr="005303F7">
              <w:rPr>
                <w:rFonts w:ascii="Times New Roman" w:hAnsi="Times New Roman"/>
                <w:sz w:val="19"/>
                <w:szCs w:val="19"/>
                <w:lang w:val="sr-Cyrl-CS"/>
              </w:rPr>
              <w:t>%</w:t>
            </w:r>
          </w:p>
        </w:tc>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91156" w14:textId="657AB8E9" w:rsidR="008A23DD" w:rsidRPr="005303F7" w:rsidRDefault="00AE693B" w:rsidP="00934175">
            <w:pPr>
              <w:spacing w:before="0" w:after="0"/>
              <w:jc w:val="center"/>
              <w:rPr>
                <w:rFonts w:ascii="Times New Roman" w:hAnsi="Times New Roman"/>
                <w:sz w:val="19"/>
                <w:szCs w:val="19"/>
                <w:lang w:val="sr-Cyrl-CS"/>
              </w:rPr>
            </w:pPr>
            <w:r w:rsidRPr="005303F7">
              <w:rPr>
                <w:rFonts w:ascii="Times New Roman" w:hAnsi="Times New Roman"/>
                <w:sz w:val="19"/>
                <w:szCs w:val="19"/>
                <w:lang w:val="sr-Cyrl-CS"/>
              </w:rPr>
              <w:t>+</w:t>
            </w:r>
            <w:r w:rsidR="008A23DD" w:rsidRPr="005303F7">
              <w:rPr>
                <w:rFonts w:ascii="Times New Roman" w:hAnsi="Times New Roman"/>
                <w:sz w:val="19"/>
                <w:szCs w:val="19"/>
                <w:lang w:val="sr-Cyrl-CS"/>
              </w:rPr>
              <w:t>2,7</w:t>
            </w:r>
            <w:r w:rsidRPr="005303F7">
              <w:rPr>
                <w:rFonts w:ascii="Times New Roman" w:hAnsi="Times New Roman"/>
                <w:sz w:val="19"/>
                <w:szCs w:val="19"/>
                <w:lang w:val="sr-Cyrl-CS"/>
              </w:rPr>
              <w:t>%</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B067C" w14:textId="67B3F287" w:rsidR="008A23DD" w:rsidRPr="005303F7" w:rsidRDefault="00AE693B" w:rsidP="00934175">
            <w:pPr>
              <w:spacing w:before="0" w:after="0"/>
              <w:jc w:val="center"/>
              <w:rPr>
                <w:rFonts w:ascii="Times New Roman" w:hAnsi="Times New Roman"/>
                <w:sz w:val="19"/>
                <w:szCs w:val="19"/>
                <w:lang w:val="sr-Cyrl-CS"/>
              </w:rPr>
            </w:pPr>
            <w:r w:rsidRPr="005303F7">
              <w:rPr>
                <w:rFonts w:ascii="Times New Roman" w:hAnsi="Times New Roman"/>
                <w:sz w:val="19"/>
                <w:szCs w:val="19"/>
                <w:lang w:val="sr-Cyrl-CS"/>
              </w:rPr>
              <w:t>+</w:t>
            </w:r>
            <w:r w:rsidR="008A23DD" w:rsidRPr="005303F7">
              <w:rPr>
                <w:rFonts w:ascii="Times New Roman" w:hAnsi="Times New Roman"/>
                <w:sz w:val="19"/>
                <w:szCs w:val="19"/>
                <w:lang w:val="sr-Cyrl-CS"/>
              </w:rPr>
              <w:t>2,8</w:t>
            </w:r>
            <w:r w:rsidRPr="005303F7">
              <w:rPr>
                <w:rFonts w:ascii="Times New Roman" w:hAnsi="Times New Roman"/>
                <w:sz w:val="19"/>
                <w:szCs w:val="19"/>
                <w:lang w:val="sr-Cyrl-CS"/>
              </w:rPr>
              <w:t>%</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74686F" w14:textId="785756E1" w:rsidR="008A23DD" w:rsidRPr="005303F7" w:rsidRDefault="00AE693B" w:rsidP="00934175">
            <w:pPr>
              <w:spacing w:before="0" w:after="0"/>
              <w:jc w:val="center"/>
              <w:rPr>
                <w:rFonts w:ascii="Times New Roman" w:hAnsi="Times New Roman"/>
                <w:sz w:val="19"/>
                <w:szCs w:val="19"/>
                <w:lang w:val="sr-Cyrl-CS"/>
              </w:rPr>
            </w:pPr>
            <w:r w:rsidRPr="005303F7">
              <w:rPr>
                <w:rFonts w:ascii="Times New Roman" w:hAnsi="Times New Roman"/>
                <w:sz w:val="19"/>
                <w:szCs w:val="19"/>
                <w:lang w:val="sr-Cyrl-CS"/>
              </w:rPr>
              <w:t>+</w:t>
            </w:r>
            <w:r w:rsidR="008A23DD" w:rsidRPr="005303F7">
              <w:rPr>
                <w:rFonts w:ascii="Times New Roman" w:hAnsi="Times New Roman"/>
                <w:sz w:val="19"/>
                <w:szCs w:val="19"/>
                <w:lang w:val="sr-Cyrl-CS"/>
              </w:rPr>
              <w:t>5,3</w:t>
            </w:r>
            <w:r w:rsidRPr="005303F7">
              <w:rPr>
                <w:rFonts w:ascii="Times New Roman" w:hAnsi="Times New Roman"/>
                <w:sz w:val="19"/>
                <w:szCs w:val="19"/>
                <w:lang w:val="sr-Cyrl-CS"/>
              </w:rPr>
              <w:t>%</w:t>
            </w:r>
          </w:p>
        </w:tc>
      </w:tr>
      <w:tr w:rsidR="008A23DD" w:rsidRPr="005303F7" w14:paraId="7CF54BF6" w14:textId="77777777" w:rsidTr="0080257F">
        <w:trPr>
          <w:trHeight w:val="300"/>
        </w:trPr>
        <w:tc>
          <w:tcPr>
            <w:tcW w:w="19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0AD508" w14:textId="7F1A754B" w:rsidR="008A23DD" w:rsidRPr="005303F7" w:rsidRDefault="00607CBA" w:rsidP="00934175">
            <w:pPr>
              <w:spacing w:before="60" w:after="60"/>
              <w:jc w:val="left"/>
              <w:rPr>
                <w:rFonts w:ascii="Times New Roman" w:hAnsi="Times New Roman"/>
                <w:color w:val="000000"/>
                <w:sz w:val="19"/>
                <w:szCs w:val="19"/>
                <w:lang w:val="sr-Cyrl-CS"/>
              </w:rPr>
            </w:pPr>
            <w:r w:rsidRPr="005303F7">
              <w:rPr>
                <w:rFonts w:ascii="Times New Roman" w:hAnsi="Times New Roman"/>
                <w:color w:val="000000"/>
                <w:sz w:val="19"/>
                <w:szCs w:val="19"/>
                <w:lang w:val="sr-Cyrl-CS"/>
              </w:rPr>
              <w:t>Утицаји</w:t>
            </w:r>
            <w:r w:rsidR="003019E6" w:rsidRPr="005303F7">
              <w:rPr>
                <w:rFonts w:ascii="Times New Roman" w:hAnsi="Times New Roman"/>
                <w:color w:val="000000"/>
                <w:sz w:val="19"/>
                <w:szCs w:val="19"/>
                <w:lang w:val="sr-Cyrl-CS"/>
              </w:rPr>
              <w:t xml:space="preserve"> </w:t>
            </w:r>
            <w:r w:rsidRPr="005303F7">
              <w:rPr>
                <w:rFonts w:ascii="Times New Roman" w:hAnsi="Times New Roman"/>
                <w:color w:val="000000"/>
                <w:sz w:val="19"/>
                <w:szCs w:val="19"/>
                <w:lang w:val="sr-Cyrl-CS"/>
              </w:rPr>
              <w:t>на</w:t>
            </w:r>
            <w:r w:rsidR="003019E6" w:rsidRPr="005303F7">
              <w:rPr>
                <w:rFonts w:ascii="Times New Roman" w:hAnsi="Times New Roman"/>
                <w:color w:val="000000"/>
                <w:sz w:val="19"/>
                <w:szCs w:val="19"/>
                <w:lang w:val="sr-Cyrl-CS"/>
              </w:rPr>
              <w:t xml:space="preserve"> </w:t>
            </w:r>
            <w:r w:rsidRPr="005303F7">
              <w:rPr>
                <w:rFonts w:ascii="Times New Roman" w:hAnsi="Times New Roman"/>
                <w:color w:val="000000"/>
                <w:sz w:val="19"/>
                <w:szCs w:val="19"/>
                <w:lang w:val="sr-Cyrl-CS"/>
              </w:rPr>
              <w:t>животну</w:t>
            </w:r>
            <w:r w:rsidR="003019E6" w:rsidRPr="005303F7">
              <w:rPr>
                <w:rFonts w:ascii="Times New Roman" w:hAnsi="Times New Roman"/>
                <w:color w:val="000000"/>
                <w:sz w:val="19"/>
                <w:szCs w:val="19"/>
                <w:lang w:val="sr-Cyrl-CS"/>
              </w:rPr>
              <w:t xml:space="preserve"> </w:t>
            </w:r>
            <w:r w:rsidRPr="005303F7">
              <w:rPr>
                <w:rFonts w:ascii="Times New Roman" w:hAnsi="Times New Roman"/>
                <w:color w:val="000000"/>
                <w:sz w:val="19"/>
                <w:szCs w:val="19"/>
                <w:lang w:val="sr-Cyrl-CS"/>
              </w:rPr>
              <w:t>средину</w:t>
            </w:r>
            <w:r w:rsidR="008A23DD" w:rsidRPr="005303F7">
              <w:rPr>
                <w:rFonts w:ascii="Times New Roman" w:hAnsi="Times New Roman"/>
                <w:color w:val="000000"/>
                <w:sz w:val="19"/>
                <w:szCs w:val="19"/>
                <w:lang w:val="sr-Cyrl-CS"/>
              </w:rPr>
              <w:t xml:space="preserve"> (</w:t>
            </w:r>
            <w:r w:rsidRPr="005303F7">
              <w:rPr>
                <w:rFonts w:ascii="Times New Roman" w:hAnsi="Times New Roman"/>
                <w:color w:val="000000"/>
                <w:sz w:val="19"/>
                <w:szCs w:val="19"/>
                <w:lang w:val="sr-Cyrl-CS"/>
              </w:rPr>
              <w:t>PМ</w:t>
            </w:r>
            <w:r w:rsidR="008A23DD" w:rsidRPr="005303F7">
              <w:rPr>
                <w:rFonts w:ascii="Times New Roman" w:hAnsi="Times New Roman"/>
                <w:color w:val="000000"/>
                <w:sz w:val="19"/>
                <w:szCs w:val="19"/>
                <w:lang w:val="sr-Cyrl-CS"/>
              </w:rPr>
              <w:t>2,5) [%]</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B3D45" w14:textId="77777777" w:rsidR="008A23DD" w:rsidRPr="005303F7" w:rsidRDefault="008A23DD" w:rsidP="00934175">
            <w:pPr>
              <w:spacing w:before="0" w:after="0"/>
              <w:jc w:val="center"/>
              <w:rPr>
                <w:rFonts w:ascii="Times New Roman" w:hAnsi="Times New Roman"/>
                <w:color w:val="9C5700"/>
                <w:sz w:val="19"/>
                <w:szCs w:val="19"/>
                <w:lang w:val="sr-Cyrl-CS"/>
              </w:rPr>
            </w:pPr>
            <w:r w:rsidRPr="005303F7">
              <w:rPr>
                <w:rFonts w:ascii="Times New Roman" w:hAnsi="Times New Roman"/>
                <w:color w:val="000000"/>
                <w:sz w:val="19"/>
                <w:szCs w:val="19"/>
                <w:lang w:val="sr-Cyrl-CS"/>
              </w:rPr>
              <w:t>-7,0%</w:t>
            </w: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8A3DBC" w14:textId="77777777" w:rsidR="008A23DD" w:rsidRPr="005303F7" w:rsidRDefault="008A23DD" w:rsidP="00934175">
            <w:pPr>
              <w:spacing w:before="0" w:after="0"/>
              <w:jc w:val="center"/>
              <w:rPr>
                <w:rFonts w:ascii="Times New Roman" w:hAnsi="Times New Roman"/>
                <w:color w:val="9C0006"/>
                <w:sz w:val="19"/>
                <w:szCs w:val="19"/>
                <w:lang w:val="sr-Cyrl-CS"/>
              </w:rPr>
            </w:pPr>
            <w:r w:rsidRPr="005303F7">
              <w:rPr>
                <w:rFonts w:ascii="Times New Roman" w:hAnsi="Times New Roman"/>
                <w:color w:val="000000"/>
                <w:sz w:val="19"/>
                <w:szCs w:val="19"/>
                <w:lang w:val="sr-Cyrl-CS"/>
              </w:rPr>
              <w:t>-26,7%</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F1B95" w14:textId="77777777" w:rsidR="008A23DD" w:rsidRPr="005303F7" w:rsidRDefault="008A23DD" w:rsidP="00934175">
            <w:pPr>
              <w:spacing w:before="0" w:after="0"/>
              <w:jc w:val="center"/>
              <w:rPr>
                <w:rFonts w:ascii="Times New Roman" w:hAnsi="Times New Roman"/>
                <w:color w:val="9C0006"/>
                <w:sz w:val="19"/>
                <w:szCs w:val="19"/>
                <w:lang w:val="sr-Cyrl-CS"/>
              </w:rPr>
            </w:pPr>
            <w:r w:rsidRPr="005303F7">
              <w:rPr>
                <w:rFonts w:ascii="Times New Roman" w:hAnsi="Times New Roman"/>
                <w:color w:val="000000"/>
                <w:sz w:val="19"/>
                <w:szCs w:val="19"/>
                <w:lang w:val="sr-Cyrl-CS"/>
              </w:rPr>
              <w:t>-23,5%</w:t>
            </w:r>
          </w:p>
        </w:tc>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1E525" w14:textId="77777777" w:rsidR="008A23DD" w:rsidRPr="005303F7" w:rsidRDefault="008A23DD" w:rsidP="00934175">
            <w:pPr>
              <w:spacing w:before="0" w:after="0"/>
              <w:jc w:val="center"/>
              <w:rPr>
                <w:rFonts w:ascii="Times New Roman" w:hAnsi="Times New Roman"/>
                <w:sz w:val="19"/>
                <w:szCs w:val="19"/>
                <w:lang w:val="sr-Cyrl-CS"/>
              </w:rPr>
            </w:pPr>
            <w:r w:rsidRPr="005303F7">
              <w:rPr>
                <w:rFonts w:ascii="Times New Roman" w:hAnsi="Times New Roman"/>
                <w:sz w:val="19"/>
                <w:szCs w:val="19"/>
                <w:lang w:val="sr-Cyrl-CS"/>
              </w:rPr>
              <w:t>-28,7%</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070E5" w14:textId="77777777" w:rsidR="008A23DD" w:rsidRPr="005303F7" w:rsidRDefault="008A23DD" w:rsidP="00934175">
            <w:pPr>
              <w:spacing w:before="0" w:after="0"/>
              <w:jc w:val="center"/>
              <w:rPr>
                <w:rFonts w:ascii="Times New Roman" w:hAnsi="Times New Roman"/>
                <w:sz w:val="19"/>
                <w:szCs w:val="19"/>
                <w:lang w:val="sr-Cyrl-CS"/>
              </w:rPr>
            </w:pPr>
            <w:r w:rsidRPr="005303F7">
              <w:rPr>
                <w:rFonts w:ascii="Times New Roman" w:hAnsi="Times New Roman"/>
                <w:sz w:val="19"/>
                <w:szCs w:val="19"/>
                <w:lang w:val="sr-Cyrl-CS"/>
              </w:rPr>
              <w:t>-49,1%</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37BA5D" w14:textId="77777777" w:rsidR="008A23DD" w:rsidRPr="005303F7" w:rsidRDefault="008A23DD" w:rsidP="00934175">
            <w:pPr>
              <w:spacing w:before="0" w:after="0"/>
              <w:jc w:val="center"/>
              <w:rPr>
                <w:rFonts w:ascii="Times New Roman" w:hAnsi="Times New Roman"/>
                <w:sz w:val="19"/>
                <w:szCs w:val="19"/>
                <w:lang w:val="sr-Cyrl-CS"/>
              </w:rPr>
            </w:pPr>
            <w:r w:rsidRPr="005303F7">
              <w:rPr>
                <w:rFonts w:ascii="Times New Roman" w:hAnsi="Times New Roman"/>
                <w:sz w:val="19"/>
                <w:szCs w:val="19"/>
                <w:lang w:val="sr-Cyrl-CS"/>
              </w:rPr>
              <w:t>-39,7%</w:t>
            </w:r>
          </w:p>
        </w:tc>
      </w:tr>
    </w:tbl>
    <w:p w14:paraId="45B86160" w14:textId="2FCD1A3B" w:rsidR="0039680D" w:rsidRPr="005303F7" w:rsidRDefault="0039680D" w:rsidP="008C503A">
      <w:pPr>
        <w:rPr>
          <w:rFonts w:ascii="Times New Roman" w:hAnsi="Times New Roman"/>
          <w:sz w:val="24"/>
          <w:szCs w:val="22"/>
          <w:lang w:val="sr-Cyrl-CS"/>
        </w:rPr>
      </w:pPr>
      <w:r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Утицаји</w:t>
      </w:r>
      <w:r w:rsidR="00907F2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активности</w:t>
      </w:r>
      <w:r w:rsidR="00995038"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995038"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борби</w:t>
      </w:r>
      <w:r w:rsidR="00995038"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против</w:t>
      </w:r>
      <w:r w:rsidR="00995038"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климатских</w:t>
      </w:r>
      <w:r w:rsidR="00995038"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промена</w:t>
      </w:r>
      <w:r w:rsidR="00907F2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w:t>
      </w:r>
      <w:r w:rsidR="00907F2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животну</w:t>
      </w:r>
      <w:r w:rsidR="00907F2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средину</w:t>
      </w:r>
      <w:r w:rsidR="00907F2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могу</w:t>
      </w:r>
      <w:r w:rsidR="00907F2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се</w:t>
      </w:r>
      <w:r w:rsidR="00907F2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изразити</w:t>
      </w:r>
      <w:r w:rsidR="00907F2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односом</w:t>
      </w:r>
      <w:r w:rsidR="00907F2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између</w:t>
      </w:r>
      <w:r w:rsidR="00907F2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емисија</w:t>
      </w:r>
      <w:r w:rsidR="00907F2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GHG</w:t>
      </w:r>
      <w:r w:rsidR="00907F2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907F2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PМ</w:t>
      </w:r>
      <w:r w:rsidR="00341956" w:rsidRPr="005303F7">
        <w:rPr>
          <w:rFonts w:ascii="Times New Roman" w:hAnsi="Times New Roman"/>
          <w:sz w:val="24"/>
          <w:szCs w:val="22"/>
          <w:vertAlign w:val="subscript"/>
          <w:lang w:val="sr-Cyrl-CS"/>
        </w:rPr>
        <w:t>2,5</w:t>
      </w:r>
      <w:r w:rsidR="00455F0B" w:rsidRPr="005303F7">
        <w:rPr>
          <w:rStyle w:val="FootnoteReference"/>
          <w:rFonts w:ascii="Times New Roman" w:hAnsi="Times New Roman"/>
          <w:sz w:val="18"/>
          <w:szCs w:val="16"/>
          <w:lang w:val="sr-Cyrl-CS"/>
        </w:rPr>
        <w:footnoteReference w:id="30"/>
      </w:r>
      <w:r w:rsidR="008C503A" w:rsidRPr="005303F7">
        <w:rPr>
          <w:rFonts w:ascii="Times New Roman" w:hAnsi="Times New Roman"/>
          <w:sz w:val="18"/>
          <w:szCs w:val="16"/>
          <w:lang w:val="sr-Cyrl-CS"/>
        </w:rPr>
        <w:t>.</w:t>
      </w:r>
      <w:r w:rsidR="008C503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Уопштено</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што</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је</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значајније</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смањење</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емисија</w:t>
      </w:r>
      <w:r w:rsidR="00895B2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GHG</w:t>
      </w:r>
      <w:r w:rsidR="0069320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кроз</w:t>
      </w:r>
      <w:r w:rsidR="0069320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замену</w:t>
      </w:r>
      <w:r w:rsidR="0069320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чврстих</w:t>
      </w:r>
      <w:r w:rsidR="0069320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горива</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веће</w:t>
      </w:r>
      <w:r w:rsidR="00895B2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је</w:t>
      </w:r>
      <w:r w:rsidR="00895B2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смањење</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емисија</w:t>
      </w:r>
      <w:r w:rsidR="00895B2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PМ</w:t>
      </w:r>
      <w:r w:rsidR="00341956" w:rsidRPr="005303F7">
        <w:rPr>
          <w:rFonts w:ascii="Times New Roman" w:hAnsi="Times New Roman"/>
          <w:sz w:val="24"/>
          <w:szCs w:val="22"/>
          <w:vertAlign w:val="subscript"/>
          <w:lang w:val="sr-Cyrl-CS"/>
        </w:rPr>
        <w:t>2,5</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Изузетак</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је</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пример</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употреба</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биомасе</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домаћинствима</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која</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смањује</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емисије</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гасова</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са</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ефектом</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стаклене</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баште</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али</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повећава</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емисије</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PМ</w:t>
      </w:r>
      <w:r w:rsidR="00341956" w:rsidRPr="005303F7">
        <w:rPr>
          <w:rFonts w:ascii="Times New Roman" w:hAnsi="Times New Roman"/>
          <w:sz w:val="24"/>
          <w:szCs w:val="22"/>
          <w:vertAlign w:val="subscript"/>
          <w:lang w:val="sr-Cyrl-CS"/>
        </w:rPr>
        <w:t>2,5</w:t>
      </w:r>
      <w:r w:rsidR="00470314"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То</w:t>
      </w:r>
      <w:r w:rsidR="00895B2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је</w:t>
      </w:r>
      <w:r w:rsidR="00895B2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разлог</w:t>
      </w:r>
      <w:r w:rsidR="00895B2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w:t>
      </w:r>
      <w:r w:rsidR="00895B2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веће</w:t>
      </w:r>
      <w:r w:rsidR="00895B2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емисије</w:t>
      </w:r>
      <w:r w:rsidR="008C503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PМ</w:t>
      </w:r>
      <w:r w:rsidR="00341956" w:rsidRPr="005303F7">
        <w:rPr>
          <w:rFonts w:ascii="Times New Roman" w:hAnsi="Times New Roman"/>
          <w:sz w:val="24"/>
          <w:szCs w:val="22"/>
          <w:vertAlign w:val="subscript"/>
          <w:lang w:val="sr-Cyrl-CS"/>
        </w:rPr>
        <w:t>2,5</w:t>
      </w:r>
      <w:r w:rsidR="008C503A" w:rsidRPr="005303F7">
        <w:rPr>
          <w:rFonts w:ascii="Times New Roman" w:hAnsi="Times New Roman"/>
          <w:sz w:val="24"/>
          <w:szCs w:val="22"/>
          <w:vertAlign w:val="subscript"/>
          <w:lang w:val="sr-Cyrl-CS"/>
        </w:rPr>
        <w:t xml:space="preserve"> </w:t>
      </w:r>
      <w:r w:rsidR="00607CBA" w:rsidRPr="005303F7">
        <w:rPr>
          <w:rFonts w:ascii="Times New Roman" w:hAnsi="Times New Roman"/>
          <w:sz w:val="24"/>
          <w:szCs w:val="22"/>
          <w:lang w:val="sr-Cyrl-CS"/>
        </w:rPr>
        <w:t>у</w:t>
      </w:r>
      <w:r w:rsidR="00895B2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сценарију</w:t>
      </w:r>
      <w:r w:rsidR="008C503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8C503A" w:rsidRPr="005303F7">
        <w:rPr>
          <w:rFonts w:ascii="Times New Roman" w:hAnsi="Times New Roman"/>
          <w:sz w:val="24"/>
          <w:szCs w:val="22"/>
          <w:lang w:val="sr-Cyrl-CS"/>
        </w:rPr>
        <w:t xml:space="preserve">4 </w:t>
      </w:r>
      <w:r w:rsidR="00607CBA" w:rsidRPr="005303F7">
        <w:rPr>
          <w:rFonts w:ascii="Times New Roman" w:hAnsi="Times New Roman"/>
          <w:sz w:val="24"/>
          <w:szCs w:val="22"/>
          <w:lang w:val="sr-Cyrl-CS"/>
        </w:rPr>
        <w:t>него</w:t>
      </w:r>
      <w:r w:rsidR="00895B2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8C503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8C503A" w:rsidRPr="005303F7">
        <w:rPr>
          <w:rFonts w:ascii="Times New Roman" w:hAnsi="Times New Roman"/>
          <w:sz w:val="24"/>
          <w:szCs w:val="22"/>
          <w:lang w:val="sr-Cyrl-CS"/>
        </w:rPr>
        <w:t>3</w:t>
      </w:r>
      <w:r w:rsidR="00895B2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до</w:t>
      </w:r>
      <w:r w:rsidR="008C503A" w:rsidRPr="005303F7">
        <w:rPr>
          <w:rFonts w:ascii="Times New Roman" w:hAnsi="Times New Roman"/>
          <w:sz w:val="24"/>
          <w:szCs w:val="22"/>
          <w:lang w:val="sr-Cyrl-CS"/>
        </w:rPr>
        <w:t xml:space="preserve"> 2050. </w:t>
      </w:r>
      <w:r w:rsidR="00607CBA" w:rsidRPr="005303F7">
        <w:rPr>
          <w:rFonts w:ascii="Times New Roman" w:hAnsi="Times New Roman"/>
          <w:sz w:val="24"/>
          <w:szCs w:val="22"/>
          <w:lang w:val="sr-Cyrl-CS"/>
        </w:rPr>
        <w:t>године</w:t>
      </w:r>
      <w:r w:rsidR="00895B21"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Такође</w:t>
      </w:r>
      <w:r w:rsidR="002D3DD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утицаји</w:t>
      </w:r>
      <w:r w:rsidR="002D3DD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w:t>
      </w:r>
      <w:r w:rsidR="002D3DD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животну</w:t>
      </w:r>
      <w:r w:rsidR="002D3DD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средину</w:t>
      </w:r>
      <w:r w:rsidR="002D3DD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изражени</w:t>
      </w:r>
      <w:r w:rsidR="002D3DD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емисијом</w:t>
      </w:r>
      <w:r w:rsidR="002D3DD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PМ</w:t>
      </w:r>
      <w:r w:rsidR="00341956" w:rsidRPr="005303F7">
        <w:rPr>
          <w:rFonts w:ascii="Times New Roman" w:hAnsi="Times New Roman"/>
          <w:sz w:val="24"/>
          <w:szCs w:val="22"/>
          <w:vertAlign w:val="subscript"/>
          <w:lang w:val="sr-Cyrl-CS"/>
        </w:rPr>
        <w:t>2,5</w:t>
      </w:r>
      <w:r w:rsidR="002D3DD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су</w:t>
      </w:r>
      <w:r w:rsidR="002D3DD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позитивни</w:t>
      </w:r>
      <w:r w:rsidR="002D3DD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2D3DD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свим</w:t>
      </w:r>
      <w:r w:rsidR="002D3DDA"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сценаријима</w:t>
      </w:r>
      <w:r w:rsidR="002D3DDA" w:rsidRPr="005303F7">
        <w:rPr>
          <w:rFonts w:ascii="Times New Roman" w:hAnsi="Times New Roman"/>
          <w:sz w:val="24"/>
          <w:szCs w:val="22"/>
          <w:lang w:val="sr-Cyrl-CS"/>
        </w:rPr>
        <w:t>.</w:t>
      </w:r>
      <w:r w:rsidRPr="005303F7">
        <w:rPr>
          <w:rFonts w:ascii="Times New Roman" w:hAnsi="Times New Roman"/>
          <w:sz w:val="24"/>
          <w:szCs w:val="22"/>
          <w:lang w:val="sr-Cyrl-CS"/>
        </w:rPr>
        <w:tab/>
      </w:r>
      <w:r w:rsidRPr="005303F7">
        <w:rPr>
          <w:rFonts w:ascii="Times New Roman" w:hAnsi="Times New Roman"/>
          <w:sz w:val="24"/>
          <w:szCs w:val="22"/>
          <w:lang w:val="sr-Cyrl-CS"/>
        </w:rPr>
        <w:tab/>
      </w:r>
    </w:p>
    <w:p w14:paraId="0A866D84" w14:textId="6A741EC6" w:rsidR="00C342F2" w:rsidRPr="005303F7" w:rsidRDefault="0039680D" w:rsidP="00FE004C">
      <w:pPr>
        <w:rPr>
          <w:rFonts w:ascii="Times New Roman" w:hAnsi="Times New Roman"/>
          <w:sz w:val="24"/>
          <w:szCs w:val="22"/>
          <w:lang w:val="sr-Cyrl-CS"/>
        </w:rPr>
      </w:pPr>
      <w:r w:rsidRPr="005303F7">
        <w:rPr>
          <w:lang w:val="sr-Cyrl-CS"/>
        </w:rPr>
        <w:t xml:space="preserve">              </w:t>
      </w:r>
      <w:r w:rsidR="00607CBA" w:rsidRPr="005303F7">
        <w:rPr>
          <w:rFonts w:ascii="Times New Roman" w:hAnsi="Times New Roman"/>
          <w:sz w:val="24"/>
          <w:szCs w:val="22"/>
          <w:lang w:val="sr-Cyrl-CS"/>
        </w:rPr>
        <w:t>На</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основу</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претходних</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података</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из</w:t>
      </w:r>
      <w:r w:rsidR="00593EF0"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Табеле</w:t>
      </w:r>
      <w:r w:rsidR="00DF4371" w:rsidRPr="005303F7">
        <w:rPr>
          <w:rFonts w:ascii="Times New Roman" w:hAnsi="Times New Roman"/>
          <w:sz w:val="24"/>
          <w:szCs w:val="22"/>
          <w:lang w:val="sr-Cyrl-CS"/>
        </w:rPr>
        <w:t xml:space="preserve"> 3</w:t>
      </w:r>
      <w:r w:rsidR="00787AA0" w:rsidRPr="005303F7">
        <w:rPr>
          <w:rFonts w:ascii="Times New Roman" w:hAnsi="Times New Roman"/>
          <w:sz w:val="24"/>
          <w:szCs w:val="22"/>
          <w:lang w:val="sr-Cyrl-CS"/>
        </w:rPr>
        <w:t>,</w:t>
      </w:r>
      <w:r w:rsidR="00B43DA0"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очигледно</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је</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да</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се</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сценарио</w:t>
      </w:r>
      <w:r w:rsidR="00C342F2"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C342F2" w:rsidRPr="005303F7">
        <w:rPr>
          <w:rFonts w:ascii="Times New Roman" w:hAnsi="Times New Roman"/>
          <w:sz w:val="24"/>
          <w:szCs w:val="22"/>
          <w:lang w:val="sr-Cyrl-CS"/>
        </w:rPr>
        <w:t>2</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може</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сматрати</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неизбежним</w:t>
      </w:r>
      <w:r w:rsidR="0035174D" w:rsidRPr="005303F7">
        <w:rPr>
          <w:rFonts w:ascii="Times New Roman" w:hAnsi="Times New Roman"/>
          <w:sz w:val="24"/>
          <w:szCs w:val="22"/>
          <w:lang w:val="sr-Cyrl-CS"/>
        </w:rPr>
        <w:t>”</w:t>
      </w:r>
      <w:r w:rsidR="00C342F2"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када</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се</w:t>
      </w:r>
      <w:r w:rsidR="001D42A6" w:rsidRPr="005303F7">
        <w:rPr>
          <w:rFonts w:ascii="Times New Roman" w:hAnsi="Times New Roman"/>
          <w:sz w:val="24"/>
          <w:szCs w:val="22"/>
          <w:lang w:val="sr-Cyrl-CS"/>
        </w:rPr>
        <w:t xml:space="preserve"> </w:t>
      </w:r>
      <w:r w:rsidR="00D73AAB" w:rsidRPr="005303F7">
        <w:rPr>
          <w:rFonts w:ascii="Times New Roman" w:hAnsi="Times New Roman"/>
          <w:sz w:val="24"/>
          <w:szCs w:val="22"/>
          <w:lang w:val="sr-Cyrl-CS"/>
        </w:rPr>
        <w:t>Република Србија</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придружи</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ЕУ</w:t>
      </w:r>
      <w:r w:rsidR="00C342F2"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као</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да</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он</w:t>
      </w:r>
      <w:r w:rsidR="00E74852"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представља</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лакши</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начин</w:t>
      </w:r>
      <w:r w:rsidR="00FF6B72"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смањење</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емисија</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са</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најмање</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додатних</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трошкова</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српску</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економију</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1D42A6"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друштво</w:t>
      </w:r>
      <w:r w:rsidR="00F90240"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али</w:t>
      </w:r>
      <w:r w:rsidR="00E74852"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E74852"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E74852"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погледу</w:t>
      </w:r>
      <w:r w:rsidR="00E74852"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утицаја</w:t>
      </w:r>
      <w:r w:rsidR="002838A8"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w:t>
      </w:r>
      <w:r w:rsidR="002838A8"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раст</w:t>
      </w:r>
      <w:r w:rsidR="00E74852"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БДП</w:t>
      </w:r>
      <w:r w:rsidR="00E74852" w:rsidRPr="005303F7">
        <w:rPr>
          <w:rFonts w:ascii="Times New Roman" w:hAnsi="Times New Roman"/>
          <w:sz w:val="24"/>
          <w:szCs w:val="22"/>
          <w:lang w:val="sr-Cyrl-CS"/>
        </w:rPr>
        <w:t>-</w:t>
      </w:r>
      <w:r w:rsidR="00607CBA" w:rsidRPr="005303F7">
        <w:rPr>
          <w:rFonts w:ascii="Times New Roman" w:hAnsi="Times New Roman"/>
          <w:sz w:val="24"/>
          <w:szCs w:val="22"/>
          <w:lang w:val="sr-Cyrl-CS"/>
        </w:rPr>
        <w:t>а</w:t>
      </w:r>
      <w:r w:rsidR="00E74852"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запослења</w:t>
      </w:r>
      <w:r w:rsidR="00E74852"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E74852"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удела</w:t>
      </w:r>
      <w:r w:rsidR="00E74852"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трошкова</w:t>
      </w:r>
      <w:r w:rsidR="00E74852"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w:t>
      </w:r>
      <w:r w:rsidR="00E74852"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енергију</w:t>
      </w:r>
      <w:r w:rsidR="00E74852"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E74852"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потрошњи</w:t>
      </w:r>
      <w:r w:rsidR="00E74852"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домаћинстава</w:t>
      </w:r>
      <w:r w:rsidR="00E74852"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посебно</w:t>
      </w:r>
      <w:r w:rsidR="00E74852"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до</w:t>
      </w:r>
      <w:r w:rsidR="00E74852" w:rsidRPr="005303F7">
        <w:rPr>
          <w:rFonts w:ascii="Times New Roman" w:hAnsi="Times New Roman"/>
          <w:sz w:val="24"/>
          <w:szCs w:val="22"/>
          <w:lang w:val="sr-Cyrl-CS"/>
        </w:rPr>
        <w:t xml:space="preserve"> 2030. </w:t>
      </w:r>
      <w:r w:rsidR="00607CBA" w:rsidRPr="005303F7">
        <w:rPr>
          <w:rFonts w:ascii="Times New Roman" w:hAnsi="Times New Roman"/>
          <w:sz w:val="24"/>
          <w:szCs w:val="22"/>
          <w:lang w:val="sr-Cyrl-CS"/>
        </w:rPr>
        <w:t>године</w:t>
      </w:r>
      <w:r w:rsidR="0051507F" w:rsidRPr="005303F7">
        <w:rPr>
          <w:rFonts w:ascii="Times New Roman" w:hAnsi="Times New Roman"/>
          <w:sz w:val="24"/>
          <w:szCs w:val="22"/>
          <w:lang w:val="sr-Cyrl-CS"/>
        </w:rPr>
        <w:t>.</w:t>
      </w:r>
      <w:r w:rsidR="00C342F2" w:rsidRPr="005303F7">
        <w:rPr>
          <w:rFonts w:ascii="Times New Roman" w:hAnsi="Times New Roman"/>
          <w:sz w:val="24"/>
          <w:szCs w:val="22"/>
          <w:lang w:val="sr-Cyrl-CS"/>
        </w:rPr>
        <w:t xml:space="preserve"> </w:t>
      </w:r>
    </w:p>
    <w:p w14:paraId="47C7E8A1" w14:textId="03CD8DDD" w:rsidR="000C1C7B" w:rsidRPr="005303F7" w:rsidRDefault="00555C65" w:rsidP="000C1C7B">
      <w:pPr>
        <w:rPr>
          <w:rFonts w:ascii="Times New Roman" w:hAnsi="Times New Roman"/>
          <w:sz w:val="24"/>
          <w:szCs w:val="22"/>
          <w:lang w:val="sr-Cyrl-CS"/>
        </w:rPr>
      </w:pPr>
      <w:r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Међутим</w:t>
      </w:r>
      <w:r w:rsidR="00D1098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до</w:t>
      </w:r>
      <w:r w:rsidR="00D10989" w:rsidRPr="005303F7">
        <w:rPr>
          <w:rFonts w:ascii="Times New Roman" w:hAnsi="Times New Roman"/>
          <w:sz w:val="24"/>
          <w:szCs w:val="22"/>
          <w:lang w:val="sr-Cyrl-CS"/>
        </w:rPr>
        <w:t xml:space="preserve"> 2050. </w:t>
      </w:r>
      <w:r w:rsidR="00607CBA" w:rsidRPr="005303F7">
        <w:rPr>
          <w:rFonts w:ascii="Times New Roman" w:hAnsi="Times New Roman"/>
          <w:sz w:val="24"/>
          <w:szCs w:val="22"/>
          <w:lang w:val="sr-Cyrl-CS"/>
        </w:rPr>
        <w:t>године</w:t>
      </w:r>
      <w:r w:rsidR="00D1098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сценарији</w:t>
      </w:r>
      <w:r w:rsidR="00D1098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D10989" w:rsidRPr="005303F7">
        <w:rPr>
          <w:rFonts w:ascii="Times New Roman" w:hAnsi="Times New Roman"/>
          <w:sz w:val="24"/>
          <w:szCs w:val="22"/>
          <w:lang w:val="sr-Cyrl-CS"/>
        </w:rPr>
        <w:t xml:space="preserve">2 </w:t>
      </w:r>
      <w:r w:rsidR="00607CBA" w:rsidRPr="005303F7">
        <w:rPr>
          <w:rFonts w:ascii="Times New Roman" w:hAnsi="Times New Roman"/>
          <w:sz w:val="24"/>
          <w:szCs w:val="22"/>
          <w:lang w:val="sr-Cyrl-CS"/>
        </w:rPr>
        <w:t>и</w:t>
      </w:r>
      <w:r w:rsidR="00D1098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D10989" w:rsidRPr="005303F7">
        <w:rPr>
          <w:rFonts w:ascii="Times New Roman" w:hAnsi="Times New Roman"/>
          <w:sz w:val="24"/>
          <w:szCs w:val="22"/>
          <w:lang w:val="sr-Cyrl-CS"/>
        </w:rPr>
        <w:t xml:space="preserve">3 </w:t>
      </w:r>
      <w:r w:rsidR="00607CBA" w:rsidRPr="005303F7">
        <w:rPr>
          <w:rFonts w:ascii="Times New Roman" w:hAnsi="Times New Roman"/>
          <w:sz w:val="24"/>
          <w:szCs w:val="22"/>
          <w:lang w:val="sr-Cyrl-CS"/>
        </w:rPr>
        <w:t>постиже</w:t>
      </w:r>
      <w:r w:rsidR="00D1098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слично</w:t>
      </w:r>
      <w:r w:rsidR="00D1098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смањење</w:t>
      </w:r>
      <w:r w:rsidR="00D1098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емисија</w:t>
      </w:r>
      <w:r w:rsidR="00D1098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користећи</w:t>
      </w:r>
      <w:r w:rsidR="00D1098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два</w:t>
      </w:r>
      <w:r w:rsidR="00D1098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различита</w:t>
      </w:r>
      <w:r w:rsidR="00D1098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начина</w:t>
      </w:r>
      <w:r w:rsidR="00D1098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Док</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F46BBE" w:rsidRPr="005303F7">
        <w:rPr>
          <w:rFonts w:ascii="Times New Roman" w:hAnsi="Times New Roman"/>
          <w:sz w:val="24"/>
          <w:szCs w:val="22"/>
          <w:lang w:val="sr-Cyrl-CS"/>
        </w:rPr>
        <w:t xml:space="preserve">3 </w:t>
      </w:r>
      <w:r w:rsidR="00607CBA" w:rsidRPr="005303F7">
        <w:rPr>
          <w:rFonts w:ascii="Times New Roman" w:hAnsi="Times New Roman"/>
          <w:sz w:val="24"/>
          <w:szCs w:val="22"/>
          <w:lang w:val="sr-Cyrl-CS"/>
        </w:rPr>
        <w:t>постиже</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дубље</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смањење</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емисије</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кратком</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року</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до</w:t>
      </w:r>
      <w:r w:rsidR="00F46BBE" w:rsidRPr="005303F7">
        <w:rPr>
          <w:rFonts w:ascii="Times New Roman" w:hAnsi="Times New Roman"/>
          <w:sz w:val="24"/>
          <w:szCs w:val="22"/>
          <w:lang w:val="sr-Cyrl-CS"/>
        </w:rPr>
        <w:t xml:space="preserve"> 2030. </w:t>
      </w:r>
      <w:r w:rsidR="00607CBA" w:rsidRPr="005303F7">
        <w:rPr>
          <w:rFonts w:ascii="Times New Roman" w:hAnsi="Times New Roman"/>
          <w:sz w:val="24"/>
          <w:szCs w:val="22"/>
          <w:lang w:val="sr-Cyrl-CS"/>
        </w:rPr>
        <w:t>године</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сценари</w:t>
      </w:r>
      <w:r w:rsidR="001A6FDE" w:rsidRPr="005303F7">
        <w:rPr>
          <w:rFonts w:ascii="Times New Roman" w:hAnsi="Times New Roman"/>
          <w:sz w:val="24"/>
          <w:szCs w:val="22"/>
          <w:lang w:val="sr-Cyrl-CS"/>
        </w:rPr>
        <w:t>o</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F46BBE" w:rsidRPr="005303F7">
        <w:rPr>
          <w:rFonts w:ascii="Times New Roman" w:hAnsi="Times New Roman"/>
          <w:sz w:val="24"/>
          <w:szCs w:val="22"/>
          <w:lang w:val="sr-Cyrl-CS"/>
        </w:rPr>
        <w:t xml:space="preserve">2 </w:t>
      </w:r>
      <w:r w:rsidR="00607CBA" w:rsidRPr="005303F7">
        <w:rPr>
          <w:rFonts w:ascii="Times New Roman" w:hAnsi="Times New Roman"/>
          <w:sz w:val="24"/>
          <w:szCs w:val="22"/>
          <w:lang w:val="sr-Cyrl-CS"/>
        </w:rPr>
        <w:t>почиње</w:t>
      </w:r>
      <w:r w:rsidR="00F46BBE" w:rsidRPr="005303F7">
        <w:rPr>
          <w:rFonts w:ascii="Times New Roman" w:hAnsi="Times New Roman"/>
          <w:sz w:val="24"/>
          <w:szCs w:val="22"/>
          <w:lang w:val="sr-Cyrl-CS"/>
        </w:rPr>
        <w:t xml:space="preserve"> </w:t>
      </w:r>
      <w:r w:rsidR="00341956" w:rsidRPr="005303F7">
        <w:rPr>
          <w:rFonts w:ascii="Times New Roman" w:hAnsi="Times New Roman"/>
          <w:sz w:val="24"/>
          <w:szCs w:val="22"/>
          <w:lang w:val="sr-Cyrl-CS"/>
        </w:rPr>
        <w:t>споријим темпом</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повећава</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ниво</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смањења</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емисија</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периоду</w:t>
      </w:r>
      <w:r w:rsidR="00F46BBE" w:rsidRPr="005303F7">
        <w:rPr>
          <w:rFonts w:ascii="Times New Roman" w:hAnsi="Times New Roman"/>
          <w:sz w:val="24"/>
          <w:szCs w:val="22"/>
          <w:lang w:val="sr-Cyrl-CS"/>
        </w:rPr>
        <w:t xml:space="preserve"> 2030-2040. </w:t>
      </w:r>
      <w:r w:rsidR="00607CBA" w:rsidRPr="005303F7">
        <w:rPr>
          <w:rFonts w:ascii="Times New Roman" w:hAnsi="Times New Roman"/>
          <w:sz w:val="24"/>
          <w:szCs w:val="22"/>
          <w:lang w:val="sr-Cyrl-CS"/>
        </w:rPr>
        <w:t>Смањивање</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емисије</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бржим</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темпом</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као</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AE00A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случају</w:t>
      </w:r>
      <w:r w:rsidR="00AE00A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F46BBE" w:rsidRPr="005303F7">
        <w:rPr>
          <w:rFonts w:ascii="Times New Roman" w:hAnsi="Times New Roman"/>
          <w:sz w:val="24"/>
          <w:szCs w:val="22"/>
          <w:lang w:val="sr-Cyrl-CS"/>
        </w:rPr>
        <w:t xml:space="preserve">3), </w:t>
      </w:r>
      <w:r w:rsidR="00607CBA" w:rsidRPr="005303F7">
        <w:rPr>
          <w:rFonts w:ascii="Times New Roman" w:hAnsi="Times New Roman"/>
          <w:sz w:val="24"/>
          <w:szCs w:val="22"/>
          <w:lang w:val="sr-Cyrl-CS"/>
        </w:rPr>
        <w:t>у</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поређењу</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са</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истим</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смањењем</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емисија</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споријим</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темпом</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F46BBE" w:rsidRPr="005303F7">
        <w:rPr>
          <w:rFonts w:ascii="Times New Roman" w:hAnsi="Times New Roman"/>
          <w:sz w:val="24"/>
          <w:szCs w:val="22"/>
          <w:lang w:val="sr-Cyrl-CS"/>
        </w:rPr>
        <w:t xml:space="preserve">2) </w:t>
      </w:r>
      <w:r w:rsidR="00607CBA" w:rsidRPr="005303F7">
        <w:rPr>
          <w:rFonts w:ascii="Times New Roman" w:hAnsi="Times New Roman"/>
          <w:sz w:val="24"/>
          <w:szCs w:val="22"/>
          <w:lang w:val="sr-Cyrl-CS"/>
        </w:rPr>
        <w:t>у</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истом</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временском</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периоду</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захтева</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додатна</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средства</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појачава</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друштвено</w:t>
      </w:r>
      <w:r w:rsidR="00F46BBE" w:rsidRPr="005303F7">
        <w:rPr>
          <w:rFonts w:ascii="Times New Roman" w:hAnsi="Times New Roman"/>
          <w:sz w:val="24"/>
          <w:szCs w:val="22"/>
          <w:lang w:val="sr-Cyrl-CS"/>
        </w:rPr>
        <w:t>-</w:t>
      </w:r>
      <w:r w:rsidR="00607CBA" w:rsidRPr="005303F7">
        <w:rPr>
          <w:rFonts w:ascii="Times New Roman" w:hAnsi="Times New Roman"/>
          <w:sz w:val="24"/>
          <w:szCs w:val="22"/>
          <w:lang w:val="sr-Cyrl-CS"/>
        </w:rPr>
        <w:t>економске</w:t>
      </w:r>
      <w:r w:rsidR="00F46BB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утицаје</w:t>
      </w:r>
      <w:r w:rsidR="00F46BBE" w:rsidRPr="005303F7">
        <w:rPr>
          <w:rFonts w:ascii="Times New Roman" w:hAnsi="Times New Roman"/>
          <w:sz w:val="24"/>
          <w:szCs w:val="22"/>
          <w:lang w:val="sr-Cyrl-CS"/>
        </w:rPr>
        <w:t>.</w:t>
      </w:r>
      <w:r w:rsidR="00382947"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Стога</w:t>
      </w:r>
      <w:r w:rsidR="00FB46C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би</w:t>
      </w:r>
      <w:r w:rsidR="00FB46C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сценарио</w:t>
      </w:r>
      <w:r w:rsidR="00FB46C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FB46C3" w:rsidRPr="005303F7">
        <w:rPr>
          <w:rFonts w:ascii="Times New Roman" w:hAnsi="Times New Roman"/>
          <w:sz w:val="24"/>
          <w:szCs w:val="22"/>
          <w:lang w:val="sr-Cyrl-CS"/>
        </w:rPr>
        <w:t xml:space="preserve">3 </w:t>
      </w:r>
      <w:r w:rsidR="00607CBA" w:rsidRPr="005303F7">
        <w:rPr>
          <w:rFonts w:ascii="Times New Roman" w:hAnsi="Times New Roman"/>
          <w:sz w:val="24"/>
          <w:szCs w:val="22"/>
          <w:lang w:val="sr-Cyrl-CS"/>
        </w:rPr>
        <w:t>до</w:t>
      </w:r>
      <w:r w:rsidR="00FB46C3" w:rsidRPr="005303F7">
        <w:rPr>
          <w:rFonts w:ascii="Times New Roman" w:hAnsi="Times New Roman"/>
          <w:sz w:val="24"/>
          <w:szCs w:val="22"/>
          <w:lang w:val="sr-Cyrl-CS"/>
        </w:rPr>
        <w:t xml:space="preserve"> 2030. </w:t>
      </w:r>
      <w:r w:rsidR="00607CBA" w:rsidRPr="005303F7">
        <w:rPr>
          <w:rFonts w:ascii="Times New Roman" w:hAnsi="Times New Roman"/>
          <w:sz w:val="24"/>
          <w:szCs w:val="22"/>
          <w:lang w:val="sr-Cyrl-CS"/>
        </w:rPr>
        <w:t>године</w:t>
      </w:r>
      <w:r w:rsidR="00FB46C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укључивао</w:t>
      </w:r>
      <w:r w:rsidR="00FB46C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додатне</w:t>
      </w:r>
      <w:r w:rsidR="00FB46C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системске</w:t>
      </w:r>
      <w:r w:rsidR="00FB46C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трошкове</w:t>
      </w:r>
      <w:r w:rsidR="00FB46C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од</w:t>
      </w:r>
      <w:r w:rsidR="00FB46C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око</w:t>
      </w:r>
      <w:r w:rsidR="00FB46C3" w:rsidRPr="005303F7">
        <w:rPr>
          <w:rFonts w:ascii="Times New Roman" w:hAnsi="Times New Roman"/>
          <w:sz w:val="24"/>
          <w:szCs w:val="22"/>
          <w:lang w:val="sr-Cyrl-CS"/>
        </w:rPr>
        <w:t xml:space="preserve"> 5 </w:t>
      </w:r>
      <w:r w:rsidR="0039680D" w:rsidRPr="005303F7">
        <w:rPr>
          <w:rFonts w:ascii="Times New Roman" w:hAnsi="Times New Roman"/>
          <w:sz w:val="24"/>
          <w:szCs w:val="22"/>
          <w:lang w:val="sr-Cyrl-CS"/>
        </w:rPr>
        <w:t>милијарди</w:t>
      </w:r>
      <w:r w:rsidR="00FB46C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евра</w:t>
      </w:r>
      <w:r w:rsidR="00FB46C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FB46C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поређењу</w:t>
      </w:r>
      <w:r w:rsidR="00FB46C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са</w:t>
      </w:r>
      <w:r w:rsidR="00FB46C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сценаријем</w:t>
      </w:r>
      <w:r w:rsidR="00FB46C3"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FB46C3" w:rsidRPr="005303F7">
        <w:rPr>
          <w:rFonts w:ascii="Times New Roman" w:hAnsi="Times New Roman"/>
          <w:sz w:val="24"/>
          <w:szCs w:val="22"/>
          <w:lang w:val="sr-Cyrl-CS"/>
        </w:rPr>
        <w:t>2.</w:t>
      </w:r>
    </w:p>
    <w:p w14:paraId="3080AE18" w14:textId="34D7078C" w:rsidR="002342E5" w:rsidRPr="005303F7" w:rsidRDefault="00555C65" w:rsidP="000C1C7B">
      <w:pPr>
        <w:rPr>
          <w:rFonts w:ascii="Times New Roman" w:hAnsi="Times New Roman"/>
          <w:sz w:val="24"/>
          <w:szCs w:val="22"/>
          <w:lang w:val="sr-Cyrl-CS"/>
        </w:rPr>
      </w:pPr>
      <w:r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Сценарио</w:t>
      </w:r>
      <w:r w:rsidR="005842A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5842AF" w:rsidRPr="005303F7">
        <w:rPr>
          <w:rFonts w:ascii="Times New Roman" w:hAnsi="Times New Roman"/>
          <w:sz w:val="24"/>
          <w:szCs w:val="22"/>
          <w:lang w:val="sr-Cyrl-CS"/>
        </w:rPr>
        <w:t xml:space="preserve">4 </w:t>
      </w:r>
      <w:r w:rsidR="00607CBA" w:rsidRPr="005303F7">
        <w:rPr>
          <w:rFonts w:ascii="Times New Roman" w:hAnsi="Times New Roman"/>
          <w:sz w:val="24"/>
          <w:szCs w:val="22"/>
          <w:lang w:val="sr-Cyrl-CS"/>
        </w:rPr>
        <w:t>представља</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највеће</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смањење</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емисије</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до</w:t>
      </w:r>
      <w:r w:rsidR="00A04FEF" w:rsidRPr="005303F7">
        <w:rPr>
          <w:rFonts w:ascii="Times New Roman" w:hAnsi="Times New Roman"/>
          <w:sz w:val="24"/>
          <w:szCs w:val="22"/>
          <w:lang w:val="sr-Cyrl-CS"/>
        </w:rPr>
        <w:t xml:space="preserve"> </w:t>
      </w:r>
      <w:r w:rsidR="005842AF" w:rsidRPr="005303F7">
        <w:rPr>
          <w:rFonts w:ascii="Times New Roman" w:hAnsi="Times New Roman"/>
          <w:sz w:val="24"/>
          <w:szCs w:val="22"/>
          <w:lang w:val="sr-Cyrl-CS"/>
        </w:rPr>
        <w:t>2050</w:t>
      </w:r>
      <w:r w:rsidR="00EF6A1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године</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захтева</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највеће</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додатне</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трошкове</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основу</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тога</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има</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већи</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утицај</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БДП</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запосленост</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од</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сценарија</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A04FEF" w:rsidRPr="005303F7">
        <w:rPr>
          <w:rFonts w:ascii="Times New Roman" w:hAnsi="Times New Roman"/>
          <w:sz w:val="24"/>
          <w:szCs w:val="22"/>
          <w:lang w:val="sr-Cyrl-CS"/>
        </w:rPr>
        <w:t xml:space="preserve">2 </w:t>
      </w:r>
      <w:r w:rsidR="00607CBA" w:rsidRPr="005303F7">
        <w:rPr>
          <w:rFonts w:ascii="Times New Roman" w:hAnsi="Times New Roman"/>
          <w:sz w:val="24"/>
          <w:szCs w:val="22"/>
          <w:lang w:val="sr-Cyrl-CS"/>
        </w:rPr>
        <w:t>и</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A04FEF" w:rsidRPr="005303F7">
        <w:rPr>
          <w:rFonts w:ascii="Times New Roman" w:hAnsi="Times New Roman"/>
          <w:sz w:val="24"/>
          <w:szCs w:val="22"/>
          <w:lang w:val="sr-Cyrl-CS"/>
        </w:rPr>
        <w:t>3.</w:t>
      </w:r>
      <w:r w:rsidR="005842A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Сценарио</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A04FEF" w:rsidRPr="005303F7">
        <w:rPr>
          <w:rFonts w:ascii="Times New Roman" w:hAnsi="Times New Roman"/>
          <w:sz w:val="24"/>
          <w:szCs w:val="22"/>
          <w:lang w:val="sr-Cyrl-CS"/>
        </w:rPr>
        <w:t xml:space="preserve">4 </w:t>
      </w:r>
      <w:r w:rsidR="00607CBA" w:rsidRPr="005303F7">
        <w:rPr>
          <w:rFonts w:ascii="Times New Roman" w:hAnsi="Times New Roman"/>
          <w:sz w:val="24"/>
          <w:szCs w:val="22"/>
          <w:lang w:val="sr-Cyrl-CS"/>
        </w:rPr>
        <w:t>такође</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резултира</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највећим</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повећањем</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учешћа</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трошкова</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енергију</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потрошњи</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домаћинстава</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A04FEF" w:rsidRPr="005303F7">
        <w:rPr>
          <w:rFonts w:ascii="Times New Roman" w:hAnsi="Times New Roman"/>
          <w:sz w:val="24"/>
          <w:szCs w:val="22"/>
          <w:lang w:val="sr-Cyrl-CS"/>
        </w:rPr>
        <w:t xml:space="preserve"> 2030. </w:t>
      </w:r>
      <w:r w:rsidR="00607CBA" w:rsidRPr="005303F7">
        <w:rPr>
          <w:rFonts w:ascii="Times New Roman" w:hAnsi="Times New Roman"/>
          <w:sz w:val="24"/>
          <w:szCs w:val="22"/>
          <w:lang w:val="sr-Cyrl-CS"/>
        </w:rPr>
        <w:t>и</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A04FEF" w:rsidRPr="005303F7">
        <w:rPr>
          <w:rFonts w:ascii="Times New Roman" w:hAnsi="Times New Roman"/>
          <w:sz w:val="24"/>
          <w:szCs w:val="22"/>
          <w:lang w:val="sr-Cyrl-CS"/>
        </w:rPr>
        <w:t xml:space="preserve"> 2050. </w:t>
      </w:r>
      <w:r w:rsidR="00607CBA" w:rsidRPr="005303F7">
        <w:rPr>
          <w:rFonts w:ascii="Times New Roman" w:hAnsi="Times New Roman"/>
          <w:sz w:val="24"/>
          <w:szCs w:val="22"/>
          <w:lang w:val="sr-Cyrl-CS"/>
        </w:rPr>
        <w:t>години</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Читав</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пут</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ка</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реализацији</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сценарија</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A04FEF" w:rsidRPr="005303F7">
        <w:rPr>
          <w:rFonts w:ascii="Times New Roman" w:hAnsi="Times New Roman"/>
          <w:sz w:val="24"/>
          <w:szCs w:val="22"/>
          <w:lang w:val="sr-Cyrl-CS"/>
        </w:rPr>
        <w:t xml:space="preserve">3 </w:t>
      </w:r>
      <w:r w:rsidR="00607CBA" w:rsidRPr="005303F7">
        <w:rPr>
          <w:rFonts w:ascii="Times New Roman" w:hAnsi="Times New Roman"/>
          <w:sz w:val="24"/>
          <w:szCs w:val="22"/>
          <w:lang w:val="sr-Cyrl-CS"/>
        </w:rPr>
        <w:t>и</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A04FEF" w:rsidRPr="005303F7">
        <w:rPr>
          <w:rFonts w:ascii="Times New Roman" w:hAnsi="Times New Roman"/>
          <w:sz w:val="24"/>
          <w:szCs w:val="22"/>
          <w:lang w:val="sr-Cyrl-CS"/>
        </w:rPr>
        <w:t>4 (</w:t>
      </w:r>
      <w:r w:rsidR="00607CBA" w:rsidRPr="005303F7">
        <w:rPr>
          <w:rFonts w:ascii="Times New Roman" w:hAnsi="Times New Roman"/>
          <w:sz w:val="24"/>
          <w:szCs w:val="22"/>
          <w:lang w:val="sr-Cyrl-CS"/>
        </w:rPr>
        <w:t>од</w:t>
      </w:r>
      <w:r w:rsidR="00A04FEF" w:rsidRPr="005303F7">
        <w:rPr>
          <w:rFonts w:ascii="Times New Roman" w:hAnsi="Times New Roman"/>
          <w:sz w:val="24"/>
          <w:szCs w:val="22"/>
          <w:lang w:val="sr-Cyrl-CS"/>
        </w:rPr>
        <w:t xml:space="preserve"> 2020. </w:t>
      </w:r>
      <w:r w:rsidR="00607CBA" w:rsidRPr="005303F7">
        <w:rPr>
          <w:rFonts w:ascii="Times New Roman" w:hAnsi="Times New Roman"/>
          <w:sz w:val="24"/>
          <w:szCs w:val="22"/>
          <w:lang w:val="sr-Cyrl-CS"/>
        </w:rPr>
        <w:t>до</w:t>
      </w:r>
      <w:r w:rsidR="00A04FEF" w:rsidRPr="005303F7">
        <w:rPr>
          <w:rFonts w:ascii="Times New Roman" w:hAnsi="Times New Roman"/>
          <w:sz w:val="24"/>
          <w:szCs w:val="22"/>
          <w:lang w:val="sr-Cyrl-CS"/>
        </w:rPr>
        <w:t xml:space="preserve"> 2050. </w:t>
      </w:r>
      <w:r w:rsidR="00607CBA" w:rsidRPr="005303F7">
        <w:rPr>
          <w:rFonts w:ascii="Times New Roman" w:hAnsi="Times New Roman"/>
          <w:sz w:val="24"/>
          <w:szCs w:val="22"/>
          <w:lang w:val="sr-Cyrl-CS"/>
        </w:rPr>
        <w:t>године</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могао</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би</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се</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постићи</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додатном</w:t>
      </w:r>
      <w:r w:rsidR="006D4899"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финансијском</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технолошком</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подршком</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међународне</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заједнице</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ЕУ</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поред</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оне</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која</w:t>
      </w:r>
      <w:r w:rsidR="00B1246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је</w:t>
      </w:r>
      <w:r w:rsidR="00B1246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потребна</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примену</w:t>
      </w:r>
      <w:r w:rsidR="00A04FE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A04FEF" w:rsidRPr="005303F7">
        <w:rPr>
          <w:rFonts w:ascii="Times New Roman" w:hAnsi="Times New Roman"/>
          <w:sz w:val="24"/>
          <w:szCs w:val="22"/>
          <w:lang w:val="sr-Cyrl-CS"/>
        </w:rPr>
        <w:t>2.</w:t>
      </w:r>
    </w:p>
    <w:p w14:paraId="1353C74B" w14:textId="61317784" w:rsidR="000C5A62" w:rsidRPr="005303F7" w:rsidRDefault="00607CBA" w:rsidP="00682F18">
      <w:pPr>
        <w:pStyle w:val="Einzug1"/>
        <w:rPr>
          <w:rFonts w:ascii="Times New Roman" w:hAnsi="Times New Roman" w:cs="Times New Roman"/>
          <w:caps/>
          <w:lang w:val="sr-Cyrl-CS"/>
        </w:rPr>
      </w:pPr>
      <w:bookmarkStart w:id="150" w:name="_Toc26686104"/>
      <w:r w:rsidRPr="005303F7">
        <w:rPr>
          <w:rFonts w:ascii="Times New Roman" w:hAnsi="Times New Roman" w:cs="Times New Roman"/>
          <w:caps/>
          <w:lang w:val="sr-Cyrl-CS"/>
        </w:rPr>
        <w:t>Општи</w:t>
      </w:r>
      <w:r w:rsidR="00974979" w:rsidRPr="005303F7">
        <w:rPr>
          <w:rFonts w:ascii="Times New Roman" w:hAnsi="Times New Roman" w:cs="Times New Roman"/>
          <w:caps/>
          <w:lang w:val="sr-Cyrl-CS"/>
        </w:rPr>
        <w:t xml:space="preserve"> </w:t>
      </w:r>
      <w:r w:rsidRPr="005303F7">
        <w:rPr>
          <w:rFonts w:ascii="Times New Roman" w:hAnsi="Times New Roman" w:cs="Times New Roman"/>
          <w:caps/>
          <w:lang w:val="sr-Cyrl-CS"/>
        </w:rPr>
        <w:t>и</w:t>
      </w:r>
      <w:r w:rsidR="00974979" w:rsidRPr="005303F7">
        <w:rPr>
          <w:rFonts w:ascii="Times New Roman" w:hAnsi="Times New Roman" w:cs="Times New Roman"/>
          <w:caps/>
          <w:lang w:val="sr-Cyrl-CS"/>
        </w:rPr>
        <w:t xml:space="preserve"> </w:t>
      </w:r>
      <w:r w:rsidRPr="005303F7">
        <w:rPr>
          <w:rFonts w:ascii="Times New Roman" w:hAnsi="Times New Roman" w:cs="Times New Roman"/>
          <w:caps/>
          <w:lang w:val="sr-Cyrl-CS"/>
        </w:rPr>
        <w:t>посебни</w:t>
      </w:r>
      <w:r w:rsidR="00974979" w:rsidRPr="005303F7">
        <w:rPr>
          <w:rFonts w:ascii="Times New Roman" w:hAnsi="Times New Roman" w:cs="Times New Roman"/>
          <w:caps/>
          <w:lang w:val="sr-Cyrl-CS"/>
        </w:rPr>
        <w:t xml:space="preserve"> </w:t>
      </w:r>
      <w:r w:rsidRPr="005303F7">
        <w:rPr>
          <w:rFonts w:ascii="Times New Roman" w:hAnsi="Times New Roman" w:cs="Times New Roman"/>
          <w:caps/>
          <w:lang w:val="sr-Cyrl-CS"/>
        </w:rPr>
        <w:t>циљев</w:t>
      </w:r>
      <w:bookmarkEnd w:id="150"/>
      <w:r w:rsidRPr="005303F7">
        <w:rPr>
          <w:rFonts w:ascii="Times New Roman" w:hAnsi="Times New Roman" w:cs="Times New Roman"/>
          <w:caps/>
          <w:lang w:val="sr-Cyrl-CS"/>
        </w:rPr>
        <w:t>и</w:t>
      </w:r>
    </w:p>
    <w:p w14:paraId="609608DB" w14:textId="7227B65C" w:rsidR="0038075D" w:rsidRPr="005303F7" w:rsidRDefault="00555C65" w:rsidP="0003171D">
      <w:pPr>
        <w:rPr>
          <w:rFonts w:ascii="Times New Roman" w:hAnsi="Times New Roman"/>
          <w:sz w:val="24"/>
          <w:szCs w:val="22"/>
          <w:lang w:val="sr-Cyrl-CS"/>
        </w:rPr>
      </w:pPr>
      <w:r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w:t>
      </w:r>
      <w:r w:rsidR="00A677A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основу</w:t>
      </w:r>
      <w:r w:rsidR="00A677A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резултата</w:t>
      </w:r>
      <w:r w:rsidR="00A677A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путања</w:t>
      </w:r>
      <w:r w:rsidR="00A677A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емисија</w:t>
      </w:r>
      <w:r w:rsidR="00A677A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GHG</w:t>
      </w:r>
      <w:r w:rsidR="00A677A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дефинисана</w:t>
      </w:r>
      <w:r w:rsidR="00A677A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A677A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A677AF" w:rsidRPr="005303F7">
        <w:rPr>
          <w:rFonts w:ascii="Times New Roman" w:hAnsi="Times New Roman"/>
          <w:sz w:val="24"/>
          <w:szCs w:val="22"/>
          <w:lang w:val="sr-Cyrl-CS"/>
        </w:rPr>
        <w:t xml:space="preserve">2 </w:t>
      </w:r>
      <w:r w:rsidR="00607CBA" w:rsidRPr="005303F7">
        <w:rPr>
          <w:rFonts w:ascii="Times New Roman" w:hAnsi="Times New Roman"/>
          <w:sz w:val="24"/>
          <w:szCs w:val="22"/>
          <w:lang w:val="sr-Cyrl-CS"/>
        </w:rPr>
        <w:t>до</w:t>
      </w:r>
      <w:r w:rsidR="00A677AF" w:rsidRPr="005303F7">
        <w:rPr>
          <w:rFonts w:ascii="Times New Roman" w:hAnsi="Times New Roman"/>
          <w:sz w:val="24"/>
          <w:szCs w:val="22"/>
          <w:lang w:val="sr-Cyrl-CS"/>
        </w:rPr>
        <w:t xml:space="preserve"> 2030. </w:t>
      </w:r>
      <w:r w:rsidR="00607CBA" w:rsidRPr="005303F7">
        <w:rPr>
          <w:rFonts w:ascii="Times New Roman" w:hAnsi="Times New Roman"/>
          <w:sz w:val="24"/>
          <w:szCs w:val="22"/>
          <w:lang w:val="sr-Cyrl-CS"/>
        </w:rPr>
        <w:t>године</w:t>
      </w:r>
      <w:r w:rsidR="00A677A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као</w:t>
      </w:r>
      <w:r w:rsidR="0038075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A677A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низ</w:t>
      </w:r>
      <w:r w:rsidR="00A677A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опција</w:t>
      </w:r>
      <w:r w:rsidR="00707FC8" w:rsidRPr="005303F7">
        <w:rPr>
          <w:rFonts w:ascii="Times New Roman" w:hAnsi="Times New Roman"/>
          <w:sz w:val="24"/>
          <w:szCs w:val="22"/>
          <w:lang w:val="sr-Cyrl-CS"/>
        </w:rPr>
        <w:t>,</w:t>
      </w:r>
      <w:r w:rsidR="00A677A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сценарија</w:t>
      </w:r>
      <w:r w:rsidR="00A677A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A677AF" w:rsidRPr="005303F7">
        <w:rPr>
          <w:rFonts w:ascii="Times New Roman" w:hAnsi="Times New Roman"/>
          <w:sz w:val="24"/>
          <w:szCs w:val="22"/>
          <w:lang w:val="sr-Cyrl-CS"/>
        </w:rPr>
        <w:t xml:space="preserve">2 </w:t>
      </w:r>
      <w:r w:rsidR="00607CBA" w:rsidRPr="005303F7">
        <w:rPr>
          <w:rFonts w:ascii="Times New Roman" w:hAnsi="Times New Roman"/>
          <w:sz w:val="24"/>
          <w:szCs w:val="22"/>
          <w:lang w:val="sr-Cyrl-CS"/>
        </w:rPr>
        <w:t>до</w:t>
      </w:r>
      <w:r w:rsidR="00A677A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A677AF" w:rsidRPr="005303F7">
        <w:rPr>
          <w:rFonts w:ascii="Times New Roman" w:hAnsi="Times New Roman"/>
          <w:sz w:val="24"/>
          <w:szCs w:val="22"/>
          <w:lang w:val="sr-Cyrl-CS"/>
        </w:rPr>
        <w:t xml:space="preserve">4 </w:t>
      </w:r>
      <w:r w:rsidR="00607CBA" w:rsidRPr="005303F7">
        <w:rPr>
          <w:rFonts w:ascii="Times New Roman" w:hAnsi="Times New Roman"/>
          <w:sz w:val="24"/>
          <w:szCs w:val="22"/>
          <w:lang w:val="sr-Cyrl-CS"/>
        </w:rPr>
        <w:t>до</w:t>
      </w:r>
      <w:r w:rsidR="00A677AF" w:rsidRPr="005303F7">
        <w:rPr>
          <w:rFonts w:ascii="Times New Roman" w:hAnsi="Times New Roman"/>
          <w:sz w:val="24"/>
          <w:szCs w:val="22"/>
          <w:lang w:val="sr-Cyrl-CS"/>
        </w:rPr>
        <w:t xml:space="preserve"> 2050. </w:t>
      </w:r>
      <w:r w:rsidR="00607CBA" w:rsidRPr="005303F7">
        <w:rPr>
          <w:rFonts w:ascii="Times New Roman" w:hAnsi="Times New Roman"/>
          <w:sz w:val="24"/>
          <w:szCs w:val="22"/>
          <w:lang w:val="sr-Cyrl-CS"/>
        </w:rPr>
        <w:t>године</w:t>
      </w:r>
      <w:r w:rsidR="00707FC8" w:rsidRPr="005303F7">
        <w:rPr>
          <w:rFonts w:ascii="Times New Roman" w:hAnsi="Times New Roman"/>
          <w:sz w:val="24"/>
          <w:szCs w:val="22"/>
          <w:lang w:val="sr-Cyrl-CS"/>
        </w:rPr>
        <w:t>,</w:t>
      </w:r>
      <w:r w:rsidR="00A677A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препоручује</w:t>
      </w:r>
      <w:r w:rsidR="00A677A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се</w:t>
      </w:r>
      <w:r w:rsidR="00A677A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као</w:t>
      </w:r>
      <w:r w:rsidR="00A677A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исплатив</w:t>
      </w:r>
      <w:r w:rsidR="00A677A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A677A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друштвено</w:t>
      </w:r>
      <w:r w:rsidR="00707FC8"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праведан</w:t>
      </w:r>
      <w:r w:rsidR="00A677A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начин</w:t>
      </w:r>
      <w:r w:rsidR="00707FC8"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w:t>
      </w:r>
      <w:r w:rsidR="00707FC8"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постизање</w:t>
      </w:r>
      <w:r w:rsidR="00707FC8"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климатске</w:t>
      </w:r>
      <w:r w:rsidR="00A677AF"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визије</w:t>
      </w:r>
      <w:r w:rsidR="00707FC8" w:rsidRPr="005303F7">
        <w:rPr>
          <w:rFonts w:ascii="Times New Roman" w:hAnsi="Times New Roman"/>
          <w:sz w:val="24"/>
          <w:szCs w:val="22"/>
          <w:lang w:val="sr-Cyrl-CS"/>
        </w:rPr>
        <w:t xml:space="preserve">. </w:t>
      </w:r>
    </w:p>
    <w:p w14:paraId="2414A1CD" w14:textId="6CEDE15D" w:rsidR="00FD13CE" w:rsidRPr="005303F7" w:rsidRDefault="00555C65" w:rsidP="0003171D">
      <w:pPr>
        <w:rPr>
          <w:rFonts w:ascii="Times New Roman" w:hAnsi="Times New Roman"/>
          <w:b/>
          <w:sz w:val="24"/>
          <w:szCs w:val="22"/>
          <w:lang w:val="sr-Cyrl-CS"/>
        </w:rPr>
      </w:pPr>
      <w:r w:rsidRPr="005303F7">
        <w:rPr>
          <w:rFonts w:ascii="Times New Roman" w:hAnsi="Times New Roman"/>
          <w:b/>
          <w:sz w:val="24"/>
          <w:szCs w:val="22"/>
          <w:lang w:val="sr-Cyrl-CS"/>
        </w:rPr>
        <w:lastRenderedPageBreak/>
        <w:t xml:space="preserve">             </w:t>
      </w:r>
      <w:r w:rsidR="00607CBA" w:rsidRPr="005303F7">
        <w:rPr>
          <w:rFonts w:ascii="Times New Roman" w:hAnsi="Times New Roman"/>
          <w:b/>
          <w:sz w:val="24"/>
          <w:szCs w:val="22"/>
          <w:lang w:val="sr-Cyrl-CS"/>
        </w:rPr>
        <w:t>На</w:t>
      </w:r>
      <w:r w:rsidR="00AA3AE1"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основу</w:t>
      </w:r>
      <w:r w:rsidR="00AA3AE1"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претходно</w:t>
      </w:r>
      <w:r w:rsidR="00AA3AE1"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изложених</w:t>
      </w:r>
      <w:r w:rsidR="00AA3AE1"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резултата</w:t>
      </w:r>
      <w:r w:rsidR="00D738DD"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потенцијал</w:t>
      </w:r>
      <w:r w:rsidR="00AA3AE1"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за</w:t>
      </w:r>
      <w:r w:rsidR="00AA3AE1"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смањење</w:t>
      </w:r>
      <w:r w:rsidR="00AA3AE1"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емисије</w:t>
      </w:r>
      <w:r w:rsidR="00AA3AE1" w:rsidRPr="005303F7">
        <w:rPr>
          <w:rFonts w:ascii="Times New Roman" w:hAnsi="Times New Roman"/>
          <w:b/>
          <w:sz w:val="24"/>
          <w:szCs w:val="22"/>
          <w:lang w:val="sr-Cyrl-CS"/>
        </w:rPr>
        <w:t xml:space="preserve"> </w:t>
      </w:r>
      <w:r w:rsidR="00BF65FC" w:rsidRPr="005303F7">
        <w:rPr>
          <w:rFonts w:ascii="Times New Roman" w:hAnsi="Times New Roman"/>
          <w:b/>
          <w:sz w:val="24"/>
          <w:szCs w:val="22"/>
          <w:lang w:val="sr-Cyrl-CS"/>
        </w:rPr>
        <w:t>GHG</w:t>
      </w:r>
      <w:r w:rsidR="00AA3AE1"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утицај</w:t>
      </w:r>
      <w:r w:rsidR="00AA3AE1"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на</w:t>
      </w:r>
      <w:r w:rsidR="00AA3AE1"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друштвене</w:t>
      </w:r>
      <w:r w:rsidR="00AA3AE1"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економске</w:t>
      </w:r>
      <w:r w:rsidR="00AA3AE1"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и</w:t>
      </w:r>
      <w:r w:rsidR="00AA3AE1"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еколошке</w:t>
      </w:r>
      <w:r w:rsidR="00AA3AE1"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параметре</w:t>
      </w:r>
      <w:r w:rsidR="00425692" w:rsidRPr="005303F7">
        <w:rPr>
          <w:rFonts w:ascii="Times New Roman" w:hAnsi="Times New Roman"/>
          <w:b/>
          <w:sz w:val="24"/>
          <w:szCs w:val="22"/>
          <w:lang w:val="sr-Cyrl-CS"/>
        </w:rPr>
        <w:t>)</w:t>
      </w:r>
      <w:r w:rsidR="00AA3AE1" w:rsidRPr="005303F7">
        <w:rPr>
          <w:rFonts w:ascii="Times New Roman" w:hAnsi="Times New Roman"/>
          <w:b/>
          <w:sz w:val="24"/>
          <w:szCs w:val="22"/>
          <w:lang w:val="sr-Cyrl-CS"/>
        </w:rPr>
        <w:t>,</w:t>
      </w:r>
      <w:r w:rsidR="00C22061"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препоручује</w:t>
      </w:r>
      <w:r w:rsidR="00AA3AE1"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се</w:t>
      </w:r>
      <w:r w:rsidR="00AA3AE1"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сценарио</w:t>
      </w:r>
      <w:r w:rsidR="00E80C1C"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М</w:t>
      </w:r>
      <w:r w:rsidR="00FD13CE" w:rsidRPr="005303F7">
        <w:rPr>
          <w:rFonts w:ascii="Times New Roman" w:hAnsi="Times New Roman"/>
          <w:b/>
          <w:sz w:val="24"/>
          <w:szCs w:val="22"/>
          <w:lang w:val="sr-Cyrl-CS"/>
        </w:rPr>
        <w:t xml:space="preserve">2 </w:t>
      </w:r>
      <w:r w:rsidR="00607CBA" w:rsidRPr="005303F7">
        <w:rPr>
          <w:rFonts w:ascii="Times New Roman" w:hAnsi="Times New Roman"/>
          <w:b/>
          <w:sz w:val="24"/>
          <w:szCs w:val="22"/>
          <w:lang w:val="sr-Cyrl-CS"/>
        </w:rPr>
        <w:t>до</w:t>
      </w:r>
      <w:r w:rsidR="00425692" w:rsidRPr="005303F7">
        <w:rPr>
          <w:rFonts w:ascii="Times New Roman" w:hAnsi="Times New Roman"/>
          <w:b/>
          <w:sz w:val="24"/>
          <w:szCs w:val="22"/>
          <w:lang w:val="sr-Cyrl-CS"/>
        </w:rPr>
        <w:t xml:space="preserve"> 2030</w:t>
      </w:r>
      <w:r w:rsidR="009A3418" w:rsidRPr="005303F7">
        <w:rPr>
          <w:rFonts w:ascii="Times New Roman" w:hAnsi="Times New Roman"/>
          <w:b/>
          <w:sz w:val="24"/>
          <w:szCs w:val="22"/>
          <w:lang w:val="sr-Cyrl-CS"/>
        </w:rPr>
        <w:t>.</w:t>
      </w:r>
      <w:r w:rsidR="00AA3AE1"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године</w:t>
      </w:r>
      <w:r w:rsidR="00AA3AE1" w:rsidRPr="005303F7">
        <w:rPr>
          <w:rFonts w:ascii="Times New Roman" w:hAnsi="Times New Roman"/>
          <w:b/>
          <w:sz w:val="24"/>
          <w:szCs w:val="22"/>
          <w:lang w:val="sr-Cyrl-CS"/>
        </w:rPr>
        <w:t>.</w:t>
      </w:r>
    </w:p>
    <w:p w14:paraId="1B1EF5FC" w14:textId="095D28A4" w:rsidR="00FD13CE" w:rsidRPr="005303F7" w:rsidRDefault="00555C65" w:rsidP="00FD13CE">
      <w:pPr>
        <w:rPr>
          <w:rFonts w:ascii="Times New Roman" w:hAnsi="Times New Roman"/>
          <w:sz w:val="24"/>
          <w:szCs w:val="22"/>
          <w:lang w:val="sr-Cyrl-CS"/>
        </w:rPr>
      </w:pPr>
      <w:r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Од</w:t>
      </w:r>
      <w:r w:rsidR="00B853D4" w:rsidRPr="005303F7">
        <w:rPr>
          <w:rFonts w:ascii="Times New Roman" w:hAnsi="Times New Roman"/>
          <w:sz w:val="24"/>
          <w:szCs w:val="22"/>
          <w:lang w:val="sr-Cyrl-CS"/>
        </w:rPr>
        <w:t xml:space="preserve"> 2030. </w:t>
      </w:r>
      <w:r w:rsidR="00607CBA" w:rsidRPr="005303F7">
        <w:rPr>
          <w:rFonts w:ascii="Times New Roman" w:hAnsi="Times New Roman"/>
          <w:sz w:val="24"/>
          <w:szCs w:val="22"/>
          <w:lang w:val="sr-Cyrl-CS"/>
        </w:rPr>
        <w:t>до</w:t>
      </w:r>
      <w:r w:rsidR="00B853D4" w:rsidRPr="005303F7">
        <w:rPr>
          <w:rFonts w:ascii="Times New Roman" w:hAnsi="Times New Roman"/>
          <w:sz w:val="24"/>
          <w:szCs w:val="22"/>
          <w:lang w:val="sr-Cyrl-CS"/>
        </w:rPr>
        <w:t xml:space="preserve"> 2050. </w:t>
      </w:r>
      <w:r w:rsidR="00607CBA" w:rsidRPr="005303F7">
        <w:rPr>
          <w:rFonts w:ascii="Times New Roman" w:hAnsi="Times New Roman"/>
          <w:sz w:val="24"/>
          <w:szCs w:val="22"/>
          <w:lang w:val="sr-Cyrl-CS"/>
        </w:rPr>
        <w:t>године</w:t>
      </w:r>
      <w:r w:rsidR="00B853D4" w:rsidRPr="005303F7">
        <w:rPr>
          <w:rFonts w:ascii="Times New Roman" w:hAnsi="Times New Roman"/>
          <w:sz w:val="24"/>
          <w:szCs w:val="22"/>
          <w:lang w:val="sr-Cyrl-CS"/>
        </w:rPr>
        <w:t>,</w:t>
      </w:r>
      <w:r w:rsidR="00FD13CE" w:rsidRPr="005303F7">
        <w:rPr>
          <w:rFonts w:ascii="Times New Roman" w:hAnsi="Times New Roman"/>
          <w:sz w:val="24"/>
          <w:szCs w:val="22"/>
          <w:lang w:val="sr-Cyrl-CS"/>
        </w:rPr>
        <w:t xml:space="preserve"> </w:t>
      </w:r>
      <w:bookmarkStart w:id="151" w:name="_Hlk8738546"/>
      <w:r w:rsidR="00607CBA" w:rsidRPr="005303F7">
        <w:rPr>
          <w:rFonts w:ascii="Times New Roman" w:hAnsi="Times New Roman"/>
          <w:sz w:val="24"/>
          <w:szCs w:val="22"/>
          <w:lang w:val="sr-Cyrl-CS"/>
        </w:rPr>
        <w:t>распон</w:t>
      </w:r>
      <w:r w:rsidR="00A24AE7"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могућих</w:t>
      </w:r>
      <w:r w:rsidR="003C6CE8"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начина</w:t>
      </w:r>
      <w:r w:rsidR="003C6CE8"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w:t>
      </w:r>
      <w:r w:rsidR="00A24AE7"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ублажавање</w:t>
      </w:r>
      <w:r w:rsidR="00A24AE7"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између</w:t>
      </w:r>
      <w:r w:rsidR="00A24AE7"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сценарија</w:t>
      </w:r>
      <w:r w:rsidR="00A24AE7"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A24AE7" w:rsidRPr="005303F7">
        <w:rPr>
          <w:rFonts w:ascii="Times New Roman" w:hAnsi="Times New Roman"/>
          <w:sz w:val="24"/>
          <w:szCs w:val="22"/>
          <w:lang w:val="sr-Cyrl-CS"/>
        </w:rPr>
        <w:t xml:space="preserve">2 </w:t>
      </w:r>
      <w:r w:rsidR="00607CBA" w:rsidRPr="005303F7">
        <w:rPr>
          <w:rFonts w:ascii="Times New Roman" w:hAnsi="Times New Roman"/>
          <w:sz w:val="24"/>
          <w:szCs w:val="22"/>
          <w:lang w:val="sr-Cyrl-CS"/>
        </w:rPr>
        <w:t>и</w:t>
      </w:r>
      <w:r w:rsidR="00A24AE7"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A24AE7" w:rsidRPr="005303F7">
        <w:rPr>
          <w:rFonts w:ascii="Times New Roman" w:hAnsi="Times New Roman"/>
          <w:sz w:val="24"/>
          <w:szCs w:val="22"/>
          <w:lang w:val="sr-Cyrl-CS"/>
        </w:rPr>
        <w:t xml:space="preserve">4 </w:t>
      </w:r>
      <w:r w:rsidR="00607CBA" w:rsidRPr="005303F7">
        <w:rPr>
          <w:rFonts w:ascii="Times New Roman" w:hAnsi="Times New Roman"/>
          <w:sz w:val="24"/>
          <w:szCs w:val="22"/>
          <w:lang w:val="sr-Cyrl-CS"/>
        </w:rPr>
        <w:t>оставља</w:t>
      </w:r>
      <w:r w:rsidR="00A24AE7"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отворене</w:t>
      </w:r>
      <w:r w:rsidR="00A24AE7"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могућности</w:t>
      </w:r>
      <w:r w:rsidR="00A24AE7"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w:t>
      </w:r>
      <w:r w:rsidR="00A24AE7"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будуће</w:t>
      </w:r>
      <w:r w:rsidR="003C6CE8"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одлуке</w:t>
      </w:r>
      <w:r w:rsidR="003C6CE8"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за</w:t>
      </w:r>
      <w:r w:rsidR="003C6CE8"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које</w:t>
      </w:r>
      <w:r w:rsidR="003C6CE8"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искуство</w:t>
      </w:r>
      <w:r w:rsidR="003C6CE8"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примени</w:t>
      </w:r>
      <w:r w:rsidR="00A24AE7"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ове</w:t>
      </w:r>
      <w:r w:rsidR="00A24AE7"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Стратегије</w:t>
      </w:r>
      <w:r w:rsidR="00A24AE7"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може</w:t>
      </w:r>
      <w:r w:rsidR="00A24AE7"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бити</w:t>
      </w:r>
      <w:r w:rsidR="00A24AE7"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од</w:t>
      </w:r>
      <w:r w:rsidR="00A24AE7"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користи</w:t>
      </w:r>
      <w:r w:rsidR="00A24AE7" w:rsidRPr="005303F7">
        <w:rPr>
          <w:rFonts w:ascii="Times New Roman" w:hAnsi="Times New Roman"/>
          <w:sz w:val="24"/>
          <w:szCs w:val="22"/>
          <w:lang w:val="sr-Cyrl-CS"/>
        </w:rPr>
        <w:t>.</w:t>
      </w:r>
    </w:p>
    <w:p w14:paraId="0506281B" w14:textId="7FC81B64" w:rsidR="008C068E" w:rsidRPr="005303F7" w:rsidRDefault="00555C65" w:rsidP="00C04A04">
      <w:pPr>
        <w:rPr>
          <w:rFonts w:ascii="Times New Roman" w:hAnsi="Times New Roman"/>
          <w:sz w:val="24"/>
          <w:szCs w:val="22"/>
          <w:lang w:val="sr-Cyrl-CS"/>
        </w:rPr>
      </w:pPr>
      <w:bookmarkStart w:id="152" w:name="_Hlk12880491"/>
      <w:bookmarkEnd w:id="151"/>
      <w:r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Поред</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тога</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овај</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приступ</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је</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складу</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са</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резултатом</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Стратешке</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процене</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утицаја</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животну</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средину</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чијем</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извештају</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се</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наводи</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да</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сценарији</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8C068E" w:rsidRPr="005303F7">
        <w:rPr>
          <w:rFonts w:ascii="Times New Roman" w:hAnsi="Times New Roman"/>
          <w:sz w:val="24"/>
          <w:szCs w:val="22"/>
          <w:lang w:val="sr-Cyrl-CS"/>
        </w:rPr>
        <w:t xml:space="preserve">3 </w:t>
      </w:r>
      <w:r w:rsidR="00607CBA" w:rsidRPr="005303F7">
        <w:rPr>
          <w:rFonts w:ascii="Times New Roman" w:hAnsi="Times New Roman"/>
          <w:sz w:val="24"/>
          <w:szCs w:val="22"/>
          <w:lang w:val="sr-Cyrl-CS"/>
        </w:rPr>
        <w:t>и</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w:t>
      </w:r>
      <w:r w:rsidR="008C068E" w:rsidRPr="005303F7">
        <w:rPr>
          <w:rFonts w:ascii="Times New Roman" w:hAnsi="Times New Roman"/>
          <w:sz w:val="24"/>
          <w:szCs w:val="22"/>
          <w:lang w:val="sr-Cyrl-CS"/>
        </w:rPr>
        <w:t xml:space="preserve">4 </w:t>
      </w:r>
      <w:r w:rsidR="00607CBA" w:rsidRPr="005303F7">
        <w:rPr>
          <w:rFonts w:ascii="Times New Roman" w:hAnsi="Times New Roman"/>
          <w:sz w:val="24"/>
          <w:szCs w:val="22"/>
          <w:lang w:val="sr-Cyrl-CS"/>
        </w:rPr>
        <w:t>имају</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далеко</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позитивнији</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утицај</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животну</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средину</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али</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њихова</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реална</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изводљивост</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мора</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да</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се</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вреднује</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другим</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анализама</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пре</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свега</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економским</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али</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друштвеним</w:t>
      </w:r>
      <w:r w:rsidR="008C068E" w:rsidRPr="005303F7">
        <w:rPr>
          <w:rFonts w:ascii="Times New Roman" w:hAnsi="Times New Roman"/>
          <w:sz w:val="24"/>
          <w:szCs w:val="22"/>
          <w:lang w:val="sr-Cyrl-CS"/>
        </w:rPr>
        <w:t>)</w:t>
      </w:r>
      <w:r w:rsidR="0035174D" w:rsidRPr="005303F7">
        <w:rPr>
          <w:rFonts w:ascii="Times New Roman" w:hAnsi="Times New Roman"/>
          <w:sz w:val="24"/>
          <w:szCs w:val="22"/>
          <w:lang w:val="sr-Cyrl-CS"/>
        </w:rPr>
        <w:t>”</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као</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принципима</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Споразума</w:t>
      </w:r>
      <w:r w:rsidR="0051136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из</w:t>
      </w:r>
      <w:r w:rsidR="0051136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Париза</w:t>
      </w:r>
      <w:r w:rsidR="008C068E"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повећање</w:t>
      </w:r>
      <w:r w:rsidR="0038075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амбиције</w:t>
      </w:r>
      <w:r w:rsidR="0038075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током</w:t>
      </w:r>
      <w:r w:rsidR="0038075D"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времена</w:t>
      </w:r>
      <w:r w:rsidR="008C068E" w:rsidRPr="005303F7">
        <w:rPr>
          <w:rFonts w:ascii="Times New Roman" w:hAnsi="Times New Roman"/>
          <w:sz w:val="24"/>
          <w:szCs w:val="22"/>
          <w:lang w:val="sr-Cyrl-CS"/>
        </w:rPr>
        <w:t>).</w:t>
      </w:r>
    </w:p>
    <w:p w14:paraId="11D54FAA" w14:textId="31C711FC" w:rsidR="00AA2B15" w:rsidRPr="005303F7" w:rsidRDefault="00555C65" w:rsidP="0003171D">
      <w:pPr>
        <w:rPr>
          <w:rFonts w:ascii="Times New Roman" w:hAnsi="Times New Roman"/>
          <w:sz w:val="24"/>
          <w:szCs w:val="22"/>
          <w:lang w:val="sr-Cyrl-CS"/>
        </w:rPr>
      </w:pPr>
      <w:bookmarkStart w:id="153" w:name="_Hlk8738949"/>
      <w:r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Полазећи</w:t>
      </w:r>
      <w:r w:rsidR="00AA2B15"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од</w:t>
      </w:r>
      <w:r w:rsidR="00AA2B15"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овог</w:t>
      </w:r>
      <w:r w:rsidR="00AA2B15"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приступа</w:t>
      </w:r>
      <w:r w:rsidR="00AA2B15"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општи</w:t>
      </w:r>
      <w:r w:rsidR="00AA2B15"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циљ</w:t>
      </w:r>
      <w:r w:rsidR="00AA2B15"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ове</w:t>
      </w:r>
      <w:r w:rsidR="00AA2B15"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стратегије</w:t>
      </w:r>
      <w:r w:rsidR="00AA2B15"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је</w:t>
      </w:r>
      <w:r w:rsidR="00AA2B15" w:rsidRPr="005303F7">
        <w:rPr>
          <w:rFonts w:ascii="Times New Roman" w:hAnsi="Times New Roman"/>
          <w:sz w:val="24"/>
          <w:szCs w:val="22"/>
          <w:lang w:val="sr-Cyrl-CS"/>
        </w:rPr>
        <w:t>:</w:t>
      </w:r>
    </w:p>
    <w:bookmarkEnd w:id="152"/>
    <w:bookmarkEnd w:id="153"/>
    <w:p w14:paraId="39B98E46" w14:textId="6F9FC176" w:rsidR="001829E0" w:rsidRPr="005303F7" w:rsidRDefault="00555C65" w:rsidP="0003171D">
      <w:pPr>
        <w:spacing w:before="240"/>
        <w:rPr>
          <w:rFonts w:ascii="Times New Roman" w:hAnsi="Times New Roman"/>
          <w:b/>
          <w:sz w:val="24"/>
          <w:szCs w:val="22"/>
          <w:lang w:val="sr-Cyrl-CS"/>
        </w:rPr>
      </w:pPr>
      <w:r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Смањење</w:t>
      </w:r>
      <w:r w:rsidR="001829E0"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националних</w:t>
      </w:r>
      <w:r w:rsidR="001829E0"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емисија</w:t>
      </w:r>
      <w:r w:rsidR="001829E0"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GHG</w:t>
      </w:r>
      <w:r w:rsidR="001829E0"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без</w:t>
      </w:r>
      <w:r w:rsidR="001829E0"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сектора</w:t>
      </w:r>
      <w:r w:rsidR="001829E0"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LULUCF</w:t>
      </w:r>
      <w:r w:rsidR="00B76735"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за</w:t>
      </w:r>
      <w:r w:rsidR="00B76735" w:rsidRPr="005303F7">
        <w:rPr>
          <w:rFonts w:ascii="Times New Roman" w:hAnsi="Times New Roman"/>
          <w:b/>
          <w:sz w:val="24"/>
          <w:szCs w:val="22"/>
          <w:lang w:val="sr-Cyrl-CS"/>
        </w:rPr>
        <w:t xml:space="preserve"> 13%</w:t>
      </w:r>
      <w:r w:rsidR="001829E0"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до</w:t>
      </w:r>
      <w:r w:rsidR="001829E0" w:rsidRPr="005303F7">
        <w:rPr>
          <w:rFonts w:ascii="Times New Roman" w:hAnsi="Times New Roman"/>
          <w:b/>
          <w:sz w:val="24"/>
          <w:szCs w:val="22"/>
          <w:lang w:val="sr-Cyrl-CS"/>
        </w:rPr>
        <w:t xml:space="preserve"> 2030. </w:t>
      </w:r>
      <w:r w:rsidR="00607CBA" w:rsidRPr="005303F7">
        <w:rPr>
          <w:rFonts w:ascii="Times New Roman" w:hAnsi="Times New Roman"/>
          <w:b/>
          <w:sz w:val="24"/>
          <w:szCs w:val="22"/>
          <w:lang w:val="sr-Cyrl-CS"/>
        </w:rPr>
        <w:t>и</w:t>
      </w:r>
      <w:r w:rsidR="001829E0"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најмање</w:t>
      </w:r>
      <w:r w:rsidR="001829E0"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за</w:t>
      </w:r>
      <w:r w:rsidR="00B76735" w:rsidRPr="005303F7">
        <w:rPr>
          <w:rFonts w:ascii="Times New Roman" w:hAnsi="Times New Roman"/>
          <w:b/>
          <w:sz w:val="24"/>
          <w:szCs w:val="22"/>
          <w:lang w:val="sr-Cyrl-CS"/>
        </w:rPr>
        <w:t xml:space="preserve"> </w:t>
      </w:r>
      <w:r w:rsidR="001829E0" w:rsidRPr="005303F7">
        <w:rPr>
          <w:rFonts w:ascii="Times New Roman" w:hAnsi="Times New Roman"/>
          <w:b/>
          <w:sz w:val="24"/>
          <w:szCs w:val="22"/>
          <w:lang w:val="sr-Cyrl-CS"/>
        </w:rPr>
        <w:t xml:space="preserve">55% </w:t>
      </w:r>
      <w:r w:rsidR="00607CBA" w:rsidRPr="005303F7">
        <w:rPr>
          <w:rFonts w:ascii="Times New Roman" w:hAnsi="Times New Roman"/>
          <w:b/>
          <w:sz w:val="24"/>
          <w:szCs w:val="22"/>
          <w:lang w:val="sr-Cyrl-CS"/>
        </w:rPr>
        <w:t>до</w:t>
      </w:r>
      <w:r w:rsidR="001829E0" w:rsidRPr="005303F7">
        <w:rPr>
          <w:rFonts w:ascii="Times New Roman" w:hAnsi="Times New Roman"/>
          <w:b/>
          <w:sz w:val="24"/>
          <w:szCs w:val="22"/>
          <w:lang w:val="sr-Cyrl-CS"/>
        </w:rPr>
        <w:t xml:space="preserve"> 69% </w:t>
      </w:r>
      <w:r w:rsidR="00607CBA" w:rsidRPr="005303F7">
        <w:rPr>
          <w:rFonts w:ascii="Times New Roman" w:hAnsi="Times New Roman"/>
          <w:b/>
          <w:sz w:val="24"/>
          <w:szCs w:val="22"/>
          <w:lang w:val="sr-Cyrl-CS"/>
        </w:rPr>
        <w:t>до</w:t>
      </w:r>
      <w:r w:rsidR="001829E0" w:rsidRPr="005303F7">
        <w:rPr>
          <w:rFonts w:ascii="Times New Roman" w:hAnsi="Times New Roman"/>
          <w:b/>
          <w:sz w:val="24"/>
          <w:szCs w:val="22"/>
          <w:lang w:val="sr-Cyrl-CS"/>
        </w:rPr>
        <w:t xml:space="preserve"> 2050. </w:t>
      </w:r>
      <w:r w:rsidR="00607CBA" w:rsidRPr="005303F7">
        <w:rPr>
          <w:rFonts w:ascii="Times New Roman" w:hAnsi="Times New Roman"/>
          <w:b/>
          <w:sz w:val="24"/>
          <w:szCs w:val="22"/>
          <w:lang w:val="sr-Cyrl-CS"/>
        </w:rPr>
        <w:t>године</w:t>
      </w:r>
      <w:r w:rsidR="001829E0"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у</w:t>
      </w:r>
      <w:r w:rsidR="001829E0"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односу</w:t>
      </w:r>
      <w:r w:rsidR="001829E0"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на</w:t>
      </w:r>
      <w:r w:rsidR="001829E0" w:rsidRPr="005303F7">
        <w:rPr>
          <w:rFonts w:ascii="Times New Roman" w:hAnsi="Times New Roman"/>
          <w:b/>
          <w:sz w:val="24"/>
          <w:szCs w:val="22"/>
          <w:lang w:val="sr-Cyrl-CS"/>
        </w:rPr>
        <w:t xml:space="preserve"> 2010.</w:t>
      </w:r>
      <w:r w:rsidR="00B76735" w:rsidRPr="005303F7">
        <w:rPr>
          <w:rFonts w:ascii="Times New Roman" w:hAnsi="Times New Roman"/>
          <w:b/>
          <w:sz w:val="24"/>
          <w:szCs w:val="22"/>
          <w:lang w:val="sr-Cyrl-CS"/>
        </w:rPr>
        <w:t xml:space="preserve"> </w:t>
      </w:r>
      <w:r w:rsidR="00607CBA" w:rsidRPr="005303F7">
        <w:rPr>
          <w:rFonts w:ascii="Times New Roman" w:hAnsi="Times New Roman"/>
          <w:b/>
          <w:sz w:val="24"/>
          <w:szCs w:val="22"/>
          <w:lang w:val="sr-Cyrl-CS"/>
        </w:rPr>
        <w:t>годину</w:t>
      </w:r>
      <w:r w:rsidR="00B76735" w:rsidRPr="005303F7">
        <w:rPr>
          <w:rFonts w:ascii="Times New Roman" w:hAnsi="Times New Roman"/>
          <w:b/>
          <w:sz w:val="24"/>
          <w:szCs w:val="22"/>
          <w:lang w:val="sr-Cyrl-CS"/>
        </w:rPr>
        <w:t>.</w:t>
      </w:r>
    </w:p>
    <w:p w14:paraId="2684D4E8" w14:textId="0BDF0361" w:rsidR="004F0CA0" w:rsidRPr="005303F7" w:rsidRDefault="00555C65" w:rsidP="00FE004C">
      <w:pPr>
        <w:spacing w:before="240"/>
        <w:rPr>
          <w:rFonts w:ascii="Times New Roman" w:hAnsi="Times New Roman"/>
          <w:sz w:val="24"/>
          <w:lang w:val="sr-Cyrl-CS"/>
        </w:rPr>
      </w:pPr>
      <w:r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Ова</w:t>
      </w:r>
      <w:r w:rsidR="00F17CF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смањења</w:t>
      </w:r>
      <w:r w:rsidR="00F17CF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емисија</w:t>
      </w:r>
      <w:r w:rsidR="00F17CF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GHG</w:t>
      </w:r>
      <w:r w:rsidR="00F17CF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без</w:t>
      </w:r>
      <w:r w:rsidR="00F17CF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LULUCF</w:t>
      </w:r>
      <w:r w:rsidR="00F17CF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чине</w:t>
      </w:r>
      <w:r w:rsidR="00F17CF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смањење</w:t>
      </w:r>
      <w:r w:rsidR="00F17CF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од</w:t>
      </w:r>
      <w:r w:rsidR="00F17CFC" w:rsidRPr="005303F7">
        <w:rPr>
          <w:rFonts w:ascii="Times New Roman" w:hAnsi="Times New Roman"/>
          <w:sz w:val="24"/>
          <w:szCs w:val="22"/>
          <w:lang w:val="sr-Cyrl-CS"/>
        </w:rPr>
        <w:t xml:space="preserve"> 20% </w:t>
      </w:r>
      <w:r w:rsidR="00607CBA" w:rsidRPr="005303F7">
        <w:rPr>
          <w:rFonts w:ascii="Times New Roman" w:hAnsi="Times New Roman"/>
          <w:sz w:val="24"/>
          <w:szCs w:val="22"/>
          <w:lang w:val="sr-Cyrl-CS"/>
        </w:rPr>
        <w:t>у</w:t>
      </w:r>
      <w:r w:rsidR="00F17CFC" w:rsidRPr="005303F7">
        <w:rPr>
          <w:rFonts w:ascii="Times New Roman" w:hAnsi="Times New Roman"/>
          <w:sz w:val="24"/>
          <w:szCs w:val="22"/>
          <w:lang w:val="sr-Cyrl-CS"/>
        </w:rPr>
        <w:t xml:space="preserve"> 2030. </w:t>
      </w:r>
      <w:r w:rsidR="00607CBA" w:rsidRPr="005303F7">
        <w:rPr>
          <w:rFonts w:ascii="Times New Roman" w:hAnsi="Times New Roman"/>
          <w:sz w:val="24"/>
          <w:szCs w:val="22"/>
          <w:lang w:val="sr-Cyrl-CS"/>
        </w:rPr>
        <w:t>години</w:t>
      </w:r>
      <w:r w:rsidR="00F17CF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F17CF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најмање</w:t>
      </w:r>
      <w:r w:rsidR="00F17CFC" w:rsidRPr="005303F7">
        <w:rPr>
          <w:rFonts w:ascii="Times New Roman" w:hAnsi="Times New Roman"/>
          <w:sz w:val="24"/>
          <w:szCs w:val="22"/>
          <w:lang w:val="sr-Cyrl-CS"/>
        </w:rPr>
        <w:t xml:space="preserve"> 59% </w:t>
      </w:r>
      <w:r w:rsidR="00607CBA" w:rsidRPr="005303F7">
        <w:rPr>
          <w:rFonts w:ascii="Times New Roman" w:hAnsi="Times New Roman"/>
          <w:sz w:val="24"/>
          <w:szCs w:val="22"/>
          <w:lang w:val="sr-Cyrl-CS"/>
        </w:rPr>
        <w:t>до</w:t>
      </w:r>
      <w:r w:rsidR="00F17CFC" w:rsidRPr="005303F7">
        <w:rPr>
          <w:rFonts w:ascii="Times New Roman" w:hAnsi="Times New Roman"/>
          <w:sz w:val="24"/>
          <w:szCs w:val="22"/>
          <w:lang w:val="sr-Cyrl-CS"/>
        </w:rPr>
        <w:t xml:space="preserve"> 72% </w:t>
      </w:r>
      <w:r w:rsidR="00607CBA" w:rsidRPr="005303F7">
        <w:rPr>
          <w:rFonts w:ascii="Times New Roman" w:hAnsi="Times New Roman"/>
          <w:sz w:val="24"/>
          <w:szCs w:val="22"/>
          <w:lang w:val="sr-Cyrl-CS"/>
        </w:rPr>
        <w:t>у</w:t>
      </w:r>
      <w:r w:rsidR="00F17CFC" w:rsidRPr="005303F7">
        <w:rPr>
          <w:rFonts w:ascii="Times New Roman" w:hAnsi="Times New Roman"/>
          <w:sz w:val="24"/>
          <w:szCs w:val="22"/>
          <w:lang w:val="sr-Cyrl-CS"/>
        </w:rPr>
        <w:t xml:space="preserve"> 2050. </w:t>
      </w:r>
      <w:r w:rsidR="00607CBA" w:rsidRPr="005303F7">
        <w:rPr>
          <w:rFonts w:ascii="Times New Roman" w:hAnsi="Times New Roman"/>
          <w:sz w:val="24"/>
          <w:szCs w:val="22"/>
          <w:lang w:val="sr-Cyrl-CS"/>
        </w:rPr>
        <w:t>у</w:t>
      </w:r>
      <w:r w:rsidR="00F17CF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односу</w:t>
      </w:r>
      <w:r w:rsidR="00F17CF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w:t>
      </w:r>
      <w:r w:rsidR="00F17CFC" w:rsidRPr="005303F7">
        <w:rPr>
          <w:rFonts w:ascii="Times New Roman" w:hAnsi="Times New Roman"/>
          <w:sz w:val="24"/>
          <w:szCs w:val="22"/>
          <w:lang w:val="sr-Cyrl-CS"/>
        </w:rPr>
        <w:t xml:space="preserve"> 2005. </w:t>
      </w:r>
      <w:r w:rsidR="00607CBA" w:rsidRPr="005303F7">
        <w:rPr>
          <w:rFonts w:ascii="Times New Roman" w:hAnsi="Times New Roman"/>
          <w:sz w:val="24"/>
          <w:szCs w:val="22"/>
          <w:lang w:val="sr-Cyrl-CS"/>
        </w:rPr>
        <w:t>годину</w:t>
      </w:r>
      <w:r w:rsidR="00F17CF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F17CF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смањење</w:t>
      </w:r>
      <w:r w:rsidR="00F17CF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емисија</w:t>
      </w:r>
      <w:r w:rsidR="00F17CF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од</w:t>
      </w:r>
      <w:r w:rsidR="00F17CFC" w:rsidRPr="005303F7">
        <w:rPr>
          <w:rFonts w:ascii="Times New Roman" w:hAnsi="Times New Roman"/>
          <w:sz w:val="24"/>
          <w:szCs w:val="22"/>
          <w:lang w:val="sr-Cyrl-CS"/>
        </w:rPr>
        <w:t xml:space="preserve"> 33% </w:t>
      </w:r>
      <w:r w:rsidR="00607CBA" w:rsidRPr="005303F7">
        <w:rPr>
          <w:rFonts w:ascii="Times New Roman" w:hAnsi="Times New Roman"/>
          <w:sz w:val="24"/>
          <w:szCs w:val="22"/>
          <w:lang w:val="sr-Cyrl-CS"/>
        </w:rPr>
        <w:t>у</w:t>
      </w:r>
      <w:r w:rsidR="00F17CFC" w:rsidRPr="005303F7">
        <w:rPr>
          <w:rFonts w:ascii="Times New Roman" w:hAnsi="Times New Roman"/>
          <w:sz w:val="24"/>
          <w:szCs w:val="22"/>
          <w:lang w:val="sr-Cyrl-CS"/>
        </w:rPr>
        <w:t xml:space="preserve"> 2030. </w:t>
      </w:r>
      <w:r w:rsidR="00607CBA" w:rsidRPr="005303F7">
        <w:rPr>
          <w:rFonts w:ascii="Times New Roman" w:hAnsi="Times New Roman"/>
          <w:sz w:val="24"/>
          <w:szCs w:val="22"/>
          <w:lang w:val="sr-Cyrl-CS"/>
        </w:rPr>
        <w:t>години</w:t>
      </w:r>
      <w:r w:rsidR="00F17CF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w:t>
      </w:r>
      <w:r w:rsidR="00F17CF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најмање</w:t>
      </w:r>
      <w:r w:rsidR="00F17CFC" w:rsidRPr="005303F7">
        <w:rPr>
          <w:rFonts w:ascii="Times New Roman" w:hAnsi="Times New Roman"/>
          <w:sz w:val="24"/>
          <w:szCs w:val="22"/>
          <w:lang w:val="sr-Cyrl-CS"/>
        </w:rPr>
        <w:t xml:space="preserve"> 65% </w:t>
      </w:r>
      <w:r w:rsidR="00607CBA" w:rsidRPr="005303F7">
        <w:rPr>
          <w:rFonts w:ascii="Times New Roman" w:hAnsi="Times New Roman"/>
          <w:sz w:val="24"/>
          <w:szCs w:val="22"/>
          <w:lang w:val="sr-Cyrl-CS"/>
        </w:rPr>
        <w:t>до</w:t>
      </w:r>
      <w:r w:rsidR="00F17CFC" w:rsidRPr="005303F7">
        <w:rPr>
          <w:rFonts w:ascii="Times New Roman" w:hAnsi="Times New Roman"/>
          <w:sz w:val="24"/>
          <w:szCs w:val="22"/>
          <w:lang w:val="sr-Cyrl-CS"/>
        </w:rPr>
        <w:t xml:space="preserve"> 76% </w:t>
      </w:r>
      <w:r w:rsidR="00607CBA" w:rsidRPr="005303F7">
        <w:rPr>
          <w:rFonts w:ascii="Times New Roman" w:hAnsi="Times New Roman"/>
          <w:sz w:val="24"/>
          <w:szCs w:val="22"/>
          <w:lang w:val="sr-Cyrl-CS"/>
        </w:rPr>
        <w:t>до</w:t>
      </w:r>
      <w:r w:rsidR="00F17CFC" w:rsidRPr="005303F7">
        <w:rPr>
          <w:rFonts w:ascii="Times New Roman" w:hAnsi="Times New Roman"/>
          <w:sz w:val="24"/>
          <w:szCs w:val="22"/>
          <w:lang w:val="sr-Cyrl-CS"/>
        </w:rPr>
        <w:t xml:space="preserve"> 2050., </w:t>
      </w:r>
      <w:r w:rsidR="00607CBA" w:rsidRPr="005303F7">
        <w:rPr>
          <w:rFonts w:ascii="Times New Roman" w:hAnsi="Times New Roman"/>
          <w:sz w:val="24"/>
          <w:szCs w:val="22"/>
          <w:lang w:val="sr-Cyrl-CS"/>
        </w:rPr>
        <w:t>у</w:t>
      </w:r>
      <w:r w:rsidR="00F17CF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поређењу</w:t>
      </w:r>
      <w:r w:rsidR="00F17CF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са</w:t>
      </w:r>
      <w:r w:rsidR="00F17CF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нивоом</w:t>
      </w:r>
      <w:r w:rsidR="00F17CF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емисија</w:t>
      </w:r>
      <w:r w:rsidR="00F17CFC" w:rsidRPr="005303F7">
        <w:rPr>
          <w:rFonts w:ascii="Times New Roman" w:hAnsi="Times New Roman"/>
          <w:sz w:val="24"/>
          <w:szCs w:val="22"/>
          <w:lang w:val="sr-Cyrl-CS"/>
        </w:rPr>
        <w:t xml:space="preserve"> </w:t>
      </w:r>
      <w:r w:rsidR="00607CBA" w:rsidRPr="005303F7">
        <w:rPr>
          <w:rFonts w:ascii="Times New Roman" w:hAnsi="Times New Roman"/>
          <w:sz w:val="24"/>
          <w:szCs w:val="22"/>
          <w:lang w:val="sr-Cyrl-CS"/>
        </w:rPr>
        <w:t>из</w:t>
      </w:r>
      <w:r w:rsidR="00F17CFC" w:rsidRPr="005303F7">
        <w:rPr>
          <w:rFonts w:ascii="Times New Roman" w:hAnsi="Times New Roman"/>
          <w:sz w:val="24"/>
          <w:szCs w:val="22"/>
          <w:lang w:val="sr-Cyrl-CS"/>
        </w:rPr>
        <w:t xml:space="preserve"> 1990. </w:t>
      </w:r>
      <w:r w:rsidR="00607CBA" w:rsidRPr="005303F7">
        <w:rPr>
          <w:rFonts w:ascii="Times New Roman" w:hAnsi="Times New Roman"/>
          <w:sz w:val="24"/>
          <w:szCs w:val="22"/>
          <w:lang w:val="sr-Cyrl-CS"/>
        </w:rPr>
        <w:t>године</w:t>
      </w:r>
      <w:r w:rsidR="00F17CFC" w:rsidRPr="005303F7">
        <w:rPr>
          <w:rFonts w:ascii="Times New Roman" w:hAnsi="Times New Roman"/>
          <w:sz w:val="24"/>
          <w:szCs w:val="22"/>
          <w:lang w:val="sr-Cyrl-CS"/>
        </w:rPr>
        <w:t>.</w:t>
      </w:r>
      <w:r w:rsidR="005E2E6D" w:rsidRPr="005303F7">
        <w:rPr>
          <w:rFonts w:ascii="Times New Roman" w:hAnsi="Times New Roman"/>
          <w:sz w:val="24"/>
          <w:szCs w:val="22"/>
          <w:lang w:val="sr-Cyrl-CS"/>
        </w:rPr>
        <w:t xml:space="preserve"> При примени ових смањења емисија на секторе покривене ЕУ одлуком о расподели терета </w:t>
      </w:r>
      <w:r w:rsidR="00D73AAB" w:rsidRPr="005303F7">
        <w:rPr>
          <w:rFonts w:ascii="Times New Roman" w:hAnsi="Times New Roman"/>
          <w:sz w:val="24"/>
          <w:szCs w:val="22"/>
          <w:lang w:val="sr-Cyrl-CS"/>
        </w:rPr>
        <w:t>Република Србија</w:t>
      </w:r>
      <w:r w:rsidR="005E2E6D" w:rsidRPr="005303F7">
        <w:rPr>
          <w:rFonts w:ascii="Times New Roman" w:hAnsi="Times New Roman"/>
          <w:sz w:val="24"/>
          <w:szCs w:val="22"/>
          <w:lang w:val="sr-Cyrl-CS"/>
        </w:rPr>
        <w:t xml:space="preserve"> може да смањи емисије покривене ЕУ одлуком о расподели терета за 11,2% до 2030. године у односу на 2005. годину.</w:t>
      </w:r>
    </w:p>
    <w:p w14:paraId="7D0201F2" w14:textId="77777777" w:rsidR="004F0CA0" w:rsidRPr="005303F7" w:rsidRDefault="004F0CA0" w:rsidP="00682F18">
      <w:pPr>
        <w:spacing w:before="0" w:after="0"/>
        <w:rPr>
          <w:rFonts w:ascii="Times New Roman" w:hAnsi="Times New Roman"/>
          <w:sz w:val="24"/>
          <w:lang w:val="sr-Cyrl-CS"/>
        </w:rPr>
      </w:pPr>
    </w:p>
    <w:p w14:paraId="2FA456FE" w14:textId="685FE6C1" w:rsidR="0023625D" w:rsidRPr="005303F7" w:rsidRDefault="00555C65" w:rsidP="00682F18">
      <w:pPr>
        <w:spacing w:before="0" w:after="0"/>
        <w:rPr>
          <w:rFonts w:ascii="Times New Roman" w:hAnsi="Times New Roman"/>
          <w:sz w:val="24"/>
          <w:lang w:val="sr-Cyrl-CS"/>
        </w:rPr>
      </w:pPr>
      <w:r w:rsidRPr="005303F7">
        <w:rPr>
          <w:rFonts w:ascii="Times New Roman" w:hAnsi="Times New Roman"/>
          <w:sz w:val="24"/>
          <w:lang w:val="sr-Cyrl-CS"/>
        </w:rPr>
        <w:t xml:space="preserve">            </w:t>
      </w:r>
      <w:r w:rsidR="00607CBA" w:rsidRPr="005303F7">
        <w:rPr>
          <w:rFonts w:ascii="Times New Roman" w:hAnsi="Times New Roman"/>
          <w:sz w:val="24"/>
          <w:lang w:val="sr-Cyrl-CS"/>
        </w:rPr>
        <w:t>Такво</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смањење</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емисија</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GHG</w:t>
      </w:r>
      <w:r w:rsidR="0061016B" w:rsidRPr="005303F7">
        <w:rPr>
          <w:rFonts w:ascii="Times New Roman" w:hAnsi="Times New Roman"/>
          <w:sz w:val="24"/>
          <w:lang w:val="sr-Cyrl-CS"/>
        </w:rPr>
        <w:t xml:space="preserve"> </w:t>
      </w:r>
      <w:r w:rsidR="00607CBA" w:rsidRPr="005303F7">
        <w:rPr>
          <w:rFonts w:ascii="Times New Roman" w:hAnsi="Times New Roman"/>
          <w:sz w:val="24"/>
          <w:lang w:val="sr-Cyrl-CS"/>
        </w:rPr>
        <w:t>на</w:t>
      </w:r>
      <w:r w:rsidR="0061016B" w:rsidRPr="005303F7">
        <w:rPr>
          <w:rFonts w:ascii="Times New Roman" w:hAnsi="Times New Roman"/>
          <w:sz w:val="24"/>
          <w:lang w:val="sr-Cyrl-CS"/>
        </w:rPr>
        <w:t xml:space="preserve"> </w:t>
      </w:r>
      <w:r w:rsidR="00607CBA" w:rsidRPr="005303F7">
        <w:rPr>
          <w:rFonts w:ascii="Times New Roman" w:hAnsi="Times New Roman"/>
          <w:sz w:val="24"/>
          <w:lang w:val="sr-Cyrl-CS"/>
        </w:rPr>
        <w:t>националном</w:t>
      </w:r>
      <w:r w:rsidR="0061016B" w:rsidRPr="005303F7">
        <w:rPr>
          <w:rFonts w:ascii="Times New Roman" w:hAnsi="Times New Roman"/>
          <w:sz w:val="24"/>
          <w:lang w:val="sr-Cyrl-CS"/>
        </w:rPr>
        <w:t xml:space="preserve"> </w:t>
      </w:r>
      <w:r w:rsidR="00607CBA" w:rsidRPr="005303F7">
        <w:rPr>
          <w:rFonts w:ascii="Times New Roman" w:hAnsi="Times New Roman"/>
          <w:sz w:val="24"/>
          <w:lang w:val="sr-Cyrl-CS"/>
        </w:rPr>
        <w:t>нивоу</w:t>
      </w:r>
      <w:r w:rsidR="0061016B" w:rsidRPr="005303F7">
        <w:rPr>
          <w:rFonts w:ascii="Times New Roman" w:hAnsi="Times New Roman"/>
          <w:sz w:val="24"/>
          <w:lang w:val="sr-Cyrl-CS"/>
        </w:rPr>
        <w:t>,</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не</w:t>
      </w:r>
      <w:r w:rsidR="00CE489C" w:rsidRPr="005303F7">
        <w:rPr>
          <w:rFonts w:ascii="Times New Roman" w:hAnsi="Times New Roman"/>
          <w:sz w:val="24"/>
          <w:lang w:val="sr-Cyrl-CS"/>
        </w:rPr>
        <w:t xml:space="preserve"> </w:t>
      </w:r>
      <w:r w:rsidR="00607CBA" w:rsidRPr="005303F7">
        <w:rPr>
          <w:rFonts w:ascii="Times New Roman" w:hAnsi="Times New Roman"/>
          <w:sz w:val="24"/>
          <w:lang w:val="sr-Cyrl-CS"/>
        </w:rPr>
        <w:t>рачунајући</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сектор</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LULUCF</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резултат</w:t>
      </w:r>
      <w:r w:rsidR="0061016B" w:rsidRPr="005303F7">
        <w:rPr>
          <w:rFonts w:ascii="Times New Roman" w:hAnsi="Times New Roman"/>
          <w:sz w:val="24"/>
          <w:lang w:val="sr-Cyrl-CS"/>
        </w:rPr>
        <w:t xml:space="preserve"> </w:t>
      </w:r>
      <w:r w:rsidR="00607CBA" w:rsidRPr="005303F7">
        <w:rPr>
          <w:rFonts w:ascii="Times New Roman" w:hAnsi="Times New Roman"/>
          <w:sz w:val="24"/>
          <w:lang w:val="sr-Cyrl-CS"/>
        </w:rPr>
        <w:t>је</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смањења</w:t>
      </w:r>
      <w:r w:rsidR="0061016B" w:rsidRPr="005303F7">
        <w:rPr>
          <w:rFonts w:ascii="Times New Roman" w:hAnsi="Times New Roman"/>
          <w:sz w:val="24"/>
          <w:lang w:val="sr-Cyrl-CS"/>
        </w:rPr>
        <w:t xml:space="preserve"> </w:t>
      </w:r>
      <w:r w:rsidR="00607CBA" w:rsidRPr="005303F7">
        <w:rPr>
          <w:rFonts w:ascii="Times New Roman" w:hAnsi="Times New Roman"/>
          <w:sz w:val="24"/>
          <w:lang w:val="sr-Cyrl-CS"/>
        </w:rPr>
        <w:t>емисија</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производњи</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електричне</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и</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топлотне</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енергије</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за</w:t>
      </w:r>
      <w:r w:rsidR="00F72D9F" w:rsidRPr="005303F7">
        <w:rPr>
          <w:rFonts w:ascii="Times New Roman" w:hAnsi="Times New Roman"/>
          <w:sz w:val="24"/>
          <w:lang w:val="sr-Cyrl-CS"/>
        </w:rPr>
        <w:t xml:space="preserve"> 17% </w:t>
      </w:r>
      <w:r w:rsidR="00607CBA" w:rsidRPr="005303F7">
        <w:rPr>
          <w:rFonts w:ascii="Times New Roman" w:hAnsi="Times New Roman"/>
          <w:sz w:val="24"/>
          <w:lang w:val="sr-Cyrl-CS"/>
        </w:rPr>
        <w:t>до</w:t>
      </w:r>
      <w:r w:rsidR="00F72D9F" w:rsidRPr="005303F7">
        <w:rPr>
          <w:rFonts w:ascii="Times New Roman" w:hAnsi="Times New Roman"/>
          <w:sz w:val="24"/>
          <w:lang w:val="sr-Cyrl-CS"/>
        </w:rPr>
        <w:t xml:space="preserve"> 2030. </w:t>
      </w:r>
      <w:r w:rsidR="00607CBA" w:rsidRPr="005303F7">
        <w:rPr>
          <w:rFonts w:ascii="Times New Roman" w:hAnsi="Times New Roman"/>
          <w:sz w:val="24"/>
          <w:lang w:val="sr-Cyrl-CS"/>
        </w:rPr>
        <w:t>и</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између</w:t>
      </w:r>
      <w:r w:rsidR="00F72D9F" w:rsidRPr="005303F7">
        <w:rPr>
          <w:rFonts w:ascii="Times New Roman" w:hAnsi="Times New Roman"/>
          <w:sz w:val="24"/>
          <w:lang w:val="sr-Cyrl-CS"/>
        </w:rPr>
        <w:t xml:space="preserve"> 78% </w:t>
      </w:r>
      <w:r w:rsidR="00607CBA" w:rsidRPr="005303F7">
        <w:rPr>
          <w:rFonts w:ascii="Times New Roman" w:hAnsi="Times New Roman"/>
          <w:sz w:val="24"/>
          <w:lang w:val="sr-Cyrl-CS"/>
        </w:rPr>
        <w:t>и</w:t>
      </w:r>
      <w:r w:rsidR="00622AC1" w:rsidRPr="005303F7">
        <w:rPr>
          <w:rFonts w:ascii="Times New Roman" w:hAnsi="Times New Roman"/>
          <w:sz w:val="24"/>
          <w:lang w:val="sr-Cyrl-CS"/>
        </w:rPr>
        <w:t xml:space="preserve"> </w:t>
      </w:r>
      <w:r w:rsidR="00F72D9F" w:rsidRPr="005303F7">
        <w:rPr>
          <w:rFonts w:ascii="Times New Roman" w:hAnsi="Times New Roman"/>
          <w:sz w:val="24"/>
          <w:lang w:val="sr-Cyrl-CS"/>
        </w:rPr>
        <w:t xml:space="preserve">89% </w:t>
      </w:r>
      <w:r w:rsidR="00607CBA" w:rsidRPr="005303F7">
        <w:rPr>
          <w:rFonts w:ascii="Times New Roman" w:hAnsi="Times New Roman"/>
          <w:sz w:val="24"/>
          <w:lang w:val="sr-Cyrl-CS"/>
        </w:rPr>
        <w:t>до</w:t>
      </w:r>
      <w:r w:rsidR="00F72D9F" w:rsidRPr="005303F7">
        <w:rPr>
          <w:rFonts w:ascii="Times New Roman" w:hAnsi="Times New Roman"/>
          <w:sz w:val="24"/>
          <w:lang w:val="sr-Cyrl-CS"/>
        </w:rPr>
        <w:t xml:space="preserve"> 2050. </w:t>
      </w:r>
      <w:r w:rsidR="00607CBA" w:rsidRPr="005303F7">
        <w:rPr>
          <w:rFonts w:ascii="Times New Roman" w:hAnsi="Times New Roman"/>
          <w:sz w:val="24"/>
          <w:lang w:val="sr-Cyrl-CS"/>
        </w:rPr>
        <w:t>године</w:t>
      </w:r>
      <w:r w:rsidR="004C6449"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односу</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на</w:t>
      </w:r>
      <w:r w:rsidR="00F72D9F" w:rsidRPr="005303F7">
        <w:rPr>
          <w:rFonts w:ascii="Times New Roman" w:hAnsi="Times New Roman"/>
          <w:sz w:val="24"/>
          <w:lang w:val="sr-Cyrl-CS"/>
        </w:rPr>
        <w:t xml:space="preserve"> 2010. </w:t>
      </w:r>
      <w:r w:rsidR="00607CBA" w:rsidRPr="005303F7">
        <w:rPr>
          <w:rFonts w:ascii="Times New Roman" w:hAnsi="Times New Roman"/>
          <w:sz w:val="24"/>
          <w:lang w:val="sr-Cyrl-CS"/>
        </w:rPr>
        <w:t>годину</w:t>
      </w:r>
      <w:r w:rsidR="00622AC1" w:rsidRPr="005303F7">
        <w:rPr>
          <w:rFonts w:ascii="Times New Roman" w:hAnsi="Times New Roman"/>
          <w:sz w:val="24"/>
          <w:lang w:val="sr-Cyrl-CS"/>
        </w:rPr>
        <w:t>,</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а</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повећањем</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енергетске</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ефикасности</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и</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ОИЕ</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индустријском</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сектору</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за</w:t>
      </w:r>
      <w:r w:rsidR="00F72D9F" w:rsidRPr="005303F7">
        <w:rPr>
          <w:rFonts w:ascii="Times New Roman" w:hAnsi="Times New Roman"/>
          <w:sz w:val="24"/>
          <w:lang w:val="sr-Cyrl-CS"/>
        </w:rPr>
        <w:t xml:space="preserve"> 15% </w:t>
      </w:r>
      <w:r w:rsidR="00607CBA" w:rsidRPr="005303F7">
        <w:rPr>
          <w:rFonts w:ascii="Times New Roman" w:hAnsi="Times New Roman"/>
          <w:sz w:val="24"/>
          <w:lang w:val="sr-Cyrl-CS"/>
        </w:rPr>
        <w:t>до</w:t>
      </w:r>
      <w:r w:rsidR="00F72D9F" w:rsidRPr="005303F7">
        <w:rPr>
          <w:rFonts w:ascii="Times New Roman" w:hAnsi="Times New Roman"/>
          <w:sz w:val="24"/>
          <w:lang w:val="sr-Cyrl-CS"/>
        </w:rPr>
        <w:t xml:space="preserve"> 2030. </w:t>
      </w:r>
      <w:r w:rsidR="00607CBA" w:rsidRPr="005303F7">
        <w:rPr>
          <w:rFonts w:ascii="Times New Roman" w:hAnsi="Times New Roman"/>
          <w:sz w:val="24"/>
          <w:lang w:val="sr-Cyrl-CS"/>
        </w:rPr>
        <w:t>и</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између</w:t>
      </w:r>
      <w:r w:rsidR="00F72D9F" w:rsidRPr="005303F7">
        <w:rPr>
          <w:rFonts w:ascii="Times New Roman" w:hAnsi="Times New Roman"/>
          <w:sz w:val="24"/>
          <w:lang w:val="sr-Cyrl-CS"/>
        </w:rPr>
        <w:t xml:space="preserve"> 37% </w:t>
      </w:r>
      <w:r w:rsidR="00607CBA" w:rsidRPr="005303F7">
        <w:rPr>
          <w:rFonts w:ascii="Times New Roman" w:hAnsi="Times New Roman"/>
          <w:sz w:val="24"/>
          <w:lang w:val="sr-Cyrl-CS"/>
        </w:rPr>
        <w:t>до</w:t>
      </w:r>
      <w:r w:rsidR="00622AC1" w:rsidRPr="005303F7">
        <w:rPr>
          <w:rFonts w:ascii="Times New Roman" w:hAnsi="Times New Roman"/>
          <w:sz w:val="24"/>
          <w:lang w:val="sr-Cyrl-CS"/>
        </w:rPr>
        <w:t xml:space="preserve"> </w:t>
      </w:r>
      <w:r w:rsidR="00F72D9F" w:rsidRPr="005303F7">
        <w:rPr>
          <w:rFonts w:ascii="Times New Roman" w:hAnsi="Times New Roman"/>
          <w:sz w:val="24"/>
          <w:lang w:val="sr-Cyrl-CS"/>
        </w:rPr>
        <w:t xml:space="preserve">55% </w:t>
      </w:r>
      <w:r w:rsidR="00607CBA" w:rsidRPr="005303F7">
        <w:rPr>
          <w:rFonts w:ascii="Times New Roman" w:hAnsi="Times New Roman"/>
          <w:sz w:val="24"/>
          <w:lang w:val="sr-Cyrl-CS"/>
        </w:rPr>
        <w:t>до</w:t>
      </w:r>
      <w:r w:rsidR="00F72D9F" w:rsidRPr="005303F7">
        <w:rPr>
          <w:rFonts w:ascii="Times New Roman" w:hAnsi="Times New Roman"/>
          <w:sz w:val="24"/>
          <w:lang w:val="sr-Cyrl-CS"/>
        </w:rPr>
        <w:t xml:space="preserve"> 2050. </w:t>
      </w:r>
      <w:r w:rsidR="00607CBA" w:rsidRPr="005303F7">
        <w:rPr>
          <w:rFonts w:ascii="Times New Roman" w:hAnsi="Times New Roman"/>
          <w:sz w:val="24"/>
          <w:lang w:val="sr-Cyrl-CS"/>
        </w:rPr>
        <w:t>године</w:t>
      </w:r>
      <w:r w:rsidR="00622AC1" w:rsidRPr="005303F7">
        <w:rPr>
          <w:rFonts w:ascii="Times New Roman" w:hAnsi="Times New Roman"/>
          <w:sz w:val="24"/>
          <w:lang w:val="sr-Cyrl-CS"/>
        </w:rPr>
        <w:t xml:space="preserve"> </w:t>
      </w:r>
      <w:r w:rsidR="00607CBA" w:rsidRPr="005303F7">
        <w:rPr>
          <w:rFonts w:ascii="Times New Roman" w:hAnsi="Times New Roman"/>
          <w:sz w:val="24"/>
          <w:lang w:val="sr-Cyrl-CS"/>
        </w:rPr>
        <w:t>и</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стамбеном</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и</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комерцијалном</w:t>
      </w:r>
      <w:r w:rsidR="00AB73D3" w:rsidRPr="005303F7">
        <w:rPr>
          <w:rFonts w:ascii="Times New Roman" w:hAnsi="Times New Roman"/>
          <w:sz w:val="24"/>
          <w:lang w:val="sr-Cyrl-CS"/>
        </w:rPr>
        <w:t xml:space="preserve"> </w:t>
      </w:r>
      <w:r w:rsidR="00607CBA" w:rsidRPr="005303F7">
        <w:rPr>
          <w:rFonts w:ascii="Times New Roman" w:hAnsi="Times New Roman"/>
          <w:sz w:val="24"/>
          <w:lang w:val="sr-Cyrl-CS"/>
        </w:rPr>
        <w:t>сектору</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за</w:t>
      </w:r>
      <w:r w:rsidR="00622AC1" w:rsidRPr="005303F7">
        <w:rPr>
          <w:rFonts w:ascii="Times New Roman" w:hAnsi="Times New Roman"/>
          <w:sz w:val="24"/>
          <w:lang w:val="sr-Cyrl-CS"/>
        </w:rPr>
        <w:t xml:space="preserve"> </w:t>
      </w:r>
      <w:r w:rsidR="00F72D9F" w:rsidRPr="005303F7">
        <w:rPr>
          <w:rFonts w:ascii="Times New Roman" w:hAnsi="Times New Roman"/>
          <w:sz w:val="24"/>
          <w:lang w:val="sr-Cyrl-CS"/>
        </w:rPr>
        <w:t xml:space="preserve">40% </w:t>
      </w:r>
      <w:r w:rsidR="00607CBA" w:rsidRPr="005303F7">
        <w:rPr>
          <w:rFonts w:ascii="Times New Roman" w:hAnsi="Times New Roman"/>
          <w:sz w:val="24"/>
          <w:lang w:val="sr-Cyrl-CS"/>
        </w:rPr>
        <w:t>до</w:t>
      </w:r>
      <w:r w:rsidR="00F72D9F" w:rsidRPr="005303F7">
        <w:rPr>
          <w:rFonts w:ascii="Times New Roman" w:hAnsi="Times New Roman"/>
          <w:sz w:val="24"/>
          <w:lang w:val="sr-Cyrl-CS"/>
        </w:rPr>
        <w:t xml:space="preserve"> 2030. </w:t>
      </w:r>
      <w:r w:rsidR="00607CBA" w:rsidRPr="005303F7">
        <w:rPr>
          <w:rFonts w:ascii="Times New Roman" w:hAnsi="Times New Roman"/>
          <w:sz w:val="24"/>
          <w:lang w:val="sr-Cyrl-CS"/>
        </w:rPr>
        <w:t>и</w:t>
      </w:r>
      <w:r w:rsidR="00DE0B69" w:rsidRPr="005303F7">
        <w:rPr>
          <w:rFonts w:ascii="Times New Roman" w:hAnsi="Times New Roman"/>
          <w:sz w:val="24"/>
          <w:lang w:val="sr-Cyrl-CS"/>
        </w:rPr>
        <w:t xml:space="preserve"> </w:t>
      </w:r>
      <w:r w:rsidR="00607CBA" w:rsidRPr="005303F7">
        <w:rPr>
          <w:rFonts w:ascii="Times New Roman" w:hAnsi="Times New Roman"/>
          <w:sz w:val="24"/>
          <w:lang w:val="sr-Cyrl-CS"/>
        </w:rPr>
        <w:t>између</w:t>
      </w:r>
      <w:r w:rsidR="00DE0B69" w:rsidRPr="005303F7">
        <w:rPr>
          <w:rFonts w:ascii="Times New Roman" w:hAnsi="Times New Roman"/>
          <w:sz w:val="24"/>
          <w:lang w:val="sr-Cyrl-CS"/>
        </w:rPr>
        <w:t xml:space="preserve"> 70% </w:t>
      </w:r>
      <w:r w:rsidR="00607CBA" w:rsidRPr="005303F7">
        <w:rPr>
          <w:rFonts w:ascii="Times New Roman" w:hAnsi="Times New Roman"/>
          <w:sz w:val="24"/>
          <w:lang w:val="sr-Cyrl-CS"/>
        </w:rPr>
        <w:t>до</w:t>
      </w:r>
      <w:r w:rsidR="00622AC1" w:rsidRPr="005303F7">
        <w:rPr>
          <w:rFonts w:ascii="Times New Roman" w:hAnsi="Times New Roman"/>
          <w:sz w:val="24"/>
          <w:lang w:val="sr-Cyrl-CS"/>
        </w:rPr>
        <w:t xml:space="preserve"> </w:t>
      </w:r>
      <w:r w:rsidR="00F72D9F" w:rsidRPr="005303F7">
        <w:rPr>
          <w:rFonts w:ascii="Times New Roman" w:hAnsi="Times New Roman"/>
          <w:sz w:val="24"/>
          <w:lang w:val="sr-Cyrl-CS"/>
        </w:rPr>
        <w:t xml:space="preserve">78% </w:t>
      </w:r>
      <w:r w:rsidR="00607CBA" w:rsidRPr="005303F7">
        <w:rPr>
          <w:rFonts w:ascii="Times New Roman" w:hAnsi="Times New Roman"/>
          <w:sz w:val="24"/>
          <w:lang w:val="sr-Cyrl-CS"/>
        </w:rPr>
        <w:t>до</w:t>
      </w:r>
      <w:r w:rsidR="00F72D9F" w:rsidRPr="005303F7">
        <w:rPr>
          <w:rFonts w:ascii="Times New Roman" w:hAnsi="Times New Roman"/>
          <w:sz w:val="24"/>
          <w:lang w:val="sr-Cyrl-CS"/>
        </w:rPr>
        <w:t xml:space="preserve"> 2050. </w:t>
      </w:r>
      <w:r w:rsidR="00607CBA" w:rsidRPr="005303F7">
        <w:rPr>
          <w:rFonts w:ascii="Times New Roman" w:hAnsi="Times New Roman"/>
          <w:sz w:val="24"/>
          <w:lang w:val="sr-Cyrl-CS"/>
        </w:rPr>
        <w:t>године</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поређењу</w:t>
      </w:r>
      <w:r w:rsidR="00F72D9F" w:rsidRPr="005303F7">
        <w:rPr>
          <w:rFonts w:ascii="Times New Roman" w:hAnsi="Times New Roman"/>
          <w:sz w:val="24"/>
          <w:lang w:val="sr-Cyrl-CS"/>
        </w:rPr>
        <w:t xml:space="preserve"> </w:t>
      </w:r>
      <w:r w:rsidR="00607CBA" w:rsidRPr="005303F7">
        <w:rPr>
          <w:rFonts w:ascii="Times New Roman" w:hAnsi="Times New Roman"/>
          <w:sz w:val="24"/>
          <w:lang w:val="sr-Cyrl-CS"/>
        </w:rPr>
        <w:t>са</w:t>
      </w:r>
      <w:r w:rsidR="00F72D9F" w:rsidRPr="005303F7">
        <w:rPr>
          <w:rFonts w:ascii="Times New Roman" w:hAnsi="Times New Roman"/>
          <w:sz w:val="24"/>
          <w:lang w:val="sr-Cyrl-CS"/>
        </w:rPr>
        <w:t xml:space="preserve"> 2010. </w:t>
      </w:r>
      <w:r w:rsidR="00607CBA" w:rsidRPr="005303F7">
        <w:rPr>
          <w:rFonts w:ascii="Times New Roman" w:hAnsi="Times New Roman"/>
          <w:sz w:val="24"/>
          <w:lang w:val="sr-Cyrl-CS"/>
        </w:rPr>
        <w:t>годином</w:t>
      </w:r>
      <w:r w:rsidR="00F72D9F" w:rsidRPr="005303F7">
        <w:rPr>
          <w:rFonts w:ascii="Times New Roman" w:hAnsi="Times New Roman"/>
          <w:sz w:val="24"/>
          <w:lang w:val="sr-Cyrl-CS"/>
        </w:rPr>
        <w:t>.</w:t>
      </w:r>
      <w:r w:rsidR="00622AC1" w:rsidRPr="005303F7">
        <w:rPr>
          <w:rFonts w:ascii="Times New Roman" w:hAnsi="Times New Roman"/>
          <w:sz w:val="24"/>
          <w:lang w:val="sr-Cyrl-CS"/>
        </w:rPr>
        <w:t xml:space="preserve"> </w:t>
      </w:r>
      <w:r w:rsidR="00607CBA" w:rsidRPr="005303F7">
        <w:rPr>
          <w:rFonts w:ascii="Times New Roman" w:hAnsi="Times New Roman"/>
          <w:sz w:val="24"/>
          <w:lang w:val="sr-Cyrl-CS"/>
        </w:rPr>
        <w:t>Допринос</w:t>
      </w:r>
      <w:r w:rsidR="00DE0B69" w:rsidRPr="005303F7">
        <w:rPr>
          <w:rFonts w:ascii="Times New Roman" w:hAnsi="Times New Roman"/>
          <w:sz w:val="24"/>
          <w:lang w:val="sr-Cyrl-CS"/>
        </w:rPr>
        <w:t xml:space="preserve"> </w:t>
      </w:r>
      <w:r w:rsidR="00607CBA" w:rsidRPr="005303F7">
        <w:rPr>
          <w:rFonts w:ascii="Times New Roman" w:hAnsi="Times New Roman"/>
          <w:sz w:val="24"/>
          <w:lang w:val="sr-Cyrl-CS"/>
        </w:rPr>
        <w:t>осталих</w:t>
      </w:r>
      <w:r w:rsidR="00DE0B69" w:rsidRPr="005303F7">
        <w:rPr>
          <w:rFonts w:ascii="Times New Roman" w:hAnsi="Times New Roman"/>
          <w:sz w:val="24"/>
          <w:lang w:val="sr-Cyrl-CS"/>
        </w:rPr>
        <w:t xml:space="preserve"> </w:t>
      </w:r>
      <w:r w:rsidR="00607CBA" w:rsidRPr="005303F7">
        <w:rPr>
          <w:rFonts w:ascii="Times New Roman" w:hAnsi="Times New Roman"/>
          <w:sz w:val="24"/>
          <w:lang w:val="sr-Cyrl-CS"/>
        </w:rPr>
        <w:t>сектора</w:t>
      </w:r>
      <w:r w:rsidR="00DE0B69" w:rsidRPr="005303F7">
        <w:rPr>
          <w:rFonts w:ascii="Times New Roman" w:hAnsi="Times New Roman"/>
          <w:sz w:val="24"/>
          <w:lang w:val="sr-Cyrl-CS"/>
        </w:rPr>
        <w:t xml:space="preserve"> </w:t>
      </w:r>
      <w:r w:rsidR="00607CBA" w:rsidRPr="005303F7">
        <w:rPr>
          <w:rFonts w:ascii="Times New Roman" w:hAnsi="Times New Roman"/>
          <w:sz w:val="24"/>
          <w:lang w:val="sr-Cyrl-CS"/>
        </w:rPr>
        <w:t>представљен</w:t>
      </w:r>
      <w:r w:rsidR="00DE0B69" w:rsidRPr="005303F7">
        <w:rPr>
          <w:rFonts w:ascii="Times New Roman" w:hAnsi="Times New Roman"/>
          <w:sz w:val="24"/>
          <w:lang w:val="sr-Cyrl-CS"/>
        </w:rPr>
        <w:t xml:space="preserve"> </w:t>
      </w:r>
      <w:r w:rsidR="00607CBA" w:rsidRPr="005303F7">
        <w:rPr>
          <w:rFonts w:ascii="Times New Roman" w:hAnsi="Times New Roman"/>
          <w:sz w:val="24"/>
          <w:lang w:val="sr-Cyrl-CS"/>
        </w:rPr>
        <w:t>је</w:t>
      </w:r>
      <w:r w:rsidR="00DE0B69" w:rsidRPr="005303F7">
        <w:rPr>
          <w:rFonts w:ascii="Times New Roman" w:hAnsi="Times New Roman"/>
          <w:sz w:val="24"/>
          <w:lang w:val="sr-Cyrl-CS"/>
        </w:rPr>
        <w:t xml:space="preserve"> </w:t>
      </w:r>
      <w:r w:rsidR="00607CBA" w:rsidRPr="005303F7">
        <w:rPr>
          <w:rFonts w:ascii="Times New Roman" w:hAnsi="Times New Roman"/>
          <w:sz w:val="24"/>
          <w:lang w:val="sr-Cyrl-CS"/>
        </w:rPr>
        <w:t>кроз</w:t>
      </w:r>
      <w:r w:rsidR="00DE0B69" w:rsidRPr="005303F7">
        <w:rPr>
          <w:rFonts w:ascii="Times New Roman" w:hAnsi="Times New Roman"/>
          <w:sz w:val="24"/>
          <w:lang w:val="sr-Cyrl-CS"/>
        </w:rPr>
        <w:t xml:space="preserve"> </w:t>
      </w:r>
      <w:r w:rsidR="00607CBA" w:rsidRPr="005303F7">
        <w:rPr>
          <w:rFonts w:ascii="Times New Roman" w:hAnsi="Times New Roman"/>
          <w:sz w:val="24"/>
          <w:lang w:val="sr-Cyrl-CS"/>
        </w:rPr>
        <w:t>посебне</w:t>
      </w:r>
      <w:r w:rsidR="00DE0B69" w:rsidRPr="005303F7">
        <w:rPr>
          <w:rFonts w:ascii="Times New Roman" w:hAnsi="Times New Roman"/>
          <w:sz w:val="24"/>
          <w:lang w:val="sr-Cyrl-CS"/>
        </w:rPr>
        <w:t xml:space="preserve"> </w:t>
      </w:r>
      <w:r w:rsidR="00607CBA" w:rsidRPr="005303F7">
        <w:rPr>
          <w:rFonts w:ascii="Times New Roman" w:hAnsi="Times New Roman"/>
          <w:sz w:val="24"/>
          <w:lang w:val="sr-Cyrl-CS"/>
        </w:rPr>
        <w:t>циљеве</w:t>
      </w:r>
      <w:r w:rsidR="00DE0B69" w:rsidRPr="005303F7">
        <w:rPr>
          <w:rFonts w:ascii="Times New Roman" w:hAnsi="Times New Roman"/>
          <w:sz w:val="24"/>
          <w:lang w:val="sr-Cyrl-CS"/>
        </w:rPr>
        <w:t>.</w:t>
      </w:r>
    </w:p>
    <w:p w14:paraId="09B2DB68" w14:textId="23EF0B83" w:rsidR="00975294" w:rsidRPr="005303F7" w:rsidRDefault="00555C65" w:rsidP="00612091">
      <w:pPr>
        <w:rPr>
          <w:rFonts w:ascii="Times New Roman" w:hAnsi="Times New Roman"/>
          <w:sz w:val="24"/>
          <w:lang w:val="sr-Cyrl-CS"/>
        </w:rPr>
      </w:pPr>
      <w:r w:rsidRPr="005303F7">
        <w:rPr>
          <w:rFonts w:ascii="Times New Roman" w:hAnsi="Times New Roman"/>
          <w:sz w:val="24"/>
          <w:lang w:val="sr-Cyrl-CS"/>
        </w:rPr>
        <w:t xml:space="preserve">            </w:t>
      </w:r>
      <w:r w:rsidR="00607CBA" w:rsidRPr="005303F7">
        <w:rPr>
          <w:rFonts w:ascii="Times New Roman" w:hAnsi="Times New Roman"/>
          <w:sz w:val="24"/>
          <w:lang w:val="sr-Cyrl-CS"/>
        </w:rPr>
        <w:t>Укупно</w:t>
      </w:r>
      <w:r w:rsidR="00862A6D" w:rsidRPr="005303F7">
        <w:rPr>
          <w:rFonts w:ascii="Times New Roman" w:hAnsi="Times New Roman"/>
          <w:sz w:val="24"/>
          <w:lang w:val="sr-Cyrl-CS"/>
        </w:rPr>
        <w:t xml:space="preserve"> </w:t>
      </w:r>
      <w:r w:rsidR="00607CBA" w:rsidRPr="005303F7">
        <w:rPr>
          <w:rFonts w:ascii="Times New Roman" w:hAnsi="Times New Roman"/>
          <w:sz w:val="24"/>
          <w:lang w:val="sr-Cyrl-CS"/>
        </w:rPr>
        <w:t>смањење</w:t>
      </w:r>
      <w:r w:rsidR="00F4180F" w:rsidRPr="005303F7">
        <w:rPr>
          <w:rFonts w:ascii="Times New Roman" w:hAnsi="Times New Roman"/>
          <w:sz w:val="24"/>
          <w:lang w:val="sr-Cyrl-CS"/>
        </w:rPr>
        <w:t xml:space="preserve"> </w:t>
      </w:r>
      <w:r w:rsidR="00607CBA" w:rsidRPr="005303F7">
        <w:rPr>
          <w:rFonts w:ascii="Times New Roman" w:hAnsi="Times New Roman"/>
          <w:sz w:val="24"/>
          <w:lang w:val="sr-Cyrl-CS"/>
        </w:rPr>
        <w:t>емисија</w:t>
      </w:r>
      <w:r w:rsidR="00F4180F" w:rsidRPr="005303F7">
        <w:rPr>
          <w:rFonts w:ascii="Times New Roman" w:hAnsi="Times New Roman"/>
          <w:sz w:val="24"/>
          <w:lang w:val="sr-Cyrl-CS"/>
        </w:rPr>
        <w:t xml:space="preserve"> </w:t>
      </w:r>
      <w:r w:rsidR="00BF65FC" w:rsidRPr="005303F7">
        <w:rPr>
          <w:rFonts w:ascii="Times New Roman" w:hAnsi="Times New Roman"/>
          <w:sz w:val="24"/>
          <w:lang w:val="sr-Cyrl-CS"/>
        </w:rPr>
        <w:t>GHG</w:t>
      </w:r>
      <w:r w:rsidR="00F4180F" w:rsidRPr="005303F7">
        <w:rPr>
          <w:rFonts w:ascii="Times New Roman" w:hAnsi="Times New Roman"/>
          <w:sz w:val="24"/>
          <w:lang w:val="sr-Cyrl-CS"/>
        </w:rPr>
        <w:t xml:space="preserve"> </w:t>
      </w:r>
      <w:r w:rsidR="00607CBA" w:rsidRPr="005303F7">
        <w:rPr>
          <w:rFonts w:ascii="Times New Roman" w:hAnsi="Times New Roman"/>
          <w:sz w:val="24"/>
          <w:lang w:val="sr-Cyrl-CS"/>
        </w:rPr>
        <w:t>заснива</w:t>
      </w:r>
      <w:r w:rsidR="00F4180F" w:rsidRPr="005303F7">
        <w:rPr>
          <w:rFonts w:ascii="Times New Roman" w:hAnsi="Times New Roman"/>
          <w:sz w:val="24"/>
          <w:lang w:val="sr-Cyrl-CS"/>
        </w:rPr>
        <w:t xml:space="preserve"> </w:t>
      </w:r>
      <w:r w:rsidR="00607CBA" w:rsidRPr="005303F7">
        <w:rPr>
          <w:rFonts w:ascii="Times New Roman" w:hAnsi="Times New Roman"/>
          <w:sz w:val="24"/>
          <w:lang w:val="sr-Cyrl-CS"/>
        </w:rPr>
        <w:t>се</w:t>
      </w:r>
      <w:r w:rsidR="00F4180F" w:rsidRPr="005303F7">
        <w:rPr>
          <w:rFonts w:ascii="Times New Roman" w:hAnsi="Times New Roman"/>
          <w:sz w:val="24"/>
          <w:lang w:val="sr-Cyrl-CS"/>
        </w:rPr>
        <w:t xml:space="preserve"> </w:t>
      </w:r>
      <w:r w:rsidR="00607CBA" w:rsidRPr="005303F7">
        <w:rPr>
          <w:rFonts w:ascii="Times New Roman" w:hAnsi="Times New Roman"/>
          <w:sz w:val="24"/>
          <w:lang w:val="sr-Cyrl-CS"/>
        </w:rPr>
        <w:t>на</w:t>
      </w:r>
      <w:r w:rsidR="00F4180F" w:rsidRPr="005303F7">
        <w:rPr>
          <w:rFonts w:ascii="Times New Roman" w:hAnsi="Times New Roman"/>
          <w:sz w:val="24"/>
          <w:lang w:val="sr-Cyrl-CS"/>
        </w:rPr>
        <w:t xml:space="preserve"> </w:t>
      </w:r>
      <w:r w:rsidR="00607CBA" w:rsidRPr="005303F7">
        <w:rPr>
          <w:rFonts w:ascii="Times New Roman" w:hAnsi="Times New Roman"/>
          <w:sz w:val="24"/>
          <w:lang w:val="sr-Cyrl-CS"/>
        </w:rPr>
        <w:t>смањењу</w:t>
      </w:r>
      <w:r w:rsidR="00F4180F" w:rsidRPr="005303F7">
        <w:rPr>
          <w:rFonts w:ascii="Times New Roman" w:hAnsi="Times New Roman"/>
          <w:sz w:val="24"/>
          <w:lang w:val="sr-Cyrl-CS"/>
        </w:rPr>
        <w:t xml:space="preserve"> </w:t>
      </w:r>
      <w:r w:rsidR="00607CBA" w:rsidRPr="005303F7">
        <w:rPr>
          <w:rFonts w:ascii="Times New Roman" w:hAnsi="Times New Roman"/>
          <w:sz w:val="24"/>
          <w:lang w:val="sr-Cyrl-CS"/>
        </w:rPr>
        <w:t>емисија</w:t>
      </w:r>
      <w:r w:rsidR="00F4180F"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F4180F" w:rsidRPr="005303F7">
        <w:rPr>
          <w:rFonts w:ascii="Times New Roman" w:hAnsi="Times New Roman"/>
          <w:sz w:val="24"/>
          <w:lang w:val="sr-Cyrl-CS"/>
        </w:rPr>
        <w:t xml:space="preserve"> </w:t>
      </w:r>
      <w:r w:rsidR="00607CBA" w:rsidRPr="005303F7">
        <w:rPr>
          <w:rFonts w:ascii="Times New Roman" w:hAnsi="Times New Roman"/>
          <w:sz w:val="24"/>
          <w:lang w:val="sr-Cyrl-CS"/>
        </w:rPr>
        <w:t>различитим</w:t>
      </w:r>
      <w:r w:rsidR="00F4180F" w:rsidRPr="005303F7">
        <w:rPr>
          <w:rFonts w:ascii="Times New Roman" w:hAnsi="Times New Roman"/>
          <w:sz w:val="24"/>
          <w:lang w:val="sr-Cyrl-CS"/>
        </w:rPr>
        <w:t xml:space="preserve"> </w:t>
      </w:r>
      <w:r w:rsidR="00607CBA" w:rsidRPr="005303F7">
        <w:rPr>
          <w:rFonts w:ascii="Times New Roman" w:hAnsi="Times New Roman"/>
          <w:sz w:val="24"/>
          <w:lang w:val="sr-Cyrl-CS"/>
        </w:rPr>
        <w:t>привредним</w:t>
      </w:r>
      <w:r w:rsidR="00F4180F" w:rsidRPr="005303F7">
        <w:rPr>
          <w:rFonts w:ascii="Times New Roman" w:hAnsi="Times New Roman"/>
          <w:sz w:val="24"/>
          <w:lang w:val="sr-Cyrl-CS"/>
        </w:rPr>
        <w:t xml:space="preserve"> </w:t>
      </w:r>
      <w:r w:rsidR="00607CBA" w:rsidRPr="005303F7">
        <w:rPr>
          <w:rFonts w:ascii="Times New Roman" w:hAnsi="Times New Roman"/>
          <w:sz w:val="24"/>
          <w:lang w:val="sr-Cyrl-CS"/>
        </w:rPr>
        <w:t>секторима</w:t>
      </w:r>
      <w:r w:rsidR="00F4180F" w:rsidRPr="005303F7">
        <w:rPr>
          <w:rFonts w:ascii="Times New Roman" w:hAnsi="Times New Roman"/>
          <w:sz w:val="24"/>
          <w:lang w:val="sr-Cyrl-CS"/>
        </w:rPr>
        <w:t xml:space="preserve"> </w:t>
      </w:r>
      <w:r w:rsidR="00607CBA" w:rsidRPr="005303F7">
        <w:rPr>
          <w:rFonts w:ascii="Times New Roman" w:hAnsi="Times New Roman"/>
          <w:sz w:val="24"/>
          <w:lang w:val="sr-Cyrl-CS"/>
        </w:rPr>
        <w:t>и</w:t>
      </w:r>
      <w:r w:rsidR="00F4180F" w:rsidRPr="005303F7">
        <w:rPr>
          <w:rFonts w:ascii="Times New Roman" w:hAnsi="Times New Roman"/>
          <w:sz w:val="24"/>
          <w:lang w:val="sr-Cyrl-CS"/>
        </w:rPr>
        <w:t xml:space="preserve"> </w:t>
      </w:r>
      <w:r w:rsidR="00607CBA" w:rsidRPr="005303F7">
        <w:rPr>
          <w:rFonts w:ascii="Times New Roman" w:hAnsi="Times New Roman"/>
          <w:sz w:val="24"/>
          <w:lang w:val="sr-Cyrl-CS"/>
        </w:rPr>
        <w:t>њиховим</w:t>
      </w:r>
      <w:r w:rsidR="00F4180F" w:rsidRPr="005303F7">
        <w:rPr>
          <w:rFonts w:ascii="Times New Roman" w:hAnsi="Times New Roman"/>
          <w:sz w:val="24"/>
          <w:lang w:val="sr-Cyrl-CS"/>
        </w:rPr>
        <w:t xml:space="preserve"> </w:t>
      </w:r>
      <w:r w:rsidR="00607CBA" w:rsidRPr="005303F7">
        <w:rPr>
          <w:rFonts w:ascii="Times New Roman" w:hAnsi="Times New Roman"/>
          <w:sz w:val="24"/>
          <w:lang w:val="sr-Cyrl-CS"/>
        </w:rPr>
        <w:t>апсорбовањем</w:t>
      </w:r>
      <w:r w:rsidR="00F4180F" w:rsidRPr="005303F7">
        <w:rPr>
          <w:rFonts w:ascii="Times New Roman" w:hAnsi="Times New Roman"/>
          <w:sz w:val="24"/>
          <w:lang w:val="sr-Cyrl-CS"/>
        </w:rPr>
        <w:t xml:space="preserve"> </w:t>
      </w:r>
      <w:r w:rsidR="00607CBA" w:rsidRPr="005303F7">
        <w:rPr>
          <w:rFonts w:ascii="Times New Roman" w:hAnsi="Times New Roman"/>
          <w:sz w:val="24"/>
          <w:lang w:val="sr-Cyrl-CS"/>
        </w:rPr>
        <w:t>од</w:t>
      </w:r>
      <w:r w:rsidR="008C2339" w:rsidRPr="005303F7">
        <w:rPr>
          <w:rFonts w:ascii="Times New Roman" w:hAnsi="Times New Roman"/>
          <w:sz w:val="24"/>
          <w:lang w:val="sr-Cyrl-CS"/>
        </w:rPr>
        <w:t xml:space="preserve"> </w:t>
      </w:r>
      <w:r w:rsidR="00607CBA" w:rsidRPr="005303F7">
        <w:rPr>
          <w:rFonts w:ascii="Times New Roman" w:hAnsi="Times New Roman"/>
          <w:sz w:val="24"/>
          <w:lang w:val="sr-Cyrl-CS"/>
        </w:rPr>
        <w:t>стране</w:t>
      </w:r>
      <w:r w:rsidR="008C2339" w:rsidRPr="005303F7">
        <w:rPr>
          <w:rFonts w:ascii="Times New Roman" w:hAnsi="Times New Roman"/>
          <w:sz w:val="24"/>
          <w:lang w:val="sr-Cyrl-CS"/>
        </w:rPr>
        <w:t xml:space="preserve"> </w:t>
      </w:r>
      <w:r w:rsidR="00607CBA" w:rsidRPr="005303F7">
        <w:rPr>
          <w:rFonts w:ascii="Times New Roman" w:hAnsi="Times New Roman"/>
          <w:sz w:val="24"/>
          <w:lang w:val="sr-Cyrl-CS"/>
        </w:rPr>
        <w:t>шума</w:t>
      </w:r>
      <w:r w:rsidR="008C2339" w:rsidRPr="005303F7">
        <w:rPr>
          <w:rFonts w:ascii="Times New Roman" w:hAnsi="Times New Roman"/>
          <w:sz w:val="24"/>
          <w:lang w:val="sr-Cyrl-CS"/>
        </w:rPr>
        <w:t>.</w:t>
      </w:r>
      <w:bookmarkStart w:id="154" w:name="_Hlk13145210"/>
      <w:bookmarkStart w:id="155" w:name="_Toc11985540"/>
      <w:bookmarkStart w:id="156" w:name="_Hlk11911102"/>
      <w:bookmarkStart w:id="157" w:name="_Hlk12880497"/>
      <w:r w:rsidR="00415473" w:rsidRPr="005303F7">
        <w:rPr>
          <w:rFonts w:ascii="Times New Roman" w:hAnsi="Times New Roman"/>
          <w:sz w:val="24"/>
          <w:lang w:val="sr-Cyrl-CS"/>
        </w:rPr>
        <w:t xml:space="preserve"> </w:t>
      </w:r>
    </w:p>
    <w:p w14:paraId="73D9D8FF" w14:textId="5DC88409" w:rsidR="00975294" w:rsidRPr="005303F7" w:rsidRDefault="00555C65" w:rsidP="00612091">
      <w:pPr>
        <w:rPr>
          <w:rFonts w:ascii="Times New Roman" w:hAnsi="Times New Roman"/>
          <w:sz w:val="24"/>
          <w:lang w:val="sr-Cyrl-CS"/>
        </w:rPr>
      </w:pPr>
      <w:r w:rsidRPr="005303F7">
        <w:rPr>
          <w:rFonts w:ascii="Times New Roman" w:hAnsi="Times New Roman"/>
          <w:sz w:val="24"/>
          <w:lang w:val="sr-Cyrl-CS"/>
        </w:rPr>
        <w:t xml:space="preserve">           </w:t>
      </w:r>
      <w:r w:rsidR="00607CBA" w:rsidRPr="005303F7">
        <w:rPr>
          <w:rFonts w:ascii="Times New Roman" w:hAnsi="Times New Roman"/>
          <w:sz w:val="24"/>
          <w:lang w:val="sr-Cyrl-CS"/>
        </w:rPr>
        <w:t>Да</w:t>
      </w:r>
      <w:r w:rsidR="00975294" w:rsidRPr="005303F7">
        <w:rPr>
          <w:rFonts w:ascii="Times New Roman" w:hAnsi="Times New Roman"/>
          <w:sz w:val="24"/>
          <w:lang w:val="sr-Cyrl-CS"/>
        </w:rPr>
        <w:t xml:space="preserve"> </w:t>
      </w:r>
      <w:r w:rsidR="00607CBA" w:rsidRPr="005303F7">
        <w:rPr>
          <w:rFonts w:ascii="Times New Roman" w:hAnsi="Times New Roman"/>
          <w:sz w:val="24"/>
          <w:lang w:val="sr-Cyrl-CS"/>
        </w:rPr>
        <w:t>би</w:t>
      </w:r>
      <w:r w:rsidR="00975294" w:rsidRPr="005303F7">
        <w:rPr>
          <w:rFonts w:ascii="Times New Roman" w:hAnsi="Times New Roman"/>
          <w:sz w:val="24"/>
          <w:lang w:val="sr-Cyrl-CS"/>
        </w:rPr>
        <w:t xml:space="preserve"> </w:t>
      </w:r>
      <w:r w:rsidR="00607CBA" w:rsidRPr="005303F7">
        <w:rPr>
          <w:rFonts w:ascii="Times New Roman" w:hAnsi="Times New Roman"/>
          <w:sz w:val="24"/>
          <w:lang w:val="sr-Cyrl-CS"/>
        </w:rPr>
        <w:t>били</w:t>
      </w:r>
      <w:r w:rsidR="00975294" w:rsidRPr="005303F7">
        <w:rPr>
          <w:rFonts w:ascii="Times New Roman" w:hAnsi="Times New Roman"/>
          <w:sz w:val="24"/>
          <w:lang w:val="sr-Cyrl-CS"/>
        </w:rPr>
        <w:t xml:space="preserve"> </w:t>
      </w:r>
      <w:r w:rsidR="00607CBA" w:rsidRPr="005303F7">
        <w:rPr>
          <w:rFonts w:ascii="Times New Roman" w:hAnsi="Times New Roman"/>
          <w:sz w:val="24"/>
          <w:lang w:val="sr-Cyrl-CS"/>
        </w:rPr>
        <w:t>усклађени</w:t>
      </w:r>
      <w:r w:rsidR="00975294" w:rsidRPr="005303F7">
        <w:rPr>
          <w:rFonts w:ascii="Times New Roman" w:hAnsi="Times New Roman"/>
          <w:sz w:val="24"/>
          <w:lang w:val="sr-Cyrl-CS"/>
        </w:rPr>
        <w:t xml:space="preserve"> </w:t>
      </w:r>
      <w:r w:rsidR="00607CBA" w:rsidRPr="005303F7">
        <w:rPr>
          <w:rFonts w:ascii="Times New Roman" w:hAnsi="Times New Roman"/>
          <w:sz w:val="24"/>
          <w:lang w:val="sr-Cyrl-CS"/>
        </w:rPr>
        <w:t>са</w:t>
      </w:r>
      <w:r w:rsidR="00975294" w:rsidRPr="005303F7">
        <w:rPr>
          <w:rFonts w:ascii="Times New Roman" w:hAnsi="Times New Roman"/>
          <w:sz w:val="24"/>
          <w:lang w:val="sr-Cyrl-CS"/>
        </w:rPr>
        <w:t xml:space="preserve"> </w:t>
      </w:r>
      <w:r w:rsidR="00607CBA" w:rsidRPr="005303F7">
        <w:rPr>
          <w:rFonts w:ascii="Times New Roman" w:hAnsi="Times New Roman"/>
          <w:sz w:val="24"/>
          <w:lang w:val="sr-Cyrl-CS"/>
        </w:rPr>
        <w:t>законодавством</w:t>
      </w:r>
      <w:r w:rsidR="00975294" w:rsidRPr="005303F7">
        <w:rPr>
          <w:rFonts w:ascii="Times New Roman" w:hAnsi="Times New Roman"/>
          <w:sz w:val="24"/>
          <w:lang w:val="sr-Cyrl-CS"/>
        </w:rPr>
        <w:t xml:space="preserve"> </w:t>
      </w:r>
      <w:r w:rsidR="00607CBA" w:rsidRPr="005303F7">
        <w:rPr>
          <w:rFonts w:ascii="Times New Roman" w:hAnsi="Times New Roman"/>
          <w:sz w:val="24"/>
          <w:lang w:val="sr-Cyrl-CS"/>
        </w:rPr>
        <w:t>и</w:t>
      </w:r>
      <w:r w:rsidR="00975294" w:rsidRPr="005303F7">
        <w:rPr>
          <w:rFonts w:ascii="Times New Roman" w:hAnsi="Times New Roman"/>
          <w:sz w:val="24"/>
          <w:lang w:val="sr-Cyrl-CS"/>
        </w:rPr>
        <w:t xml:space="preserve"> </w:t>
      </w:r>
      <w:r w:rsidR="00607CBA" w:rsidRPr="005303F7">
        <w:rPr>
          <w:rFonts w:ascii="Times New Roman" w:hAnsi="Times New Roman"/>
          <w:sz w:val="24"/>
          <w:lang w:val="sr-Cyrl-CS"/>
        </w:rPr>
        <w:t>праксом</w:t>
      </w:r>
      <w:r w:rsidR="00975294" w:rsidRPr="005303F7">
        <w:rPr>
          <w:rFonts w:ascii="Times New Roman" w:hAnsi="Times New Roman"/>
          <w:sz w:val="24"/>
          <w:lang w:val="sr-Cyrl-CS"/>
        </w:rPr>
        <w:t xml:space="preserve"> </w:t>
      </w:r>
      <w:r w:rsidR="00607CBA" w:rsidRPr="005303F7">
        <w:rPr>
          <w:rFonts w:ascii="Times New Roman" w:hAnsi="Times New Roman"/>
          <w:sz w:val="24"/>
          <w:lang w:val="sr-Cyrl-CS"/>
        </w:rPr>
        <w:t>ЕУ</w:t>
      </w:r>
      <w:r w:rsidR="00975294" w:rsidRPr="005303F7">
        <w:rPr>
          <w:rFonts w:ascii="Times New Roman" w:hAnsi="Times New Roman"/>
          <w:sz w:val="24"/>
          <w:lang w:val="sr-Cyrl-CS"/>
        </w:rPr>
        <w:t xml:space="preserve">, </w:t>
      </w:r>
      <w:r w:rsidR="00607CBA" w:rsidRPr="005303F7">
        <w:rPr>
          <w:rFonts w:ascii="Times New Roman" w:hAnsi="Times New Roman"/>
          <w:b/>
          <w:sz w:val="24"/>
          <w:lang w:val="sr-Cyrl-CS"/>
        </w:rPr>
        <w:t>посебни</w:t>
      </w:r>
      <w:r w:rsidR="00964109" w:rsidRPr="005303F7">
        <w:rPr>
          <w:rFonts w:ascii="Times New Roman" w:hAnsi="Times New Roman"/>
          <w:b/>
          <w:sz w:val="24"/>
          <w:lang w:val="sr-Cyrl-CS"/>
        </w:rPr>
        <w:t xml:space="preserve"> </w:t>
      </w:r>
      <w:r w:rsidR="00607CBA" w:rsidRPr="005303F7">
        <w:rPr>
          <w:rFonts w:ascii="Times New Roman" w:hAnsi="Times New Roman"/>
          <w:b/>
          <w:sz w:val="24"/>
          <w:lang w:val="sr-Cyrl-CS"/>
        </w:rPr>
        <w:t>циљеви</w:t>
      </w:r>
      <w:r w:rsidR="00975294" w:rsidRPr="005303F7">
        <w:rPr>
          <w:rFonts w:ascii="Times New Roman" w:hAnsi="Times New Roman"/>
          <w:sz w:val="24"/>
          <w:lang w:val="sr-Cyrl-CS"/>
        </w:rPr>
        <w:t xml:space="preserve"> </w:t>
      </w:r>
      <w:r w:rsidR="00607CBA" w:rsidRPr="005303F7">
        <w:rPr>
          <w:rFonts w:ascii="Times New Roman" w:hAnsi="Times New Roman"/>
          <w:sz w:val="24"/>
          <w:lang w:val="sr-Cyrl-CS"/>
        </w:rPr>
        <w:t>за</w:t>
      </w:r>
      <w:r w:rsidR="00975294" w:rsidRPr="005303F7">
        <w:rPr>
          <w:rFonts w:ascii="Times New Roman" w:hAnsi="Times New Roman"/>
          <w:sz w:val="24"/>
          <w:lang w:val="sr-Cyrl-CS"/>
        </w:rPr>
        <w:t xml:space="preserve"> </w:t>
      </w:r>
      <w:r w:rsidR="00607CBA" w:rsidRPr="005303F7">
        <w:rPr>
          <w:rFonts w:ascii="Times New Roman" w:hAnsi="Times New Roman"/>
          <w:sz w:val="24"/>
          <w:lang w:val="sr-Cyrl-CS"/>
        </w:rPr>
        <w:t>испуњење</w:t>
      </w:r>
      <w:r w:rsidR="00975294" w:rsidRPr="005303F7">
        <w:rPr>
          <w:rFonts w:ascii="Times New Roman" w:hAnsi="Times New Roman"/>
          <w:sz w:val="24"/>
          <w:lang w:val="sr-Cyrl-CS"/>
        </w:rPr>
        <w:t xml:space="preserve"> </w:t>
      </w:r>
      <w:r w:rsidR="00607CBA" w:rsidRPr="005303F7">
        <w:rPr>
          <w:rFonts w:ascii="Times New Roman" w:hAnsi="Times New Roman"/>
          <w:sz w:val="24"/>
          <w:lang w:val="sr-Cyrl-CS"/>
        </w:rPr>
        <w:t>општег</w:t>
      </w:r>
      <w:r w:rsidR="00975294" w:rsidRPr="005303F7">
        <w:rPr>
          <w:rFonts w:ascii="Times New Roman" w:hAnsi="Times New Roman"/>
          <w:sz w:val="24"/>
          <w:lang w:val="sr-Cyrl-CS"/>
        </w:rPr>
        <w:t xml:space="preserve"> </w:t>
      </w:r>
      <w:r w:rsidR="00607CBA" w:rsidRPr="005303F7">
        <w:rPr>
          <w:rFonts w:ascii="Times New Roman" w:hAnsi="Times New Roman"/>
          <w:sz w:val="24"/>
          <w:lang w:val="sr-Cyrl-CS"/>
        </w:rPr>
        <w:t>циља</w:t>
      </w:r>
      <w:r w:rsidR="00975294" w:rsidRPr="005303F7">
        <w:rPr>
          <w:rFonts w:ascii="Times New Roman" w:hAnsi="Times New Roman"/>
          <w:sz w:val="24"/>
          <w:lang w:val="sr-Cyrl-CS"/>
        </w:rPr>
        <w:t xml:space="preserve"> </w:t>
      </w:r>
      <w:r w:rsidR="00607CBA" w:rsidRPr="005303F7">
        <w:rPr>
          <w:rFonts w:ascii="Times New Roman" w:hAnsi="Times New Roman"/>
          <w:sz w:val="24"/>
          <w:lang w:val="sr-Cyrl-CS"/>
        </w:rPr>
        <w:t>Стратегије</w:t>
      </w:r>
      <w:r w:rsidR="00975294" w:rsidRPr="005303F7">
        <w:rPr>
          <w:rFonts w:ascii="Times New Roman" w:hAnsi="Times New Roman"/>
          <w:sz w:val="24"/>
          <w:lang w:val="sr-Cyrl-CS"/>
        </w:rPr>
        <w:t xml:space="preserve"> </w:t>
      </w:r>
      <w:r w:rsidR="00607CBA" w:rsidRPr="005303F7">
        <w:rPr>
          <w:rFonts w:ascii="Times New Roman" w:hAnsi="Times New Roman"/>
          <w:sz w:val="24"/>
          <w:lang w:val="sr-Cyrl-CS"/>
        </w:rPr>
        <w:t>могу</w:t>
      </w:r>
      <w:r w:rsidR="00975294" w:rsidRPr="005303F7">
        <w:rPr>
          <w:rFonts w:ascii="Times New Roman" w:hAnsi="Times New Roman"/>
          <w:sz w:val="24"/>
          <w:lang w:val="sr-Cyrl-CS"/>
        </w:rPr>
        <w:t xml:space="preserve"> </w:t>
      </w:r>
      <w:r w:rsidR="00607CBA" w:rsidRPr="005303F7">
        <w:rPr>
          <w:rFonts w:ascii="Times New Roman" w:hAnsi="Times New Roman"/>
          <w:sz w:val="24"/>
          <w:lang w:val="sr-Cyrl-CS"/>
        </w:rPr>
        <w:t>се</w:t>
      </w:r>
      <w:r w:rsidR="00975294" w:rsidRPr="005303F7">
        <w:rPr>
          <w:rFonts w:ascii="Times New Roman" w:hAnsi="Times New Roman"/>
          <w:sz w:val="24"/>
          <w:lang w:val="sr-Cyrl-CS"/>
        </w:rPr>
        <w:t xml:space="preserve"> </w:t>
      </w:r>
      <w:r w:rsidR="00607CBA" w:rsidRPr="005303F7">
        <w:rPr>
          <w:rFonts w:ascii="Times New Roman" w:hAnsi="Times New Roman"/>
          <w:sz w:val="24"/>
          <w:lang w:val="sr-Cyrl-CS"/>
        </w:rPr>
        <w:t>дефинисати</w:t>
      </w:r>
      <w:r w:rsidR="00975294" w:rsidRPr="005303F7">
        <w:rPr>
          <w:rFonts w:ascii="Times New Roman" w:hAnsi="Times New Roman"/>
          <w:sz w:val="24"/>
          <w:lang w:val="sr-Cyrl-CS"/>
        </w:rPr>
        <w:t xml:space="preserve"> </w:t>
      </w:r>
      <w:r w:rsidR="00607CBA" w:rsidRPr="005303F7">
        <w:rPr>
          <w:rFonts w:ascii="Times New Roman" w:hAnsi="Times New Roman"/>
          <w:sz w:val="24"/>
          <w:lang w:val="sr-Cyrl-CS"/>
        </w:rPr>
        <w:t>као</w:t>
      </w:r>
      <w:r w:rsidR="00975294" w:rsidRPr="005303F7">
        <w:rPr>
          <w:rFonts w:ascii="Times New Roman" w:hAnsi="Times New Roman"/>
          <w:sz w:val="24"/>
          <w:lang w:val="sr-Cyrl-CS"/>
        </w:rPr>
        <w:t>:</w:t>
      </w:r>
    </w:p>
    <w:p w14:paraId="74BB9DBD" w14:textId="32A98081" w:rsidR="00612091" w:rsidRPr="005303F7" w:rsidRDefault="00555C65" w:rsidP="00612091">
      <w:pPr>
        <w:rPr>
          <w:rFonts w:ascii="Times New Roman" w:hAnsi="Times New Roman"/>
          <w:b/>
          <w:bCs/>
          <w:sz w:val="24"/>
          <w:szCs w:val="22"/>
          <w:lang w:val="sr-Cyrl-CS"/>
        </w:rPr>
      </w:pPr>
      <w:r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Посебан</w:t>
      </w:r>
      <w:r w:rsidR="007F0807"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циљ</w:t>
      </w:r>
      <w:r w:rsidR="00612091" w:rsidRPr="005303F7">
        <w:rPr>
          <w:rFonts w:ascii="Times New Roman" w:hAnsi="Times New Roman"/>
          <w:b/>
          <w:bCs/>
          <w:sz w:val="24"/>
          <w:szCs w:val="22"/>
          <w:lang w:val="sr-Cyrl-CS"/>
        </w:rPr>
        <w:t xml:space="preserve"> 1: </w:t>
      </w:r>
      <w:r w:rsidR="00607CBA" w:rsidRPr="005303F7">
        <w:rPr>
          <w:rFonts w:ascii="Times New Roman" w:hAnsi="Times New Roman"/>
          <w:b/>
          <w:bCs/>
          <w:sz w:val="24"/>
          <w:szCs w:val="22"/>
          <w:lang w:val="sr-Cyrl-CS"/>
        </w:rPr>
        <w:t>Смањење</w:t>
      </w:r>
      <w:r w:rsidR="00833E38" w:rsidRPr="005303F7">
        <w:rPr>
          <w:rFonts w:ascii="Times New Roman" w:hAnsi="Times New Roman"/>
          <w:b/>
          <w:bCs/>
          <w:sz w:val="24"/>
          <w:szCs w:val="22"/>
          <w:lang w:val="sr-Cyrl-CS"/>
        </w:rPr>
        <w:t xml:space="preserve"> </w:t>
      </w:r>
      <w:r w:rsidR="00607CBA" w:rsidRPr="005303F7">
        <w:rPr>
          <w:rFonts w:ascii="Times New Roman" w:hAnsi="Times New Roman"/>
          <w:b/>
          <w:bCs/>
          <w:sz w:val="24"/>
          <w:szCs w:val="22"/>
          <w:lang w:val="sr-Cyrl-CS"/>
        </w:rPr>
        <w:t>емисија</w:t>
      </w:r>
      <w:r w:rsidR="00833E38" w:rsidRPr="005303F7">
        <w:rPr>
          <w:rFonts w:ascii="Times New Roman" w:hAnsi="Times New Roman"/>
          <w:b/>
          <w:bCs/>
          <w:sz w:val="24"/>
          <w:szCs w:val="22"/>
          <w:lang w:val="sr-Cyrl-CS"/>
        </w:rPr>
        <w:t xml:space="preserve"> </w:t>
      </w:r>
      <w:r w:rsidR="00BF65FC" w:rsidRPr="005303F7">
        <w:rPr>
          <w:rFonts w:ascii="Times New Roman" w:hAnsi="Times New Roman"/>
          <w:b/>
          <w:bCs/>
          <w:sz w:val="24"/>
          <w:szCs w:val="22"/>
          <w:lang w:val="sr-Cyrl-CS"/>
        </w:rPr>
        <w:t>GHG</w:t>
      </w:r>
      <w:r w:rsidR="00833E38" w:rsidRPr="005303F7">
        <w:rPr>
          <w:rFonts w:ascii="Times New Roman" w:hAnsi="Times New Roman"/>
          <w:b/>
          <w:bCs/>
          <w:sz w:val="24"/>
          <w:szCs w:val="22"/>
          <w:lang w:val="sr-Cyrl-CS"/>
        </w:rPr>
        <w:t xml:space="preserve"> </w:t>
      </w:r>
      <w:r w:rsidR="00450AC5" w:rsidRPr="005303F7">
        <w:rPr>
          <w:rFonts w:ascii="Times New Roman" w:hAnsi="Times New Roman"/>
          <w:b/>
          <w:bCs/>
          <w:sz w:val="24"/>
          <w:szCs w:val="22"/>
          <w:lang w:val="sr-Cyrl-CS"/>
        </w:rPr>
        <w:t xml:space="preserve">које ће бити обухваћене </w:t>
      </w:r>
      <w:r w:rsidR="00607CBA" w:rsidRPr="005303F7">
        <w:rPr>
          <w:rFonts w:ascii="Times New Roman" w:hAnsi="Times New Roman"/>
          <w:b/>
          <w:bCs/>
          <w:sz w:val="24"/>
          <w:szCs w:val="22"/>
          <w:lang w:val="sr-Cyrl-CS"/>
        </w:rPr>
        <w:t>ЕU</w:t>
      </w:r>
      <w:r w:rsidR="00833E38" w:rsidRPr="005303F7">
        <w:rPr>
          <w:rFonts w:ascii="Times New Roman" w:hAnsi="Times New Roman"/>
          <w:b/>
          <w:bCs/>
          <w:sz w:val="24"/>
          <w:szCs w:val="22"/>
          <w:lang w:val="sr-Cyrl-CS"/>
        </w:rPr>
        <w:t>-</w:t>
      </w:r>
      <w:r w:rsidR="00607CBA" w:rsidRPr="005303F7">
        <w:rPr>
          <w:rFonts w:ascii="Times New Roman" w:hAnsi="Times New Roman"/>
          <w:b/>
          <w:bCs/>
          <w:sz w:val="24"/>
          <w:szCs w:val="22"/>
          <w:lang w:val="sr-Cyrl-CS"/>
        </w:rPr>
        <w:t>ЕТS</w:t>
      </w:r>
      <w:r w:rsidR="00833E38" w:rsidRPr="005303F7">
        <w:rPr>
          <w:rFonts w:ascii="Times New Roman" w:hAnsi="Times New Roman"/>
          <w:b/>
          <w:bCs/>
          <w:sz w:val="24"/>
          <w:szCs w:val="22"/>
          <w:lang w:val="sr-Cyrl-CS"/>
        </w:rPr>
        <w:t>-</w:t>
      </w:r>
      <w:r w:rsidR="00607CBA" w:rsidRPr="005303F7">
        <w:rPr>
          <w:rFonts w:ascii="Times New Roman" w:hAnsi="Times New Roman"/>
          <w:b/>
          <w:bCs/>
          <w:sz w:val="24"/>
          <w:szCs w:val="22"/>
          <w:lang w:val="sr-Cyrl-CS"/>
        </w:rPr>
        <w:t>ом</w:t>
      </w:r>
      <w:r w:rsidR="00833E38" w:rsidRPr="005303F7">
        <w:rPr>
          <w:rFonts w:ascii="Times New Roman" w:hAnsi="Times New Roman"/>
          <w:b/>
          <w:bCs/>
          <w:sz w:val="24"/>
          <w:szCs w:val="22"/>
          <w:lang w:val="sr-Cyrl-CS"/>
        </w:rPr>
        <w:t xml:space="preserve"> </w:t>
      </w:r>
      <w:r w:rsidR="00607CBA" w:rsidRPr="005303F7">
        <w:rPr>
          <w:rFonts w:ascii="Times New Roman" w:hAnsi="Times New Roman"/>
          <w:b/>
          <w:bCs/>
          <w:sz w:val="24"/>
          <w:szCs w:val="22"/>
          <w:lang w:val="sr-Cyrl-CS"/>
        </w:rPr>
        <w:t>за</w:t>
      </w:r>
      <w:r w:rsidR="00833E38" w:rsidRPr="005303F7">
        <w:rPr>
          <w:rFonts w:ascii="Times New Roman" w:hAnsi="Times New Roman"/>
          <w:b/>
          <w:bCs/>
          <w:sz w:val="24"/>
          <w:szCs w:val="22"/>
          <w:lang w:val="sr-Cyrl-CS"/>
        </w:rPr>
        <w:t xml:space="preserve"> 15,</w:t>
      </w:r>
      <w:r w:rsidR="002E7168" w:rsidRPr="005303F7">
        <w:rPr>
          <w:rFonts w:ascii="Times New Roman" w:hAnsi="Times New Roman"/>
          <w:b/>
          <w:bCs/>
          <w:sz w:val="24"/>
          <w:szCs w:val="22"/>
          <w:lang w:val="sr-Cyrl-CS"/>
        </w:rPr>
        <w:t>0</w:t>
      </w:r>
      <w:r w:rsidR="00612091" w:rsidRPr="005303F7">
        <w:rPr>
          <w:rFonts w:ascii="Times New Roman" w:hAnsi="Times New Roman"/>
          <w:b/>
          <w:bCs/>
          <w:sz w:val="24"/>
          <w:szCs w:val="22"/>
          <w:lang w:val="sr-Cyrl-CS"/>
        </w:rPr>
        <w:t xml:space="preserve">% </w:t>
      </w:r>
      <w:r w:rsidR="00607CBA" w:rsidRPr="005303F7">
        <w:rPr>
          <w:rFonts w:ascii="Times New Roman" w:hAnsi="Times New Roman"/>
          <w:b/>
          <w:bCs/>
          <w:sz w:val="24"/>
          <w:szCs w:val="22"/>
          <w:lang w:val="sr-Cyrl-CS"/>
        </w:rPr>
        <w:t>до</w:t>
      </w:r>
      <w:r w:rsidR="00612091" w:rsidRPr="005303F7">
        <w:rPr>
          <w:rFonts w:ascii="Times New Roman" w:hAnsi="Times New Roman"/>
          <w:b/>
          <w:bCs/>
          <w:sz w:val="24"/>
          <w:szCs w:val="22"/>
          <w:lang w:val="sr-Cyrl-CS"/>
        </w:rPr>
        <w:t xml:space="preserve"> 2030</w:t>
      </w:r>
      <w:r w:rsidR="00833E38" w:rsidRPr="005303F7">
        <w:rPr>
          <w:rFonts w:ascii="Times New Roman" w:hAnsi="Times New Roman"/>
          <w:b/>
          <w:bCs/>
          <w:sz w:val="24"/>
          <w:szCs w:val="22"/>
          <w:lang w:val="sr-Cyrl-CS"/>
        </w:rPr>
        <w:t xml:space="preserve">. </w:t>
      </w:r>
      <w:r w:rsidR="00607CBA" w:rsidRPr="005303F7">
        <w:rPr>
          <w:rFonts w:ascii="Times New Roman" w:hAnsi="Times New Roman"/>
          <w:b/>
          <w:bCs/>
          <w:sz w:val="24"/>
          <w:szCs w:val="22"/>
          <w:lang w:val="sr-Cyrl-CS"/>
        </w:rPr>
        <w:t>године</w:t>
      </w:r>
      <w:r w:rsidR="00833E38" w:rsidRPr="005303F7">
        <w:rPr>
          <w:rFonts w:ascii="Times New Roman" w:hAnsi="Times New Roman"/>
          <w:b/>
          <w:bCs/>
          <w:sz w:val="24"/>
          <w:szCs w:val="22"/>
          <w:lang w:val="sr-Cyrl-CS"/>
        </w:rPr>
        <w:t xml:space="preserve"> </w:t>
      </w:r>
      <w:r w:rsidR="00607CBA" w:rsidRPr="005303F7">
        <w:rPr>
          <w:rFonts w:ascii="Times New Roman" w:hAnsi="Times New Roman"/>
          <w:b/>
          <w:bCs/>
          <w:sz w:val="24"/>
          <w:szCs w:val="22"/>
          <w:lang w:val="sr-Cyrl-CS"/>
        </w:rPr>
        <w:t>и</w:t>
      </w:r>
      <w:r w:rsidR="00833E38" w:rsidRPr="005303F7">
        <w:rPr>
          <w:rFonts w:ascii="Times New Roman" w:hAnsi="Times New Roman"/>
          <w:b/>
          <w:bCs/>
          <w:sz w:val="24"/>
          <w:szCs w:val="22"/>
          <w:lang w:val="sr-Cyrl-CS"/>
        </w:rPr>
        <w:t xml:space="preserve"> </w:t>
      </w:r>
      <w:r w:rsidR="00607CBA" w:rsidRPr="005303F7">
        <w:rPr>
          <w:rFonts w:ascii="Times New Roman" w:hAnsi="Times New Roman"/>
          <w:b/>
          <w:bCs/>
          <w:sz w:val="24"/>
          <w:szCs w:val="22"/>
          <w:lang w:val="sr-Cyrl-CS"/>
        </w:rPr>
        <w:t>између</w:t>
      </w:r>
      <w:r w:rsidR="00612091" w:rsidRPr="005303F7">
        <w:rPr>
          <w:rFonts w:ascii="Times New Roman" w:hAnsi="Times New Roman"/>
          <w:b/>
          <w:bCs/>
          <w:sz w:val="24"/>
          <w:szCs w:val="22"/>
          <w:lang w:val="sr-Cyrl-CS"/>
        </w:rPr>
        <w:t xml:space="preserve"> 66,4% </w:t>
      </w:r>
      <w:r w:rsidR="00607CBA" w:rsidRPr="005303F7">
        <w:rPr>
          <w:rFonts w:ascii="Times New Roman" w:hAnsi="Times New Roman"/>
          <w:b/>
          <w:bCs/>
          <w:sz w:val="24"/>
          <w:szCs w:val="22"/>
          <w:lang w:val="sr-Cyrl-CS"/>
        </w:rPr>
        <w:t>и</w:t>
      </w:r>
      <w:r w:rsidR="00612091" w:rsidRPr="005303F7">
        <w:rPr>
          <w:rFonts w:ascii="Times New Roman" w:hAnsi="Times New Roman"/>
          <w:b/>
          <w:bCs/>
          <w:sz w:val="24"/>
          <w:szCs w:val="22"/>
          <w:lang w:val="sr-Cyrl-CS"/>
        </w:rPr>
        <w:t xml:space="preserve"> 76,8% </w:t>
      </w:r>
      <w:r w:rsidR="00607CBA" w:rsidRPr="005303F7">
        <w:rPr>
          <w:rFonts w:ascii="Times New Roman" w:hAnsi="Times New Roman"/>
          <w:b/>
          <w:bCs/>
          <w:sz w:val="24"/>
          <w:szCs w:val="22"/>
          <w:lang w:val="sr-Cyrl-CS"/>
        </w:rPr>
        <w:t>до</w:t>
      </w:r>
      <w:r w:rsidR="00612091" w:rsidRPr="005303F7">
        <w:rPr>
          <w:rFonts w:ascii="Times New Roman" w:hAnsi="Times New Roman"/>
          <w:b/>
          <w:bCs/>
          <w:sz w:val="24"/>
          <w:szCs w:val="22"/>
          <w:lang w:val="sr-Cyrl-CS"/>
        </w:rPr>
        <w:t xml:space="preserve"> 2050</w:t>
      </w:r>
      <w:r w:rsidR="00833E38" w:rsidRPr="005303F7">
        <w:rPr>
          <w:rFonts w:ascii="Times New Roman" w:hAnsi="Times New Roman"/>
          <w:b/>
          <w:bCs/>
          <w:sz w:val="24"/>
          <w:szCs w:val="22"/>
          <w:lang w:val="sr-Cyrl-CS"/>
        </w:rPr>
        <w:t xml:space="preserve">. </w:t>
      </w:r>
      <w:r w:rsidR="00607CBA" w:rsidRPr="005303F7">
        <w:rPr>
          <w:rFonts w:ascii="Times New Roman" w:hAnsi="Times New Roman"/>
          <w:b/>
          <w:bCs/>
          <w:sz w:val="24"/>
          <w:szCs w:val="22"/>
          <w:lang w:val="sr-Cyrl-CS"/>
        </w:rPr>
        <w:t>у</w:t>
      </w:r>
      <w:r w:rsidR="00833E38" w:rsidRPr="005303F7">
        <w:rPr>
          <w:rFonts w:ascii="Times New Roman" w:hAnsi="Times New Roman"/>
          <w:b/>
          <w:bCs/>
          <w:sz w:val="24"/>
          <w:szCs w:val="22"/>
          <w:lang w:val="sr-Cyrl-CS"/>
        </w:rPr>
        <w:t xml:space="preserve"> </w:t>
      </w:r>
      <w:r w:rsidR="00607CBA" w:rsidRPr="005303F7">
        <w:rPr>
          <w:rFonts w:ascii="Times New Roman" w:hAnsi="Times New Roman"/>
          <w:b/>
          <w:bCs/>
          <w:sz w:val="24"/>
          <w:szCs w:val="22"/>
          <w:lang w:val="sr-Cyrl-CS"/>
        </w:rPr>
        <w:t>поређењу</w:t>
      </w:r>
      <w:r w:rsidR="00833E38" w:rsidRPr="005303F7">
        <w:rPr>
          <w:rFonts w:ascii="Times New Roman" w:hAnsi="Times New Roman"/>
          <w:b/>
          <w:bCs/>
          <w:sz w:val="24"/>
          <w:szCs w:val="22"/>
          <w:lang w:val="sr-Cyrl-CS"/>
        </w:rPr>
        <w:t xml:space="preserve"> </w:t>
      </w:r>
      <w:r w:rsidR="00607CBA" w:rsidRPr="005303F7">
        <w:rPr>
          <w:rFonts w:ascii="Times New Roman" w:hAnsi="Times New Roman"/>
          <w:b/>
          <w:bCs/>
          <w:sz w:val="24"/>
          <w:szCs w:val="22"/>
          <w:lang w:val="sr-Cyrl-CS"/>
        </w:rPr>
        <w:t>са</w:t>
      </w:r>
      <w:r w:rsidR="00612091" w:rsidRPr="005303F7">
        <w:rPr>
          <w:rFonts w:ascii="Times New Roman" w:hAnsi="Times New Roman"/>
          <w:b/>
          <w:bCs/>
          <w:sz w:val="24"/>
          <w:szCs w:val="22"/>
          <w:lang w:val="sr-Cyrl-CS"/>
        </w:rPr>
        <w:t xml:space="preserve"> 2010</w:t>
      </w:r>
      <w:bookmarkEnd w:id="154"/>
      <w:r w:rsidR="00833E38" w:rsidRPr="005303F7">
        <w:rPr>
          <w:rFonts w:ascii="Times New Roman" w:hAnsi="Times New Roman"/>
          <w:b/>
          <w:bCs/>
          <w:sz w:val="24"/>
          <w:szCs w:val="22"/>
          <w:lang w:val="sr-Cyrl-CS"/>
        </w:rPr>
        <w:t xml:space="preserve">. </w:t>
      </w:r>
      <w:r w:rsidR="00607CBA" w:rsidRPr="005303F7">
        <w:rPr>
          <w:rFonts w:ascii="Times New Roman" w:hAnsi="Times New Roman"/>
          <w:b/>
          <w:bCs/>
          <w:sz w:val="24"/>
          <w:szCs w:val="22"/>
          <w:lang w:val="sr-Cyrl-CS"/>
        </w:rPr>
        <w:t>годином</w:t>
      </w:r>
      <w:r w:rsidR="00833E38" w:rsidRPr="005303F7">
        <w:rPr>
          <w:rFonts w:ascii="Times New Roman" w:hAnsi="Times New Roman"/>
          <w:b/>
          <w:bCs/>
          <w:sz w:val="24"/>
          <w:szCs w:val="22"/>
          <w:lang w:val="sr-Cyrl-CS"/>
        </w:rPr>
        <w:t>.</w:t>
      </w:r>
      <w:r w:rsidR="00612091" w:rsidRPr="005303F7">
        <w:rPr>
          <w:rStyle w:val="FootnoteReference"/>
          <w:rFonts w:ascii="Times New Roman" w:hAnsi="Times New Roman"/>
          <w:b/>
          <w:bCs/>
          <w:sz w:val="18"/>
          <w:szCs w:val="22"/>
          <w:lang w:val="sr-Cyrl-CS"/>
        </w:rPr>
        <w:footnoteReference w:id="31"/>
      </w:r>
    </w:p>
    <w:p w14:paraId="56E3448B" w14:textId="18C00532" w:rsidR="008E2A44" w:rsidRPr="005303F7" w:rsidRDefault="00555C65" w:rsidP="00612091">
      <w:pPr>
        <w:rPr>
          <w:rFonts w:ascii="Times New Roman" w:hAnsi="Times New Roman"/>
          <w:sz w:val="24"/>
          <w:lang w:val="sr-Cyrl-CS"/>
        </w:rPr>
      </w:pPr>
      <w:bookmarkStart w:id="158" w:name="_Hlk13145217"/>
      <w:r w:rsidRPr="005303F7">
        <w:rPr>
          <w:rFonts w:ascii="Times New Roman" w:hAnsi="Times New Roman"/>
          <w:sz w:val="24"/>
          <w:lang w:val="sr-Cyrl-CS"/>
        </w:rPr>
        <w:t xml:space="preserve">           </w:t>
      </w:r>
      <w:r w:rsidR="00607CBA" w:rsidRPr="005303F7">
        <w:rPr>
          <w:rFonts w:ascii="Times New Roman" w:hAnsi="Times New Roman"/>
          <w:sz w:val="24"/>
          <w:lang w:val="sr-Cyrl-CS"/>
        </w:rPr>
        <w:t>Овај</w:t>
      </w:r>
      <w:r w:rsidR="008E2A44" w:rsidRPr="005303F7">
        <w:rPr>
          <w:rFonts w:ascii="Times New Roman" w:hAnsi="Times New Roman"/>
          <w:sz w:val="24"/>
          <w:lang w:val="sr-Cyrl-CS"/>
        </w:rPr>
        <w:t xml:space="preserve"> </w:t>
      </w:r>
      <w:r w:rsidR="00607CBA" w:rsidRPr="005303F7">
        <w:rPr>
          <w:rFonts w:ascii="Times New Roman" w:hAnsi="Times New Roman"/>
          <w:sz w:val="24"/>
          <w:lang w:val="sr-Cyrl-CS"/>
        </w:rPr>
        <w:t>посебан</w:t>
      </w:r>
      <w:r w:rsidR="008E2A44" w:rsidRPr="005303F7">
        <w:rPr>
          <w:rFonts w:ascii="Times New Roman" w:hAnsi="Times New Roman"/>
          <w:sz w:val="24"/>
          <w:lang w:val="sr-Cyrl-CS"/>
        </w:rPr>
        <w:t xml:space="preserve"> </w:t>
      </w:r>
      <w:r w:rsidR="00607CBA" w:rsidRPr="005303F7">
        <w:rPr>
          <w:rFonts w:ascii="Times New Roman" w:hAnsi="Times New Roman"/>
          <w:sz w:val="24"/>
          <w:lang w:val="sr-Cyrl-CS"/>
        </w:rPr>
        <w:t>циљ</w:t>
      </w:r>
      <w:r w:rsidR="008E2A44" w:rsidRPr="005303F7">
        <w:rPr>
          <w:rFonts w:ascii="Times New Roman" w:hAnsi="Times New Roman"/>
          <w:sz w:val="24"/>
          <w:lang w:val="sr-Cyrl-CS"/>
        </w:rPr>
        <w:t xml:space="preserve"> </w:t>
      </w:r>
      <w:r w:rsidR="00607CBA" w:rsidRPr="005303F7">
        <w:rPr>
          <w:rFonts w:ascii="Times New Roman" w:hAnsi="Times New Roman"/>
          <w:sz w:val="24"/>
          <w:lang w:val="sr-Cyrl-CS"/>
        </w:rPr>
        <w:t>једнак</w:t>
      </w:r>
      <w:r w:rsidR="008E2A44" w:rsidRPr="005303F7">
        <w:rPr>
          <w:rFonts w:ascii="Times New Roman" w:hAnsi="Times New Roman"/>
          <w:sz w:val="24"/>
          <w:lang w:val="sr-Cyrl-CS"/>
        </w:rPr>
        <w:t xml:space="preserve"> </w:t>
      </w:r>
      <w:r w:rsidR="00607CBA" w:rsidRPr="005303F7">
        <w:rPr>
          <w:rFonts w:ascii="Times New Roman" w:hAnsi="Times New Roman"/>
          <w:sz w:val="24"/>
          <w:lang w:val="sr-Cyrl-CS"/>
        </w:rPr>
        <w:t>је</w:t>
      </w:r>
      <w:r w:rsidR="008E2A44" w:rsidRPr="005303F7">
        <w:rPr>
          <w:rFonts w:ascii="Times New Roman" w:hAnsi="Times New Roman"/>
          <w:sz w:val="24"/>
          <w:lang w:val="sr-Cyrl-CS"/>
        </w:rPr>
        <w:t xml:space="preserve"> </w:t>
      </w:r>
      <w:r w:rsidR="00607CBA" w:rsidRPr="005303F7">
        <w:rPr>
          <w:rFonts w:ascii="Times New Roman" w:hAnsi="Times New Roman"/>
          <w:sz w:val="24"/>
          <w:lang w:val="sr-Cyrl-CS"/>
        </w:rPr>
        <w:t>смањењу</w:t>
      </w:r>
      <w:r w:rsidR="008E2A44" w:rsidRPr="005303F7">
        <w:rPr>
          <w:rFonts w:ascii="Times New Roman" w:hAnsi="Times New Roman"/>
          <w:sz w:val="24"/>
          <w:lang w:val="sr-Cyrl-CS"/>
        </w:rPr>
        <w:t xml:space="preserve"> </w:t>
      </w:r>
      <w:r w:rsidR="00607CBA" w:rsidRPr="005303F7">
        <w:rPr>
          <w:rFonts w:ascii="Times New Roman" w:hAnsi="Times New Roman"/>
          <w:sz w:val="24"/>
          <w:lang w:val="sr-Cyrl-CS"/>
        </w:rPr>
        <w:t>емисија</w:t>
      </w:r>
      <w:r w:rsidR="008E2A44" w:rsidRPr="005303F7">
        <w:rPr>
          <w:rFonts w:ascii="Times New Roman" w:hAnsi="Times New Roman"/>
          <w:sz w:val="24"/>
          <w:lang w:val="sr-Cyrl-CS"/>
        </w:rPr>
        <w:t xml:space="preserve"> </w:t>
      </w:r>
      <w:r w:rsidR="00607CBA" w:rsidRPr="005303F7">
        <w:rPr>
          <w:rFonts w:ascii="Times New Roman" w:hAnsi="Times New Roman"/>
          <w:sz w:val="24"/>
          <w:lang w:val="sr-Cyrl-CS"/>
        </w:rPr>
        <w:t>GHG</w:t>
      </w:r>
      <w:r w:rsidR="008E2A44" w:rsidRPr="005303F7">
        <w:rPr>
          <w:rFonts w:ascii="Times New Roman" w:hAnsi="Times New Roman"/>
          <w:sz w:val="24"/>
          <w:lang w:val="sr-Cyrl-CS"/>
        </w:rPr>
        <w:t xml:space="preserve"> </w:t>
      </w:r>
      <w:r w:rsidR="00450AC5" w:rsidRPr="005303F7">
        <w:rPr>
          <w:rFonts w:ascii="Times New Roman" w:hAnsi="Times New Roman"/>
          <w:sz w:val="24"/>
          <w:lang w:val="sr-Cyrl-CS"/>
        </w:rPr>
        <w:t>које ће бити обухваћене</w:t>
      </w:r>
      <w:r w:rsidR="008E2A44" w:rsidRPr="005303F7">
        <w:rPr>
          <w:rFonts w:ascii="Times New Roman" w:hAnsi="Times New Roman"/>
          <w:sz w:val="24"/>
          <w:lang w:val="sr-Cyrl-CS"/>
        </w:rPr>
        <w:t xml:space="preserve"> </w:t>
      </w:r>
      <w:r w:rsidR="00607CBA" w:rsidRPr="005303F7">
        <w:rPr>
          <w:rFonts w:ascii="Times New Roman" w:hAnsi="Times New Roman"/>
          <w:sz w:val="24"/>
          <w:lang w:val="sr-Cyrl-CS"/>
        </w:rPr>
        <w:t>ЕU</w:t>
      </w:r>
      <w:r w:rsidR="008E2A44" w:rsidRPr="005303F7">
        <w:rPr>
          <w:rFonts w:ascii="Times New Roman" w:hAnsi="Times New Roman"/>
          <w:sz w:val="24"/>
          <w:lang w:val="sr-Cyrl-CS"/>
        </w:rPr>
        <w:t>-</w:t>
      </w:r>
      <w:r w:rsidR="00607CBA" w:rsidRPr="005303F7">
        <w:rPr>
          <w:rFonts w:ascii="Times New Roman" w:hAnsi="Times New Roman"/>
          <w:sz w:val="24"/>
          <w:lang w:val="sr-Cyrl-CS"/>
        </w:rPr>
        <w:t>ЕTS</w:t>
      </w:r>
      <w:r w:rsidR="008E2A44" w:rsidRPr="005303F7">
        <w:rPr>
          <w:rFonts w:ascii="Times New Roman" w:hAnsi="Times New Roman"/>
          <w:sz w:val="24"/>
          <w:lang w:val="sr-Cyrl-CS"/>
        </w:rPr>
        <w:t>-</w:t>
      </w:r>
      <w:r w:rsidR="00607CBA" w:rsidRPr="005303F7">
        <w:rPr>
          <w:rFonts w:ascii="Times New Roman" w:hAnsi="Times New Roman"/>
          <w:sz w:val="24"/>
          <w:lang w:val="sr-Cyrl-CS"/>
        </w:rPr>
        <w:t>ом</w:t>
      </w:r>
      <w:r w:rsidR="008E2A44" w:rsidRPr="005303F7">
        <w:rPr>
          <w:rFonts w:ascii="Times New Roman" w:hAnsi="Times New Roman"/>
          <w:sz w:val="24"/>
          <w:lang w:val="sr-Cyrl-CS"/>
        </w:rPr>
        <w:t xml:space="preserve"> </w:t>
      </w:r>
      <w:r w:rsidR="00607CBA" w:rsidRPr="005303F7">
        <w:rPr>
          <w:rFonts w:ascii="Times New Roman" w:hAnsi="Times New Roman"/>
          <w:sz w:val="24"/>
          <w:lang w:val="sr-Cyrl-CS"/>
        </w:rPr>
        <w:t>за</w:t>
      </w:r>
      <w:r w:rsidR="008E2A44" w:rsidRPr="005303F7">
        <w:rPr>
          <w:rFonts w:ascii="Times New Roman" w:hAnsi="Times New Roman"/>
          <w:sz w:val="24"/>
          <w:lang w:val="sr-Cyrl-CS"/>
        </w:rPr>
        <w:t xml:space="preserve"> 24,4% </w:t>
      </w:r>
      <w:r w:rsidR="00607CBA" w:rsidRPr="005303F7">
        <w:rPr>
          <w:rFonts w:ascii="Times New Roman" w:hAnsi="Times New Roman"/>
          <w:sz w:val="24"/>
          <w:lang w:val="sr-Cyrl-CS"/>
        </w:rPr>
        <w:t>у</w:t>
      </w:r>
      <w:r w:rsidR="008E2A44" w:rsidRPr="005303F7">
        <w:rPr>
          <w:rFonts w:ascii="Times New Roman" w:hAnsi="Times New Roman"/>
          <w:sz w:val="24"/>
          <w:lang w:val="sr-Cyrl-CS"/>
        </w:rPr>
        <w:t xml:space="preserve"> 2030. </w:t>
      </w:r>
      <w:r w:rsidR="00607CBA" w:rsidRPr="005303F7">
        <w:rPr>
          <w:rFonts w:ascii="Times New Roman" w:hAnsi="Times New Roman"/>
          <w:sz w:val="24"/>
          <w:lang w:val="sr-Cyrl-CS"/>
        </w:rPr>
        <w:t>и</w:t>
      </w:r>
      <w:r w:rsidR="008E2A44" w:rsidRPr="005303F7">
        <w:rPr>
          <w:rFonts w:ascii="Times New Roman" w:hAnsi="Times New Roman"/>
          <w:sz w:val="24"/>
          <w:lang w:val="sr-Cyrl-CS"/>
        </w:rPr>
        <w:t xml:space="preserve"> </w:t>
      </w:r>
      <w:r w:rsidR="00607CBA" w:rsidRPr="005303F7">
        <w:rPr>
          <w:rFonts w:ascii="Times New Roman" w:hAnsi="Times New Roman"/>
          <w:sz w:val="24"/>
          <w:lang w:val="sr-Cyrl-CS"/>
        </w:rPr>
        <w:t>између</w:t>
      </w:r>
      <w:r w:rsidR="008E2A44" w:rsidRPr="005303F7">
        <w:rPr>
          <w:rFonts w:ascii="Times New Roman" w:hAnsi="Times New Roman"/>
          <w:sz w:val="24"/>
          <w:lang w:val="sr-Cyrl-CS"/>
        </w:rPr>
        <w:t xml:space="preserve"> 70,1% </w:t>
      </w:r>
      <w:r w:rsidR="00607CBA" w:rsidRPr="005303F7">
        <w:rPr>
          <w:rFonts w:ascii="Times New Roman" w:hAnsi="Times New Roman"/>
          <w:sz w:val="24"/>
          <w:lang w:val="sr-Cyrl-CS"/>
        </w:rPr>
        <w:t>и</w:t>
      </w:r>
      <w:r w:rsidR="008E2A44" w:rsidRPr="005303F7">
        <w:rPr>
          <w:rFonts w:ascii="Times New Roman" w:hAnsi="Times New Roman"/>
          <w:sz w:val="24"/>
          <w:lang w:val="sr-Cyrl-CS"/>
        </w:rPr>
        <w:t xml:space="preserve"> 79,4% </w:t>
      </w:r>
      <w:r w:rsidR="00607CBA" w:rsidRPr="005303F7">
        <w:rPr>
          <w:rFonts w:ascii="Times New Roman" w:hAnsi="Times New Roman"/>
          <w:sz w:val="24"/>
          <w:lang w:val="sr-Cyrl-CS"/>
        </w:rPr>
        <w:t>до</w:t>
      </w:r>
      <w:r w:rsidR="008E2A44" w:rsidRPr="005303F7">
        <w:rPr>
          <w:rFonts w:ascii="Times New Roman" w:hAnsi="Times New Roman"/>
          <w:sz w:val="24"/>
          <w:lang w:val="sr-Cyrl-CS"/>
        </w:rPr>
        <w:t xml:space="preserve"> 2050. </w:t>
      </w:r>
      <w:r w:rsidR="00607CBA" w:rsidRPr="005303F7">
        <w:rPr>
          <w:rFonts w:ascii="Times New Roman" w:hAnsi="Times New Roman"/>
          <w:sz w:val="24"/>
          <w:lang w:val="sr-Cyrl-CS"/>
        </w:rPr>
        <w:t>у</w:t>
      </w:r>
      <w:r w:rsidR="008E2A44" w:rsidRPr="005303F7">
        <w:rPr>
          <w:rFonts w:ascii="Times New Roman" w:hAnsi="Times New Roman"/>
          <w:sz w:val="24"/>
          <w:lang w:val="sr-Cyrl-CS"/>
        </w:rPr>
        <w:t xml:space="preserve"> </w:t>
      </w:r>
      <w:r w:rsidR="00607CBA" w:rsidRPr="005303F7">
        <w:rPr>
          <w:rFonts w:ascii="Times New Roman" w:hAnsi="Times New Roman"/>
          <w:sz w:val="24"/>
          <w:lang w:val="sr-Cyrl-CS"/>
        </w:rPr>
        <w:t>односу</w:t>
      </w:r>
      <w:r w:rsidR="008E2A44" w:rsidRPr="005303F7">
        <w:rPr>
          <w:rFonts w:ascii="Times New Roman" w:hAnsi="Times New Roman"/>
          <w:sz w:val="24"/>
          <w:lang w:val="sr-Cyrl-CS"/>
        </w:rPr>
        <w:t xml:space="preserve"> </w:t>
      </w:r>
      <w:r w:rsidR="00607CBA" w:rsidRPr="005303F7">
        <w:rPr>
          <w:rFonts w:ascii="Times New Roman" w:hAnsi="Times New Roman"/>
          <w:sz w:val="24"/>
          <w:lang w:val="sr-Cyrl-CS"/>
        </w:rPr>
        <w:t>на</w:t>
      </w:r>
      <w:r w:rsidR="008E2A44" w:rsidRPr="005303F7">
        <w:rPr>
          <w:rFonts w:ascii="Times New Roman" w:hAnsi="Times New Roman"/>
          <w:sz w:val="24"/>
          <w:lang w:val="sr-Cyrl-CS"/>
        </w:rPr>
        <w:t xml:space="preserve"> 2005. </w:t>
      </w:r>
      <w:r w:rsidR="00607CBA" w:rsidRPr="005303F7">
        <w:rPr>
          <w:rFonts w:ascii="Times New Roman" w:hAnsi="Times New Roman"/>
          <w:sz w:val="24"/>
          <w:lang w:val="sr-Cyrl-CS"/>
        </w:rPr>
        <w:t>годину</w:t>
      </w:r>
      <w:r w:rsidR="00D73614" w:rsidRPr="005303F7">
        <w:rPr>
          <w:rStyle w:val="FootnoteReference"/>
          <w:rFonts w:ascii="Times New Roman" w:hAnsi="Times New Roman"/>
          <w:sz w:val="18"/>
          <w:lang w:val="sr-Cyrl-CS"/>
        </w:rPr>
        <w:footnoteReference w:id="32"/>
      </w:r>
      <w:r w:rsidR="008E2A44" w:rsidRPr="005303F7">
        <w:rPr>
          <w:rFonts w:ascii="Times New Roman" w:hAnsi="Times New Roman"/>
          <w:sz w:val="24"/>
          <w:lang w:val="sr-Cyrl-CS"/>
        </w:rPr>
        <w:t>.</w:t>
      </w:r>
    </w:p>
    <w:p w14:paraId="2A5E33F4" w14:textId="19B5A680" w:rsidR="00612091" w:rsidRPr="005303F7" w:rsidRDefault="00555C65" w:rsidP="00612091">
      <w:pPr>
        <w:rPr>
          <w:rFonts w:ascii="Times New Roman" w:hAnsi="Times New Roman"/>
          <w:b/>
          <w:bCs/>
          <w:sz w:val="24"/>
          <w:szCs w:val="22"/>
          <w:lang w:val="sr-Cyrl-CS"/>
        </w:rPr>
      </w:pPr>
      <w:r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Посебни</w:t>
      </w:r>
      <w:r w:rsidR="007F0807"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циљ</w:t>
      </w:r>
      <w:r w:rsidR="007F0807" w:rsidRPr="005303F7">
        <w:rPr>
          <w:rFonts w:ascii="Times New Roman" w:hAnsi="Times New Roman"/>
          <w:b/>
          <w:bCs/>
          <w:sz w:val="24"/>
          <w:lang w:val="sr-Cyrl-CS"/>
        </w:rPr>
        <w:t xml:space="preserve"> </w:t>
      </w:r>
      <w:r w:rsidR="00612091" w:rsidRPr="005303F7">
        <w:rPr>
          <w:rFonts w:ascii="Times New Roman" w:hAnsi="Times New Roman"/>
          <w:b/>
          <w:bCs/>
          <w:sz w:val="24"/>
          <w:szCs w:val="22"/>
          <w:lang w:val="sr-Cyrl-CS"/>
        </w:rPr>
        <w:t xml:space="preserve">2: </w:t>
      </w:r>
      <w:r w:rsidR="00607CBA" w:rsidRPr="005303F7">
        <w:rPr>
          <w:rFonts w:ascii="Times New Roman" w:hAnsi="Times New Roman"/>
          <w:b/>
          <w:bCs/>
          <w:sz w:val="24"/>
          <w:szCs w:val="22"/>
          <w:lang w:val="sr-Cyrl-CS"/>
        </w:rPr>
        <w:t>Смањење</w:t>
      </w:r>
      <w:r w:rsidR="00D65FD3" w:rsidRPr="005303F7">
        <w:rPr>
          <w:rFonts w:ascii="Times New Roman" w:hAnsi="Times New Roman"/>
          <w:b/>
          <w:bCs/>
          <w:sz w:val="24"/>
          <w:szCs w:val="22"/>
          <w:lang w:val="sr-Cyrl-CS"/>
        </w:rPr>
        <w:t xml:space="preserve"> </w:t>
      </w:r>
      <w:r w:rsidR="00607CBA" w:rsidRPr="005303F7">
        <w:rPr>
          <w:rFonts w:ascii="Times New Roman" w:hAnsi="Times New Roman"/>
          <w:b/>
          <w:bCs/>
          <w:sz w:val="24"/>
          <w:szCs w:val="22"/>
          <w:lang w:val="sr-Cyrl-CS"/>
        </w:rPr>
        <w:t>емисија</w:t>
      </w:r>
      <w:r w:rsidR="00D65FD3" w:rsidRPr="005303F7">
        <w:rPr>
          <w:rFonts w:ascii="Times New Roman" w:hAnsi="Times New Roman"/>
          <w:b/>
          <w:bCs/>
          <w:sz w:val="24"/>
          <w:szCs w:val="22"/>
          <w:lang w:val="sr-Cyrl-CS"/>
        </w:rPr>
        <w:t xml:space="preserve"> </w:t>
      </w:r>
      <w:r w:rsidR="00607CBA" w:rsidRPr="005303F7">
        <w:rPr>
          <w:rFonts w:ascii="Times New Roman" w:hAnsi="Times New Roman"/>
          <w:b/>
          <w:bCs/>
          <w:sz w:val="24"/>
          <w:szCs w:val="22"/>
          <w:lang w:val="sr-Cyrl-CS"/>
        </w:rPr>
        <w:t>GHG</w:t>
      </w:r>
      <w:r w:rsidR="00D65FD3" w:rsidRPr="005303F7">
        <w:rPr>
          <w:rFonts w:ascii="Times New Roman" w:hAnsi="Times New Roman"/>
          <w:b/>
          <w:bCs/>
          <w:sz w:val="24"/>
          <w:szCs w:val="22"/>
          <w:lang w:val="sr-Cyrl-CS"/>
        </w:rPr>
        <w:t xml:space="preserve"> </w:t>
      </w:r>
      <w:r w:rsidR="00607CBA" w:rsidRPr="005303F7">
        <w:rPr>
          <w:rFonts w:ascii="Times New Roman" w:hAnsi="Times New Roman"/>
          <w:b/>
          <w:bCs/>
          <w:sz w:val="24"/>
          <w:szCs w:val="22"/>
          <w:lang w:val="sr-Cyrl-CS"/>
        </w:rPr>
        <w:t>које</w:t>
      </w:r>
      <w:r w:rsidR="00D65FD3" w:rsidRPr="005303F7">
        <w:rPr>
          <w:rFonts w:ascii="Times New Roman" w:hAnsi="Times New Roman"/>
          <w:b/>
          <w:bCs/>
          <w:sz w:val="24"/>
          <w:szCs w:val="22"/>
          <w:lang w:val="sr-Cyrl-CS"/>
        </w:rPr>
        <w:t xml:space="preserve"> </w:t>
      </w:r>
      <w:r w:rsidR="00450AC5" w:rsidRPr="005303F7">
        <w:rPr>
          <w:rFonts w:ascii="Times New Roman" w:hAnsi="Times New Roman"/>
          <w:b/>
          <w:bCs/>
          <w:sz w:val="24"/>
          <w:szCs w:val="22"/>
          <w:lang w:val="sr-Cyrl-CS"/>
        </w:rPr>
        <w:t xml:space="preserve">неће бити  </w:t>
      </w:r>
      <w:r w:rsidR="00607CBA" w:rsidRPr="005303F7">
        <w:rPr>
          <w:rFonts w:ascii="Times New Roman" w:hAnsi="Times New Roman"/>
          <w:b/>
          <w:bCs/>
          <w:sz w:val="24"/>
          <w:szCs w:val="22"/>
          <w:lang w:val="sr-Cyrl-CS"/>
        </w:rPr>
        <w:t>обухваћене</w:t>
      </w:r>
      <w:r w:rsidR="00D65FD3" w:rsidRPr="005303F7">
        <w:rPr>
          <w:rFonts w:ascii="Times New Roman" w:hAnsi="Times New Roman"/>
          <w:b/>
          <w:bCs/>
          <w:sz w:val="24"/>
          <w:szCs w:val="22"/>
          <w:lang w:val="sr-Cyrl-CS"/>
        </w:rPr>
        <w:t xml:space="preserve"> </w:t>
      </w:r>
      <w:r w:rsidR="00607CBA" w:rsidRPr="005303F7">
        <w:rPr>
          <w:rFonts w:ascii="Times New Roman" w:hAnsi="Times New Roman"/>
          <w:b/>
          <w:bCs/>
          <w:sz w:val="24"/>
          <w:szCs w:val="22"/>
          <w:lang w:val="sr-Cyrl-CS"/>
        </w:rPr>
        <w:t>ЕU</w:t>
      </w:r>
      <w:r w:rsidR="00D65FD3" w:rsidRPr="005303F7">
        <w:rPr>
          <w:rFonts w:ascii="Times New Roman" w:hAnsi="Times New Roman"/>
          <w:b/>
          <w:bCs/>
          <w:sz w:val="24"/>
          <w:szCs w:val="22"/>
          <w:lang w:val="sr-Cyrl-CS"/>
        </w:rPr>
        <w:t>-</w:t>
      </w:r>
      <w:r w:rsidR="00607CBA" w:rsidRPr="005303F7">
        <w:rPr>
          <w:rFonts w:ascii="Times New Roman" w:hAnsi="Times New Roman"/>
          <w:b/>
          <w:bCs/>
          <w:sz w:val="24"/>
          <w:szCs w:val="22"/>
          <w:lang w:val="sr-Cyrl-CS"/>
        </w:rPr>
        <w:t>ЕТS</w:t>
      </w:r>
      <w:r w:rsidR="00D65FD3" w:rsidRPr="005303F7">
        <w:rPr>
          <w:rFonts w:ascii="Times New Roman" w:hAnsi="Times New Roman"/>
          <w:b/>
          <w:bCs/>
          <w:sz w:val="24"/>
          <w:szCs w:val="22"/>
          <w:lang w:val="sr-Cyrl-CS"/>
        </w:rPr>
        <w:t>-</w:t>
      </w:r>
      <w:r w:rsidR="00607CBA" w:rsidRPr="005303F7">
        <w:rPr>
          <w:rFonts w:ascii="Times New Roman" w:hAnsi="Times New Roman"/>
          <w:b/>
          <w:bCs/>
          <w:sz w:val="24"/>
          <w:szCs w:val="22"/>
          <w:lang w:val="sr-Cyrl-CS"/>
        </w:rPr>
        <w:t>ом</w:t>
      </w:r>
      <w:r w:rsidR="00612091" w:rsidRPr="005303F7">
        <w:rPr>
          <w:rFonts w:ascii="Times New Roman" w:hAnsi="Times New Roman"/>
          <w:b/>
          <w:bCs/>
          <w:sz w:val="24"/>
          <w:szCs w:val="22"/>
          <w:lang w:val="sr-Cyrl-CS"/>
        </w:rPr>
        <w:t xml:space="preserve"> </w:t>
      </w:r>
      <w:r w:rsidR="00607CBA" w:rsidRPr="005303F7">
        <w:rPr>
          <w:rFonts w:ascii="Times New Roman" w:hAnsi="Times New Roman"/>
          <w:b/>
          <w:bCs/>
          <w:sz w:val="24"/>
          <w:szCs w:val="22"/>
          <w:lang w:val="sr-Cyrl-CS"/>
        </w:rPr>
        <w:t>за</w:t>
      </w:r>
      <w:r w:rsidR="00612091" w:rsidRPr="005303F7">
        <w:rPr>
          <w:rFonts w:ascii="Times New Roman" w:hAnsi="Times New Roman"/>
          <w:b/>
          <w:bCs/>
          <w:sz w:val="24"/>
          <w:szCs w:val="22"/>
          <w:lang w:val="sr-Cyrl-CS"/>
        </w:rPr>
        <w:t xml:space="preserve"> 9,7% </w:t>
      </w:r>
      <w:r w:rsidR="00607CBA" w:rsidRPr="005303F7">
        <w:rPr>
          <w:rFonts w:ascii="Times New Roman" w:hAnsi="Times New Roman"/>
          <w:b/>
          <w:bCs/>
          <w:sz w:val="24"/>
          <w:szCs w:val="22"/>
          <w:lang w:val="sr-Cyrl-CS"/>
        </w:rPr>
        <w:t>до</w:t>
      </w:r>
      <w:r w:rsidR="00612091" w:rsidRPr="005303F7">
        <w:rPr>
          <w:rFonts w:ascii="Times New Roman" w:hAnsi="Times New Roman"/>
          <w:b/>
          <w:bCs/>
          <w:sz w:val="24"/>
          <w:szCs w:val="22"/>
          <w:lang w:val="sr-Cyrl-CS"/>
        </w:rPr>
        <w:t xml:space="preserve"> 2030</w:t>
      </w:r>
      <w:r w:rsidR="00E023F8" w:rsidRPr="005303F7">
        <w:rPr>
          <w:rFonts w:ascii="Times New Roman" w:hAnsi="Times New Roman"/>
          <w:b/>
          <w:bCs/>
          <w:sz w:val="24"/>
          <w:szCs w:val="22"/>
          <w:lang w:val="sr-Cyrl-CS"/>
        </w:rPr>
        <w:t xml:space="preserve">. </w:t>
      </w:r>
      <w:r w:rsidR="00607CBA" w:rsidRPr="005303F7">
        <w:rPr>
          <w:rFonts w:ascii="Times New Roman" w:hAnsi="Times New Roman"/>
          <w:b/>
          <w:bCs/>
          <w:sz w:val="24"/>
          <w:szCs w:val="22"/>
          <w:lang w:val="sr-Cyrl-CS"/>
        </w:rPr>
        <w:t>године</w:t>
      </w:r>
      <w:r w:rsidR="00E023F8" w:rsidRPr="005303F7">
        <w:rPr>
          <w:rFonts w:ascii="Times New Roman" w:hAnsi="Times New Roman"/>
          <w:b/>
          <w:bCs/>
          <w:sz w:val="24"/>
          <w:szCs w:val="22"/>
          <w:lang w:val="sr-Cyrl-CS"/>
        </w:rPr>
        <w:t xml:space="preserve"> </w:t>
      </w:r>
      <w:r w:rsidR="00607CBA" w:rsidRPr="005303F7">
        <w:rPr>
          <w:rFonts w:ascii="Times New Roman" w:hAnsi="Times New Roman"/>
          <w:b/>
          <w:bCs/>
          <w:sz w:val="24"/>
          <w:szCs w:val="22"/>
          <w:lang w:val="sr-Cyrl-CS"/>
        </w:rPr>
        <w:t>и</w:t>
      </w:r>
      <w:r w:rsidR="00E023F8" w:rsidRPr="005303F7">
        <w:rPr>
          <w:rFonts w:ascii="Times New Roman" w:hAnsi="Times New Roman"/>
          <w:b/>
          <w:bCs/>
          <w:sz w:val="24"/>
          <w:szCs w:val="22"/>
          <w:lang w:val="sr-Cyrl-CS"/>
        </w:rPr>
        <w:t xml:space="preserve"> </w:t>
      </w:r>
      <w:r w:rsidR="00607CBA" w:rsidRPr="005303F7">
        <w:rPr>
          <w:rFonts w:ascii="Times New Roman" w:hAnsi="Times New Roman"/>
          <w:b/>
          <w:bCs/>
          <w:sz w:val="24"/>
          <w:szCs w:val="22"/>
          <w:lang w:val="sr-Cyrl-CS"/>
        </w:rPr>
        <w:t>између</w:t>
      </w:r>
      <w:r w:rsidR="00612091" w:rsidRPr="005303F7">
        <w:rPr>
          <w:rFonts w:ascii="Times New Roman" w:hAnsi="Times New Roman"/>
          <w:b/>
          <w:bCs/>
          <w:sz w:val="24"/>
          <w:szCs w:val="22"/>
          <w:lang w:val="sr-Cyrl-CS"/>
        </w:rPr>
        <w:t xml:space="preserve"> 33,5% </w:t>
      </w:r>
      <w:r w:rsidR="00607CBA" w:rsidRPr="005303F7">
        <w:rPr>
          <w:rFonts w:ascii="Times New Roman" w:hAnsi="Times New Roman"/>
          <w:b/>
          <w:bCs/>
          <w:sz w:val="24"/>
          <w:szCs w:val="22"/>
          <w:lang w:val="sr-Cyrl-CS"/>
        </w:rPr>
        <w:t>и</w:t>
      </w:r>
      <w:r w:rsidR="00612091" w:rsidRPr="005303F7">
        <w:rPr>
          <w:rFonts w:ascii="Times New Roman" w:hAnsi="Times New Roman"/>
          <w:b/>
          <w:bCs/>
          <w:sz w:val="24"/>
          <w:szCs w:val="22"/>
          <w:lang w:val="sr-Cyrl-CS"/>
        </w:rPr>
        <w:t xml:space="preserve"> 54,5% </w:t>
      </w:r>
      <w:r w:rsidR="00607CBA" w:rsidRPr="005303F7">
        <w:rPr>
          <w:rFonts w:ascii="Times New Roman" w:hAnsi="Times New Roman"/>
          <w:b/>
          <w:bCs/>
          <w:sz w:val="24"/>
          <w:szCs w:val="22"/>
          <w:lang w:val="sr-Cyrl-CS"/>
        </w:rPr>
        <w:t>до</w:t>
      </w:r>
      <w:r w:rsidR="00612091" w:rsidRPr="005303F7">
        <w:rPr>
          <w:rFonts w:ascii="Times New Roman" w:hAnsi="Times New Roman"/>
          <w:b/>
          <w:bCs/>
          <w:sz w:val="24"/>
          <w:szCs w:val="22"/>
          <w:lang w:val="sr-Cyrl-CS"/>
        </w:rPr>
        <w:t xml:space="preserve"> 2050</w:t>
      </w:r>
      <w:r w:rsidR="00E023F8" w:rsidRPr="005303F7">
        <w:rPr>
          <w:rFonts w:ascii="Times New Roman" w:hAnsi="Times New Roman"/>
          <w:b/>
          <w:bCs/>
          <w:sz w:val="24"/>
          <w:szCs w:val="22"/>
          <w:lang w:val="sr-Cyrl-CS"/>
        </w:rPr>
        <w:t xml:space="preserve">. </w:t>
      </w:r>
      <w:r w:rsidR="00607CBA" w:rsidRPr="005303F7">
        <w:rPr>
          <w:rFonts w:ascii="Times New Roman" w:hAnsi="Times New Roman"/>
          <w:b/>
          <w:bCs/>
          <w:sz w:val="24"/>
          <w:szCs w:val="22"/>
          <w:lang w:val="sr-Cyrl-CS"/>
        </w:rPr>
        <w:t>у</w:t>
      </w:r>
      <w:r w:rsidR="00E023F8" w:rsidRPr="005303F7">
        <w:rPr>
          <w:rFonts w:ascii="Times New Roman" w:hAnsi="Times New Roman"/>
          <w:b/>
          <w:bCs/>
          <w:sz w:val="24"/>
          <w:szCs w:val="22"/>
          <w:lang w:val="sr-Cyrl-CS"/>
        </w:rPr>
        <w:t xml:space="preserve"> </w:t>
      </w:r>
      <w:r w:rsidR="00607CBA" w:rsidRPr="005303F7">
        <w:rPr>
          <w:rFonts w:ascii="Times New Roman" w:hAnsi="Times New Roman"/>
          <w:b/>
          <w:bCs/>
          <w:sz w:val="24"/>
          <w:szCs w:val="22"/>
          <w:lang w:val="sr-Cyrl-CS"/>
        </w:rPr>
        <w:t>поређењу</w:t>
      </w:r>
      <w:r w:rsidR="00E023F8" w:rsidRPr="005303F7">
        <w:rPr>
          <w:rFonts w:ascii="Times New Roman" w:hAnsi="Times New Roman"/>
          <w:b/>
          <w:bCs/>
          <w:sz w:val="24"/>
          <w:szCs w:val="22"/>
          <w:lang w:val="sr-Cyrl-CS"/>
        </w:rPr>
        <w:t xml:space="preserve"> </w:t>
      </w:r>
      <w:r w:rsidR="00607CBA" w:rsidRPr="005303F7">
        <w:rPr>
          <w:rFonts w:ascii="Times New Roman" w:hAnsi="Times New Roman"/>
          <w:b/>
          <w:bCs/>
          <w:sz w:val="24"/>
          <w:szCs w:val="22"/>
          <w:lang w:val="sr-Cyrl-CS"/>
        </w:rPr>
        <w:t>са</w:t>
      </w:r>
      <w:r w:rsidR="00612091" w:rsidRPr="005303F7">
        <w:rPr>
          <w:rFonts w:ascii="Times New Roman" w:hAnsi="Times New Roman"/>
          <w:b/>
          <w:bCs/>
          <w:sz w:val="24"/>
          <w:szCs w:val="22"/>
          <w:lang w:val="sr-Cyrl-CS"/>
        </w:rPr>
        <w:t xml:space="preserve"> 2010.</w:t>
      </w:r>
      <w:r w:rsidR="00E023F8" w:rsidRPr="005303F7">
        <w:rPr>
          <w:rFonts w:ascii="Times New Roman" w:hAnsi="Times New Roman"/>
          <w:b/>
          <w:bCs/>
          <w:sz w:val="24"/>
          <w:szCs w:val="22"/>
          <w:lang w:val="sr-Cyrl-CS"/>
        </w:rPr>
        <w:t xml:space="preserve"> </w:t>
      </w:r>
      <w:r w:rsidR="00607CBA" w:rsidRPr="005303F7">
        <w:rPr>
          <w:rFonts w:ascii="Times New Roman" w:hAnsi="Times New Roman"/>
          <w:b/>
          <w:bCs/>
          <w:sz w:val="24"/>
          <w:szCs w:val="22"/>
          <w:lang w:val="sr-Cyrl-CS"/>
        </w:rPr>
        <w:t>годином</w:t>
      </w:r>
      <w:r w:rsidR="00E023F8" w:rsidRPr="005303F7">
        <w:rPr>
          <w:rFonts w:ascii="Times New Roman" w:hAnsi="Times New Roman"/>
          <w:b/>
          <w:bCs/>
          <w:sz w:val="24"/>
          <w:szCs w:val="22"/>
          <w:lang w:val="sr-Cyrl-CS"/>
        </w:rPr>
        <w:t>.</w:t>
      </w:r>
    </w:p>
    <w:bookmarkEnd w:id="158"/>
    <w:p w14:paraId="7AFBCE43" w14:textId="54C999F2" w:rsidR="00612091" w:rsidRPr="005303F7" w:rsidRDefault="00555C65" w:rsidP="00612091">
      <w:pPr>
        <w:rPr>
          <w:rFonts w:ascii="Times New Roman" w:hAnsi="Times New Roman"/>
          <w:sz w:val="24"/>
          <w:lang w:val="sr-Cyrl-CS"/>
        </w:rPr>
      </w:pPr>
      <w:r w:rsidRPr="005303F7">
        <w:rPr>
          <w:rFonts w:ascii="Times New Roman" w:hAnsi="Times New Roman"/>
          <w:sz w:val="24"/>
          <w:lang w:val="sr-Cyrl-CS"/>
        </w:rPr>
        <w:lastRenderedPageBreak/>
        <w:t xml:space="preserve">            </w:t>
      </w:r>
      <w:r w:rsidR="00607CBA" w:rsidRPr="005303F7">
        <w:rPr>
          <w:rFonts w:ascii="Times New Roman" w:hAnsi="Times New Roman"/>
          <w:sz w:val="24"/>
          <w:lang w:val="sr-Cyrl-CS"/>
        </w:rPr>
        <w:t>Овај</w:t>
      </w:r>
      <w:r w:rsidR="0057571D" w:rsidRPr="005303F7">
        <w:rPr>
          <w:rFonts w:ascii="Times New Roman" w:hAnsi="Times New Roman"/>
          <w:sz w:val="24"/>
          <w:lang w:val="sr-Cyrl-CS"/>
        </w:rPr>
        <w:t xml:space="preserve"> </w:t>
      </w:r>
      <w:r w:rsidR="00607CBA" w:rsidRPr="005303F7">
        <w:rPr>
          <w:rFonts w:ascii="Times New Roman" w:hAnsi="Times New Roman"/>
          <w:sz w:val="24"/>
          <w:lang w:val="sr-Cyrl-CS"/>
        </w:rPr>
        <w:t>специфични</w:t>
      </w:r>
      <w:r w:rsidR="0057571D" w:rsidRPr="005303F7">
        <w:rPr>
          <w:rFonts w:ascii="Times New Roman" w:hAnsi="Times New Roman"/>
          <w:sz w:val="24"/>
          <w:lang w:val="sr-Cyrl-CS"/>
        </w:rPr>
        <w:t xml:space="preserve"> </w:t>
      </w:r>
      <w:r w:rsidR="00607CBA" w:rsidRPr="005303F7">
        <w:rPr>
          <w:rFonts w:ascii="Times New Roman" w:hAnsi="Times New Roman"/>
          <w:sz w:val="24"/>
          <w:lang w:val="sr-Cyrl-CS"/>
        </w:rPr>
        <w:t>циљ</w:t>
      </w:r>
      <w:r w:rsidR="0057571D" w:rsidRPr="005303F7">
        <w:rPr>
          <w:rFonts w:ascii="Times New Roman" w:hAnsi="Times New Roman"/>
          <w:sz w:val="24"/>
          <w:lang w:val="sr-Cyrl-CS"/>
        </w:rPr>
        <w:t xml:space="preserve"> </w:t>
      </w:r>
      <w:r w:rsidR="00607CBA" w:rsidRPr="005303F7">
        <w:rPr>
          <w:rFonts w:ascii="Times New Roman" w:hAnsi="Times New Roman"/>
          <w:sz w:val="24"/>
          <w:lang w:val="sr-Cyrl-CS"/>
        </w:rPr>
        <w:t>једнак</w:t>
      </w:r>
      <w:r w:rsidR="0057571D" w:rsidRPr="005303F7">
        <w:rPr>
          <w:rFonts w:ascii="Times New Roman" w:hAnsi="Times New Roman"/>
          <w:sz w:val="24"/>
          <w:lang w:val="sr-Cyrl-CS"/>
        </w:rPr>
        <w:t xml:space="preserve"> </w:t>
      </w:r>
      <w:r w:rsidR="00607CBA" w:rsidRPr="005303F7">
        <w:rPr>
          <w:rFonts w:ascii="Times New Roman" w:hAnsi="Times New Roman"/>
          <w:sz w:val="24"/>
          <w:lang w:val="sr-Cyrl-CS"/>
        </w:rPr>
        <w:t>је</w:t>
      </w:r>
      <w:r w:rsidR="0057571D" w:rsidRPr="005303F7">
        <w:rPr>
          <w:rFonts w:ascii="Times New Roman" w:hAnsi="Times New Roman"/>
          <w:sz w:val="24"/>
          <w:lang w:val="sr-Cyrl-CS"/>
        </w:rPr>
        <w:t xml:space="preserve"> </w:t>
      </w:r>
      <w:r w:rsidR="00607CBA" w:rsidRPr="005303F7">
        <w:rPr>
          <w:rFonts w:ascii="Times New Roman" w:hAnsi="Times New Roman"/>
          <w:sz w:val="24"/>
          <w:lang w:val="sr-Cyrl-CS"/>
        </w:rPr>
        <w:t>смањењу</w:t>
      </w:r>
      <w:r w:rsidR="0057571D" w:rsidRPr="005303F7">
        <w:rPr>
          <w:rFonts w:ascii="Times New Roman" w:hAnsi="Times New Roman"/>
          <w:sz w:val="24"/>
          <w:lang w:val="sr-Cyrl-CS"/>
        </w:rPr>
        <w:t xml:space="preserve"> </w:t>
      </w:r>
      <w:r w:rsidR="00607CBA" w:rsidRPr="005303F7">
        <w:rPr>
          <w:rFonts w:ascii="Times New Roman" w:hAnsi="Times New Roman"/>
          <w:sz w:val="24"/>
          <w:lang w:val="sr-Cyrl-CS"/>
        </w:rPr>
        <w:t>емисија</w:t>
      </w:r>
      <w:r w:rsidR="0057571D" w:rsidRPr="005303F7">
        <w:rPr>
          <w:rFonts w:ascii="Times New Roman" w:hAnsi="Times New Roman"/>
          <w:sz w:val="24"/>
          <w:lang w:val="sr-Cyrl-CS"/>
        </w:rPr>
        <w:t xml:space="preserve"> </w:t>
      </w:r>
      <w:r w:rsidR="00607CBA" w:rsidRPr="005303F7">
        <w:rPr>
          <w:rFonts w:ascii="Times New Roman" w:hAnsi="Times New Roman"/>
          <w:sz w:val="24"/>
          <w:lang w:val="sr-Cyrl-CS"/>
        </w:rPr>
        <w:t>GHG</w:t>
      </w:r>
      <w:r w:rsidR="0057571D" w:rsidRPr="005303F7">
        <w:rPr>
          <w:rFonts w:ascii="Times New Roman" w:hAnsi="Times New Roman"/>
          <w:sz w:val="24"/>
          <w:lang w:val="sr-Cyrl-CS"/>
        </w:rPr>
        <w:t xml:space="preserve"> </w:t>
      </w:r>
      <w:r w:rsidR="00607CBA" w:rsidRPr="005303F7">
        <w:rPr>
          <w:rFonts w:ascii="Times New Roman" w:hAnsi="Times New Roman"/>
          <w:sz w:val="24"/>
          <w:lang w:val="sr-Cyrl-CS"/>
        </w:rPr>
        <w:t>које</w:t>
      </w:r>
      <w:r w:rsidR="0057571D" w:rsidRPr="005303F7">
        <w:rPr>
          <w:rFonts w:ascii="Times New Roman" w:hAnsi="Times New Roman"/>
          <w:sz w:val="24"/>
          <w:lang w:val="sr-Cyrl-CS"/>
        </w:rPr>
        <w:t xml:space="preserve"> </w:t>
      </w:r>
      <w:r w:rsidR="00450AC5" w:rsidRPr="005303F7">
        <w:rPr>
          <w:rFonts w:ascii="Times New Roman" w:hAnsi="Times New Roman"/>
          <w:sz w:val="24"/>
          <w:lang w:val="sr-Cyrl-CS"/>
        </w:rPr>
        <w:t xml:space="preserve">неће бити  </w:t>
      </w:r>
      <w:r w:rsidR="00607CBA" w:rsidRPr="005303F7">
        <w:rPr>
          <w:rFonts w:ascii="Times New Roman" w:hAnsi="Times New Roman"/>
          <w:sz w:val="24"/>
          <w:lang w:val="sr-Cyrl-CS"/>
        </w:rPr>
        <w:t>обухваћене</w:t>
      </w:r>
      <w:r w:rsidR="0057571D" w:rsidRPr="005303F7">
        <w:rPr>
          <w:rFonts w:ascii="Times New Roman" w:hAnsi="Times New Roman"/>
          <w:sz w:val="24"/>
          <w:lang w:val="sr-Cyrl-CS"/>
        </w:rPr>
        <w:t xml:space="preserve"> </w:t>
      </w:r>
      <w:r w:rsidR="00607CBA" w:rsidRPr="005303F7">
        <w:rPr>
          <w:rFonts w:ascii="Times New Roman" w:hAnsi="Times New Roman"/>
          <w:sz w:val="24"/>
          <w:lang w:val="sr-Cyrl-CS"/>
        </w:rPr>
        <w:t>Е</w:t>
      </w:r>
      <w:r w:rsidR="000E1644" w:rsidRPr="005303F7">
        <w:rPr>
          <w:rFonts w:ascii="Times New Roman" w:hAnsi="Times New Roman"/>
          <w:sz w:val="24"/>
          <w:lang w:val="sr-Cyrl-CS"/>
        </w:rPr>
        <w:t>U</w:t>
      </w:r>
      <w:r w:rsidR="0057571D" w:rsidRPr="005303F7">
        <w:rPr>
          <w:rFonts w:ascii="Times New Roman" w:hAnsi="Times New Roman"/>
          <w:sz w:val="24"/>
          <w:lang w:val="sr-Cyrl-CS"/>
        </w:rPr>
        <w:t>-</w:t>
      </w:r>
      <w:r w:rsidR="00607CBA" w:rsidRPr="005303F7">
        <w:rPr>
          <w:rFonts w:ascii="Times New Roman" w:hAnsi="Times New Roman"/>
          <w:sz w:val="24"/>
          <w:lang w:val="sr-Cyrl-CS"/>
        </w:rPr>
        <w:t>ЕТS</w:t>
      </w:r>
      <w:r w:rsidR="0057571D" w:rsidRPr="005303F7">
        <w:rPr>
          <w:rFonts w:ascii="Times New Roman" w:hAnsi="Times New Roman"/>
          <w:sz w:val="24"/>
          <w:lang w:val="sr-Cyrl-CS"/>
        </w:rPr>
        <w:t>-</w:t>
      </w:r>
      <w:r w:rsidR="00607CBA" w:rsidRPr="005303F7">
        <w:rPr>
          <w:rFonts w:ascii="Times New Roman" w:hAnsi="Times New Roman"/>
          <w:sz w:val="24"/>
          <w:lang w:val="sr-Cyrl-CS"/>
        </w:rPr>
        <w:t>ом</w:t>
      </w:r>
      <w:r w:rsidR="0057571D" w:rsidRPr="005303F7">
        <w:rPr>
          <w:rFonts w:ascii="Times New Roman" w:hAnsi="Times New Roman"/>
          <w:sz w:val="24"/>
          <w:lang w:val="sr-Cyrl-CS"/>
        </w:rPr>
        <w:t xml:space="preserve"> </w:t>
      </w:r>
      <w:r w:rsidR="00607CBA" w:rsidRPr="005303F7">
        <w:rPr>
          <w:rFonts w:ascii="Times New Roman" w:hAnsi="Times New Roman"/>
          <w:sz w:val="24"/>
          <w:lang w:val="sr-Cyrl-CS"/>
        </w:rPr>
        <w:t>за</w:t>
      </w:r>
      <w:r w:rsidR="00612091" w:rsidRPr="005303F7">
        <w:rPr>
          <w:rFonts w:ascii="Times New Roman" w:hAnsi="Times New Roman"/>
          <w:sz w:val="24"/>
          <w:lang w:val="sr-Cyrl-CS"/>
        </w:rPr>
        <w:t xml:space="preserve"> 11,2% </w:t>
      </w:r>
      <w:r w:rsidR="00607CBA" w:rsidRPr="005303F7">
        <w:rPr>
          <w:rFonts w:ascii="Times New Roman" w:hAnsi="Times New Roman"/>
          <w:sz w:val="24"/>
          <w:lang w:val="sr-Cyrl-CS"/>
        </w:rPr>
        <w:t>у</w:t>
      </w:r>
      <w:r w:rsidR="005A563A" w:rsidRPr="005303F7">
        <w:rPr>
          <w:rFonts w:ascii="Times New Roman" w:hAnsi="Times New Roman"/>
          <w:sz w:val="24"/>
          <w:lang w:val="sr-Cyrl-CS"/>
        </w:rPr>
        <w:t xml:space="preserve"> 2030. </w:t>
      </w:r>
      <w:r w:rsidR="00607CBA" w:rsidRPr="005303F7">
        <w:rPr>
          <w:rFonts w:ascii="Times New Roman" w:hAnsi="Times New Roman"/>
          <w:sz w:val="24"/>
          <w:lang w:val="sr-Cyrl-CS"/>
        </w:rPr>
        <w:t>и</w:t>
      </w:r>
      <w:r w:rsidR="005A563A" w:rsidRPr="005303F7">
        <w:rPr>
          <w:rFonts w:ascii="Times New Roman" w:hAnsi="Times New Roman"/>
          <w:sz w:val="24"/>
          <w:lang w:val="sr-Cyrl-CS"/>
        </w:rPr>
        <w:t xml:space="preserve"> </w:t>
      </w:r>
      <w:r w:rsidR="00607CBA" w:rsidRPr="005303F7">
        <w:rPr>
          <w:rFonts w:ascii="Times New Roman" w:hAnsi="Times New Roman"/>
          <w:sz w:val="24"/>
          <w:lang w:val="sr-Cyrl-CS"/>
        </w:rPr>
        <w:t>између</w:t>
      </w:r>
      <w:r w:rsidR="005A563A" w:rsidRPr="005303F7">
        <w:rPr>
          <w:rFonts w:ascii="Times New Roman" w:hAnsi="Times New Roman"/>
          <w:sz w:val="24"/>
          <w:lang w:val="sr-Cyrl-CS"/>
        </w:rPr>
        <w:t xml:space="preserve"> </w:t>
      </w:r>
      <w:r w:rsidR="00612091" w:rsidRPr="005303F7">
        <w:rPr>
          <w:rFonts w:ascii="Times New Roman" w:hAnsi="Times New Roman"/>
          <w:sz w:val="24"/>
          <w:lang w:val="sr-Cyrl-CS"/>
        </w:rPr>
        <w:t xml:space="preserve">34,6% </w:t>
      </w:r>
      <w:r w:rsidR="00607CBA" w:rsidRPr="005303F7">
        <w:rPr>
          <w:rFonts w:ascii="Times New Roman" w:hAnsi="Times New Roman"/>
          <w:sz w:val="24"/>
          <w:lang w:val="sr-Cyrl-CS"/>
        </w:rPr>
        <w:t>и</w:t>
      </w:r>
      <w:r w:rsidR="00612091" w:rsidRPr="005303F7">
        <w:rPr>
          <w:rFonts w:ascii="Times New Roman" w:hAnsi="Times New Roman"/>
          <w:sz w:val="24"/>
          <w:lang w:val="sr-Cyrl-CS"/>
        </w:rPr>
        <w:t xml:space="preserve"> 55,2% </w:t>
      </w:r>
      <w:r w:rsidR="00607CBA" w:rsidRPr="005303F7">
        <w:rPr>
          <w:rFonts w:ascii="Times New Roman" w:hAnsi="Times New Roman"/>
          <w:sz w:val="24"/>
          <w:lang w:val="sr-Cyrl-CS"/>
        </w:rPr>
        <w:t>до</w:t>
      </w:r>
      <w:r w:rsidR="00C82B26" w:rsidRPr="005303F7">
        <w:rPr>
          <w:rFonts w:ascii="Times New Roman" w:hAnsi="Times New Roman"/>
          <w:sz w:val="24"/>
          <w:lang w:val="sr-Cyrl-CS"/>
        </w:rPr>
        <w:t xml:space="preserve"> </w:t>
      </w:r>
      <w:r w:rsidR="00612091" w:rsidRPr="005303F7">
        <w:rPr>
          <w:rFonts w:ascii="Times New Roman" w:hAnsi="Times New Roman"/>
          <w:sz w:val="24"/>
          <w:lang w:val="sr-Cyrl-CS"/>
        </w:rPr>
        <w:t>2050</w:t>
      </w:r>
      <w:r w:rsidR="005A563A"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5A563A" w:rsidRPr="005303F7">
        <w:rPr>
          <w:rFonts w:ascii="Times New Roman" w:hAnsi="Times New Roman"/>
          <w:sz w:val="24"/>
          <w:lang w:val="sr-Cyrl-CS"/>
        </w:rPr>
        <w:t xml:space="preserve"> </w:t>
      </w:r>
      <w:r w:rsidR="00607CBA" w:rsidRPr="005303F7">
        <w:rPr>
          <w:rFonts w:ascii="Times New Roman" w:hAnsi="Times New Roman"/>
          <w:sz w:val="24"/>
          <w:lang w:val="sr-Cyrl-CS"/>
        </w:rPr>
        <w:t>поређењу</w:t>
      </w:r>
      <w:r w:rsidR="005A563A" w:rsidRPr="005303F7">
        <w:rPr>
          <w:rFonts w:ascii="Times New Roman" w:hAnsi="Times New Roman"/>
          <w:sz w:val="24"/>
          <w:lang w:val="sr-Cyrl-CS"/>
        </w:rPr>
        <w:t xml:space="preserve"> </w:t>
      </w:r>
      <w:r w:rsidR="00607CBA" w:rsidRPr="005303F7">
        <w:rPr>
          <w:rFonts w:ascii="Times New Roman" w:hAnsi="Times New Roman"/>
          <w:sz w:val="24"/>
          <w:lang w:val="sr-Cyrl-CS"/>
        </w:rPr>
        <w:t>са</w:t>
      </w:r>
      <w:r w:rsidR="00612091" w:rsidRPr="005303F7">
        <w:rPr>
          <w:rFonts w:ascii="Times New Roman" w:hAnsi="Times New Roman"/>
          <w:sz w:val="24"/>
          <w:lang w:val="sr-Cyrl-CS"/>
        </w:rPr>
        <w:t xml:space="preserve"> 2005. </w:t>
      </w:r>
      <w:r w:rsidR="00607CBA" w:rsidRPr="005303F7">
        <w:rPr>
          <w:rFonts w:ascii="Times New Roman" w:hAnsi="Times New Roman"/>
          <w:sz w:val="24"/>
          <w:lang w:val="sr-Cyrl-CS"/>
        </w:rPr>
        <w:t>годином</w:t>
      </w:r>
      <w:r w:rsidR="005A563A" w:rsidRPr="005303F7">
        <w:rPr>
          <w:rFonts w:ascii="Times New Roman" w:hAnsi="Times New Roman"/>
          <w:sz w:val="24"/>
          <w:lang w:val="sr-Cyrl-CS"/>
        </w:rPr>
        <w:t>.</w:t>
      </w:r>
    </w:p>
    <w:p w14:paraId="631A9001" w14:textId="2778A7D2" w:rsidR="001F1FC4" w:rsidRPr="005303F7" w:rsidRDefault="00555C65" w:rsidP="001F1FC4">
      <w:pPr>
        <w:rPr>
          <w:rFonts w:ascii="Times New Roman" w:hAnsi="Times New Roman"/>
          <w:b/>
          <w:bCs/>
          <w:sz w:val="24"/>
          <w:szCs w:val="22"/>
          <w:lang w:val="sr-Cyrl-CS"/>
        </w:rPr>
      </w:pPr>
      <w:r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D00D50" w:rsidRPr="005303F7">
        <w:rPr>
          <w:rFonts w:ascii="Times New Roman" w:hAnsi="Times New Roman"/>
          <w:sz w:val="24"/>
          <w:lang w:val="sr-Cyrl-CS"/>
        </w:rPr>
        <w:t xml:space="preserve"> </w:t>
      </w:r>
      <w:r w:rsidR="00607CBA" w:rsidRPr="005303F7">
        <w:rPr>
          <w:rFonts w:ascii="Times New Roman" w:hAnsi="Times New Roman"/>
          <w:sz w:val="24"/>
          <w:lang w:val="sr-Cyrl-CS"/>
        </w:rPr>
        <w:t>оквиру</w:t>
      </w:r>
      <w:r w:rsidR="00D00D50" w:rsidRPr="005303F7">
        <w:rPr>
          <w:rFonts w:ascii="Times New Roman" w:hAnsi="Times New Roman"/>
          <w:sz w:val="24"/>
          <w:lang w:val="sr-Cyrl-CS"/>
        </w:rPr>
        <w:t xml:space="preserve"> </w:t>
      </w:r>
      <w:r w:rsidR="00607CBA" w:rsidRPr="005303F7">
        <w:rPr>
          <w:rFonts w:ascii="Times New Roman" w:hAnsi="Times New Roman"/>
          <w:sz w:val="24"/>
          <w:lang w:val="sr-Cyrl-CS"/>
        </w:rPr>
        <w:t>овог</w:t>
      </w:r>
      <w:r w:rsidR="00D00D50" w:rsidRPr="005303F7">
        <w:rPr>
          <w:rFonts w:ascii="Times New Roman" w:hAnsi="Times New Roman"/>
          <w:sz w:val="24"/>
          <w:lang w:val="sr-Cyrl-CS"/>
        </w:rPr>
        <w:t xml:space="preserve"> </w:t>
      </w:r>
      <w:r w:rsidR="00607CBA" w:rsidRPr="005303F7">
        <w:rPr>
          <w:rFonts w:ascii="Times New Roman" w:hAnsi="Times New Roman"/>
          <w:sz w:val="24"/>
          <w:lang w:val="sr-Cyrl-CS"/>
        </w:rPr>
        <w:t>специфичног</w:t>
      </w:r>
      <w:r w:rsidR="00D00D50" w:rsidRPr="005303F7">
        <w:rPr>
          <w:rFonts w:ascii="Times New Roman" w:hAnsi="Times New Roman"/>
          <w:sz w:val="24"/>
          <w:lang w:val="sr-Cyrl-CS"/>
        </w:rPr>
        <w:t xml:space="preserve"> </w:t>
      </w:r>
      <w:r w:rsidR="00607CBA" w:rsidRPr="005303F7">
        <w:rPr>
          <w:rFonts w:ascii="Times New Roman" w:hAnsi="Times New Roman"/>
          <w:sz w:val="24"/>
          <w:lang w:val="sr-Cyrl-CS"/>
        </w:rPr>
        <w:t>циља</w:t>
      </w:r>
      <w:r w:rsidR="00D00D50" w:rsidRPr="005303F7">
        <w:rPr>
          <w:rFonts w:ascii="Times New Roman" w:hAnsi="Times New Roman"/>
          <w:sz w:val="24"/>
          <w:lang w:val="sr-Cyrl-CS"/>
        </w:rPr>
        <w:t xml:space="preserve">, </w:t>
      </w:r>
      <w:r w:rsidR="00607CBA" w:rsidRPr="005303F7">
        <w:rPr>
          <w:rFonts w:ascii="Times New Roman" w:hAnsi="Times New Roman"/>
          <w:sz w:val="24"/>
          <w:lang w:val="sr-Cyrl-CS"/>
        </w:rPr>
        <w:t>дефинисани</w:t>
      </w:r>
      <w:r w:rsidR="00D00D50" w:rsidRPr="005303F7">
        <w:rPr>
          <w:rFonts w:ascii="Times New Roman" w:hAnsi="Times New Roman"/>
          <w:sz w:val="24"/>
          <w:lang w:val="sr-Cyrl-CS"/>
        </w:rPr>
        <w:t xml:space="preserve"> </w:t>
      </w:r>
      <w:r w:rsidR="00607CBA" w:rsidRPr="005303F7">
        <w:rPr>
          <w:rFonts w:ascii="Times New Roman" w:hAnsi="Times New Roman"/>
          <w:sz w:val="24"/>
          <w:lang w:val="sr-Cyrl-CS"/>
        </w:rPr>
        <w:t>су</w:t>
      </w:r>
      <w:r w:rsidR="00D00D50" w:rsidRPr="005303F7">
        <w:rPr>
          <w:rFonts w:ascii="Times New Roman" w:hAnsi="Times New Roman"/>
          <w:sz w:val="24"/>
          <w:lang w:val="sr-Cyrl-CS"/>
        </w:rPr>
        <w:t xml:space="preserve"> </w:t>
      </w:r>
      <w:r w:rsidR="00607CBA" w:rsidRPr="005303F7">
        <w:rPr>
          <w:rFonts w:ascii="Times New Roman" w:hAnsi="Times New Roman"/>
          <w:sz w:val="24"/>
          <w:lang w:val="sr-Cyrl-CS"/>
        </w:rPr>
        <w:t>следећи</w:t>
      </w:r>
      <w:r w:rsidR="00D00D50" w:rsidRPr="005303F7">
        <w:rPr>
          <w:rFonts w:ascii="Times New Roman" w:hAnsi="Times New Roman"/>
          <w:sz w:val="24"/>
          <w:lang w:val="sr-Cyrl-CS"/>
        </w:rPr>
        <w:t xml:space="preserve"> </w:t>
      </w:r>
      <w:r w:rsidR="00607CBA" w:rsidRPr="005303F7">
        <w:rPr>
          <w:rFonts w:ascii="Times New Roman" w:hAnsi="Times New Roman"/>
          <w:sz w:val="24"/>
          <w:lang w:val="sr-Cyrl-CS"/>
        </w:rPr>
        <w:t>секторски</w:t>
      </w:r>
      <w:r w:rsidR="00D00D50" w:rsidRPr="005303F7">
        <w:rPr>
          <w:rFonts w:ascii="Times New Roman" w:hAnsi="Times New Roman"/>
          <w:sz w:val="24"/>
          <w:lang w:val="sr-Cyrl-CS"/>
        </w:rPr>
        <w:t xml:space="preserve"> </w:t>
      </w:r>
      <w:r w:rsidR="00607CBA" w:rsidRPr="005303F7">
        <w:rPr>
          <w:rFonts w:ascii="Times New Roman" w:hAnsi="Times New Roman"/>
          <w:sz w:val="24"/>
          <w:lang w:val="sr-Cyrl-CS"/>
        </w:rPr>
        <w:t>циљеви</w:t>
      </w:r>
      <w:r w:rsidR="00D00D50"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D00D50" w:rsidRPr="005303F7">
        <w:rPr>
          <w:rFonts w:ascii="Times New Roman" w:hAnsi="Times New Roman"/>
          <w:sz w:val="24"/>
          <w:lang w:val="sr-Cyrl-CS"/>
        </w:rPr>
        <w:t xml:space="preserve"> </w:t>
      </w:r>
      <w:r w:rsidR="00607CBA" w:rsidRPr="005303F7">
        <w:rPr>
          <w:rFonts w:ascii="Times New Roman" w:hAnsi="Times New Roman"/>
          <w:sz w:val="24"/>
          <w:lang w:val="sr-Cyrl-CS"/>
        </w:rPr>
        <w:t>поређењу</w:t>
      </w:r>
      <w:r w:rsidR="00D00D50" w:rsidRPr="005303F7">
        <w:rPr>
          <w:rFonts w:ascii="Times New Roman" w:hAnsi="Times New Roman"/>
          <w:sz w:val="24"/>
          <w:lang w:val="sr-Cyrl-CS"/>
        </w:rPr>
        <w:t xml:space="preserve"> </w:t>
      </w:r>
      <w:r w:rsidR="00607CBA" w:rsidRPr="005303F7">
        <w:rPr>
          <w:rFonts w:ascii="Times New Roman" w:hAnsi="Times New Roman"/>
          <w:sz w:val="24"/>
          <w:lang w:val="sr-Cyrl-CS"/>
        </w:rPr>
        <w:t>са</w:t>
      </w:r>
      <w:r w:rsidR="00D00D50" w:rsidRPr="005303F7">
        <w:rPr>
          <w:rFonts w:ascii="Times New Roman" w:hAnsi="Times New Roman"/>
          <w:sz w:val="24"/>
          <w:lang w:val="sr-Cyrl-CS"/>
        </w:rPr>
        <w:t xml:space="preserve"> 2010. </w:t>
      </w:r>
      <w:r w:rsidR="00607CBA" w:rsidRPr="005303F7">
        <w:rPr>
          <w:rFonts w:ascii="Times New Roman" w:hAnsi="Times New Roman"/>
          <w:sz w:val="24"/>
          <w:lang w:val="sr-Cyrl-CS"/>
        </w:rPr>
        <w:t>годином</w:t>
      </w:r>
      <w:r w:rsidR="00D00D50" w:rsidRPr="005303F7">
        <w:rPr>
          <w:rFonts w:ascii="Times New Roman" w:hAnsi="Times New Roman"/>
          <w:sz w:val="24"/>
          <w:lang w:val="sr-Cyrl-CS"/>
        </w:rPr>
        <w:t>:</w:t>
      </w:r>
      <w:bookmarkStart w:id="159" w:name="_Toc11985541"/>
      <w:bookmarkStart w:id="160" w:name="_Hlk11911119"/>
      <w:bookmarkStart w:id="161" w:name="_Hlk12780534"/>
    </w:p>
    <w:p w14:paraId="036B8CD7" w14:textId="01ABBD5F" w:rsidR="00612091" w:rsidRPr="005303F7" w:rsidRDefault="00F7126A" w:rsidP="00DC73D3">
      <w:pPr>
        <w:pStyle w:val="ListParagraph"/>
        <w:numPr>
          <w:ilvl w:val="0"/>
          <w:numId w:val="44"/>
        </w:numPr>
        <w:tabs>
          <w:tab w:val="clear" w:pos="3825"/>
          <w:tab w:val="left" w:pos="284"/>
        </w:tabs>
        <w:ind w:left="0" w:firstLine="360"/>
        <w:rPr>
          <w:rFonts w:ascii="Times New Roman" w:hAnsi="Times New Roman" w:cs="Times New Roman"/>
          <w:b/>
          <w:bCs/>
          <w:sz w:val="24"/>
          <w:szCs w:val="24"/>
          <w:lang w:val="sr-Cyrl-CS"/>
        </w:rPr>
      </w:pPr>
      <w:r w:rsidRPr="005303F7">
        <w:rPr>
          <w:rFonts w:ascii="Times New Roman" w:hAnsi="Times New Roman" w:cs="Times New Roman"/>
          <w:sz w:val="24"/>
          <w:szCs w:val="24"/>
          <w:lang w:val="sr-Cyrl-CS"/>
        </w:rPr>
        <w:t>с</w:t>
      </w:r>
      <w:r w:rsidR="00607CBA" w:rsidRPr="005303F7">
        <w:rPr>
          <w:rFonts w:ascii="Times New Roman" w:hAnsi="Times New Roman" w:cs="Times New Roman"/>
          <w:sz w:val="24"/>
          <w:szCs w:val="24"/>
          <w:lang w:val="sr-Cyrl-CS"/>
        </w:rPr>
        <w:t>мањење</w:t>
      </w:r>
      <w:r w:rsidR="002D6F09"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емисија</w:t>
      </w:r>
      <w:r w:rsidR="001F1FC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GHG</w:t>
      </w:r>
      <w:r w:rsidR="0041390F"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повећањем</w:t>
      </w:r>
      <w:r w:rsidR="001F1FC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енергетске</w:t>
      </w:r>
      <w:r w:rsidR="002D6F09"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ефикасности</w:t>
      </w:r>
      <w:r w:rsidR="002D6F09"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w:t>
      </w:r>
      <w:r w:rsidR="002D6F09"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употребе</w:t>
      </w:r>
      <w:r w:rsidR="002D6F09"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обновљивих</w:t>
      </w:r>
      <w:r w:rsidR="00C82B26"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извора</w:t>
      </w:r>
      <w:r w:rsidR="00C82B26"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енергије</w:t>
      </w:r>
      <w:r w:rsidR="00C82B26"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у</w:t>
      </w:r>
      <w:r w:rsidR="001F1FC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индустријском</w:t>
      </w:r>
      <w:r w:rsidR="001F1FC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сектору</w:t>
      </w:r>
      <w:r w:rsidR="00612091" w:rsidRPr="005303F7">
        <w:rPr>
          <w:rStyle w:val="FootnoteReference"/>
          <w:rFonts w:ascii="Times New Roman" w:hAnsi="Times New Roman" w:cs="Times New Roman"/>
          <w:sz w:val="24"/>
          <w:szCs w:val="24"/>
          <w:lang w:val="sr-Cyrl-CS"/>
        </w:rPr>
        <w:footnoteReference w:id="33"/>
      </w:r>
      <w:r w:rsidR="00612091"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за</w:t>
      </w:r>
      <w:r w:rsidR="001F1FC4" w:rsidRPr="005303F7">
        <w:rPr>
          <w:rFonts w:ascii="Times New Roman" w:hAnsi="Times New Roman" w:cs="Times New Roman"/>
          <w:sz w:val="24"/>
          <w:szCs w:val="24"/>
          <w:lang w:val="sr-Cyrl-CS"/>
        </w:rPr>
        <w:t xml:space="preserve"> 15% </w:t>
      </w:r>
      <w:r w:rsidR="00607CBA" w:rsidRPr="005303F7">
        <w:rPr>
          <w:rFonts w:ascii="Times New Roman" w:hAnsi="Times New Roman" w:cs="Times New Roman"/>
          <w:sz w:val="24"/>
          <w:szCs w:val="24"/>
          <w:lang w:val="sr-Cyrl-CS"/>
        </w:rPr>
        <w:t>до</w:t>
      </w:r>
      <w:r w:rsidR="00612091" w:rsidRPr="005303F7">
        <w:rPr>
          <w:rFonts w:ascii="Times New Roman" w:hAnsi="Times New Roman" w:cs="Times New Roman"/>
          <w:sz w:val="24"/>
          <w:szCs w:val="24"/>
          <w:lang w:val="sr-Cyrl-CS"/>
        </w:rPr>
        <w:t xml:space="preserve"> 2030</w:t>
      </w:r>
      <w:r w:rsidR="001F1FC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w:t>
      </w:r>
      <w:r w:rsidR="001F1FC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између</w:t>
      </w:r>
      <w:r w:rsidR="00612091" w:rsidRPr="005303F7">
        <w:rPr>
          <w:rFonts w:ascii="Times New Roman" w:hAnsi="Times New Roman" w:cs="Times New Roman"/>
          <w:sz w:val="24"/>
          <w:szCs w:val="24"/>
          <w:lang w:val="sr-Cyrl-CS"/>
        </w:rPr>
        <w:t xml:space="preserve"> 37%-55% </w:t>
      </w:r>
      <w:r w:rsidR="00607CBA" w:rsidRPr="005303F7">
        <w:rPr>
          <w:rFonts w:ascii="Times New Roman" w:hAnsi="Times New Roman" w:cs="Times New Roman"/>
          <w:sz w:val="24"/>
          <w:szCs w:val="24"/>
          <w:lang w:val="sr-Cyrl-CS"/>
        </w:rPr>
        <w:t>до</w:t>
      </w:r>
      <w:r w:rsidR="00612091" w:rsidRPr="005303F7">
        <w:rPr>
          <w:rFonts w:ascii="Times New Roman" w:hAnsi="Times New Roman" w:cs="Times New Roman"/>
          <w:sz w:val="24"/>
          <w:szCs w:val="24"/>
          <w:lang w:val="sr-Cyrl-CS"/>
        </w:rPr>
        <w:t xml:space="preserve"> 2050</w:t>
      </w:r>
      <w:r w:rsidR="001F1FC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године</w:t>
      </w:r>
      <w:r w:rsidR="00612091" w:rsidRPr="005303F7">
        <w:rPr>
          <w:rFonts w:ascii="Times New Roman" w:hAnsi="Times New Roman" w:cs="Times New Roman"/>
          <w:sz w:val="24"/>
          <w:szCs w:val="24"/>
          <w:lang w:val="sr-Cyrl-CS"/>
        </w:rPr>
        <w:t xml:space="preserve">, </w:t>
      </w:r>
      <w:bookmarkEnd w:id="159"/>
      <w:r w:rsidR="00607CBA" w:rsidRPr="005303F7">
        <w:rPr>
          <w:rFonts w:ascii="Times New Roman" w:hAnsi="Times New Roman" w:cs="Times New Roman"/>
          <w:sz w:val="24"/>
          <w:szCs w:val="24"/>
          <w:lang w:val="sr-Cyrl-CS"/>
        </w:rPr>
        <w:t>а</w:t>
      </w:r>
      <w:r w:rsidR="001F1FC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у</w:t>
      </w:r>
      <w:r w:rsidR="001F1FC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стамбеном</w:t>
      </w:r>
      <w:r w:rsidR="001F1FC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w:t>
      </w:r>
      <w:r w:rsidR="001F1FC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комерци</w:t>
      </w:r>
      <w:r w:rsidR="003752AB" w:rsidRPr="005303F7">
        <w:rPr>
          <w:rFonts w:ascii="Times New Roman" w:hAnsi="Times New Roman" w:cs="Times New Roman"/>
          <w:sz w:val="24"/>
          <w:szCs w:val="24"/>
          <w:lang w:val="sr-Cyrl-CS"/>
        </w:rPr>
        <w:t>j</w:t>
      </w:r>
      <w:r w:rsidR="00607CBA" w:rsidRPr="005303F7">
        <w:rPr>
          <w:rFonts w:ascii="Times New Roman" w:hAnsi="Times New Roman" w:cs="Times New Roman"/>
          <w:sz w:val="24"/>
          <w:szCs w:val="24"/>
          <w:lang w:val="sr-Cyrl-CS"/>
        </w:rPr>
        <w:t>алном</w:t>
      </w:r>
      <w:r w:rsidR="001F1FC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сектору</w:t>
      </w:r>
      <w:r w:rsidR="001F1FC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за</w:t>
      </w:r>
      <w:r w:rsidR="001F1FC4" w:rsidRPr="005303F7">
        <w:rPr>
          <w:rFonts w:ascii="Times New Roman" w:hAnsi="Times New Roman" w:cs="Times New Roman"/>
          <w:sz w:val="24"/>
          <w:szCs w:val="24"/>
          <w:lang w:val="sr-Cyrl-CS"/>
        </w:rPr>
        <w:t xml:space="preserve"> 40% </w:t>
      </w:r>
      <w:r w:rsidR="00607CBA" w:rsidRPr="005303F7">
        <w:rPr>
          <w:rFonts w:ascii="Times New Roman" w:hAnsi="Times New Roman" w:cs="Times New Roman"/>
          <w:sz w:val="24"/>
          <w:szCs w:val="24"/>
          <w:lang w:val="sr-Cyrl-CS"/>
        </w:rPr>
        <w:t>до</w:t>
      </w:r>
      <w:r w:rsidR="001F1FC4" w:rsidRPr="005303F7">
        <w:rPr>
          <w:rFonts w:ascii="Times New Roman" w:hAnsi="Times New Roman" w:cs="Times New Roman"/>
          <w:sz w:val="24"/>
          <w:szCs w:val="24"/>
          <w:lang w:val="sr-Cyrl-CS"/>
        </w:rPr>
        <w:t xml:space="preserve"> 2030. </w:t>
      </w:r>
      <w:r w:rsidR="00607CBA" w:rsidRPr="005303F7">
        <w:rPr>
          <w:rFonts w:ascii="Times New Roman" w:hAnsi="Times New Roman" w:cs="Times New Roman"/>
          <w:sz w:val="24"/>
          <w:szCs w:val="24"/>
          <w:lang w:val="sr-Cyrl-CS"/>
        </w:rPr>
        <w:t>и</w:t>
      </w:r>
      <w:r w:rsidR="001F1FC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између</w:t>
      </w:r>
      <w:r w:rsidR="00612091" w:rsidRPr="005303F7">
        <w:rPr>
          <w:rFonts w:ascii="Times New Roman" w:hAnsi="Times New Roman" w:cs="Times New Roman"/>
          <w:sz w:val="24"/>
          <w:szCs w:val="24"/>
          <w:lang w:val="sr-Cyrl-CS"/>
        </w:rPr>
        <w:t xml:space="preserve"> 70%</w:t>
      </w:r>
      <w:r w:rsidR="001F1FC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w:t>
      </w:r>
      <w:r w:rsidR="001F1FC4" w:rsidRPr="005303F7">
        <w:rPr>
          <w:rFonts w:ascii="Times New Roman" w:hAnsi="Times New Roman" w:cs="Times New Roman"/>
          <w:sz w:val="24"/>
          <w:szCs w:val="24"/>
          <w:lang w:val="sr-Cyrl-CS"/>
        </w:rPr>
        <w:t xml:space="preserve"> </w:t>
      </w:r>
      <w:r w:rsidR="00612091" w:rsidRPr="005303F7">
        <w:rPr>
          <w:rFonts w:ascii="Times New Roman" w:hAnsi="Times New Roman" w:cs="Times New Roman"/>
          <w:sz w:val="24"/>
          <w:szCs w:val="24"/>
          <w:lang w:val="sr-Cyrl-CS"/>
        </w:rPr>
        <w:t xml:space="preserve">78% </w:t>
      </w:r>
      <w:r w:rsidR="00607CBA" w:rsidRPr="005303F7">
        <w:rPr>
          <w:rFonts w:ascii="Times New Roman" w:hAnsi="Times New Roman" w:cs="Times New Roman"/>
          <w:sz w:val="24"/>
          <w:szCs w:val="24"/>
          <w:lang w:val="sr-Cyrl-CS"/>
        </w:rPr>
        <w:t>до</w:t>
      </w:r>
      <w:r w:rsidR="001F1FC4" w:rsidRPr="005303F7">
        <w:rPr>
          <w:rFonts w:ascii="Times New Roman" w:hAnsi="Times New Roman" w:cs="Times New Roman"/>
          <w:sz w:val="24"/>
          <w:szCs w:val="24"/>
          <w:lang w:val="sr-Cyrl-CS"/>
        </w:rPr>
        <w:t xml:space="preserve"> </w:t>
      </w:r>
      <w:r w:rsidR="00612091" w:rsidRPr="005303F7">
        <w:rPr>
          <w:rFonts w:ascii="Times New Roman" w:hAnsi="Times New Roman" w:cs="Times New Roman"/>
          <w:sz w:val="24"/>
          <w:szCs w:val="24"/>
          <w:lang w:val="sr-Cyrl-CS"/>
        </w:rPr>
        <w:t>2050</w:t>
      </w:r>
      <w:r w:rsidR="001F1FC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године</w:t>
      </w:r>
      <w:r w:rsidR="0077456A" w:rsidRPr="005303F7">
        <w:rPr>
          <w:rFonts w:ascii="Times New Roman" w:hAnsi="Times New Roman" w:cs="Times New Roman"/>
          <w:sz w:val="24"/>
          <w:szCs w:val="24"/>
          <w:lang w:val="sr-Cyrl-CS"/>
        </w:rPr>
        <w:t xml:space="preserve"> </w:t>
      </w:r>
      <w:r w:rsidR="00F132AC" w:rsidRPr="005303F7">
        <w:rPr>
          <w:rFonts w:ascii="Times New Roman" w:hAnsi="Times New Roman" w:cs="Times New Roman"/>
          <w:sz w:val="24"/>
          <w:szCs w:val="24"/>
          <w:lang w:val="sr-Cyrl-CS"/>
        </w:rPr>
        <w:t>који ће дефинитивно бити утврђени Интегрисаним енергетским и климатским планом</w:t>
      </w:r>
      <w:r w:rsidR="00612091" w:rsidRPr="005303F7">
        <w:rPr>
          <w:rFonts w:ascii="Times New Roman" w:hAnsi="Times New Roman" w:cs="Times New Roman"/>
          <w:sz w:val="24"/>
          <w:szCs w:val="24"/>
          <w:lang w:val="sr-Cyrl-CS"/>
        </w:rPr>
        <w:t>;</w:t>
      </w:r>
    </w:p>
    <w:p w14:paraId="5006CBB4" w14:textId="73928690" w:rsidR="00612091" w:rsidRPr="005303F7" w:rsidRDefault="00F7126A" w:rsidP="00D24B09">
      <w:pPr>
        <w:pStyle w:val="ListParagraph"/>
        <w:numPr>
          <w:ilvl w:val="0"/>
          <w:numId w:val="44"/>
        </w:numPr>
        <w:tabs>
          <w:tab w:val="clear" w:pos="3825"/>
        </w:tabs>
        <w:spacing w:before="60" w:after="0"/>
        <w:ind w:left="0" w:firstLine="360"/>
        <w:rPr>
          <w:rFonts w:ascii="Times New Roman" w:hAnsi="Times New Roman" w:cs="Times New Roman"/>
          <w:sz w:val="24"/>
          <w:szCs w:val="24"/>
          <w:lang w:val="sr-Cyrl-CS"/>
        </w:rPr>
      </w:pPr>
      <w:bookmarkStart w:id="162" w:name="_Hlk11911310"/>
      <w:bookmarkEnd w:id="160"/>
      <w:r w:rsidRPr="005303F7">
        <w:rPr>
          <w:rFonts w:ascii="Times New Roman" w:hAnsi="Times New Roman" w:cs="Times New Roman"/>
          <w:sz w:val="24"/>
          <w:szCs w:val="24"/>
          <w:lang w:val="sr-Cyrl-CS"/>
        </w:rPr>
        <w:t>о</w:t>
      </w:r>
      <w:r w:rsidR="00607CBA" w:rsidRPr="005303F7">
        <w:rPr>
          <w:rFonts w:ascii="Times New Roman" w:hAnsi="Times New Roman" w:cs="Times New Roman"/>
          <w:sz w:val="24"/>
          <w:szCs w:val="24"/>
          <w:lang w:val="sr-Cyrl-CS"/>
        </w:rPr>
        <w:t>граничење</w:t>
      </w:r>
      <w:r w:rsidR="001C024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раста</w:t>
      </w:r>
      <w:r w:rsidR="001C024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емисија</w:t>
      </w:r>
      <w:r w:rsidR="001C024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GHG</w:t>
      </w:r>
      <w:r w:rsidR="001C024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у</w:t>
      </w:r>
      <w:r w:rsidR="001C024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саобраћајном</w:t>
      </w:r>
      <w:r w:rsidR="001C024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сектору</w:t>
      </w:r>
      <w:r w:rsidR="001C024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на</w:t>
      </w:r>
      <w:r w:rsidR="001C0244" w:rsidRPr="005303F7">
        <w:rPr>
          <w:rFonts w:ascii="Times New Roman" w:hAnsi="Times New Roman" w:cs="Times New Roman"/>
          <w:sz w:val="24"/>
          <w:szCs w:val="24"/>
          <w:lang w:val="sr-Cyrl-CS"/>
        </w:rPr>
        <w:t xml:space="preserve"> 10% </w:t>
      </w:r>
      <w:r w:rsidR="00607CBA" w:rsidRPr="005303F7">
        <w:rPr>
          <w:rFonts w:ascii="Times New Roman" w:hAnsi="Times New Roman" w:cs="Times New Roman"/>
          <w:sz w:val="24"/>
          <w:szCs w:val="24"/>
          <w:lang w:val="sr-Cyrl-CS"/>
        </w:rPr>
        <w:t>до</w:t>
      </w:r>
      <w:r w:rsidR="001C0244" w:rsidRPr="005303F7">
        <w:rPr>
          <w:rFonts w:ascii="Times New Roman" w:hAnsi="Times New Roman" w:cs="Times New Roman"/>
          <w:sz w:val="24"/>
          <w:szCs w:val="24"/>
          <w:lang w:val="sr-Cyrl-CS"/>
        </w:rPr>
        <w:t xml:space="preserve"> 2030. </w:t>
      </w:r>
      <w:r w:rsidR="00607CBA" w:rsidRPr="005303F7">
        <w:rPr>
          <w:rFonts w:ascii="Times New Roman" w:hAnsi="Times New Roman" w:cs="Times New Roman"/>
          <w:sz w:val="24"/>
          <w:szCs w:val="24"/>
          <w:lang w:val="sr-Cyrl-CS"/>
        </w:rPr>
        <w:t>године</w:t>
      </w:r>
      <w:r w:rsidR="001C024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w:t>
      </w:r>
      <w:r w:rsidR="001C024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смањење</w:t>
      </w:r>
      <w:r w:rsidR="001C024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емисија</w:t>
      </w:r>
      <w:r w:rsidR="001C024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за</w:t>
      </w:r>
      <w:r w:rsidR="001C0244" w:rsidRPr="005303F7">
        <w:rPr>
          <w:rFonts w:ascii="Times New Roman" w:hAnsi="Times New Roman" w:cs="Times New Roman"/>
          <w:sz w:val="24"/>
          <w:szCs w:val="24"/>
          <w:lang w:val="sr-Cyrl-CS"/>
        </w:rPr>
        <w:t xml:space="preserve"> 30% </w:t>
      </w:r>
      <w:r w:rsidR="00607CBA" w:rsidRPr="005303F7">
        <w:rPr>
          <w:rFonts w:ascii="Times New Roman" w:hAnsi="Times New Roman" w:cs="Times New Roman"/>
          <w:sz w:val="24"/>
          <w:szCs w:val="24"/>
          <w:lang w:val="sr-Cyrl-CS"/>
        </w:rPr>
        <w:t>до</w:t>
      </w:r>
      <w:r w:rsidR="00F75ECB" w:rsidRPr="005303F7">
        <w:rPr>
          <w:rFonts w:ascii="Times New Roman" w:hAnsi="Times New Roman" w:cs="Times New Roman"/>
          <w:sz w:val="24"/>
          <w:szCs w:val="24"/>
          <w:lang w:val="sr-Cyrl-CS"/>
        </w:rPr>
        <w:t xml:space="preserve"> 54% </w:t>
      </w:r>
      <w:r w:rsidR="00607CBA" w:rsidRPr="005303F7">
        <w:rPr>
          <w:rFonts w:ascii="Times New Roman" w:hAnsi="Times New Roman" w:cs="Times New Roman"/>
          <w:sz w:val="24"/>
          <w:szCs w:val="24"/>
          <w:lang w:val="sr-Cyrl-CS"/>
        </w:rPr>
        <w:t>до</w:t>
      </w:r>
      <w:r w:rsidR="00F75ECB" w:rsidRPr="005303F7">
        <w:rPr>
          <w:rFonts w:ascii="Times New Roman" w:hAnsi="Times New Roman" w:cs="Times New Roman"/>
          <w:sz w:val="24"/>
          <w:szCs w:val="24"/>
          <w:lang w:val="sr-Cyrl-CS"/>
        </w:rPr>
        <w:t xml:space="preserve"> 2050. </w:t>
      </w:r>
      <w:r w:rsidR="00607CBA" w:rsidRPr="005303F7">
        <w:rPr>
          <w:rFonts w:ascii="Times New Roman" w:hAnsi="Times New Roman" w:cs="Times New Roman"/>
          <w:sz w:val="24"/>
          <w:szCs w:val="24"/>
          <w:lang w:val="sr-Cyrl-CS"/>
        </w:rPr>
        <w:t>године</w:t>
      </w:r>
      <w:r w:rsidR="00612091" w:rsidRPr="005303F7">
        <w:rPr>
          <w:rFonts w:ascii="Times New Roman" w:hAnsi="Times New Roman" w:cs="Times New Roman"/>
          <w:sz w:val="24"/>
          <w:szCs w:val="24"/>
          <w:lang w:val="sr-Cyrl-CS"/>
        </w:rPr>
        <w:t>;</w:t>
      </w:r>
    </w:p>
    <w:p w14:paraId="2FC189B0" w14:textId="381FFC47" w:rsidR="00612091" w:rsidRPr="005303F7" w:rsidRDefault="00F7126A" w:rsidP="00D24B09">
      <w:pPr>
        <w:pStyle w:val="ListParagraph"/>
        <w:numPr>
          <w:ilvl w:val="0"/>
          <w:numId w:val="44"/>
        </w:numPr>
        <w:tabs>
          <w:tab w:val="clear" w:pos="3825"/>
        </w:tabs>
        <w:spacing w:before="60" w:after="0"/>
        <w:ind w:left="142" w:firstLine="218"/>
        <w:rPr>
          <w:rFonts w:ascii="Times New Roman" w:hAnsi="Times New Roman" w:cs="Times New Roman"/>
          <w:sz w:val="24"/>
          <w:szCs w:val="24"/>
          <w:lang w:val="sr-Cyrl-CS"/>
        </w:rPr>
      </w:pPr>
      <w:bookmarkStart w:id="163" w:name="_Toc11985543"/>
      <w:bookmarkStart w:id="164" w:name="_Hlk11911536"/>
      <w:bookmarkEnd w:id="162"/>
      <w:r w:rsidRPr="005303F7">
        <w:rPr>
          <w:rFonts w:ascii="Times New Roman" w:hAnsi="Times New Roman" w:cs="Times New Roman"/>
          <w:sz w:val="24"/>
          <w:szCs w:val="24"/>
          <w:lang w:val="sr-Cyrl-CS"/>
        </w:rPr>
        <w:t>о</w:t>
      </w:r>
      <w:r w:rsidR="00607CBA" w:rsidRPr="005303F7">
        <w:rPr>
          <w:rFonts w:ascii="Times New Roman" w:hAnsi="Times New Roman" w:cs="Times New Roman"/>
          <w:sz w:val="24"/>
          <w:szCs w:val="24"/>
          <w:lang w:val="sr-Cyrl-CS"/>
        </w:rPr>
        <w:t>граничење</w:t>
      </w:r>
      <w:r w:rsidR="00A5213C"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раста</w:t>
      </w:r>
      <w:r w:rsidR="00A5213C"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емисија</w:t>
      </w:r>
      <w:r w:rsidR="00A5213C"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GHG</w:t>
      </w:r>
      <w:r w:rsidR="00A5213C"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у</w:t>
      </w:r>
      <w:r w:rsidR="00A5213C"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индустријским</w:t>
      </w:r>
      <w:r w:rsidR="00EB7852"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процесима</w:t>
      </w:r>
      <w:r w:rsidR="00EB7852"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w:t>
      </w:r>
      <w:r w:rsidR="00EB7852"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употреби</w:t>
      </w:r>
      <w:r w:rsidR="00A5213C"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производа</w:t>
      </w:r>
      <w:r w:rsidR="004238EE" w:rsidRPr="005303F7">
        <w:rPr>
          <w:rStyle w:val="FootnoteReference"/>
          <w:rFonts w:ascii="Times New Roman" w:hAnsi="Times New Roman" w:cs="Times New Roman"/>
          <w:sz w:val="24"/>
          <w:szCs w:val="24"/>
          <w:lang w:val="sr-Cyrl-CS"/>
        </w:rPr>
        <w:footnoteReference w:id="34"/>
      </w:r>
      <w:r w:rsidR="00612091"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на</w:t>
      </w:r>
      <w:r w:rsidR="00612091" w:rsidRPr="005303F7">
        <w:rPr>
          <w:rFonts w:ascii="Times New Roman" w:hAnsi="Times New Roman" w:cs="Times New Roman"/>
          <w:sz w:val="24"/>
          <w:szCs w:val="24"/>
          <w:lang w:val="sr-Cyrl-CS"/>
        </w:rPr>
        <w:t xml:space="preserve"> 7%</w:t>
      </w:r>
      <w:bookmarkEnd w:id="163"/>
      <w:r w:rsidR="00612091"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до</w:t>
      </w:r>
      <w:r w:rsidR="00EB7852" w:rsidRPr="005303F7">
        <w:rPr>
          <w:rFonts w:ascii="Times New Roman" w:hAnsi="Times New Roman" w:cs="Times New Roman"/>
          <w:sz w:val="24"/>
          <w:szCs w:val="24"/>
          <w:lang w:val="sr-Cyrl-CS"/>
        </w:rPr>
        <w:t xml:space="preserve"> 2030. </w:t>
      </w:r>
      <w:r w:rsidR="00607CBA" w:rsidRPr="005303F7">
        <w:rPr>
          <w:rFonts w:ascii="Times New Roman" w:hAnsi="Times New Roman" w:cs="Times New Roman"/>
          <w:sz w:val="24"/>
          <w:szCs w:val="24"/>
          <w:lang w:val="sr-Cyrl-CS"/>
        </w:rPr>
        <w:t>године</w:t>
      </w:r>
      <w:r w:rsidR="00EB7852"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w:t>
      </w:r>
      <w:r w:rsidR="00A5213C"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задржавање</w:t>
      </w:r>
      <w:r w:rsidR="00A5213C"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емисија</w:t>
      </w:r>
      <w:r w:rsidR="00A5213C"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на</w:t>
      </w:r>
      <w:r w:rsidR="00A5213C"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нивоу</w:t>
      </w:r>
      <w:r w:rsidR="00A5213C"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између</w:t>
      </w:r>
      <w:r w:rsidR="00612091" w:rsidRPr="005303F7">
        <w:rPr>
          <w:rFonts w:ascii="Times New Roman" w:hAnsi="Times New Roman" w:cs="Times New Roman"/>
          <w:sz w:val="24"/>
          <w:szCs w:val="24"/>
          <w:lang w:val="sr-Cyrl-CS"/>
        </w:rPr>
        <w:t xml:space="preserve"> +3% </w:t>
      </w:r>
      <w:r w:rsidR="00607CBA" w:rsidRPr="005303F7">
        <w:rPr>
          <w:rFonts w:ascii="Times New Roman" w:hAnsi="Times New Roman" w:cs="Times New Roman"/>
          <w:sz w:val="24"/>
          <w:szCs w:val="24"/>
          <w:lang w:val="sr-Cyrl-CS"/>
        </w:rPr>
        <w:t>до</w:t>
      </w:r>
      <w:r w:rsidR="00612091" w:rsidRPr="005303F7">
        <w:rPr>
          <w:rFonts w:ascii="Times New Roman" w:hAnsi="Times New Roman" w:cs="Times New Roman"/>
          <w:sz w:val="24"/>
          <w:szCs w:val="24"/>
          <w:lang w:val="sr-Cyrl-CS"/>
        </w:rPr>
        <w:t xml:space="preserve"> -3</w:t>
      </w:r>
      <w:r w:rsidR="00381589" w:rsidRPr="005303F7">
        <w:rPr>
          <w:rFonts w:ascii="Times New Roman" w:hAnsi="Times New Roman" w:cs="Times New Roman"/>
          <w:sz w:val="24"/>
          <w:szCs w:val="24"/>
          <w:lang w:val="sr-Cyrl-CS"/>
        </w:rPr>
        <w:t>%</w:t>
      </w:r>
      <w:r w:rsidR="00612091"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до</w:t>
      </w:r>
      <w:r w:rsidR="00612091" w:rsidRPr="005303F7">
        <w:rPr>
          <w:rFonts w:ascii="Times New Roman" w:hAnsi="Times New Roman" w:cs="Times New Roman"/>
          <w:sz w:val="24"/>
          <w:szCs w:val="24"/>
          <w:lang w:val="sr-Cyrl-CS"/>
        </w:rPr>
        <w:t xml:space="preserve"> 2050</w:t>
      </w:r>
      <w:r w:rsidR="00A5213C"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године</w:t>
      </w:r>
      <w:r w:rsidR="00612091" w:rsidRPr="005303F7">
        <w:rPr>
          <w:rFonts w:ascii="Times New Roman" w:hAnsi="Times New Roman" w:cs="Times New Roman"/>
          <w:sz w:val="24"/>
          <w:szCs w:val="24"/>
          <w:lang w:val="sr-Cyrl-CS"/>
        </w:rPr>
        <w:t>;</w:t>
      </w:r>
    </w:p>
    <w:p w14:paraId="2ECC01DA" w14:textId="0CBCE36A" w:rsidR="00612091" w:rsidRPr="005303F7" w:rsidRDefault="00F7126A" w:rsidP="00D24B09">
      <w:pPr>
        <w:pStyle w:val="ListParagraph"/>
        <w:numPr>
          <w:ilvl w:val="0"/>
          <w:numId w:val="44"/>
        </w:numPr>
        <w:tabs>
          <w:tab w:val="clear" w:pos="3825"/>
        </w:tabs>
        <w:spacing w:before="60" w:after="0"/>
        <w:ind w:left="0" w:firstLine="360"/>
        <w:rPr>
          <w:rFonts w:ascii="Times New Roman" w:hAnsi="Times New Roman" w:cs="Times New Roman"/>
          <w:sz w:val="24"/>
          <w:szCs w:val="24"/>
          <w:lang w:val="sr-Cyrl-CS"/>
        </w:rPr>
      </w:pPr>
      <w:bookmarkStart w:id="165" w:name="_Toc11985544"/>
      <w:bookmarkStart w:id="166" w:name="_Hlk11911526"/>
      <w:bookmarkEnd w:id="164"/>
      <w:r w:rsidRPr="005303F7">
        <w:rPr>
          <w:rFonts w:ascii="Times New Roman" w:hAnsi="Times New Roman" w:cs="Times New Roman"/>
          <w:sz w:val="24"/>
          <w:szCs w:val="24"/>
          <w:lang w:val="sr-Cyrl-CS"/>
        </w:rPr>
        <w:t>с</w:t>
      </w:r>
      <w:r w:rsidR="00607CBA" w:rsidRPr="005303F7">
        <w:rPr>
          <w:rFonts w:ascii="Times New Roman" w:hAnsi="Times New Roman" w:cs="Times New Roman"/>
          <w:sz w:val="24"/>
          <w:szCs w:val="24"/>
          <w:lang w:val="sr-Cyrl-CS"/>
        </w:rPr>
        <w:t>мањење</w:t>
      </w:r>
      <w:r w:rsidR="003A304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емисија</w:t>
      </w:r>
      <w:r w:rsidR="003A304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GHG</w:t>
      </w:r>
      <w:r w:rsidR="0041390F"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у</w:t>
      </w:r>
      <w:r w:rsidR="003A304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пољопривреди</w:t>
      </w:r>
      <w:r w:rsidR="003A304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за</w:t>
      </w:r>
      <w:r w:rsidR="00612091" w:rsidRPr="005303F7">
        <w:rPr>
          <w:rFonts w:ascii="Times New Roman" w:hAnsi="Times New Roman" w:cs="Times New Roman"/>
          <w:sz w:val="24"/>
          <w:szCs w:val="24"/>
          <w:lang w:val="sr-Cyrl-CS"/>
        </w:rPr>
        <w:t xml:space="preserve"> 15%</w:t>
      </w:r>
      <w:bookmarkEnd w:id="165"/>
      <w:r w:rsidR="00612091"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до</w:t>
      </w:r>
      <w:r w:rsidR="00612091" w:rsidRPr="005303F7">
        <w:rPr>
          <w:rFonts w:ascii="Times New Roman" w:hAnsi="Times New Roman" w:cs="Times New Roman"/>
          <w:sz w:val="24"/>
          <w:szCs w:val="24"/>
          <w:lang w:val="sr-Cyrl-CS"/>
        </w:rPr>
        <w:t xml:space="preserve"> 2030</w:t>
      </w:r>
      <w:r w:rsidR="003A304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године</w:t>
      </w:r>
      <w:r w:rsidR="003A304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w:t>
      </w:r>
      <w:r w:rsidR="003A304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њихово</w:t>
      </w:r>
      <w:r w:rsidR="003A304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задржавање</w:t>
      </w:r>
      <w:r w:rsidR="003A304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на</w:t>
      </w:r>
      <w:r w:rsidR="003A304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од</w:t>
      </w:r>
      <w:r w:rsidR="00612091" w:rsidRPr="005303F7">
        <w:rPr>
          <w:rFonts w:ascii="Times New Roman" w:hAnsi="Times New Roman" w:cs="Times New Roman"/>
          <w:sz w:val="24"/>
          <w:szCs w:val="24"/>
          <w:lang w:val="sr-Cyrl-CS"/>
        </w:rPr>
        <w:t xml:space="preserve"> +2% </w:t>
      </w:r>
      <w:r w:rsidR="00607CBA" w:rsidRPr="005303F7">
        <w:rPr>
          <w:rFonts w:ascii="Times New Roman" w:hAnsi="Times New Roman" w:cs="Times New Roman"/>
          <w:sz w:val="24"/>
          <w:szCs w:val="24"/>
          <w:lang w:val="sr-Cyrl-CS"/>
        </w:rPr>
        <w:t>до</w:t>
      </w:r>
      <w:r w:rsidR="003A3044" w:rsidRPr="005303F7">
        <w:rPr>
          <w:rFonts w:ascii="Times New Roman" w:hAnsi="Times New Roman" w:cs="Times New Roman"/>
          <w:sz w:val="24"/>
          <w:szCs w:val="24"/>
          <w:lang w:val="sr-Cyrl-CS"/>
        </w:rPr>
        <w:t xml:space="preserve"> -24% </w:t>
      </w:r>
      <w:r w:rsidR="00607CBA" w:rsidRPr="005303F7">
        <w:rPr>
          <w:rFonts w:ascii="Times New Roman" w:hAnsi="Times New Roman" w:cs="Times New Roman"/>
          <w:sz w:val="24"/>
          <w:szCs w:val="24"/>
          <w:lang w:val="sr-Cyrl-CS"/>
        </w:rPr>
        <w:t>до</w:t>
      </w:r>
      <w:r w:rsidR="00612091" w:rsidRPr="005303F7">
        <w:rPr>
          <w:rFonts w:ascii="Times New Roman" w:hAnsi="Times New Roman" w:cs="Times New Roman"/>
          <w:sz w:val="24"/>
          <w:szCs w:val="24"/>
          <w:lang w:val="sr-Cyrl-CS"/>
        </w:rPr>
        <w:t xml:space="preserve"> 2050</w:t>
      </w:r>
      <w:r w:rsidR="003A304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године</w:t>
      </w:r>
      <w:r w:rsidR="00612091" w:rsidRPr="005303F7">
        <w:rPr>
          <w:rFonts w:ascii="Times New Roman" w:hAnsi="Times New Roman" w:cs="Times New Roman"/>
          <w:sz w:val="24"/>
          <w:szCs w:val="24"/>
          <w:lang w:val="sr-Cyrl-CS"/>
        </w:rPr>
        <w:t>;</w:t>
      </w:r>
    </w:p>
    <w:p w14:paraId="636FC4A9" w14:textId="21242BE6" w:rsidR="00612091" w:rsidRPr="005303F7" w:rsidRDefault="00F7126A" w:rsidP="00D24B09">
      <w:pPr>
        <w:pStyle w:val="ListParagraph"/>
        <w:numPr>
          <w:ilvl w:val="0"/>
          <w:numId w:val="44"/>
        </w:numPr>
        <w:tabs>
          <w:tab w:val="clear" w:pos="3825"/>
        </w:tabs>
        <w:spacing w:before="60" w:after="0"/>
        <w:ind w:left="0" w:firstLine="360"/>
        <w:rPr>
          <w:rFonts w:ascii="Times New Roman" w:hAnsi="Times New Roman" w:cs="Times New Roman"/>
          <w:sz w:val="24"/>
          <w:szCs w:val="24"/>
          <w:lang w:val="sr-Cyrl-CS"/>
        </w:rPr>
      </w:pPr>
      <w:bookmarkStart w:id="167" w:name="_Toc11985546"/>
      <w:bookmarkEnd w:id="166"/>
      <w:r w:rsidRPr="005303F7">
        <w:rPr>
          <w:rFonts w:ascii="Times New Roman" w:hAnsi="Times New Roman" w:cs="Times New Roman"/>
          <w:sz w:val="24"/>
          <w:szCs w:val="24"/>
          <w:lang w:val="sr-Cyrl-CS"/>
        </w:rPr>
        <w:t>с</w:t>
      </w:r>
      <w:r w:rsidR="00607CBA" w:rsidRPr="005303F7">
        <w:rPr>
          <w:rFonts w:ascii="Times New Roman" w:hAnsi="Times New Roman" w:cs="Times New Roman"/>
          <w:sz w:val="24"/>
          <w:szCs w:val="24"/>
          <w:lang w:val="sr-Cyrl-CS"/>
        </w:rPr>
        <w:t>мањење</w:t>
      </w:r>
      <w:r w:rsidR="00954CEA"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емисија</w:t>
      </w:r>
      <w:r w:rsidR="00954CEA"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GHG</w:t>
      </w:r>
      <w:r w:rsidR="0041390F"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у</w:t>
      </w:r>
      <w:r w:rsidR="00954CEA"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сектору</w:t>
      </w:r>
      <w:r w:rsidR="00954CEA"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отпада</w:t>
      </w:r>
      <w:r w:rsidR="00954CEA"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за</w:t>
      </w:r>
      <w:r w:rsidR="00612091" w:rsidRPr="005303F7">
        <w:rPr>
          <w:rFonts w:ascii="Times New Roman" w:hAnsi="Times New Roman" w:cs="Times New Roman"/>
          <w:sz w:val="24"/>
          <w:szCs w:val="24"/>
          <w:lang w:val="sr-Cyrl-CS"/>
        </w:rPr>
        <w:t xml:space="preserve"> 13%</w:t>
      </w:r>
      <w:bookmarkEnd w:id="167"/>
      <w:r w:rsidR="00612091"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до</w:t>
      </w:r>
      <w:r w:rsidR="00DE6401" w:rsidRPr="005303F7">
        <w:rPr>
          <w:rFonts w:ascii="Times New Roman" w:hAnsi="Times New Roman" w:cs="Times New Roman"/>
          <w:sz w:val="24"/>
          <w:szCs w:val="24"/>
          <w:lang w:val="sr-Cyrl-CS"/>
        </w:rPr>
        <w:t xml:space="preserve"> </w:t>
      </w:r>
      <w:r w:rsidR="00612091" w:rsidRPr="005303F7">
        <w:rPr>
          <w:rFonts w:ascii="Times New Roman" w:hAnsi="Times New Roman" w:cs="Times New Roman"/>
          <w:sz w:val="24"/>
          <w:szCs w:val="24"/>
          <w:lang w:val="sr-Cyrl-CS"/>
        </w:rPr>
        <w:t>2030</w:t>
      </w:r>
      <w:r w:rsidR="00DE6401"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w:t>
      </w:r>
      <w:r w:rsidR="00DE6401"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на</w:t>
      </w:r>
      <w:r w:rsidR="00DE6401"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нивоу</w:t>
      </w:r>
      <w:r w:rsidR="00DE6401"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између</w:t>
      </w:r>
      <w:r w:rsidR="00612091" w:rsidRPr="005303F7">
        <w:rPr>
          <w:rFonts w:ascii="Times New Roman" w:hAnsi="Times New Roman" w:cs="Times New Roman"/>
          <w:sz w:val="24"/>
          <w:szCs w:val="24"/>
          <w:lang w:val="sr-Cyrl-CS"/>
        </w:rPr>
        <w:t xml:space="preserve"> 29%</w:t>
      </w:r>
      <w:r w:rsidR="00DE6401"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w:t>
      </w:r>
      <w:r w:rsidR="00DE6401" w:rsidRPr="005303F7">
        <w:rPr>
          <w:rFonts w:ascii="Times New Roman" w:hAnsi="Times New Roman" w:cs="Times New Roman"/>
          <w:sz w:val="24"/>
          <w:szCs w:val="24"/>
          <w:lang w:val="sr-Cyrl-CS"/>
        </w:rPr>
        <w:t xml:space="preserve"> </w:t>
      </w:r>
      <w:r w:rsidR="00612091" w:rsidRPr="005303F7">
        <w:rPr>
          <w:rFonts w:ascii="Times New Roman" w:hAnsi="Times New Roman" w:cs="Times New Roman"/>
          <w:sz w:val="24"/>
          <w:szCs w:val="24"/>
          <w:lang w:val="sr-Cyrl-CS"/>
        </w:rPr>
        <w:t xml:space="preserve">69% </w:t>
      </w:r>
      <w:r w:rsidR="00607CBA" w:rsidRPr="005303F7">
        <w:rPr>
          <w:rFonts w:ascii="Times New Roman" w:hAnsi="Times New Roman" w:cs="Times New Roman"/>
          <w:sz w:val="24"/>
          <w:szCs w:val="24"/>
          <w:lang w:val="sr-Cyrl-CS"/>
        </w:rPr>
        <w:t>до</w:t>
      </w:r>
      <w:r w:rsidR="00612091" w:rsidRPr="005303F7">
        <w:rPr>
          <w:rFonts w:ascii="Times New Roman" w:hAnsi="Times New Roman" w:cs="Times New Roman"/>
          <w:sz w:val="24"/>
          <w:szCs w:val="24"/>
          <w:lang w:val="sr-Cyrl-CS"/>
        </w:rPr>
        <w:t xml:space="preserve"> 2050</w:t>
      </w:r>
      <w:r w:rsidR="00DE6401"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године</w:t>
      </w:r>
      <w:r w:rsidR="002E7168" w:rsidRPr="005303F7">
        <w:rPr>
          <w:rFonts w:ascii="Times New Roman" w:hAnsi="Times New Roman" w:cs="Times New Roman"/>
          <w:sz w:val="24"/>
          <w:szCs w:val="24"/>
          <w:lang w:val="sr-Cyrl-CS"/>
        </w:rPr>
        <w:t xml:space="preserve"> у поређењу са 2010.</w:t>
      </w:r>
    </w:p>
    <w:bookmarkEnd w:id="161"/>
    <w:p w14:paraId="4CB4B826" w14:textId="006646F4" w:rsidR="00241DFB" w:rsidRPr="005303F7" w:rsidRDefault="00555C65" w:rsidP="00612091">
      <w:pPr>
        <w:rPr>
          <w:rFonts w:ascii="Times New Roman" w:hAnsi="Times New Roman"/>
          <w:sz w:val="24"/>
          <w:lang w:val="sr-Cyrl-CS"/>
        </w:rPr>
      </w:pPr>
      <w:r w:rsidRPr="005303F7">
        <w:rPr>
          <w:rFonts w:ascii="Times New Roman" w:hAnsi="Times New Roman"/>
          <w:sz w:val="24"/>
          <w:lang w:val="sr-Cyrl-CS"/>
        </w:rPr>
        <w:t xml:space="preserve">            </w:t>
      </w:r>
      <w:r w:rsidR="00607CBA" w:rsidRPr="005303F7">
        <w:rPr>
          <w:rFonts w:ascii="Times New Roman" w:hAnsi="Times New Roman"/>
          <w:sz w:val="24"/>
          <w:lang w:val="sr-Cyrl-CS"/>
        </w:rPr>
        <w:t>Емисије</w:t>
      </w:r>
      <w:r w:rsidR="00241DFB" w:rsidRPr="005303F7">
        <w:rPr>
          <w:rFonts w:ascii="Times New Roman" w:hAnsi="Times New Roman"/>
          <w:sz w:val="24"/>
          <w:lang w:val="sr-Cyrl-CS"/>
        </w:rPr>
        <w:t xml:space="preserve"> </w:t>
      </w:r>
      <w:r w:rsidR="00607CBA" w:rsidRPr="005303F7">
        <w:rPr>
          <w:rFonts w:ascii="Times New Roman" w:hAnsi="Times New Roman"/>
          <w:sz w:val="24"/>
          <w:lang w:val="sr-Cyrl-CS"/>
        </w:rPr>
        <w:t>и</w:t>
      </w:r>
      <w:r w:rsidR="00241DFB" w:rsidRPr="005303F7">
        <w:rPr>
          <w:rFonts w:ascii="Times New Roman" w:hAnsi="Times New Roman"/>
          <w:sz w:val="24"/>
          <w:lang w:val="sr-Cyrl-CS"/>
        </w:rPr>
        <w:t xml:space="preserve"> </w:t>
      </w:r>
      <w:r w:rsidR="00607CBA" w:rsidRPr="005303F7">
        <w:rPr>
          <w:rFonts w:ascii="Times New Roman" w:hAnsi="Times New Roman"/>
          <w:sz w:val="24"/>
          <w:lang w:val="sr-Cyrl-CS"/>
        </w:rPr>
        <w:t>њихово</w:t>
      </w:r>
      <w:r w:rsidR="00241DFB" w:rsidRPr="005303F7">
        <w:rPr>
          <w:rFonts w:ascii="Times New Roman" w:hAnsi="Times New Roman"/>
          <w:sz w:val="24"/>
          <w:lang w:val="sr-Cyrl-CS"/>
        </w:rPr>
        <w:t xml:space="preserve"> </w:t>
      </w:r>
      <w:r w:rsidR="00607CBA" w:rsidRPr="005303F7">
        <w:rPr>
          <w:rFonts w:ascii="Times New Roman" w:hAnsi="Times New Roman"/>
          <w:sz w:val="24"/>
          <w:lang w:val="sr-Cyrl-CS"/>
        </w:rPr>
        <w:t>уклањање</w:t>
      </w:r>
      <w:r w:rsidR="00241DFB" w:rsidRPr="005303F7">
        <w:rPr>
          <w:rFonts w:ascii="Times New Roman" w:hAnsi="Times New Roman"/>
          <w:sz w:val="24"/>
          <w:lang w:val="sr-Cyrl-CS"/>
        </w:rPr>
        <w:t xml:space="preserve"> </w:t>
      </w:r>
      <w:r w:rsidR="00607CBA" w:rsidRPr="005303F7">
        <w:rPr>
          <w:rFonts w:ascii="Times New Roman" w:hAnsi="Times New Roman"/>
          <w:sz w:val="24"/>
          <w:lang w:val="sr-Cyrl-CS"/>
        </w:rPr>
        <w:t>из</w:t>
      </w:r>
      <w:r w:rsidR="00241DFB" w:rsidRPr="005303F7">
        <w:rPr>
          <w:rFonts w:ascii="Times New Roman" w:hAnsi="Times New Roman"/>
          <w:sz w:val="24"/>
          <w:lang w:val="sr-Cyrl-CS"/>
        </w:rPr>
        <w:t xml:space="preserve"> </w:t>
      </w:r>
      <w:r w:rsidR="00607CBA" w:rsidRPr="005303F7">
        <w:rPr>
          <w:rFonts w:ascii="Times New Roman" w:hAnsi="Times New Roman"/>
          <w:sz w:val="24"/>
          <w:lang w:val="sr-Cyrl-CS"/>
        </w:rPr>
        <w:t>сектора</w:t>
      </w:r>
      <w:r w:rsidR="00241DFB" w:rsidRPr="005303F7">
        <w:rPr>
          <w:rFonts w:ascii="Times New Roman" w:hAnsi="Times New Roman"/>
          <w:sz w:val="24"/>
          <w:lang w:val="sr-Cyrl-CS"/>
        </w:rPr>
        <w:t xml:space="preserve"> </w:t>
      </w:r>
      <w:r w:rsidR="00607CBA" w:rsidRPr="005303F7">
        <w:rPr>
          <w:rFonts w:ascii="Times New Roman" w:hAnsi="Times New Roman"/>
          <w:sz w:val="24"/>
          <w:lang w:val="sr-Cyrl-CS"/>
        </w:rPr>
        <w:t>LULUCF</w:t>
      </w:r>
      <w:r w:rsidR="00241DFB" w:rsidRPr="005303F7">
        <w:rPr>
          <w:rFonts w:ascii="Times New Roman" w:hAnsi="Times New Roman"/>
          <w:sz w:val="24"/>
          <w:lang w:val="sr-Cyrl-CS"/>
        </w:rPr>
        <w:t xml:space="preserve"> </w:t>
      </w:r>
      <w:r w:rsidR="00607CBA" w:rsidRPr="005303F7">
        <w:rPr>
          <w:rFonts w:ascii="Times New Roman" w:hAnsi="Times New Roman"/>
          <w:sz w:val="24"/>
          <w:lang w:val="sr-Cyrl-CS"/>
        </w:rPr>
        <w:t>нису</w:t>
      </w:r>
      <w:r w:rsidR="00241DFB" w:rsidRPr="005303F7">
        <w:rPr>
          <w:rFonts w:ascii="Times New Roman" w:hAnsi="Times New Roman"/>
          <w:sz w:val="24"/>
          <w:lang w:val="sr-Cyrl-CS"/>
        </w:rPr>
        <w:t xml:space="preserve"> </w:t>
      </w:r>
      <w:r w:rsidR="00607CBA" w:rsidRPr="005303F7">
        <w:rPr>
          <w:rFonts w:ascii="Times New Roman" w:hAnsi="Times New Roman"/>
          <w:sz w:val="24"/>
          <w:lang w:val="sr-Cyrl-CS"/>
        </w:rPr>
        <w:t>укључене</w:t>
      </w:r>
      <w:r w:rsidR="00241DFB"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241DFB" w:rsidRPr="005303F7">
        <w:rPr>
          <w:rFonts w:ascii="Times New Roman" w:hAnsi="Times New Roman"/>
          <w:sz w:val="24"/>
          <w:lang w:val="sr-Cyrl-CS"/>
        </w:rPr>
        <w:t xml:space="preserve"> </w:t>
      </w:r>
      <w:r w:rsidR="00607CBA" w:rsidRPr="005303F7">
        <w:rPr>
          <w:rFonts w:ascii="Times New Roman" w:hAnsi="Times New Roman"/>
          <w:sz w:val="24"/>
          <w:lang w:val="sr-Cyrl-CS"/>
        </w:rPr>
        <w:t>емисије</w:t>
      </w:r>
      <w:r w:rsidR="00241DFB" w:rsidRPr="005303F7">
        <w:rPr>
          <w:rFonts w:ascii="Times New Roman" w:hAnsi="Times New Roman"/>
          <w:sz w:val="24"/>
          <w:lang w:val="sr-Cyrl-CS"/>
        </w:rPr>
        <w:t xml:space="preserve"> </w:t>
      </w:r>
      <w:r w:rsidR="00607CBA" w:rsidRPr="005303F7">
        <w:rPr>
          <w:rFonts w:ascii="Times New Roman" w:hAnsi="Times New Roman"/>
          <w:sz w:val="24"/>
          <w:lang w:val="sr-Cyrl-CS"/>
        </w:rPr>
        <w:t>обухваћене</w:t>
      </w:r>
      <w:r w:rsidR="00241DFB" w:rsidRPr="005303F7">
        <w:rPr>
          <w:rFonts w:ascii="Times New Roman" w:hAnsi="Times New Roman"/>
          <w:sz w:val="24"/>
          <w:lang w:val="sr-Cyrl-CS"/>
        </w:rPr>
        <w:t xml:space="preserve"> </w:t>
      </w:r>
      <w:r w:rsidR="00607CBA" w:rsidRPr="005303F7">
        <w:rPr>
          <w:rFonts w:ascii="Times New Roman" w:hAnsi="Times New Roman"/>
          <w:sz w:val="24"/>
          <w:lang w:val="sr-Cyrl-CS"/>
        </w:rPr>
        <w:t>посебним</w:t>
      </w:r>
      <w:r w:rsidR="00241DFB" w:rsidRPr="005303F7">
        <w:rPr>
          <w:rFonts w:ascii="Times New Roman" w:hAnsi="Times New Roman"/>
          <w:sz w:val="24"/>
          <w:lang w:val="sr-Cyrl-CS"/>
        </w:rPr>
        <w:t xml:space="preserve"> </w:t>
      </w:r>
      <w:r w:rsidR="00607CBA" w:rsidRPr="005303F7">
        <w:rPr>
          <w:rFonts w:ascii="Times New Roman" w:hAnsi="Times New Roman"/>
          <w:sz w:val="24"/>
          <w:lang w:val="sr-Cyrl-CS"/>
        </w:rPr>
        <w:t>циљевима</w:t>
      </w:r>
      <w:r w:rsidR="00241DFB" w:rsidRPr="005303F7">
        <w:rPr>
          <w:rFonts w:ascii="Times New Roman" w:hAnsi="Times New Roman"/>
          <w:sz w:val="24"/>
          <w:lang w:val="sr-Cyrl-CS"/>
        </w:rPr>
        <w:t xml:space="preserve"> 1 </w:t>
      </w:r>
      <w:r w:rsidR="00607CBA" w:rsidRPr="005303F7">
        <w:rPr>
          <w:rFonts w:ascii="Times New Roman" w:hAnsi="Times New Roman"/>
          <w:sz w:val="24"/>
          <w:lang w:val="sr-Cyrl-CS"/>
        </w:rPr>
        <w:t>и</w:t>
      </w:r>
      <w:r w:rsidR="00241DFB" w:rsidRPr="005303F7">
        <w:rPr>
          <w:rFonts w:ascii="Times New Roman" w:hAnsi="Times New Roman"/>
          <w:sz w:val="24"/>
          <w:lang w:val="sr-Cyrl-CS"/>
        </w:rPr>
        <w:t xml:space="preserve"> 2. </w:t>
      </w:r>
      <w:r w:rsidR="00607CBA" w:rsidRPr="005303F7">
        <w:rPr>
          <w:rFonts w:ascii="Times New Roman" w:hAnsi="Times New Roman"/>
          <w:sz w:val="24"/>
          <w:lang w:val="sr-Cyrl-CS"/>
        </w:rPr>
        <w:t>У</w:t>
      </w:r>
      <w:r w:rsidR="00241DFB" w:rsidRPr="005303F7">
        <w:rPr>
          <w:rFonts w:ascii="Times New Roman" w:hAnsi="Times New Roman"/>
          <w:sz w:val="24"/>
          <w:lang w:val="sr-Cyrl-CS"/>
        </w:rPr>
        <w:t xml:space="preserve"> </w:t>
      </w:r>
      <w:r w:rsidR="00607CBA" w:rsidRPr="005303F7">
        <w:rPr>
          <w:rFonts w:ascii="Times New Roman" w:hAnsi="Times New Roman"/>
          <w:sz w:val="24"/>
          <w:lang w:val="sr-Cyrl-CS"/>
        </w:rPr>
        <w:t>том</w:t>
      </w:r>
      <w:r w:rsidR="00241DFB" w:rsidRPr="005303F7">
        <w:rPr>
          <w:rFonts w:ascii="Times New Roman" w:hAnsi="Times New Roman"/>
          <w:sz w:val="24"/>
          <w:lang w:val="sr-Cyrl-CS"/>
        </w:rPr>
        <w:t xml:space="preserve"> </w:t>
      </w:r>
      <w:r w:rsidR="00607CBA" w:rsidRPr="005303F7">
        <w:rPr>
          <w:rFonts w:ascii="Times New Roman" w:hAnsi="Times New Roman"/>
          <w:sz w:val="24"/>
          <w:lang w:val="sr-Cyrl-CS"/>
        </w:rPr>
        <w:t>контексту</w:t>
      </w:r>
      <w:r w:rsidR="00241DFB" w:rsidRPr="005303F7">
        <w:rPr>
          <w:rFonts w:ascii="Times New Roman" w:hAnsi="Times New Roman"/>
          <w:sz w:val="24"/>
          <w:lang w:val="sr-Cyrl-CS"/>
        </w:rPr>
        <w:t xml:space="preserve">, </w:t>
      </w:r>
      <w:r w:rsidR="00607CBA" w:rsidRPr="005303F7">
        <w:rPr>
          <w:rFonts w:ascii="Times New Roman" w:hAnsi="Times New Roman"/>
          <w:sz w:val="24"/>
          <w:lang w:val="sr-Cyrl-CS"/>
        </w:rPr>
        <w:t>намеће</w:t>
      </w:r>
      <w:r w:rsidR="00241DFB" w:rsidRPr="005303F7">
        <w:rPr>
          <w:rFonts w:ascii="Times New Roman" w:hAnsi="Times New Roman"/>
          <w:sz w:val="24"/>
          <w:lang w:val="sr-Cyrl-CS"/>
        </w:rPr>
        <w:t xml:space="preserve"> </w:t>
      </w:r>
      <w:r w:rsidR="00607CBA" w:rsidRPr="005303F7">
        <w:rPr>
          <w:rFonts w:ascii="Times New Roman" w:hAnsi="Times New Roman"/>
          <w:sz w:val="24"/>
          <w:lang w:val="sr-Cyrl-CS"/>
        </w:rPr>
        <w:t>се</w:t>
      </w:r>
      <w:r w:rsidR="00241DFB" w:rsidRPr="005303F7">
        <w:rPr>
          <w:rFonts w:ascii="Times New Roman" w:hAnsi="Times New Roman"/>
          <w:sz w:val="24"/>
          <w:lang w:val="sr-Cyrl-CS"/>
        </w:rPr>
        <w:t xml:space="preserve"> </w:t>
      </w:r>
      <w:r w:rsidR="00607CBA" w:rsidRPr="005303F7">
        <w:rPr>
          <w:rFonts w:ascii="Times New Roman" w:hAnsi="Times New Roman"/>
          <w:sz w:val="24"/>
          <w:lang w:val="sr-Cyrl-CS"/>
        </w:rPr>
        <w:t>посебан</w:t>
      </w:r>
      <w:r w:rsidR="00BF41F6" w:rsidRPr="005303F7">
        <w:rPr>
          <w:rFonts w:ascii="Times New Roman" w:hAnsi="Times New Roman"/>
          <w:sz w:val="24"/>
          <w:lang w:val="sr-Cyrl-CS"/>
        </w:rPr>
        <w:t xml:space="preserve"> </w:t>
      </w:r>
      <w:r w:rsidR="00607CBA" w:rsidRPr="005303F7">
        <w:rPr>
          <w:rFonts w:ascii="Times New Roman" w:hAnsi="Times New Roman"/>
          <w:sz w:val="24"/>
          <w:lang w:val="sr-Cyrl-CS"/>
        </w:rPr>
        <w:t>циљ</w:t>
      </w:r>
      <w:r w:rsidR="00241DFB" w:rsidRPr="005303F7">
        <w:rPr>
          <w:rFonts w:ascii="Times New Roman" w:hAnsi="Times New Roman"/>
          <w:sz w:val="24"/>
          <w:lang w:val="sr-Cyrl-CS"/>
        </w:rPr>
        <w:t xml:space="preserve"> </w:t>
      </w:r>
      <w:r w:rsidR="00607CBA" w:rsidRPr="005303F7">
        <w:rPr>
          <w:rFonts w:ascii="Times New Roman" w:hAnsi="Times New Roman"/>
          <w:sz w:val="24"/>
          <w:lang w:val="sr-Cyrl-CS"/>
        </w:rPr>
        <w:t>који</w:t>
      </w:r>
      <w:r w:rsidR="00241DFB" w:rsidRPr="005303F7">
        <w:rPr>
          <w:rFonts w:ascii="Times New Roman" w:hAnsi="Times New Roman"/>
          <w:sz w:val="24"/>
          <w:lang w:val="sr-Cyrl-CS"/>
        </w:rPr>
        <w:t xml:space="preserve"> </w:t>
      </w:r>
      <w:r w:rsidR="00607CBA" w:rsidRPr="005303F7">
        <w:rPr>
          <w:rFonts w:ascii="Times New Roman" w:hAnsi="Times New Roman"/>
          <w:sz w:val="24"/>
          <w:lang w:val="sr-Cyrl-CS"/>
        </w:rPr>
        <w:t>је</w:t>
      </w:r>
      <w:r w:rsidR="00241DFB" w:rsidRPr="005303F7">
        <w:rPr>
          <w:rFonts w:ascii="Times New Roman" w:hAnsi="Times New Roman"/>
          <w:sz w:val="24"/>
          <w:lang w:val="sr-Cyrl-CS"/>
        </w:rPr>
        <w:t xml:space="preserve"> </w:t>
      </w:r>
      <w:r w:rsidR="00607CBA" w:rsidRPr="005303F7">
        <w:rPr>
          <w:rFonts w:ascii="Times New Roman" w:hAnsi="Times New Roman"/>
          <w:sz w:val="24"/>
          <w:lang w:val="sr-Cyrl-CS"/>
        </w:rPr>
        <w:t>фокусиран</w:t>
      </w:r>
      <w:r w:rsidR="00241DFB" w:rsidRPr="005303F7">
        <w:rPr>
          <w:rFonts w:ascii="Times New Roman" w:hAnsi="Times New Roman"/>
          <w:sz w:val="24"/>
          <w:lang w:val="sr-Cyrl-CS"/>
        </w:rPr>
        <w:t xml:space="preserve"> </w:t>
      </w:r>
      <w:r w:rsidR="00607CBA" w:rsidRPr="005303F7">
        <w:rPr>
          <w:rFonts w:ascii="Times New Roman" w:hAnsi="Times New Roman"/>
          <w:sz w:val="24"/>
          <w:lang w:val="sr-Cyrl-CS"/>
        </w:rPr>
        <w:t>на</w:t>
      </w:r>
      <w:r w:rsidR="00241DFB" w:rsidRPr="005303F7">
        <w:rPr>
          <w:rFonts w:ascii="Times New Roman" w:hAnsi="Times New Roman"/>
          <w:sz w:val="24"/>
          <w:lang w:val="sr-Cyrl-CS"/>
        </w:rPr>
        <w:t xml:space="preserve"> </w:t>
      </w:r>
      <w:r w:rsidR="00607CBA" w:rsidRPr="005303F7">
        <w:rPr>
          <w:rFonts w:ascii="Times New Roman" w:hAnsi="Times New Roman"/>
          <w:sz w:val="24"/>
          <w:lang w:val="sr-Cyrl-CS"/>
        </w:rPr>
        <w:t>шумарство</w:t>
      </w:r>
      <w:r w:rsidR="00241DFB" w:rsidRPr="005303F7">
        <w:rPr>
          <w:rFonts w:ascii="Times New Roman" w:hAnsi="Times New Roman"/>
          <w:sz w:val="24"/>
          <w:lang w:val="sr-Cyrl-CS"/>
        </w:rPr>
        <w:t>:</w:t>
      </w:r>
    </w:p>
    <w:p w14:paraId="5C83DE4A" w14:textId="730F7C6C" w:rsidR="00612091" w:rsidRPr="005303F7" w:rsidRDefault="00555C65" w:rsidP="00612091">
      <w:pPr>
        <w:rPr>
          <w:rFonts w:ascii="Times New Roman" w:hAnsi="Times New Roman"/>
          <w:b/>
          <w:bCs/>
          <w:sz w:val="24"/>
          <w:lang w:val="sr-Cyrl-CS"/>
        </w:rPr>
      </w:pPr>
      <w:r w:rsidRPr="005303F7">
        <w:rPr>
          <w:rFonts w:ascii="Times New Roman" w:hAnsi="Times New Roman"/>
          <w:b/>
          <w:sz w:val="24"/>
          <w:lang w:val="sr-Cyrl-CS"/>
        </w:rPr>
        <w:t xml:space="preserve">           </w:t>
      </w:r>
      <w:r w:rsidR="00607CBA" w:rsidRPr="005303F7">
        <w:rPr>
          <w:rFonts w:ascii="Times New Roman" w:hAnsi="Times New Roman"/>
          <w:b/>
          <w:sz w:val="24"/>
          <w:lang w:val="sr-Cyrl-CS"/>
        </w:rPr>
        <w:t>Посебан</w:t>
      </w:r>
      <w:r w:rsidR="00241DFB" w:rsidRPr="005303F7">
        <w:rPr>
          <w:rFonts w:ascii="Times New Roman" w:hAnsi="Times New Roman"/>
          <w:b/>
          <w:sz w:val="24"/>
          <w:lang w:val="sr-Cyrl-CS"/>
        </w:rPr>
        <w:t xml:space="preserve"> </w:t>
      </w:r>
      <w:r w:rsidR="00607CBA" w:rsidRPr="005303F7">
        <w:rPr>
          <w:rFonts w:ascii="Times New Roman" w:hAnsi="Times New Roman"/>
          <w:b/>
          <w:sz w:val="24"/>
          <w:lang w:val="sr-Cyrl-CS"/>
        </w:rPr>
        <w:t>циљ</w:t>
      </w:r>
      <w:r w:rsidR="00612091" w:rsidRPr="005303F7">
        <w:rPr>
          <w:rFonts w:ascii="Times New Roman" w:hAnsi="Times New Roman"/>
          <w:b/>
          <w:sz w:val="24"/>
          <w:lang w:val="sr-Cyrl-CS"/>
        </w:rPr>
        <w:t xml:space="preserve"> </w:t>
      </w:r>
      <w:r w:rsidR="00612091" w:rsidRPr="005303F7">
        <w:rPr>
          <w:rFonts w:ascii="Times New Roman" w:hAnsi="Times New Roman"/>
          <w:b/>
          <w:bCs/>
          <w:sz w:val="24"/>
          <w:lang w:val="sr-Cyrl-CS"/>
        </w:rPr>
        <w:t xml:space="preserve">3: </w:t>
      </w:r>
      <w:bookmarkStart w:id="168" w:name="_Toc11985545"/>
      <w:bookmarkStart w:id="169" w:name="_Hlk11911993"/>
      <w:r w:rsidR="00607CBA" w:rsidRPr="005303F7">
        <w:rPr>
          <w:rFonts w:ascii="Times New Roman" w:hAnsi="Times New Roman"/>
          <w:b/>
          <w:bCs/>
          <w:sz w:val="24"/>
          <w:lang w:val="sr-Cyrl-CS"/>
        </w:rPr>
        <w:t>Повећање</w:t>
      </w:r>
      <w:r w:rsidR="00241DFB"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понора</w:t>
      </w:r>
      <w:r w:rsidR="003F32CC"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угљеника</w:t>
      </w:r>
      <w:r w:rsidR="00B91D07"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у</w:t>
      </w:r>
      <w:r w:rsidR="00241DFB"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шумама</w:t>
      </w:r>
      <w:r w:rsidR="00241DFB"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за</w:t>
      </w:r>
      <w:r w:rsidR="00612091" w:rsidRPr="005303F7">
        <w:rPr>
          <w:rFonts w:ascii="Times New Roman" w:hAnsi="Times New Roman"/>
          <w:b/>
          <w:bCs/>
          <w:sz w:val="24"/>
          <w:lang w:val="sr-Cyrl-CS"/>
        </w:rPr>
        <w:t xml:space="preserve"> 17%</w:t>
      </w:r>
      <w:bookmarkEnd w:id="168"/>
      <w:r w:rsidR="00612091"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до</w:t>
      </w:r>
      <w:r w:rsidR="00612091" w:rsidRPr="005303F7">
        <w:rPr>
          <w:rFonts w:ascii="Times New Roman" w:hAnsi="Times New Roman"/>
          <w:b/>
          <w:bCs/>
          <w:sz w:val="24"/>
          <w:lang w:val="sr-Cyrl-CS"/>
        </w:rPr>
        <w:t xml:space="preserve"> 2030</w:t>
      </w:r>
      <w:r w:rsidR="00241DFB" w:rsidRPr="005303F7">
        <w:rPr>
          <w:rFonts w:ascii="Times New Roman" w:hAnsi="Times New Roman"/>
          <w:b/>
          <w:bCs/>
          <w:sz w:val="24"/>
          <w:lang w:val="sr-Cyrl-CS"/>
        </w:rPr>
        <w:t>.</w:t>
      </w:r>
      <w:r w:rsidR="00612091"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и</w:t>
      </w:r>
      <w:r w:rsidR="00241DFB"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између</w:t>
      </w:r>
      <w:r w:rsidR="00612091" w:rsidRPr="005303F7">
        <w:rPr>
          <w:rFonts w:ascii="Times New Roman" w:hAnsi="Times New Roman"/>
          <w:b/>
          <w:bCs/>
          <w:sz w:val="24"/>
          <w:lang w:val="sr-Cyrl-CS"/>
        </w:rPr>
        <w:t xml:space="preserve"> 22% </w:t>
      </w:r>
      <w:r w:rsidR="00607CBA" w:rsidRPr="005303F7">
        <w:rPr>
          <w:rFonts w:ascii="Times New Roman" w:hAnsi="Times New Roman"/>
          <w:b/>
          <w:bCs/>
          <w:sz w:val="24"/>
          <w:lang w:val="sr-Cyrl-CS"/>
        </w:rPr>
        <w:t>и</w:t>
      </w:r>
      <w:r w:rsidR="00612091" w:rsidRPr="005303F7">
        <w:rPr>
          <w:rFonts w:ascii="Times New Roman" w:hAnsi="Times New Roman"/>
          <w:b/>
          <w:bCs/>
          <w:sz w:val="24"/>
          <w:lang w:val="sr-Cyrl-CS"/>
        </w:rPr>
        <w:t xml:space="preserve"> 132%</w:t>
      </w:r>
      <w:r w:rsidR="00DB5460" w:rsidRPr="005303F7">
        <w:rPr>
          <w:rStyle w:val="FootnoteReference"/>
          <w:rFonts w:ascii="Times New Roman" w:hAnsi="Times New Roman"/>
          <w:b/>
          <w:bCs/>
          <w:lang w:val="sr-Cyrl-CS"/>
        </w:rPr>
        <w:footnoteReference w:id="35"/>
      </w:r>
      <w:r w:rsidR="00612091"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до</w:t>
      </w:r>
      <w:r w:rsidR="00612091" w:rsidRPr="005303F7">
        <w:rPr>
          <w:rFonts w:ascii="Times New Roman" w:hAnsi="Times New Roman"/>
          <w:b/>
          <w:bCs/>
          <w:sz w:val="24"/>
          <w:lang w:val="sr-Cyrl-CS"/>
        </w:rPr>
        <w:t xml:space="preserve"> 2050</w:t>
      </w:r>
      <w:r w:rsidR="00241DFB" w:rsidRPr="005303F7">
        <w:rPr>
          <w:rFonts w:ascii="Times New Roman" w:hAnsi="Times New Roman"/>
          <w:b/>
          <w:bCs/>
          <w:sz w:val="24"/>
          <w:lang w:val="sr-Cyrl-CS"/>
        </w:rPr>
        <w:t>.</w:t>
      </w:r>
      <w:r w:rsidR="000E1644" w:rsidRPr="005303F7">
        <w:rPr>
          <w:rFonts w:ascii="Times New Roman" w:hAnsi="Times New Roman"/>
          <w:b/>
          <w:bCs/>
          <w:sz w:val="24"/>
          <w:lang w:val="sr-Cyrl-CS"/>
        </w:rPr>
        <w:t xml:space="preserve"> године</w:t>
      </w:r>
      <w:r w:rsidR="00612091"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у</w:t>
      </w:r>
      <w:r w:rsidR="00241DFB"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поређењу</w:t>
      </w:r>
      <w:r w:rsidR="00241DFB"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са</w:t>
      </w:r>
      <w:r w:rsidR="00612091" w:rsidRPr="005303F7">
        <w:rPr>
          <w:rFonts w:ascii="Times New Roman" w:hAnsi="Times New Roman"/>
          <w:b/>
          <w:sz w:val="24"/>
          <w:lang w:val="sr-Cyrl-CS"/>
        </w:rPr>
        <w:t xml:space="preserve"> </w:t>
      </w:r>
      <w:r w:rsidR="00612091" w:rsidRPr="005303F7">
        <w:rPr>
          <w:rFonts w:ascii="Times New Roman" w:hAnsi="Times New Roman"/>
          <w:b/>
          <w:bCs/>
          <w:sz w:val="24"/>
          <w:lang w:val="sr-Cyrl-CS"/>
        </w:rPr>
        <w:t>2010</w:t>
      </w:r>
      <w:bookmarkEnd w:id="169"/>
      <w:r w:rsidR="00241DFB"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годином</w:t>
      </w:r>
      <w:r w:rsidR="000E1644" w:rsidRPr="005303F7">
        <w:rPr>
          <w:rFonts w:ascii="Times New Roman" w:hAnsi="Times New Roman"/>
          <w:b/>
          <w:bCs/>
          <w:sz w:val="24"/>
          <w:lang w:val="sr-Cyrl-CS"/>
        </w:rPr>
        <w:t>.</w:t>
      </w:r>
    </w:p>
    <w:p w14:paraId="1F1830F3" w14:textId="2424F0DB" w:rsidR="00D62E0F" w:rsidRPr="005303F7" w:rsidRDefault="00555C65" w:rsidP="00C2290A">
      <w:pPr>
        <w:tabs>
          <w:tab w:val="clear" w:pos="3825"/>
        </w:tabs>
        <w:spacing w:before="60" w:after="0"/>
        <w:rPr>
          <w:rFonts w:ascii="Times New Roman" w:hAnsi="Times New Roman"/>
          <w:sz w:val="24"/>
          <w:lang w:val="sr-Cyrl-CS"/>
        </w:rPr>
      </w:pPr>
      <w:r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Посебан</w:t>
      </w:r>
      <w:r w:rsidR="00672D5D"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циљ</w:t>
      </w:r>
      <w:r w:rsidR="00672D5D" w:rsidRPr="005303F7">
        <w:rPr>
          <w:rFonts w:ascii="Times New Roman" w:hAnsi="Times New Roman"/>
          <w:b/>
          <w:bCs/>
          <w:sz w:val="24"/>
          <w:lang w:val="sr-Cyrl-CS"/>
        </w:rPr>
        <w:t xml:space="preserve"> </w:t>
      </w:r>
      <w:r w:rsidR="00F72AD3" w:rsidRPr="005303F7">
        <w:rPr>
          <w:rFonts w:ascii="Times New Roman" w:hAnsi="Times New Roman"/>
          <w:b/>
          <w:bCs/>
          <w:sz w:val="24"/>
          <w:lang w:val="sr-Cyrl-CS"/>
        </w:rPr>
        <w:t>4</w:t>
      </w:r>
      <w:r w:rsidR="00D62E0F"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Очување</w:t>
      </w:r>
      <w:r w:rsidR="00672D5D"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потенцијала</w:t>
      </w:r>
      <w:r w:rsidR="00672D5D"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мера</w:t>
      </w:r>
      <w:r w:rsidR="00672D5D"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ублажавања</w:t>
      </w:r>
      <w:r w:rsidR="00672D5D"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утврђених</w:t>
      </w:r>
      <w:r w:rsidR="00672D5D"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до</w:t>
      </w:r>
      <w:r w:rsidR="00080DDF" w:rsidRPr="005303F7">
        <w:rPr>
          <w:rFonts w:ascii="Times New Roman" w:hAnsi="Times New Roman"/>
          <w:b/>
          <w:bCs/>
          <w:sz w:val="24"/>
          <w:lang w:val="sr-Cyrl-CS"/>
        </w:rPr>
        <w:t xml:space="preserve"> </w:t>
      </w:r>
      <w:r w:rsidR="00672D5D" w:rsidRPr="005303F7">
        <w:rPr>
          <w:rFonts w:ascii="Times New Roman" w:hAnsi="Times New Roman"/>
          <w:b/>
          <w:bCs/>
          <w:sz w:val="24"/>
          <w:lang w:val="sr-Cyrl-CS"/>
        </w:rPr>
        <w:t xml:space="preserve">2030. </w:t>
      </w:r>
      <w:r w:rsidR="00607CBA" w:rsidRPr="005303F7">
        <w:rPr>
          <w:rFonts w:ascii="Times New Roman" w:hAnsi="Times New Roman"/>
          <w:b/>
          <w:bCs/>
          <w:sz w:val="24"/>
          <w:lang w:val="sr-Cyrl-CS"/>
        </w:rPr>
        <w:t>и</w:t>
      </w:r>
      <w:r w:rsidR="00672D5D" w:rsidRPr="005303F7">
        <w:rPr>
          <w:rFonts w:ascii="Times New Roman" w:hAnsi="Times New Roman"/>
          <w:b/>
          <w:bCs/>
          <w:sz w:val="24"/>
          <w:lang w:val="sr-Cyrl-CS"/>
        </w:rPr>
        <w:t xml:space="preserve"> 2050. </w:t>
      </w:r>
      <w:r w:rsidR="00607CBA" w:rsidRPr="005303F7">
        <w:rPr>
          <w:rFonts w:ascii="Times New Roman" w:hAnsi="Times New Roman"/>
          <w:b/>
          <w:bCs/>
          <w:sz w:val="24"/>
          <w:lang w:val="sr-Cyrl-CS"/>
        </w:rPr>
        <w:t>годину</w:t>
      </w:r>
      <w:r w:rsidR="00672D5D"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повећањем</w:t>
      </w:r>
      <w:r w:rsidR="00672D5D"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отпорности</w:t>
      </w:r>
      <w:r w:rsidR="00672D5D"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на</w:t>
      </w:r>
      <w:r w:rsidR="00672D5D"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климатске</w:t>
      </w:r>
      <w:r w:rsidR="00672D5D"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промене</w:t>
      </w:r>
      <w:r w:rsidR="00672D5D"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у</w:t>
      </w:r>
      <w:r w:rsidR="0076195C"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приоритетним</w:t>
      </w:r>
      <w:r w:rsidR="00672D5D" w:rsidRPr="005303F7">
        <w:rPr>
          <w:rFonts w:ascii="Times New Roman" w:hAnsi="Times New Roman"/>
          <w:b/>
          <w:bCs/>
          <w:sz w:val="24"/>
          <w:lang w:val="sr-Cyrl-CS"/>
        </w:rPr>
        <w:t xml:space="preserve"> </w:t>
      </w:r>
      <w:r w:rsidR="00607CBA" w:rsidRPr="005303F7">
        <w:rPr>
          <w:rFonts w:ascii="Times New Roman" w:hAnsi="Times New Roman"/>
          <w:b/>
          <w:bCs/>
          <w:sz w:val="24"/>
          <w:lang w:val="sr-Cyrl-CS"/>
        </w:rPr>
        <w:t>секторима</w:t>
      </w:r>
      <w:r w:rsidR="00D62E0F" w:rsidRPr="005303F7">
        <w:rPr>
          <w:rFonts w:ascii="Times New Roman" w:hAnsi="Times New Roman"/>
          <w:sz w:val="24"/>
          <w:vertAlign w:val="superscript"/>
          <w:lang w:val="sr-Cyrl-CS"/>
        </w:rPr>
        <w:footnoteReference w:id="36"/>
      </w:r>
      <w:r w:rsidR="00D62E0F" w:rsidRPr="005303F7">
        <w:rPr>
          <w:rFonts w:ascii="Times New Roman" w:hAnsi="Times New Roman"/>
          <w:sz w:val="24"/>
          <w:lang w:val="sr-Cyrl-CS"/>
        </w:rPr>
        <w:t xml:space="preserve">. </w:t>
      </w:r>
    </w:p>
    <w:p w14:paraId="5DD024BF" w14:textId="6FBB9AB7" w:rsidR="004C6BA1" w:rsidRPr="005303F7" w:rsidRDefault="00555C65" w:rsidP="004C6BA1">
      <w:pPr>
        <w:rPr>
          <w:rFonts w:ascii="Times New Roman" w:hAnsi="Times New Roman"/>
          <w:sz w:val="24"/>
          <w:szCs w:val="24"/>
          <w:lang w:val="sr-Cyrl-CS"/>
        </w:rPr>
      </w:pPr>
      <w:r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Следеће</w:t>
      </w:r>
      <w:r w:rsidR="00E6005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мере</w:t>
      </w:r>
      <w:r w:rsidR="00E6005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прилагођавања</w:t>
      </w:r>
      <w:r w:rsidR="00E6005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и</w:t>
      </w:r>
      <w:r w:rsidR="00E6005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опције</w:t>
      </w:r>
      <w:r w:rsidR="00E6005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су</w:t>
      </w:r>
      <w:r w:rsidR="00E6005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препознате</w:t>
      </w:r>
      <w:r w:rsidR="00E6005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су</w:t>
      </w:r>
      <w:r w:rsidR="00E6005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као</w:t>
      </w:r>
      <w:r w:rsidR="00E6005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најважније</w:t>
      </w:r>
      <w:r w:rsidR="00E6005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до</w:t>
      </w:r>
      <w:r w:rsidR="00E6005B" w:rsidRPr="005303F7">
        <w:rPr>
          <w:rFonts w:ascii="Times New Roman" w:hAnsi="Times New Roman"/>
          <w:sz w:val="24"/>
          <w:szCs w:val="24"/>
          <w:lang w:val="sr-Cyrl-CS"/>
        </w:rPr>
        <w:t xml:space="preserve"> 2030/2050. </w:t>
      </w:r>
      <w:r w:rsidR="00607CBA" w:rsidRPr="005303F7">
        <w:rPr>
          <w:rFonts w:ascii="Times New Roman" w:hAnsi="Times New Roman"/>
          <w:sz w:val="24"/>
          <w:szCs w:val="24"/>
          <w:lang w:val="sr-Cyrl-CS"/>
        </w:rPr>
        <w:t>године</w:t>
      </w:r>
      <w:r w:rsidR="00E6005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за</w:t>
      </w:r>
      <w:r w:rsidR="00E6005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сваки</w:t>
      </w:r>
      <w:r w:rsidR="00E6005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од</w:t>
      </w:r>
      <w:r w:rsidR="00E6005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ова</w:t>
      </w:r>
      <w:r w:rsidR="00E6005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три</w:t>
      </w:r>
      <w:r w:rsidR="00E6005B" w:rsidRPr="005303F7">
        <w:rPr>
          <w:rFonts w:ascii="Times New Roman" w:hAnsi="Times New Roman"/>
          <w:sz w:val="24"/>
          <w:szCs w:val="24"/>
          <w:lang w:val="sr-Cyrl-CS"/>
        </w:rPr>
        <w:t xml:space="preserve"> </w:t>
      </w:r>
      <w:r w:rsidR="00607CBA" w:rsidRPr="005303F7">
        <w:rPr>
          <w:rFonts w:ascii="Times New Roman" w:hAnsi="Times New Roman"/>
          <w:sz w:val="24"/>
          <w:szCs w:val="24"/>
          <w:lang w:val="sr-Cyrl-CS"/>
        </w:rPr>
        <w:t>сектора</w:t>
      </w:r>
      <w:r w:rsidR="004C6BA1" w:rsidRPr="005303F7">
        <w:rPr>
          <w:rFonts w:ascii="Times New Roman" w:hAnsi="Times New Roman"/>
          <w:sz w:val="24"/>
          <w:szCs w:val="24"/>
          <w:lang w:val="sr-Cyrl-CS"/>
        </w:rPr>
        <w:t>:</w:t>
      </w:r>
      <w:r w:rsidR="00415473" w:rsidRPr="005303F7">
        <w:rPr>
          <w:rFonts w:ascii="Times New Roman" w:hAnsi="Times New Roman"/>
          <w:sz w:val="24"/>
          <w:szCs w:val="24"/>
          <w:lang w:val="sr-Cyrl-CS"/>
        </w:rPr>
        <w:t xml:space="preserve"> </w:t>
      </w:r>
    </w:p>
    <w:p w14:paraId="151E89DB" w14:textId="02E5B21E" w:rsidR="004C6BA1" w:rsidRPr="005303F7" w:rsidRDefault="00555C65" w:rsidP="00D93231">
      <w:pPr>
        <w:pStyle w:val="ListParagraph"/>
        <w:numPr>
          <w:ilvl w:val="0"/>
          <w:numId w:val="39"/>
        </w:numPr>
        <w:rPr>
          <w:rFonts w:ascii="Times New Roman" w:hAnsi="Times New Roman" w:cs="Times New Roman"/>
          <w:sz w:val="24"/>
          <w:szCs w:val="24"/>
          <w:lang w:val="sr-Cyrl-CS"/>
        </w:rPr>
      </w:pPr>
      <w:r w:rsidRPr="005303F7">
        <w:rPr>
          <w:rFonts w:ascii="Times New Roman" w:hAnsi="Times New Roman" w:cs="Times New Roman"/>
          <w:sz w:val="24"/>
          <w:szCs w:val="24"/>
          <w:lang w:val="sr-Cyrl-CS"/>
        </w:rPr>
        <w:t>п</w:t>
      </w:r>
      <w:r w:rsidR="00607CBA" w:rsidRPr="005303F7">
        <w:rPr>
          <w:rFonts w:ascii="Times New Roman" w:hAnsi="Times New Roman" w:cs="Times New Roman"/>
          <w:sz w:val="24"/>
          <w:szCs w:val="24"/>
          <w:lang w:val="sr-Cyrl-CS"/>
        </w:rPr>
        <w:t>ољопривреда</w:t>
      </w:r>
      <w:r w:rsidR="0037373F" w:rsidRPr="005303F7">
        <w:rPr>
          <w:rFonts w:ascii="Times New Roman" w:hAnsi="Times New Roman" w:cs="Times New Roman"/>
          <w:sz w:val="24"/>
          <w:szCs w:val="24"/>
          <w:lang w:val="sr-Cyrl-CS"/>
        </w:rPr>
        <w:t xml:space="preserve"> – </w:t>
      </w:r>
      <w:r w:rsidR="00607CBA" w:rsidRPr="005303F7">
        <w:rPr>
          <w:rFonts w:ascii="Times New Roman" w:hAnsi="Times New Roman" w:cs="Times New Roman"/>
          <w:sz w:val="24"/>
          <w:szCs w:val="24"/>
          <w:lang w:val="sr-Cyrl-CS"/>
        </w:rPr>
        <w:t>производња</w:t>
      </w:r>
      <w:r w:rsidR="0056164F"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хране</w:t>
      </w:r>
      <w:r w:rsidR="004C6BA1" w:rsidRPr="005303F7">
        <w:rPr>
          <w:rFonts w:ascii="Times New Roman" w:hAnsi="Times New Roman" w:cs="Times New Roman"/>
          <w:sz w:val="24"/>
          <w:szCs w:val="24"/>
          <w:lang w:val="sr-Cyrl-CS"/>
        </w:rPr>
        <w:t>:</w:t>
      </w:r>
    </w:p>
    <w:p w14:paraId="4F9B6190" w14:textId="7D8D9D27" w:rsidR="004C6BA1" w:rsidRPr="005303F7" w:rsidRDefault="005943D6" w:rsidP="00D93231">
      <w:pPr>
        <w:pStyle w:val="ListParagraph"/>
        <w:numPr>
          <w:ilvl w:val="0"/>
          <w:numId w:val="49"/>
        </w:numPr>
        <w:rPr>
          <w:rFonts w:ascii="Times New Roman" w:hAnsi="Times New Roman" w:cs="Times New Roman"/>
          <w:sz w:val="24"/>
          <w:szCs w:val="24"/>
          <w:lang w:val="sr-Cyrl-CS"/>
        </w:rPr>
      </w:pPr>
      <w:r w:rsidRPr="005303F7">
        <w:rPr>
          <w:rFonts w:ascii="Times New Roman" w:hAnsi="Times New Roman" w:cs="Times New Roman"/>
          <w:sz w:val="24"/>
          <w:szCs w:val="24"/>
          <w:lang w:val="sr-Cyrl-CS"/>
        </w:rPr>
        <w:t>н</w:t>
      </w:r>
      <w:r w:rsidR="00607CBA" w:rsidRPr="005303F7">
        <w:rPr>
          <w:rFonts w:ascii="Times New Roman" w:hAnsi="Times New Roman" w:cs="Times New Roman"/>
          <w:sz w:val="24"/>
          <w:szCs w:val="24"/>
          <w:lang w:val="sr-Cyrl-CS"/>
        </w:rPr>
        <w:t>ови</w:t>
      </w:r>
      <w:r w:rsidR="00F42AA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системи</w:t>
      </w:r>
      <w:r w:rsidR="00F42AA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за</w:t>
      </w:r>
      <w:r w:rsidR="00F42AA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наводњавање</w:t>
      </w:r>
      <w:r w:rsidR="00F42AA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w:t>
      </w:r>
      <w:r w:rsidR="00F42AA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ефикасније</w:t>
      </w:r>
      <w:r w:rsidR="00F42AA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коришћење</w:t>
      </w:r>
      <w:r w:rsidR="00F42AA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постојећих</w:t>
      </w:r>
      <w:r w:rsidR="004C6BA1"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система</w:t>
      </w:r>
      <w:r w:rsidR="00E46175" w:rsidRPr="005303F7">
        <w:rPr>
          <w:rFonts w:ascii="Times New Roman" w:hAnsi="Times New Roman" w:cs="Times New Roman"/>
          <w:sz w:val="24"/>
          <w:szCs w:val="24"/>
          <w:lang w:val="sr-Cyrl-CS"/>
        </w:rPr>
        <w:t>,</w:t>
      </w:r>
    </w:p>
    <w:p w14:paraId="485D8C55" w14:textId="1A01071A" w:rsidR="00ED7CBB" w:rsidRPr="005303F7" w:rsidRDefault="00555C65" w:rsidP="00BD0965">
      <w:pPr>
        <w:pStyle w:val="ListParagraph"/>
        <w:numPr>
          <w:ilvl w:val="0"/>
          <w:numId w:val="49"/>
        </w:numPr>
        <w:tabs>
          <w:tab w:val="clear" w:pos="3825"/>
          <w:tab w:val="left" w:pos="1134"/>
        </w:tabs>
        <w:ind w:left="0" w:firstLine="1080"/>
        <w:rPr>
          <w:rFonts w:ascii="Times New Roman" w:hAnsi="Times New Roman" w:cs="Times New Roman"/>
          <w:sz w:val="24"/>
          <w:szCs w:val="24"/>
          <w:lang w:val="sr-Cyrl-CS"/>
        </w:rPr>
      </w:pPr>
      <w:r w:rsidRPr="005303F7">
        <w:rPr>
          <w:rFonts w:ascii="Times New Roman" w:hAnsi="Times New Roman" w:cs="Times New Roman"/>
          <w:sz w:val="24"/>
          <w:szCs w:val="24"/>
          <w:lang w:val="sr-Cyrl-CS"/>
        </w:rPr>
        <w:t>в</w:t>
      </w:r>
      <w:r w:rsidR="00607CBA" w:rsidRPr="005303F7">
        <w:rPr>
          <w:rFonts w:ascii="Times New Roman" w:hAnsi="Times New Roman" w:cs="Times New Roman"/>
          <w:sz w:val="24"/>
          <w:szCs w:val="24"/>
          <w:lang w:val="sr-Cyrl-CS"/>
        </w:rPr>
        <w:t>ишенаменск</w:t>
      </w:r>
      <w:r w:rsidR="00C07486" w:rsidRPr="005303F7">
        <w:rPr>
          <w:rFonts w:ascii="Times New Roman" w:hAnsi="Times New Roman" w:cs="Times New Roman"/>
          <w:sz w:val="24"/>
          <w:szCs w:val="24"/>
          <w:lang w:val="sr-Cyrl-CS"/>
        </w:rPr>
        <w:t>е</w:t>
      </w:r>
      <w:r w:rsidR="00ED7CB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мал</w:t>
      </w:r>
      <w:r w:rsidR="00C07486" w:rsidRPr="005303F7">
        <w:rPr>
          <w:rFonts w:ascii="Times New Roman" w:hAnsi="Times New Roman" w:cs="Times New Roman"/>
          <w:sz w:val="24"/>
          <w:szCs w:val="24"/>
          <w:lang w:val="sr-Cyrl-CS"/>
        </w:rPr>
        <w:t>е</w:t>
      </w:r>
      <w:r w:rsidR="00ED7CB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акумулаци</w:t>
      </w:r>
      <w:r w:rsidR="00C07486" w:rsidRPr="005303F7">
        <w:rPr>
          <w:rFonts w:ascii="Times New Roman" w:hAnsi="Times New Roman" w:cs="Times New Roman"/>
          <w:sz w:val="24"/>
          <w:szCs w:val="24"/>
          <w:lang w:val="sr-Cyrl-CS"/>
        </w:rPr>
        <w:t>је и стајаће воде</w:t>
      </w:r>
      <w:r w:rsidR="00ED7CBB" w:rsidRPr="005303F7">
        <w:rPr>
          <w:rFonts w:ascii="Times New Roman" w:hAnsi="Times New Roman" w:cs="Times New Roman"/>
          <w:sz w:val="24"/>
          <w:szCs w:val="24"/>
          <w:lang w:val="sr-Cyrl-CS"/>
        </w:rPr>
        <w:t xml:space="preserve"> </w:t>
      </w:r>
      <w:r w:rsidR="00C07486" w:rsidRPr="005303F7">
        <w:rPr>
          <w:rFonts w:ascii="Times New Roman" w:hAnsi="Times New Roman" w:cs="Times New Roman"/>
          <w:sz w:val="24"/>
          <w:szCs w:val="24"/>
          <w:lang w:val="sr-Cyrl-CS"/>
        </w:rPr>
        <w:t>(</w:t>
      </w:r>
      <w:r w:rsidR="00607CBA" w:rsidRPr="005303F7">
        <w:rPr>
          <w:rFonts w:ascii="Times New Roman" w:hAnsi="Times New Roman" w:cs="Times New Roman"/>
          <w:sz w:val="24"/>
          <w:szCs w:val="24"/>
          <w:lang w:val="sr-Cyrl-CS"/>
        </w:rPr>
        <w:t>језера</w:t>
      </w:r>
      <w:r w:rsidR="00ED7CB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баре</w:t>
      </w:r>
      <w:r w:rsidR="00C07486" w:rsidRPr="005303F7">
        <w:rPr>
          <w:rFonts w:ascii="Times New Roman" w:hAnsi="Times New Roman" w:cs="Times New Roman"/>
          <w:sz w:val="24"/>
          <w:szCs w:val="24"/>
          <w:lang w:val="sr-Cyrl-CS"/>
        </w:rPr>
        <w:t>)</w:t>
      </w:r>
      <w:r w:rsidR="00ED7CB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w:t>
      </w:r>
      <w:r w:rsidR="00ED7CBB" w:rsidRPr="005303F7">
        <w:rPr>
          <w:rFonts w:ascii="Times New Roman" w:hAnsi="Times New Roman" w:cs="Times New Roman"/>
          <w:sz w:val="24"/>
          <w:szCs w:val="24"/>
          <w:lang w:val="sr-Cyrl-CS"/>
        </w:rPr>
        <w:t xml:space="preserve"> </w:t>
      </w:r>
      <w:r w:rsidR="00C07486" w:rsidRPr="005303F7">
        <w:rPr>
          <w:rFonts w:ascii="Times New Roman" w:hAnsi="Times New Roman" w:cs="Times New Roman"/>
          <w:sz w:val="24"/>
          <w:szCs w:val="24"/>
          <w:lang w:val="sr-Cyrl-CS"/>
        </w:rPr>
        <w:t xml:space="preserve">вишенаменске акумулације за </w:t>
      </w:r>
      <w:r w:rsidR="00607CBA" w:rsidRPr="005303F7">
        <w:rPr>
          <w:rFonts w:ascii="Times New Roman" w:hAnsi="Times New Roman" w:cs="Times New Roman"/>
          <w:sz w:val="24"/>
          <w:szCs w:val="24"/>
          <w:lang w:val="sr-Cyrl-CS"/>
        </w:rPr>
        <w:t>водоснабдевање</w:t>
      </w:r>
      <w:r w:rsidR="00ED7CB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наводњавање</w:t>
      </w:r>
      <w:r w:rsidR="00ED7CB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контролу</w:t>
      </w:r>
      <w:r w:rsidR="00ED7CB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ерозије</w:t>
      </w:r>
      <w:r w:rsidR="00ED7CB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коришћење</w:t>
      </w:r>
      <w:r w:rsidR="00ED7CB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у</w:t>
      </w:r>
      <w:r w:rsidR="00ED7CB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екосистему</w:t>
      </w:r>
      <w:r w:rsidR="002874C4" w:rsidRPr="005303F7">
        <w:rPr>
          <w:rFonts w:ascii="Times New Roman" w:hAnsi="Times New Roman" w:cs="Times New Roman"/>
          <w:sz w:val="24"/>
          <w:szCs w:val="24"/>
          <w:lang w:val="sr-Cyrl-CS"/>
        </w:rPr>
        <w:t>,</w:t>
      </w:r>
    </w:p>
    <w:p w14:paraId="701971ED" w14:textId="3C42C104" w:rsidR="002316F7" w:rsidRPr="005303F7" w:rsidRDefault="00555C65" w:rsidP="00D93231">
      <w:pPr>
        <w:pStyle w:val="ListParagraph"/>
        <w:numPr>
          <w:ilvl w:val="0"/>
          <w:numId w:val="49"/>
        </w:numPr>
        <w:rPr>
          <w:rFonts w:ascii="Times New Roman" w:hAnsi="Times New Roman" w:cs="Times New Roman"/>
          <w:sz w:val="24"/>
          <w:szCs w:val="24"/>
          <w:lang w:val="sr-Cyrl-CS"/>
        </w:rPr>
      </w:pPr>
      <w:r w:rsidRPr="005303F7">
        <w:rPr>
          <w:rFonts w:ascii="Times New Roman" w:hAnsi="Times New Roman" w:cs="Times New Roman"/>
          <w:sz w:val="24"/>
          <w:szCs w:val="24"/>
          <w:lang w:val="sr-Cyrl-CS"/>
        </w:rPr>
        <w:t>п</w:t>
      </w:r>
      <w:r w:rsidR="00607CBA" w:rsidRPr="005303F7">
        <w:rPr>
          <w:rFonts w:ascii="Times New Roman" w:hAnsi="Times New Roman" w:cs="Times New Roman"/>
          <w:sz w:val="24"/>
          <w:szCs w:val="24"/>
          <w:lang w:val="sr-Cyrl-CS"/>
        </w:rPr>
        <w:t>рилагођавање</w:t>
      </w:r>
      <w:r w:rsidR="00ED7CB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технологија</w:t>
      </w:r>
      <w:r w:rsidR="00ED7CB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гајења</w:t>
      </w:r>
      <w:r w:rsidR="00ED7CBB" w:rsidRPr="005303F7">
        <w:rPr>
          <w:rFonts w:ascii="Times New Roman" w:hAnsi="Times New Roman" w:cs="Times New Roman"/>
          <w:sz w:val="24"/>
          <w:szCs w:val="24"/>
          <w:lang w:val="sr-Cyrl-CS"/>
        </w:rPr>
        <w:t xml:space="preserve"> </w:t>
      </w:r>
      <w:r w:rsidR="004C6BA1" w:rsidRPr="005303F7">
        <w:rPr>
          <w:rFonts w:ascii="Times New Roman" w:hAnsi="Times New Roman" w:cs="Times New Roman"/>
          <w:sz w:val="24"/>
          <w:szCs w:val="24"/>
          <w:lang w:val="sr-Cyrl-CS"/>
        </w:rPr>
        <w:t>(</w:t>
      </w:r>
      <w:r w:rsidR="00607CBA" w:rsidRPr="005303F7">
        <w:rPr>
          <w:rFonts w:ascii="Times New Roman" w:hAnsi="Times New Roman" w:cs="Times New Roman"/>
          <w:sz w:val="24"/>
          <w:szCs w:val="24"/>
          <w:lang w:val="sr-Cyrl-CS"/>
        </w:rPr>
        <w:t>одабир</w:t>
      </w:r>
      <w:r w:rsidR="001107BE"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врста</w:t>
      </w:r>
      <w:r w:rsidR="00ED7CB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w:t>
      </w:r>
      <w:r w:rsidR="00ED7CB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агротехничких</w:t>
      </w:r>
      <w:r w:rsidR="00ED7CB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мера</w:t>
      </w:r>
      <w:r w:rsidR="004C6BA1" w:rsidRPr="005303F7">
        <w:rPr>
          <w:rFonts w:ascii="Times New Roman" w:hAnsi="Times New Roman" w:cs="Times New Roman"/>
          <w:sz w:val="24"/>
          <w:szCs w:val="24"/>
          <w:lang w:val="sr-Cyrl-CS"/>
        </w:rPr>
        <w:t>)</w:t>
      </w:r>
      <w:r w:rsidR="007D7012" w:rsidRPr="005303F7">
        <w:rPr>
          <w:rFonts w:ascii="Times New Roman" w:hAnsi="Times New Roman" w:cs="Times New Roman"/>
          <w:sz w:val="24"/>
          <w:szCs w:val="24"/>
          <w:lang w:val="sr-Cyrl-CS"/>
        </w:rPr>
        <w:t>;</w:t>
      </w:r>
    </w:p>
    <w:p w14:paraId="33121572" w14:textId="11F06E3A" w:rsidR="004C6BA1" w:rsidRPr="005303F7" w:rsidRDefault="00555C65" w:rsidP="00D93231">
      <w:pPr>
        <w:pStyle w:val="ListParagraph"/>
        <w:numPr>
          <w:ilvl w:val="0"/>
          <w:numId w:val="39"/>
        </w:numPr>
        <w:rPr>
          <w:rFonts w:ascii="Times New Roman" w:hAnsi="Times New Roman" w:cs="Times New Roman"/>
          <w:sz w:val="24"/>
          <w:szCs w:val="24"/>
          <w:lang w:val="sr-Cyrl-CS"/>
        </w:rPr>
      </w:pPr>
      <w:r w:rsidRPr="005303F7">
        <w:rPr>
          <w:rFonts w:ascii="Times New Roman" w:hAnsi="Times New Roman" w:cs="Times New Roman"/>
          <w:sz w:val="24"/>
          <w:szCs w:val="24"/>
          <w:lang w:val="sr-Cyrl-CS"/>
        </w:rPr>
        <w:t>ш</w:t>
      </w:r>
      <w:r w:rsidR="00607CBA" w:rsidRPr="005303F7">
        <w:rPr>
          <w:rFonts w:ascii="Times New Roman" w:hAnsi="Times New Roman" w:cs="Times New Roman"/>
          <w:sz w:val="24"/>
          <w:szCs w:val="24"/>
          <w:lang w:val="sr-Cyrl-CS"/>
        </w:rPr>
        <w:t>умарство</w:t>
      </w:r>
      <w:r w:rsidR="005216C4" w:rsidRPr="005303F7">
        <w:rPr>
          <w:rFonts w:ascii="Times New Roman" w:hAnsi="Times New Roman" w:cs="Times New Roman"/>
          <w:sz w:val="24"/>
          <w:szCs w:val="24"/>
          <w:lang w:val="sr-Cyrl-CS"/>
        </w:rPr>
        <w:t xml:space="preserve"> </w:t>
      </w:r>
      <w:r w:rsidR="00B94065" w:rsidRPr="005303F7">
        <w:rPr>
          <w:rFonts w:ascii="Times New Roman" w:hAnsi="Times New Roman" w:cs="Times New Roman"/>
          <w:sz w:val="24"/>
          <w:szCs w:val="24"/>
          <w:lang w:val="sr-Cyrl-CS"/>
        </w:rPr>
        <w:t xml:space="preserve">– </w:t>
      </w:r>
      <w:r w:rsidR="003A4DE9" w:rsidRPr="005303F7">
        <w:rPr>
          <w:rFonts w:ascii="Times New Roman" w:hAnsi="Times New Roman" w:cs="Times New Roman"/>
          <w:sz w:val="24"/>
          <w:szCs w:val="24"/>
          <w:lang w:val="sr-Cyrl-CS"/>
        </w:rPr>
        <w:t xml:space="preserve">снабдевање </w:t>
      </w:r>
      <w:r w:rsidR="00607CBA" w:rsidRPr="005303F7">
        <w:rPr>
          <w:rFonts w:ascii="Times New Roman" w:hAnsi="Times New Roman" w:cs="Times New Roman"/>
          <w:sz w:val="24"/>
          <w:szCs w:val="24"/>
          <w:lang w:val="sr-Cyrl-CS"/>
        </w:rPr>
        <w:t>биомас</w:t>
      </w:r>
      <w:r w:rsidR="003A4DE9" w:rsidRPr="005303F7">
        <w:rPr>
          <w:rFonts w:ascii="Times New Roman" w:hAnsi="Times New Roman" w:cs="Times New Roman"/>
          <w:sz w:val="24"/>
          <w:szCs w:val="24"/>
          <w:lang w:val="sr-Cyrl-CS"/>
        </w:rPr>
        <w:t>ом</w:t>
      </w:r>
      <w:r w:rsidR="000E1644" w:rsidRPr="005303F7">
        <w:rPr>
          <w:rFonts w:ascii="Times New Roman" w:hAnsi="Times New Roman" w:cs="Times New Roman"/>
          <w:sz w:val="24"/>
          <w:szCs w:val="24"/>
          <w:lang w:val="sr-Cyrl-CS"/>
        </w:rPr>
        <w:t>:</w:t>
      </w:r>
    </w:p>
    <w:p w14:paraId="7CD51A3F" w14:textId="150A1571" w:rsidR="002316F7" w:rsidRPr="005303F7" w:rsidRDefault="00555C65" w:rsidP="004038F9">
      <w:pPr>
        <w:pStyle w:val="ListParagraph"/>
        <w:numPr>
          <w:ilvl w:val="0"/>
          <w:numId w:val="42"/>
        </w:numPr>
        <w:tabs>
          <w:tab w:val="clear" w:pos="3825"/>
          <w:tab w:val="left" w:pos="1134"/>
        </w:tabs>
        <w:ind w:left="0" w:firstLine="1080"/>
        <w:rPr>
          <w:rFonts w:ascii="Times New Roman" w:hAnsi="Times New Roman" w:cs="Times New Roman"/>
          <w:sz w:val="24"/>
          <w:szCs w:val="24"/>
          <w:lang w:val="sr-Cyrl-CS"/>
        </w:rPr>
      </w:pPr>
      <w:r w:rsidRPr="005303F7">
        <w:rPr>
          <w:rFonts w:ascii="Times New Roman" w:hAnsi="Times New Roman" w:cs="Times New Roman"/>
          <w:sz w:val="24"/>
          <w:szCs w:val="24"/>
          <w:lang w:val="sr-Cyrl-CS"/>
        </w:rPr>
        <w:lastRenderedPageBreak/>
        <w:t>п</w:t>
      </w:r>
      <w:r w:rsidR="00607CBA" w:rsidRPr="005303F7">
        <w:rPr>
          <w:rFonts w:ascii="Times New Roman" w:hAnsi="Times New Roman" w:cs="Times New Roman"/>
          <w:sz w:val="24"/>
          <w:szCs w:val="24"/>
          <w:lang w:val="sr-Cyrl-CS"/>
        </w:rPr>
        <w:t>ошумљавање</w:t>
      </w:r>
      <w:r w:rsidR="002316F7"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новог</w:t>
      </w:r>
      <w:r w:rsidR="002316F7"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земљишта</w:t>
      </w:r>
      <w:r w:rsidR="002316F7" w:rsidRPr="005303F7">
        <w:rPr>
          <w:rFonts w:ascii="Times New Roman" w:hAnsi="Times New Roman" w:cs="Times New Roman"/>
          <w:sz w:val="24"/>
          <w:szCs w:val="24"/>
          <w:lang w:val="sr-Cyrl-CS"/>
        </w:rPr>
        <w:t xml:space="preserve"> </w:t>
      </w:r>
      <w:r w:rsidR="00636886" w:rsidRPr="005303F7">
        <w:rPr>
          <w:rFonts w:ascii="Times New Roman" w:hAnsi="Times New Roman" w:cs="Times New Roman"/>
          <w:sz w:val="24"/>
          <w:szCs w:val="24"/>
          <w:lang w:val="sr-Cyrl-CS"/>
        </w:rPr>
        <w:t xml:space="preserve">уз </w:t>
      </w:r>
      <w:r w:rsidR="002316F7"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мапирањ</w:t>
      </w:r>
      <w:r w:rsidR="00636886" w:rsidRPr="005303F7">
        <w:rPr>
          <w:rFonts w:ascii="Times New Roman" w:hAnsi="Times New Roman" w:cs="Times New Roman"/>
          <w:sz w:val="24"/>
          <w:szCs w:val="24"/>
          <w:lang w:val="sr-Cyrl-CS"/>
        </w:rPr>
        <w:t>е</w:t>
      </w:r>
      <w:r w:rsidR="002316F7" w:rsidRPr="005303F7">
        <w:rPr>
          <w:rFonts w:ascii="Times New Roman" w:hAnsi="Times New Roman" w:cs="Times New Roman"/>
          <w:sz w:val="24"/>
          <w:szCs w:val="24"/>
          <w:lang w:val="sr-Cyrl-CS"/>
        </w:rPr>
        <w:t xml:space="preserve"> </w:t>
      </w:r>
      <w:r w:rsidR="00636886" w:rsidRPr="005303F7">
        <w:rPr>
          <w:rFonts w:ascii="Times New Roman" w:hAnsi="Times New Roman" w:cs="Times New Roman"/>
          <w:sz w:val="24"/>
          <w:szCs w:val="24"/>
          <w:lang w:val="sr-Cyrl-CS"/>
        </w:rPr>
        <w:t xml:space="preserve">станишта и коришћењем </w:t>
      </w:r>
      <w:r w:rsidR="002316F7"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врста</w:t>
      </w:r>
      <w:r w:rsidR="002316F7"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дрвећа</w:t>
      </w:r>
      <w:r w:rsidR="002316F7"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прилагођених</w:t>
      </w:r>
      <w:r w:rsidR="002316F7"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на</w:t>
      </w:r>
      <w:r w:rsidR="00DD0ED4"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измењене</w:t>
      </w:r>
      <w:r w:rsidR="0056164F"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климатске</w:t>
      </w:r>
      <w:r w:rsidR="002316F7"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услове</w:t>
      </w:r>
      <w:r w:rsidR="00343B97" w:rsidRPr="005303F7">
        <w:rPr>
          <w:rFonts w:ascii="Times New Roman" w:hAnsi="Times New Roman" w:cs="Times New Roman"/>
          <w:sz w:val="24"/>
          <w:szCs w:val="24"/>
          <w:lang w:val="sr-Cyrl-CS"/>
        </w:rPr>
        <w:t>,</w:t>
      </w:r>
    </w:p>
    <w:p w14:paraId="72B9C699" w14:textId="7C1F65AD" w:rsidR="006474FB" w:rsidRPr="005303F7" w:rsidRDefault="00555C65" w:rsidP="004038F9">
      <w:pPr>
        <w:pStyle w:val="ListParagraph"/>
        <w:numPr>
          <w:ilvl w:val="0"/>
          <w:numId w:val="42"/>
        </w:numPr>
        <w:tabs>
          <w:tab w:val="clear" w:pos="3825"/>
          <w:tab w:val="left" w:pos="1134"/>
        </w:tabs>
        <w:ind w:left="0" w:firstLine="1080"/>
        <w:rPr>
          <w:rFonts w:ascii="Times New Roman" w:hAnsi="Times New Roman" w:cs="Times New Roman"/>
          <w:sz w:val="24"/>
          <w:szCs w:val="24"/>
          <w:lang w:val="sr-Cyrl-CS"/>
        </w:rPr>
      </w:pPr>
      <w:r w:rsidRPr="005303F7">
        <w:rPr>
          <w:rFonts w:ascii="Times New Roman" w:hAnsi="Times New Roman" w:cs="Times New Roman"/>
          <w:sz w:val="24"/>
          <w:szCs w:val="24"/>
          <w:lang w:val="sr-Cyrl-CS"/>
        </w:rPr>
        <w:t>п</w:t>
      </w:r>
      <w:r w:rsidR="00607CBA" w:rsidRPr="005303F7">
        <w:rPr>
          <w:rFonts w:ascii="Times New Roman" w:hAnsi="Times New Roman" w:cs="Times New Roman"/>
          <w:sz w:val="24"/>
          <w:szCs w:val="24"/>
          <w:lang w:val="sr-Cyrl-CS"/>
        </w:rPr>
        <w:t>ромена</w:t>
      </w:r>
      <w:r w:rsidR="006474F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праксе</w:t>
      </w:r>
      <w:r w:rsidR="006474F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управљања</w:t>
      </w:r>
      <w:r w:rsidR="006474F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шумама</w:t>
      </w:r>
      <w:r w:rsidR="006474F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у</w:t>
      </w:r>
      <w:r w:rsidR="006474F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правцу</w:t>
      </w:r>
      <w:r w:rsidR="00224B5E" w:rsidRPr="005303F7">
        <w:rPr>
          <w:rFonts w:ascii="Times New Roman" w:hAnsi="Times New Roman" w:cs="Times New Roman"/>
          <w:sz w:val="24"/>
          <w:szCs w:val="24"/>
          <w:lang w:val="sr-Cyrl-CS"/>
        </w:rPr>
        <w:t xml:space="preserve"> </w:t>
      </w:r>
      <w:r w:rsidR="003513D9" w:rsidRPr="005303F7">
        <w:rPr>
          <w:rFonts w:ascii="Times New Roman" w:hAnsi="Times New Roman" w:cs="Times New Roman"/>
          <w:sz w:val="24"/>
          <w:szCs w:val="24"/>
          <w:lang w:val="sr-Cyrl-CS"/>
        </w:rPr>
        <w:t>„</w:t>
      </w:r>
      <w:r w:rsidR="00607CBA" w:rsidRPr="005303F7">
        <w:rPr>
          <w:rFonts w:ascii="Times New Roman" w:hAnsi="Times New Roman" w:cs="Times New Roman"/>
          <w:sz w:val="24"/>
          <w:szCs w:val="24"/>
          <w:lang w:val="sr-Cyrl-CS"/>
        </w:rPr>
        <w:t>природи</w:t>
      </w:r>
      <w:r w:rsidR="00B91D07"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блиског</w:t>
      </w:r>
      <w:r w:rsidR="00B91D07"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газдовања</w:t>
      </w:r>
      <w:r w:rsidR="00B91D07"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шумама</w:t>
      </w:r>
      <w:r w:rsidR="0035174D" w:rsidRPr="005303F7">
        <w:rPr>
          <w:rFonts w:ascii="Times New Roman" w:hAnsi="Times New Roman" w:cs="Times New Roman"/>
          <w:sz w:val="24"/>
          <w:szCs w:val="24"/>
          <w:lang w:val="sr-Cyrl-CS"/>
        </w:rPr>
        <w:t>”</w:t>
      </w:r>
      <w:r w:rsidR="00343B97" w:rsidRPr="005303F7">
        <w:rPr>
          <w:rFonts w:ascii="Times New Roman" w:hAnsi="Times New Roman" w:cs="Times New Roman"/>
          <w:sz w:val="24"/>
          <w:szCs w:val="24"/>
          <w:lang w:val="sr-Cyrl-CS"/>
        </w:rPr>
        <w:t>,</w:t>
      </w:r>
    </w:p>
    <w:p w14:paraId="030A2BF7" w14:textId="506884EC" w:rsidR="004C6BA1" w:rsidRPr="005303F7" w:rsidRDefault="00555C65" w:rsidP="00D93231">
      <w:pPr>
        <w:pStyle w:val="ListParagraph"/>
        <w:numPr>
          <w:ilvl w:val="0"/>
          <w:numId w:val="42"/>
        </w:numPr>
        <w:rPr>
          <w:rFonts w:ascii="Times New Roman" w:hAnsi="Times New Roman" w:cs="Times New Roman"/>
          <w:sz w:val="24"/>
          <w:szCs w:val="24"/>
          <w:lang w:val="sr-Cyrl-CS"/>
        </w:rPr>
      </w:pPr>
      <w:r w:rsidRPr="005303F7">
        <w:rPr>
          <w:rFonts w:ascii="Times New Roman" w:hAnsi="Times New Roman" w:cs="Times New Roman"/>
          <w:sz w:val="24"/>
          <w:szCs w:val="24"/>
          <w:lang w:val="sr-Cyrl-CS"/>
        </w:rPr>
        <w:t>у</w:t>
      </w:r>
      <w:r w:rsidR="00607CBA" w:rsidRPr="005303F7">
        <w:rPr>
          <w:rFonts w:ascii="Times New Roman" w:hAnsi="Times New Roman" w:cs="Times New Roman"/>
          <w:sz w:val="24"/>
          <w:szCs w:val="24"/>
          <w:lang w:val="sr-Cyrl-CS"/>
        </w:rPr>
        <w:t>вођење</w:t>
      </w:r>
      <w:r w:rsidR="006474F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приступа</w:t>
      </w:r>
      <w:r w:rsidR="006474F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климатски</w:t>
      </w:r>
      <w:r w:rsidR="006474F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паметног</w:t>
      </w:r>
      <w:r w:rsidR="006474F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шумарства</w:t>
      </w:r>
      <w:r w:rsidR="0035174D" w:rsidRPr="005303F7">
        <w:rPr>
          <w:rFonts w:ascii="Times New Roman" w:hAnsi="Times New Roman" w:cs="Times New Roman"/>
          <w:sz w:val="24"/>
          <w:szCs w:val="24"/>
          <w:lang w:val="sr-Cyrl-CS"/>
        </w:rPr>
        <w:t>”</w:t>
      </w:r>
      <w:r w:rsidR="00343B97" w:rsidRPr="005303F7">
        <w:rPr>
          <w:rFonts w:ascii="Times New Roman" w:hAnsi="Times New Roman" w:cs="Times New Roman"/>
          <w:sz w:val="24"/>
          <w:szCs w:val="24"/>
          <w:lang w:val="sr-Cyrl-CS"/>
        </w:rPr>
        <w:t>;</w:t>
      </w:r>
    </w:p>
    <w:p w14:paraId="384543A0" w14:textId="0B2A6DAB" w:rsidR="004C6BA1" w:rsidRPr="005303F7" w:rsidRDefault="00555C65" w:rsidP="00D93231">
      <w:pPr>
        <w:pStyle w:val="ListParagraph"/>
        <w:numPr>
          <w:ilvl w:val="0"/>
          <w:numId w:val="39"/>
        </w:numPr>
        <w:rPr>
          <w:rFonts w:ascii="Times New Roman" w:hAnsi="Times New Roman" w:cs="Times New Roman"/>
          <w:sz w:val="24"/>
          <w:szCs w:val="24"/>
          <w:lang w:val="sr-Cyrl-CS"/>
        </w:rPr>
      </w:pPr>
      <w:r w:rsidRPr="005303F7">
        <w:rPr>
          <w:rFonts w:ascii="Times New Roman" w:hAnsi="Times New Roman" w:cs="Times New Roman"/>
          <w:sz w:val="24"/>
          <w:szCs w:val="24"/>
          <w:lang w:val="sr-Cyrl-CS"/>
        </w:rPr>
        <w:t>х</w:t>
      </w:r>
      <w:r w:rsidR="00607CBA" w:rsidRPr="005303F7">
        <w:rPr>
          <w:rFonts w:ascii="Times New Roman" w:hAnsi="Times New Roman" w:cs="Times New Roman"/>
          <w:sz w:val="24"/>
          <w:szCs w:val="24"/>
          <w:lang w:val="sr-Cyrl-CS"/>
        </w:rPr>
        <w:t>идрологија</w:t>
      </w:r>
      <w:r w:rsidR="0029309D"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w:t>
      </w:r>
      <w:r w:rsidR="0029309D"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водни</w:t>
      </w:r>
      <w:r w:rsidR="0029309D"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ресурси</w:t>
      </w:r>
      <w:r w:rsidR="004C6BA1" w:rsidRPr="005303F7">
        <w:rPr>
          <w:rFonts w:ascii="Times New Roman" w:hAnsi="Times New Roman" w:cs="Times New Roman"/>
          <w:sz w:val="24"/>
          <w:szCs w:val="24"/>
          <w:lang w:val="sr-Cyrl-CS"/>
        </w:rPr>
        <w:t xml:space="preserve"> – </w:t>
      </w:r>
      <w:r w:rsidR="00607CBA" w:rsidRPr="005303F7">
        <w:rPr>
          <w:rFonts w:ascii="Times New Roman" w:hAnsi="Times New Roman" w:cs="Times New Roman"/>
          <w:sz w:val="24"/>
          <w:szCs w:val="24"/>
          <w:lang w:val="sr-Cyrl-CS"/>
        </w:rPr>
        <w:t>производња</w:t>
      </w:r>
      <w:r w:rsidR="0029309D"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електричне</w:t>
      </w:r>
      <w:r w:rsidR="0029309D"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енергије</w:t>
      </w:r>
      <w:r w:rsidR="0029309D"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из</w:t>
      </w:r>
      <w:r w:rsidR="0029309D"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водних</w:t>
      </w:r>
      <w:r w:rsidR="00597A07"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ресурса</w:t>
      </w:r>
      <w:r w:rsidR="004C6BA1" w:rsidRPr="005303F7">
        <w:rPr>
          <w:rFonts w:ascii="Times New Roman" w:hAnsi="Times New Roman" w:cs="Times New Roman"/>
          <w:sz w:val="24"/>
          <w:szCs w:val="24"/>
          <w:lang w:val="sr-Cyrl-CS"/>
        </w:rPr>
        <w:t>:</w:t>
      </w:r>
    </w:p>
    <w:p w14:paraId="54402100" w14:textId="5D3986C4" w:rsidR="004C6BA1" w:rsidRPr="005303F7" w:rsidRDefault="00555C65" w:rsidP="00BF0B29">
      <w:pPr>
        <w:pStyle w:val="ListParagraph"/>
        <w:numPr>
          <w:ilvl w:val="0"/>
          <w:numId w:val="43"/>
        </w:numPr>
        <w:tabs>
          <w:tab w:val="clear" w:pos="3825"/>
          <w:tab w:val="left" w:pos="1418"/>
        </w:tabs>
        <w:ind w:left="0" w:firstLine="1080"/>
        <w:rPr>
          <w:rFonts w:ascii="Times New Roman" w:hAnsi="Times New Roman" w:cs="Times New Roman"/>
          <w:sz w:val="24"/>
          <w:szCs w:val="24"/>
          <w:lang w:val="sr-Cyrl-CS"/>
        </w:rPr>
      </w:pPr>
      <w:r w:rsidRPr="005303F7">
        <w:rPr>
          <w:rFonts w:ascii="Times New Roman" w:hAnsi="Times New Roman" w:cs="Times New Roman"/>
          <w:sz w:val="24"/>
          <w:szCs w:val="24"/>
          <w:lang w:val="sr-Cyrl-CS"/>
        </w:rPr>
        <w:t>и</w:t>
      </w:r>
      <w:r w:rsidR="00607CBA" w:rsidRPr="005303F7">
        <w:rPr>
          <w:rFonts w:ascii="Times New Roman" w:hAnsi="Times New Roman" w:cs="Times New Roman"/>
          <w:sz w:val="24"/>
          <w:szCs w:val="24"/>
          <w:lang w:val="sr-Cyrl-CS"/>
        </w:rPr>
        <w:t>зградња</w:t>
      </w:r>
      <w:r w:rsidR="00DE71CB" w:rsidRPr="005303F7">
        <w:rPr>
          <w:rFonts w:ascii="Times New Roman" w:hAnsi="Times New Roman" w:cs="Times New Roman"/>
          <w:sz w:val="24"/>
          <w:szCs w:val="24"/>
          <w:lang w:val="sr-Cyrl-CS"/>
        </w:rPr>
        <w:t xml:space="preserve"> </w:t>
      </w:r>
      <w:r w:rsidR="005F4C68" w:rsidRPr="005303F7">
        <w:rPr>
          <w:rFonts w:ascii="Times New Roman" w:hAnsi="Times New Roman" w:cs="Times New Roman"/>
          <w:sz w:val="24"/>
          <w:szCs w:val="24"/>
          <w:lang w:val="sr-Cyrl-CS"/>
        </w:rPr>
        <w:t xml:space="preserve">водних објеката за заштиту од </w:t>
      </w:r>
      <w:r w:rsidR="00607CBA" w:rsidRPr="005303F7">
        <w:rPr>
          <w:rFonts w:ascii="Times New Roman" w:hAnsi="Times New Roman" w:cs="Times New Roman"/>
          <w:sz w:val="24"/>
          <w:szCs w:val="24"/>
          <w:lang w:val="sr-Cyrl-CS"/>
        </w:rPr>
        <w:t>поплава</w:t>
      </w:r>
      <w:r w:rsidR="005F4C68" w:rsidRPr="005303F7">
        <w:rPr>
          <w:rFonts w:ascii="Times New Roman" w:hAnsi="Times New Roman" w:cs="Times New Roman"/>
          <w:sz w:val="24"/>
          <w:szCs w:val="24"/>
          <w:lang w:val="sr-Cyrl-CS"/>
        </w:rPr>
        <w:t>, ерозије и</w:t>
      </w:r>
      <w:r w:rsidR="00DE71C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бујица</w:t>
      </w:r>
      <w:r w:rsidR="00DE71C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w:t>
      </w:r>
      <w:r w:rsidR="00DE71C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предузимање</w:t>
      </w:r>
      <w:r w:rsidR="00DE71C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додатних</w:t>
      </w:r>
      <w:r w:rsidR="00DE71C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мера</w:t>
      </w:r>
      <w:r w:rsidR="005F4C68" w:rsidRPr="005303F7">
        <w:rPr>
          <w:rFonts w:ascii="Times New Roman" w:hAnsi="Times New Roman" w:cs="Times New Roman"/>
          <w:sz w:val="24"/>
          <w:szCs w:val="24"/>
          <w:lang w:val="sr-Cyrl-CS"/>
        </w:rPr>
        <w:t xml:space="preserve"> заштите</w:t>
      </w:r>
      <w:r w:rsidR="00DE71C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у</w:t>
      </w:r>
      <w:r w:rsidR="00DE71C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сливу</w:t>
      </w:r>
      <w:r w:rsidR="00353843" w:rsidRPr="005303F7">
        <w:rPr>
          <w:rFonts w:ascii="Times New Roman" w:hAnsi="Times New Roman" w:cs="Times New Roman"/>
          <w:sz w:val="24"/>
          <w:szCs w:val="24"/>
          <w:lang w:val="sr-Cyrl-CS"/>
        </w:rPr>
        <w:t>,</w:t>
      </w:r>
      <w:r w:rsidR="004C6BA1" w:rsidRPr="005303F7">
        <w:rPr>
          <w:rFonts w:ascii="Times New Roman" w:hAnsi="Times New Roman" w:cs="Times New Roman"/>
          <w:sz w:val="24"/>
          <w:szCs w:val="24"/>
          <w:lang w:val="sr-Cyrl-CS"/>
        </w:rPr>
        <w:t xml:space="preserve"> </w:t>
      </w:r>
    </w:p>
    <w:p w14:paraId="6C518E43" w14:textId="6719ABB8" w:rsidR="00DE71CB" w:rsidRPr="005303F7" w:rsidRDefault="00555C65" w:rsidP="00BF0B29">
      <w:pPr>
        <w:pStyle w:val="ListParagraph"/>
        <w:numPr>
          <w:ilvl w:val="0"/>
          <w:numId w:val="43"/>
        </w:numPr>
        <w:tabs>
          <w:tab w:val="clear" w:pos="3825"/>
          <w:tab w:val="left" w:pos="567"/>
        </w:tabs>
        <w:ind w:left="0" w:firstLine="1080"/>
        <w:rPr>
          <w:rFonts w:ascii="Times New Roman" w:hAnsi="Times New Roman" w:cs="Times New Roman"/>
          <w:sz w:val="24"/>
          <w:szCs w:val="24"/>
          <w:lang w:val="sr-Cyrl-CS"/>
        </w:rPr>
      </w:pPr>
      <w:r w:rsidRPr="005303F7">
        <w:rPr>
          <w:rFonts w:ascii="Times New Roman" w:hAnsi="Times New Roman" w:cs="Times New Roman"/>
          <w:sz w:val="24"/>
          <w:szCs w:val="24"/>
          <w:lang w:val="sr-Cyrl-CS"/>
        </w:rPr>
        <w:t>у</w:t>
      </w:r>
      <w:r w:rsidR="00607CBA" w:rsidRPr="005303F7">
        <w:rPr>
          <w:rFonts w:ascii="Times New Roman" w:hAnsi="Times New Roman" w:cs="Times New Roman"/>
          <w:sz w:val="24"/>
          <w:szCs w:val="24"/>
          <w:lang w:val="sr-Cyrl-CS"/>
        </w:rPr>
        <w:t>напређење</w:t>
      </w:r>
      <w:r w:rsidR="00DE71C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система</w:t>
      </w:r>
      <w:r w:rsidR="00DE71C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за</w:t>
      </w:r>
      <w:r w:rsidR="00DE71C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осматрање</w:t>
      </w:r>
      <w:r w:rsidR="00DE71C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прикупљање</w:t>
      </w:r>
      <w:r w:rsidR="00DE71C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података</w:t>
      </w:r>
      <w:r w:rsidR="00DE71C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и</w:t>
      </w:r>
      <w:r w:rsidR="00DE71C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система</w:t>
      </w:r>
      <w:r w:rsidR="00DE71C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ране</w:t>
      </w:r>
      <w:r w:rsidR="0056164F"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најаве</w:t>
      </w:r>
      <w:r w:rsidR="00353843" w:rsidRPr="005303F7">
        <w:rPr>
          <w:rFonts w:ascii="Times New Roman" w:hAnsi="Times New Roman" w:cs="Times New Roman"/>
          <w:sz w:val="24"/>
          <w:szCs w:val="24"/>
          <w:lang w:val="sr-Cyrl-CS"/>
        </w:rPr>
        <w:t>,</w:t>
      </w:r>
    </w:p>
    <w:p w14:paraId="2F40D712" w14:textId="5C11DDA3" w:rsidR="004C6BA1" w:rsidRPr="005303F7" w:rsidRDefault="00555C65" w:rsidP="00D93231">
      <w:pPr>
        <w:pStyle w:val="ListParagraph"/>
        <w:numPr>
          <w:ilvl w:val="0"/>
          <w:numId w:val="43"/>
        </w:numPr>
        <w:rPr>
          <w:rFonts w:ascii="Times New Roman" w:hAnsi="Times New Roman" w:cs="Times New Roman"/>
          <w:sz w:val="24"/>
          <w:szCs w:val="24"/>
          <w:lang w:val="sr-Cyrl-CS"/>
        </w:rPr>
      </w:pPr>
      <w:r w:rsidRPr="005303F7">
        <w:rPr>
          <w:rFonts w:ascii="Times New Roman" w:hAnsi="Times New Roman" w:cs="Times New Roman"/>
          <w:sz w:val="24"/>
          <w:szCs w:val="24"/>
          <w:lang w:val="sr-Cyrl-CS"/>
        </w:rPr>
        <w:t>п</w:t>
      </w:r>
      <w:r w:rsidR="00607CBA" w:rsidRPr="005303F7">
        <w:rPr>
          <w:rFonts w:ascii="Times New Roman" w:hAnsi="Times New Roman" w:cs="Times New Roman"/>
          <w:sz w:val="24"/>
          <w:szCs w:val="24"/>
          <w:lang w:val="sr-Cyrl-CS"/>
        </w:rPr>
        <w:t>овећање</w:t>
      </w:r>
      <w:r w:rsidR="00DE71C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капацитета</w:t>
      </w:r>
      <w:r w:rsidR="00DE71C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за</w:t>
      </w:r>
      <w:r w:rsidR="00DE71C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складиштење</w:t>
      </w:r>
      <w:r w:rsidR="00DE71CB" w:rsidRPr="005303F7">
        <w:rPr>
          <w:rFonts w:ascii="Times New Roman" w:hAnsi="Times New Roman" w:cs="Times New Roman"/>
          <w:sz w:val="24"/>
          <w:szCs w:val="24"/>
          <w:lang w:val="sr-Cyrl-CS"/>
        </w:rPr>
        <w:t xml:space="preserve"> </w:t>
      </w:r>
      <w:r w:rsidR="00607CBA" w:rsidRPr="005303F7">
        <w:rPr>
          <w:rFonts w:ascii="Times New Roman" w:hAnsi="Times New Roman" w:cs="Times New Roman"/>
          <w:sz w:val="24"/>
          <w:szCs w:val="24"/>
          <w:lang w:val="sr-Cyrl-CS"/>
        </w:rPr>
        <w:t>воде</w:t>
      </w:r>
      <w:r w:rsidR="0056164F" w:rsidRPr="005303F7">
        <w:rPr>
          <w:rFonts w:ascii="Times New Roman" w:hAnsi="Times New Roman" w:cs="Times New Roman"/>
          <w:sz w:val="24"/>
          <w:szCs w:val="24"/>
          <w:lang w:val="sr-Cyrl-CS"/>
        </w:rPr>
        <w:t>.</w:t>
      </w:r>
    </w:p>
    <w:p w14:paraId="115FAEDA" w14:textId="16458124" w:rsidR="00612091" w:rsidRPr="005303F7" w:rsidRDefault="00607CBA" w:rsidP="00FE004C">
      <w:pPr>
        <w:tabs>
          <w:tab w:val="clear" w:pos="3825"/>
        </w:tabs>
        <w:spacing w:after="0"/>
        <w:ind w:firstLine="720"/>
        <w:rPr>
          <w:rFonts w:ascii="Times New Roman" w:hAnsi="Times New Roman"/>
          <w:b/>
          <w:sz w:val="24"/>
          <w:szCs w:val="24"/>
          <w:lang w:val="sr-Cyrl-CS"/>
        </w:rPr>
      </w:pPr>
      <w:bookmarkStart w:id="170" w:name="_Toc11985547"/>
      <w:r w:rsidRPr="005303F7">
        <w:rPr>
          <w:rFonts w:ascii="Times New Roman" w:hAnsi="Times New Roman"/>
          <w:b/>
          <w:bCs/>
          <w:sz w:val="24"/>
          <w:szCs w:val="24"/>
          <w:lang w:val="sr-Cyrl-CS"/>
        </w:rPr>
        <w:t>Посебан</w:t>
      </w:r>
      <w:r w:rsidR="00776D2D" w:rsidRPr="005303F7">
        <w:rPr>
          <w:rFonts w:ascii="Times New Roman" w:hAnsi="Times New Roman"/>
          <w:b/>
          <w:bCs/>
          <w:sz w:val="24"/>
          <w:szCs w:val="24"/>
          <w:lang w:val="sr-Cyrl-CS"/>
        </w:rPr>
        <w:t xml:space="preserve"> </w:t>
      </w:r>
      <w:r w:rsidRPr="005303F7">
        <w:rPr>
          <w:rFonts w:ascii="Times New Roman" w:hAnsi="Times New Roman"/>
          <w:b/>
          <w:bCs/>
          <w:sz w:val="24"/>
          <w:szCs w:val="24"/>
          <w:lang w:val="sr-Cyrl-CS"/>
        </w:rPr>
        <w:t>циљ</w:t>
      </w:r>
      <w:r w:rsidR="00612091" w:rsidRPr="005303F7">
        <w:rPr>
          <w:rFonts w:ascii="Times New Roman" w:hAnsi="Times New Roman"/>
          <w:b/>
          <w:bCs/>
          <w:sz w:val="24"/>
          <w:szCs w:val="24"/>
          <w:lang w:val="sr-Cyrl-CS"/>
        </w:rPr>
        <w:t xml:space="preserve"> </w:t>
      </w:r>
      <w:r w:rsidR="00F72AD3" w:rsidRPr="005303F7">
        <w:rPr>
          <w:rFonts w:ascii="Times New Roman" w:hAnsi="Times New Roman"/>
          <w:b/>
          <w:bCs/>
          <w:sz w:val="24"/>
          <w:szCs w:val="24"/>
          <w:lang w:val="sr-Cyrl-CS"/>
        </w:rPr>
        <w:t>5</w:t>
      </w:r>
      <w:r w:rsidR="00612091" w:rsidRPr="005303F7">
        <w:rPr>
          <w:rFonts w:ascii="Times New Roman" w:hAnsi="Times New Roman"/>
          <w:b/>
          <w:bCs/>
          <w:sz w:val="24"/>
          <w:szCs w:val="24"/>
          <w:lang w:val="sr-Cyrl-CS"/>
        </w:rPr>
        <w:t xml:space="preserve">: </w:t>
      </w:r>
      <w:bookmarkEnd w:id="170"/>
      <w:r w:rsidRPr="005303F7">
        <w:rPr>
          <w:rFonts w:ascii="Times New Roman" w:hAnsi="Times New Roman"/>
          <w:b/>
          <w:bCs/>
          <w:sz w:val="24"/>
          <w:szCs w:val="24"/>
          <w:lang w:val="sr-Cyrl-CS"/>
        </w:rPr>
        <w:t>Промовисање</w:t>
      </w:r>
      <w:r w:rsidR="00EE2062" w:rsidRPr="005303F7">
        <w:rPr>
          <w:rFonts w:ascii="Times New Roman" w:hAnsi="Times New Roman"/>
          <w:b/>
          <w:bCs/>
          <w:sz w:val="24"/>
          <w:szCs w:val="24"/>
          <w:lang w:val="sr-Cyrl-CS"/>
        </w:rPr>
        <w:t xml:space="preserve"> </w:t>
      </w:r>
      <w:r w:rsidRPr="005303F7">
        <w:rPr>
          <w:rFonts w:ascii="Times New Roman" w:hAnsi="Times New Roman"/>
          <w:b/>
          <w:bCs/>
          <w:sz w:val="24"/>
          <w:szCs w:val="24"/>
          <w:lang w:val="sr-Cyrl-CS"/>
        </w:rPr>
        <w:t>преласка</w:t>
      </w:r>
      <w:r w:rsidR="00EE2062" w:rsidRPr="005303F7">
        <w:rPr>
          <w:rFonts w:ascii="Times New Roman" w:hAnsi="Times New Roman"/>
          <w:b/>
          <w:bCs/>
          <w:sz w:val="24"/>
          <w:szCs w:val="24"/>
          <w:lang w:val="sr-Cyrl-CS"/>
        </w:rPr>
        <w:t xml:space="preserve"> </w:t>
      </w:r>
      <w:r w:rsidRPr="005303F7">
        <w:rPr>
          <w:rFonts w:ascii="Times New Roman" w:hAnsi="Times New Roman"/>
          <w:b/>
          <w:bCs/>
          <w:sz w:val="24"/>
          <w:szCs w:val="24"/>
          <w:lang w:val="sr-Cyrl-CS"/>
        </w:rPr>
        <w:t>на</w:t>
      </w:r>
      <w:r w:rsidR="00EE2062" w:rsidRPr="005303F7">
        <w:rPr>
          <w:rFonts w:ascii="Times New Roman" w:hAnsi="Times New Roman"/>
          <w:b/>
          <w:bCs/>
          <w:sz w:val="24"/>
          <w:szCs w:val="24"/>
          <w:lang w:val="sr-Cyrl-CS"/>
        </w:rPr>
        <w:t xml:space="preserve"> </w:t>
      </w:r>
      <w:r w:rsidRPr="005303F7">
        <w:rPr>
          <w:rFonts w:ascii="Times New Roman" w:hAnsi="Times New Roman"/>
          <w:b/>
          <w:bCs/>
          <w:sz w:val="24"/>
          <w:szCs w:val="24"/>
          <w:lang w:val="sr-Cyrl-CS"/>
        </w:rPr>
        <w:t>климатски</w:t>
      </w:r>
      <w:r w:rsidR="00EE2062" w:rsidRPr="005303F7">
        <w:rPr>
          <w:rFonts w:ascii="Times New Roman" w:hAnsi="Times New Roman"/>
          <w:b/>
          <w:bCs/>
          <w:sz w:val="24"/>
          <w:szCs w:val="24"/>
          <w:lang w:val="sr-Cyrl-CS"/>
        </w:rPr>
        <w:t xml:space="preserve"> </w:t>
      </w:r>
      <w:r w:rsidRPr="005303F7">
        <w:rPr>
          <w:rFonts w:ascii="Times New Roman" w:hAnsi="Times New Roman"/>
          <w:b/>
          <w:bCs/>
          <w:sz w:val="24"/>
          <w:szCs w:val="24"/>
          <w:lang w:val="sr-Cyrl-CS"/>
        </w:rPr>
        <w:t>неутралну</w:t>
      </w:r>
      <w:r w:rsidR="00EE2062" w:rsidRPr="005303F7">
        <w:rPr>
          <w:rFonts w:ascii="Times New Roman" w:hAnsi="Times New Roman"/>
          <w:b/>
          <w:bCs/>
          <w:sz w:val="24"/>
          <w:szCs w:val="24"/>
          <w:lang w:val="sr-Cyrl-CS"/>
        </w:rPr>
        <w:t xml:space="preserve"> </w:t>
      </w:r>
      <w:r w:rsidRPr="005303F7">
        <w:rPr>
          <w:rFonts w:ascii="Times New Roman" w:hAnsi="Times New Roman"/>
          <w:b/>
          <w:bCs/>
          <w:sz w:val="24"/>
          <w:szCs w:val="24"/>
          <w:lang w:val="sr-Cyrl-CS"/>
        </w:rPr>
        <w:t>економију</w:t>
      </w:r>
      <w:r w:rsidR="00EE2062" w:rsidRPr="005303F7">
        <w:rPr>
          <w:rFonts w:ascii="Times New Roman" w:hAnsi="Times New Roman"/>
          <w:b/>
          <w:bCs/>
          <w:sz w:val="24"/>
          <w:szCs w:val="24"/>
          <w:lang w:val="sr-Cyrl-CS"/>
        </w:rPr>
        <w:t xml:space="preserve"> </w:t>
      </w:r>
      <w:r w:rsidRPr="005303F7">
        <w:rPr>
          <w:rFonts w:ascii="Times New Roman" w:hAnsi="Times New Roman"/>
          <w:b/>
          <w:bCs/>
          <w:sz w:val="24"/>
          <w:szCs w:val="24"/>
          <w:lang w:val="sr-Cyrl-CS"/>
        </w:rPr>
        <w:t>и</w:t>
      </w:r>
      <w:r w:rsidR="00EE2062" w:rsidRPr="005303F7">
        <w:rPr>
          <w:rFonts w:ascii="Times New Roman" w:hAnsi="Times New Roman"/>
          <w:b/>
          <w:bCs/>
          <w:sz w:val="24"/>
          <w:szCs w:val="24"/>
          <w:lang w:val="sr-Cyrl-CS"/>
        </w:rPr>
        <w:t xml:space="preserve"> </w:t>
      </w:r>
      <w:r w:rsidRPr="005303F7">
        <w:rPr>
          <w:rFonts w:ascii="Times New Roman" w:hAnsi="Times New Roman"/>
          <w:b/>
          <w:bCs/>
          <w:sz w:val="24"/>
          <w:szCs w:val="24"/>
          <w:lang w:val="sr-Cyrl-CS"/>
        </w:rPr>
        <w:t>друштво</w:t>
      </w:r>
      <w:r w:rsidR="00EE2062" w:rsidRPr="005303F7">
        <w:rPr>
          <w:rFonts w:ascii="Times New Roman" w:hAnsi="Times New Roman"/>
          <w:b/>
          <w:bCs/>
          <w:sz w:val="24"/>
          <w:szCs w:val="24"/>
          <w:lang w:val="sr-Cyrl-CS"/>
        </w:rPr>
        <w:t xml:space="preserve"> </w:t>
      </w:r>
      <w:r w:rsidRPr="005303F7">
        <w:rPr>
          <w:rFonts w:ascii="Times New Roman" w:hAnsi="Times New Roman"/>
          <w:b/>
          <w:bCs/>
          <w:sz w:val="24"/>
          <w:szCs w:val="24"/>
          <w:lang w:val="sr-Cyrl-CS"/>
        </w:rPr>
        <w:t>отпорно</w:t>
      </w:r>
      <w:r w:rsidR="00EE2062" w:rsidRPr="005303F7">
        <w:rPr>
          <w:rFonts w:ascii="Times New Roman" w:hAnsi="Times New Roman"/>
          <w:b/>
          <w:bCs/>
          <w:sz w:val="24"/>
          <w:szCs w:val="24"/>
          <w:lang w:val="sr-Cyrl-CS"/>
        </w:rPr>
        <w:t xml:space="preserve"> </w:t>
      </w:r>
      <w:r w:rsidRPr="005303F7">
        <w:rPr>
          <w:rFonts w:ascii="Times New Roman" w:hAnsi="Times New Roman"/>
          <w:b/>
          <w:bCs/>
          <w:sz w:val="24"/>
          <w:szCs w:val="24"/>
          <w:lang w:val="sr-Cyrl-CS"/>
        </w:rPr>
        <w:t>на</w:t>
      </w:r>
      <w:r w:rsidR="00EE2062" w:rsidRPr="005303F7">
        <w:rPr>
          <w:rFonts w:ascii="Times New Roman" w:hAnsi="Times New Roman"/>
          <w:b/>
          <w:bCs/>
          <w:sz w:val="24"/>
          <w:szCs w:val="24"/>
          <w:lang w:val="sr-Cyrl-CS"/>
        </w:rPr>
        <w:t xml:space="preserve"> </w:t>
      </w:r>
      <w:r w:rsidRPr="005303F7">
        <w:rPr>
          <w:rFonts w:ascii="Times New Roman" w:hAnsi="Times New Roman"/>
          <w:b/>
          <w:bCs/>
          <w:sz w:val="24"/>
          <w:szCs w:val="24"/>
          <w:lang w:val="sr-Cyrl-CS"/>
        </w:rPr>
        <w:t>климатске</w:t>
      </w:r>
      <w:r w:rsidR="00EE2062" w:rsidRPr="005303F7">
        <w:rPr>
          <w:rFonts w:ascii="Times New Roman" w:hAnsi="Times New Roman"/>
          <w:b/>
          <w:bCs/>
          <w:sz w:val="24"/>
          <w:szCs w:val="24"/>
          <w:lang w:val="sr-Cyrl-CS"/>
        </w:rPr>
        <w:t xml:space="preserve"> </w:t>
      </w:r>
      <w:r w:rsidRPr="005303F7">
        <w:rPr>
          <w:rFonts w:ascii="Times New Roman" w:hAnsi="Times New Roman"/>
          <w:b/>
          <w:bCs/>
          <w:sz w:val="24"/>
          <w:szCs w:val="24"/>
          <w:lang w:val="sr-Cyrl-CS"/>
        </w:rPr>
        <w:t>промене</w:t>
      </w:r>
    </w:p>
    <w:p w14:paraId="4F7EDCE6" w14:textId="0017D2C5" w:rsidR="002C0973" w:rsidRPr="005303F7" w:rsidRDefault="00607CBA" w:rsidP="00FE004C">
      <w:pPr>
        <w:tabs>
          <w:tab w:val="clear" w:pos="3825"/>
        </w:tabs>
        <w:spacing w:before="60" w:after="0"/>
        <w:ind w:firstLine="714"/>
        <w:rPr>
          <w:rFonts w:ascii="Times New Roman" w:hAnsi="Times New Roman"/>
          <w:sz w:val="24"/>
          <w:szCs w:val="22"/>
          <w:lang w:val="sr-Cyrl-CS"/>
        </w:rPr>
      </w:pPr>
      <w:r w:rsidRPr="005303F7">
        <w:rPr>
          <w:rFonts w:ascii="Times New Roman" w:hAnsi="Times New Roman"/>
          <w:sz w:val="24"/>
          <w:szCs w:val="22"/>
          <w:lang w:val="sr-Cyrl-CS"/>
        </w:rPr>
        <w:t>Активности</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у</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вези</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с</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промовисањем</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су</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хоризонталне</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и</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биће</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реализоване</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између</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осталог</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кроз</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образовање</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обуку</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за</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нове</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вештине</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изградњу</w:t>
      </w:r>
      <w:r w:rsidR="00DB3787" w:rsidRPr="005303F7">
        <w:rPr>
          <w:rFonts w:ascii="Times New Roman" w:hAnsi="Times New Roman"/>
          <w:sz w:val="24"/>
          <w:szCs w:val="22"/>
          <w:lang w:val="sr-Cyrl-CS"/>
        </w:rPr>
        <w:t xml:space="preserve"> </w:t>
      </w:r>
      <w:r w:rsidRPr="005303F7">
        <w:rPr>
          <w:rFonts w:ascii="Times New Roman" w:hAnsi="Times New Roman"/>
          <w:sz w:val="24"/>
          <w:szCs w:val="22"/>
          <w:lang w:val="sr-Cyrl-CS"/>
        </w:rPr>
        <w:t>капацитета</w:t>
      </w:r>
      <w:r w:rsidR="00DB3787" w:rsidRPr="005303F7">
        <w:rPr>
          <w:rFonts w:ascii="Times New Roman" w:hAnsi="Times New Roman"/>
          <w:sz w:val="24"/>
          <w:szCs w:val="22"/>
          <w:lang w:val="sr-Cyrl-CS"/>
        </w:rPr>
        <w:t xml:space="preserve"> </w:t>
      </w:r>
      <w:r w:rsidRPr="005303F7">
        <w:rPr>
          <w:rFonts w:ascii="Times New Roman" w:hAnsi="Times New Roman"/>
          <w:sz w:val="24"/>
          <w:szCs w:val="22"/>
          <w:lang w:val="sr-Cyrl-CS"/>
        </w:rPr>
        <w:t>и</w:t>
      </w:r>
      <w:r w:rsidR="00DB3787" w:rsidRPr="005303F7">
        <w:rPr>
          <w:rFonts w:ascii="Times New Roman" w:hAnsi="Times New Roman"/>
          <w:sz w:val="24"/>
          <w:szCs w:val="22"/>
          <w:lang w:val="sr-Cyrl-CS"/>
        </w:rPr>
        <w:t xml:space="preserve"> </w:t>
      </w:r>
      <w:r w:rsidRPr="005303F7">
        <w:rPr>
          <w:rFonts w:ascii="Times New Roman" w:hAnsi="Times New Roman"/>
          <w:sz w:val="24"/>
          <w:szCs w:val="22"/>
          <w:lang w:val="sr-Cyrl-CS"/>
        </w:rPr>
        <w:t>подизање</w:t>
      </w:r>
      <w:r w:rsidR="00DB3787" w:rsidRPr="005303F7">
        <w:rPr>
          <w:rFonts w:ascii="Times New Roman" w:hAnsi="Times New Roman"/>
          <w:sz w:val="24"/>
          <w:szCs w:val="22"/>
          <w:lang w:val="sr-Cyrl-CS"/>
        </w:rPr>
        <w:t xml:space="preserve"> </w:t>
      </w:r>
      <w:r w:rsidRPr="005303F7">
        <w:rPr>
          <w:rFonts w:ascii="Times New Roman" w:hAnsi="Times New Roman"/>
          <w:sz w:val="24"/>
          <w:szCs w:val="22"/>
          <w:lang w:val="sr-Cyrl-CS"/>
        </w:rPr>
        <w:t>свести</w:t>
      </w:r>
      <w:r w:rsidR="00DB3787" w:rsidRPr="005303F7">
        <w:rPr>
          <w:rFonts w:ascii="Times New Roman" w:hAnsi="Times New Roman"/>
          <w:sz w:val="24"/>
          <w:szCs w:val="22"/>
          <w:lang w:val="sr-Cyrl-CS"/>
        </w:rPr>
        <w:t xml:space="preserve">. </w:t>
      </w:r>
      <w:r w:rsidRPr="005303F7">
        <w:rPr>
          <w:rFonts w:ascii="Times New Roman" w:hAnsi="Times New Roman"/>
          <w:sz w:val="24"/>
          <w:szCs w:val="22"/>
          <w:lang w:val="sr-Cyrl-CS"/>
        </w:rPr>
        <w:t>Израђен</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је</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списак</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различитих</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мера</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чије</w:t>
      </w:r>
      <w:r w:rsidR="00DB3787" w:rsidRPr="005303F7">
        <w:rPr>
          <w:rFonts w:ascii="Times New Roman" w:hAnsi="Times New Roman"/>
          <w:sz w:val="24"/>
          <w:szCs w:val="22"/>
          <w:lang w:val="sr-Cyrl-CS"/>
        </w:rPr>
        <w:t xml:space="preserve"> </w:t>
      </w:r>
      <w:r w:rsidRPr="005303F7">
        <w:rPr>
          <w:rFonts w:ascii="Times New Roman" w:hAnsi="Times New Roman"/>
          <w:sz w:val="24"/>
          <w:szCs w:val="22"/>
          <w:lang w:val="sr-Cyrl-CS"/>
        </w:rPr>
        <w:t>ће</w:t>
      </w:r>
      <w:r w:rsidR="00DB3787" w:rsidRPr="005303F7">
        <w:rPr>
          <w:rFonts w:ascii="Times New Roman" w:hAnsi="Times New Roman"/>
          <w:sz w:val="24"/>
          <w:szCs w:val="22"/>
          <w:lang w:val="sr-Cyrl-CS"/>
        </w:rPr>
        <w:t xml:space="preserve"> </w:t>
      </w:r>
      <w:r w:rsidRPr="005303F7">
        <w:rPr>
          <w:rFonts w:ascii="Times New Roman" w:hAnsi="Times New Roman"/>
          <w:sz w:val="24"/>
          <w:szCs w:val="22"/>
          <w:lang w:val="sr-Cyrl-CS"/>
        </w:rPr>
        <w:t>спровођење</w:t>
      </w:r>
      <w:r w:rsidR="00776D2D" w:rsidRPr="005303F7">
        <w:rPr>
          <w:rFonts w:ascii="Times New Roman" w:hAnsi="Times New Roman"/>
          <w:sz w:val="24"/>
          <w:szCs w:val="22"/>
          <w:lang w:val="sr-Cyrl-CS"/>
        </w:rPr>
        <w:t xml:space="preserve"> </w:t>
      </w:r>
      <w:r w:rsidRPr="005303F7">
        <w:rPr>
          <w:rFonts w:ascii="Times New Roman" w:hAnsi="Times New Roman"/>
          <w:sz w:val="24"/>
          <w:szCs w:val="22"/>
          <w:lang w:val="sr-Cyrl-CS"/>
        </w:rPr>
        <w:t>обезбедити</w:t>
      </w:r>
      <w:r w:rsidR="00DB3787" w:rsidRPr="005303F7">
        <w:rPr>
          <w:rFonts w:ascii="Times New Roman" w:hAnsi="Times New Roman"/>
          <w:sz w:val="24"/>
          <w:szCs w:val="22"/>
          <w:lang w:val="sr-Cyrl-CS"/>
        </w:rPr>
        <w:t xml:space="preserve"> </w:t>
      </w:r>
      <w:r w:rsidRPr="005303F7">
        <w:rPr>
          <w:rFonts w:ascii="Times New Roman" w:hAnsi="Times New Roman"/>
          <w:sz w:val="24"/>
          <w:szCs w:val="22"/>
          <w:lang w:val="sr-Cyrl-CS"/>
        </w:rPr>
        <w:t>испуњење</w:t>
      </w:r>
      <w:r w:rsidR="00DB3787" w:rsidRPr="005303F7">
        <w:rPr>
          <w:rFonts w:ascii="Times New Roman" w:hAnsi="Times New Roman"/>
          <w:sz w:val="24"/>
          <w:szCs w:val="22"/>
          <w:lang w:val="sr-Cyrl-CS"/>
        </w:rPr>
        <w:t xml:space="preserve"> </w:t>
      </w:r>
      <w:r w:rsidRPr="005303F7">
        <w:rPr>
          <w:rFonts w:ascii="Times New Roman" w:hAnsi="Times New Roman"/>
          <w:sz w:val="24"/>
          <w:szCs w:val="22"/>
          <w:lang w:val="sr-Cyrl-CS"/>
        </w:rPr>
        <w:t>посебних</w:t>
      </w:r>
      <w:r w:rsidR="00DB3787" w:rsidRPr="005303F7">
        <w:rPr>
          <w:rFonts w:ascii="Times New Roman" w:hAnsi="Times New Roman"/>
          <w:sz w:val="24"/>
          <w:szCs w:val="22"/>
          <w:lang w:val="sr-Cyrl-CS"/>
        </w:rPr>
        <w:t xml:space="preserve">, </w:t>
      </w:r>
      <w:r w:rsidRPr="005303F7">
        <w:rPr>
          <w:rFonts w:ascii="Times New Roman" w:hAnsi="Times New Roman"/>
          <w:sz w:val="24"/>
          <w:szCs w:val="22"/>
          <w:lang w:val="sr-Cyrl-CS"/>
        </w:rPr>
        <w:t>а</w:t>
      </w:r>
      <w:r w:rsidR="00DB3787" w:rsidRPr="005303F7">
        <w:rPr>
          <w:rFonts w:ascii="Times New Roman" w:hAnsi="Times New Roman"/>
          <w:sz w:val="24"/>
          <w:szCs w:val="22"/>
          <w:lang w:val="sr-Cyrl-CS"/>
        </w:rPr>
        <w:t xml:space="preserve"> </w:t>
      </w:r>
      <w:r w:rsidRPr="005303F7">
        <w:rPr>
          <w:rFonts w:ascii="Times New Roman" w:hAnsi="Times New Roman"/>
          <w:sz w:val="24"/>
          <w:szCs w:val="22"/>
          <w:lang w:val="sr-Cyrl-CS"/>
        </w:rPr>
        <w:t>тиме</w:t>
      </w:r>
      <w:r w:rsidR="00DB3787" w:rsidRPr="005303F7">
        <w:rPr>
          <w:rFonts w:ascii="Times New Roman" w:hAnsi="Times New Roman"/>
          <w:sz w:val="24"/>
          <w:szCs w:val="22"/>
          <w:lang w:val="sr-Cyrl-CS"/>
        </w:rPr>
        <w:t xml:space="preserve"> </w:t>
      </w:r>
      <w:r w:rsidRPr="005303F7">
        <w:rPr>
          <w:rFonts w:ascii="Times New Roman" w:hAnsi="Times New Roman"/>
          <w:sz w:val="24"/>
          <w:szCs w:val="22"/>
          <w:lang w:val="sr-Cyrl-CS"/>
        </w:rPr>
        <w:t>и</w:t>
      </w:r>
      <w:r w:rsidR="00DB3787" w:rsidRPr="005303F7">
        <w:rPr>
          <w:rFonts w:ascii="Times New Roman" w:hAnsi="Times New Roman"/>
          <w:sz w:val="24"/>
          <w:szCs w:val="22"/>
          <w:lang w:val="sr-Cyrl-CS"/>
        </w:rPr>
        <w:t xml:space="preserve"> </w:t>
      </w:r>
      <w:r w:rsidRPr="005303F7">
        <w:rPr>
          <w:rFonts w:ascii="Times New Roman" w:hAnsi="Times New Roman"/>
          <w:sz w:val="24"/>
          <w:szCs w:val="22"/>
          <w:lang w:val="sr-Cyrl-CS"/>
        </w:rPr>
        <w:t>општих</w:t>
      </w:r>
      <w:r w:rsidR="00DB3787" w:rsidRPr="005303F7">
        <w:rPr>
          <w:rFonts w:ascii="Times New Roman" w:hAnsi="Times New Roman"/>
          <w:sz w:val="24"/>
          <w:szCs w:val="22"/>
          <w:lang w:val="sr-Cyrl-CS"/>
        </w:rPr>
        <w:t xml:space="preserve"> </w:t>
      </w:r>
      <w:r w:rsidRPr="005303F7">
        <w:rPr>
          <w:rFonts w:ascii="Times New Roman" w:hAnsi="Times New Roman"/>
          <w:sz w:val="24"/>
          <w:szCs w:val="22"/>
          <w:lang w:val="sr-Cyrl-CS"/>
        </w:rPr>
        <w:t>циљева</w:t>
      </w:r>
      <w:r w:rsidR="00DB3787" w:rsidRPr="005303F7">
        <w:rPr>
          <w:rFonts w:ascii="Times New Roman" w:hAnsi="Times New Roman"/>
          <w:sz w:val="24"/>
          <w:szCs w:val="22"/>
          <w:lang w:val="sr-Cyrl-CS"/>
        </w:rPr>
        <w:t xml:space="preserve"> </w:t>
      </w:r>
      <w:r w:rsidRPr="005303F7">
        <w:rPr>
          <w:rFonts w:ascii="Times New Roman" w:hAnsi="Times New Roman"/>
          <w:sz w:val="24"/>
          <w:szCs w:val="22"/>
          <w:lang w:val="sr-Cyrl-CS"/>
        </w:rPr>
        <w:t>Стратегије</w:t>
      </w:r>
      <w:r w:rsidR="00776D2D" w:rsidRPr="005303F7">
        <w:rPr>
          <w:rFonts w:ascii="Times New Roman" w:hAnsi="Times New Roman"/>
          <w:sz w:val="24"/>
          <w:szCs w:val="22"/>
          <w:lang w:val="sr-Cyrl-CS"/>
        </w:rPr>
        <w:t>.</w:t>
      </w:r>
      <w:r w:rsidR="002C5D12" w:rsidRPr="005303F7">
        <w:rPr>
          <w:rFonts w:ascii="Times New Roman" w:hAnsi="Times New Roman"/>
          <w:sz w:val="24"/>
          <w:lang w:val="sr-Cyrl-CS"/>
        </w:rPr>
        <w:t xml:space="preserve"> </w:t>
      </w:r>
      <w:r w:rsidRPr="005303F7">
        <w:rPr>
          <w:rFonts w:ascii="Times New Roman" w:hAnsi="Times New Roman"/>
          <w:sz w:val="24"/>
          <w:lang w:val="sr-Cyrl-CS"/>
        </w:rPr>
        <w:t>Ове</w:t>
      </w:r>
      <w:r w:rsidR="002C5D12" w:rsidRPr="005303F7">
        <w:rPr>
          <w:rFonts w:ascii="Times New Roman" w:hAnsi="Times New Roman"/>
          <w:sz w:val="24"/>
          <w:lang w:val="sr-Cyrl-CS"/>
        </w:rPr>
        <w:t xml:space="preserve"> </w:t>
      </w:r>
      <w:r w:rsidRPr="005303F7">
        <w:rPr>
          <w:rFonts w:ascii="Times New Roman" w:hAnsi="Times New Roman"/>
          <w:sz w:val="24"/>
          <w:lang w:val="sr-Cyrl-CS"/>
        </w:rPr>
        <w:t>мере</w:t>
      </w:r>
      <w:r w:rsidR="002C5D12" w:rsidRPr="005303F7">
        <w:rPr>
          <w:rFonts w:ascii="Times New Roman" w:hAnsi="Times New Roman"/>
          <w:sz w:val="24"/>
          <w:lang w:val="sr-Cyrl-CS"/>
        </w:rPr>
        <w:t xml:space="preserve">, </w:t>
      </w:r>
      <w:r w:rsidRPr="005303F7">
        <w:rPr>
          <w:rFonts w:ascii="Times New Roman" w:hAnsi="Times New Roman"/>
          <w:sz w:val="24"/>
          <w:lang w:val="sr-Cyrl-CS"/>
        </w:rPr>
        <w:t>њихови</w:t>
      </w:r>
      <w:r w:rsidR="002C5D12" w:rsidRPr="005303F7">
        <w:rPr>
          <w:rFonts w:ascii="Times New Roman" w:hAnsi="Times New Roman"/>
          <w:sz w:val="24"/>
          <w:lang w:val="sr-Cyrl-CS"/>
        </w:rPr>
        <w:t xml:space="preserve"> </w:t>
      </w:r>
      <w:r w:rsidRPr="005303F7">
        <w:rPr>
          <w:rFonts w:ascii="Times New Roman" w:hAnsi="Times New Roman"/>
          <w:sz w:val="24"/>
          <w:lang w:val="sr-Cyrl-CS"/>
        </w:rPr>
        <w:t>ефекти</w:t>
      </w:r>
      <w:r w:rsidR="002C5D12" w:rsidRPr="005303F7">
        <w:rPr>
          <w:rFonts w:ascii="Times New Roman" w:hAnsi="Times New Roman"/>
          <w:sz w:val="24"/>
          <w:lang w:val="sr-Cyrl-CS"/>
        </w:rPr>
        <w:t xml:space="preserve">, </w:t>
      </w:r>
      <w:r w:rsidRPr="005303F7">
        <w:rPr>
          <w:rFonts w:ascii="Times New Roman" w:hAnsi="Times New Roman"/>
          <w:sz w:val="24"/>
          <w:lang w:val="sr-Cyrl-CS"/>
        </w:rPr>
        <w:t>утицаји</w:t>
      </w:r>
      <w:r w:rsidR="002C5D12" w:rsidRPr="005303F7">
        <w:rPr>
          <w:rFonts w:ascii="Times New Roman" w:hAnsi="Times New Roman"/>
          <w:sz w:val="24"/>
          <w:lang w:val="sr-Cyrl-CS"/>
        </w:rPr>
        <w:t xml:space="preserve">, </w:t>
      </w:r>
      <w:r w:rsidRPr="005303F7">
        <w:rPr>
          <w:rFonts w:ascii="Times New Roman" w:hAnsi="Times New Roman"/>
          <w:sz w:val="24"/>
          <w:lang w:val="sr-Cyrl-CS"/>
        </w:rPr>
        <w:t>одговорне</w:t>
      </w:r>
      <w:r w:rsidR="002C5D12" w:rsidRPr="005303F7">
        <w:rPr>
          <w:rFonts w:ascii="Times New Roman" w:hAnsi="Times New Roman"/>
          <w:sz w:val="24"/>
          <w:lang w:val="sr-Cyrl-CS"/>
        </w:rPr>
        <w:t xml:space="preserve"> </w:t>
      </w:r>
      <w:r w:rsidRPr="005303F7">
        <w:rPr>
          <w:rFonts w:ascii="Times New Roman" w:hAnsi="Times New Roman"/>
          <w:sz w:val="24"/>
          <w:lang w:val="sr-Cyrl-CS"/>
        </w:rPr>
        <w:t>институције</w:t>
      </w:r>
      <w:r w:rsidR="002C5D12" w:rsidRPr="005303F7">
        <w:rPr>
          <w:rFonts w:ascii="Times New Roman" w:hAnsi="Times New Roman"/>
          <w:sz w:val="24"/>
          <w:lang w:val="sr-Cyrl-CS"/>
        </w:rPr>
        <w:t xml:space="preserve">, </w:t>
      </w:r>
      <w:r w:rsidRPr="005303F7">
        <w:rPr>
          <w:rFonts w:ascii="Times New Roman" w:hAnsi="Times New Roman"/>
          <w:sz w:val="24"/>
          <w:lang w:val="sr-Cyrl-CS"/>
        </w:rPr>
        <w:t>рокови</w:t>
      </w:r>
      <w:r w:rsidR="002C5D12" w:rsidRPr="005303F7">
        <w:rPr>
          <w:rFonts w:ascii="Times New Roman" w:hAnsi="Times New Roman"/>
          <w:sz w:val="24"/>
          <w:lang w:val="sr-Cyrl-CS"/>
        </w:rPr>
        <w:t xml:space="preserve"> </w:t>
      </w:r>
      <w:r w:rsidRPr="005303F7">
        <w:rPr>
          <w:rFonts w:ascii="Times New Roman" w:hAnsi="Times New Roman"/>
          <w:sz w:val="24"/>
          <w:lang w:val="sr-Cyrl-CS"/>
        </w:rPr>
        <w:t>и</w:t>
      </w:r>
      <w:r w:rsidR="002C5D12" w:rsidRPr="005303F7">
        <w:rPr>
          <w:rFonts w:ascii="Times New Roman" w:hAnsi="Times New Roman"/>
          <w:sz w:val="24"/>
          <w:lang w:val="sr-Cyrl-CS"/>
        </w:rPr>
        <w:t xml:space="preserve"> </w:t>
      </w:r>
      <w:r w:rsidRPr="005303F7">
        <w:rPr>
          <w:rFonts w:ascii="Times New Roman" w:hAnsi="Times New Roman"/>
          <w:sz w:val="24"/>
          <w:lang w:val="sr-Cyrl-CS"/>
        </w:rPr>
        <w:t>друге</w:t>
      </w:r>
      <w:r w:rsidR="002C5D12" w:rsidRPr="005303F7">
        <w:rPr>
          <w:rFonts w:ascii="Times New Roman" w:hAnsi="Times New Roman"/>
          <w:sz w:val="24"/>
          <w:lang w:val="sr-Cyrl-CS"/>
        </w:rPr>
        <w:t xml:space="preserve"> </w:t>
      </w:r>
      <w:r w:rsidRPr="005303F7">
        <w:rPr>
          <w:rFonts w:ascii="Times New Roman" w:hAnsi="Times New Roman"/>
          <w:sz w:val="24"/>
          <w:lang w:val="sr-Cyrl-CS"/>
        </w:rPr>
        <w:t>информације</w:t>
      </w:r>
      <w:r w:rsidR="003851BD" w:rsidRPr="005303F7">
        <w:rPr>
          <w:rFonts w:ascii="Times New Roman" w:hAnsi="Times New Roman"/>
          <w:sz w:val="24"/>
          <w:lang w:val="sr-Cyrl-CS"/>
        </w:rPr>
        <w:t>,</w:t>
      </w:r>
      <w:r w:rsidR="002C5D12" w:rsidRPr="005303F7">
        <w:rPr>
          <w:rFonts w:ascii="Times New Roman" w:hAnsi="Times New Roman"/>
          <w:sz w:val="24"/>
          <w:lang w:val="sr-Cyrl-CS"/>
        </w:rPr>
        <w:t xml:space="preserve"> </w:t>
      </w:r>
      <w:r w:rsidRPr="005303F7">
        <w:rPr>
          <w:rFonts w:ascii="Times New Roman" w:hAnsi="Times New Roman"/>
          <w:sz w:val="24"/>
          <w:lang w:val="sr-Cyrl-CS"/>
        </w:rPr>
        <w:t>које</w:t>
      </w:r>
      <w:r w:rsidR="002C5D12" w:rsidRPr="005303F7">
        <w:rPr>
          <w:rFonts w:ascii="Times New Roman" w:hAnsi="Times New Roman"/>
          <w:sz w:val="24"/>
          <w:lang w:val="sr-Cyrl-CS"/>
        </w:rPr>
        <w:t xml:space="preserve"> </w:t>
      </w:r>
      <w:r w:rsidRPr="005303F7">
        <w:rPr>
          <w:rFonts w:ascii="Times New Roman" w:hAnsi="Times New Roman"/>
          <w:sz w:val="24"/>
          <w:lang w:val="sr-Cyrl-CS"/>
        </w:rPr>
        <w:t>обезбеђују</w:t>
      </w:r>
      <w:r w:rsidR="002C5D12" w:rsidRPr="005303F7">
        <w:rPr>
          <w:rFonts w:ascii="Times New Roman" w:hAnsi="Times New Roman"/>
          <w:sz w:val="24"/>
          <w:lang w:val="sr-Cyrl-CS"/>
        </w:rPr>
        <w:t xml:space="preserve"> </w:t>
      </w:r>
      <w:r w:rsidRPr="005303F7">
        <w:rPr>
          <w:rFonts w:ascii="Times New Roman" w:hAnsi="Times New Roman"/>
          <w:sz w:val="24"/>
          <w:lang w:val="sr-Cyrl-CS"/>
        </w:rPr>
        <w:t>праћење</w:t>
      </w:r>
      <w:r w:rsidR="002C5D12" w:rsidRPr="005303F7">
        <w:rPr>
          <w:rFonts w:ascii="Times New Roman" w:hAnsi="Times New Roman"/>
          <w:sz w:val="24"/>
          <w:lang w:val="sr-Cyrl-CS"/>
        </w:rPr>
        <w:t xml:space="preserve"> </w:t>
      </w:r>
      <w:r w:rsidRPr="005303F7">
        <w:rPr>
          <w:rFonts w:ascii="Times New Roman" w:hAnsi="Times New Roman"/>
          <w:sz w:val="24"/>
          <w:lang w:val="sr-Cyrl-CS"/>
        </w:rPr>
        <w:t>и</w:t>
      </w:r>
      <w:r w:rsidR="002C5D12" w:rsidRPr="005303F7">
        <w:rPr>
          <w:rFonts w:ascii="Times New Roman" w:hAnsi="Times New Roman"/>
          <w:sz w:val="24"/>
          <w:lang w:val="sr-Cyrl-CS"/>
        </w:rPr>
        <w:t xml:space="preserve"> </w:t>
      </w:r>
      <w:r w:rsidRPr="005303F7">
        <w:rPr>
          <w:rFonts w:ascii="Times New Roman" w:hAnsi="Times New Roman"/>
          <w:sz w:val="24"/>
          <w:lang w:val="sr-Cyrl-CS"/>
        </w:rPr>
        <w:t>извештавање</w:t>
      </w:r>
      <w:r w:rsidR="002C5D12" w:rsidRPr="005303F7">
        <w:rPr>
          <w:rFonts w:ascii="Times New Roman" w:hAnsi="Times New Roman"/>
          <w:sz w:val="24"/>
          <w:lang w:val="sr-Cyrl-CS"/>
        </w:rPr>
        <w:t xml:space="preserve"> </w:t>
      </w:r>
      <w:r w:rsidRPr="005303F7">
        <w:rPr>
          <w:rFonts w:ascii="Times New Roman" w:hAnsi="Times New Roman"/>
          <w:sz w:val="24"/>
          <w:lang w:val="sr-Cyrl-CS"/>
        </w:rPr>
        <w:t>о</w:t>
      </w:r>
      <w:r w:rsidR="002C5D12" w:rsidRPr="005303F7">
        <w:rPr>
          <w:rFonts w:ascii="Times New Roman" w:hAnsi="Times New Roman"/>
          <w:sz w:val="24"/>
          <w:lang w:val="sr-Cyrl-CS"/>
        </w:rPr>
        <w:t xml:space="preserve"> </w:t>
      </w:r>
      <w:r w:rsidRPr="005303F7">
        <w:rPr>
          <w:rFonts w:ascii="Times New Roman" w:hAnsi="Times New Roman"/>
          <w:sz w:val="24"/>
          <w:lang w:val="sr-Cyrl-CS"/>
        </w:rPr>
        <w:t>мерама</w:t>
      </w:r>
      <w:r w:rsidR="003851BD" w:rsidRPr="005303F7">
        <w:rPr>
          <w:rFonts w:ascii="Times New Roman" w:hAnsi="Times New Roman"/>
          <w:sz w:val="24"/>
          <w:lang w:val="sr-Cyrl-CS"/>
        </w:rPr>
        <w:t>,</w:t>
      </w:r>
      <w:r w:rsidR="002C5D12" w:rsidRPr="005303F7">
        <w:rPr>
          <w:rFonts w:ascii="Times New Roman" w:hAnsi="Times New Roman"/>
          <w:sz w:val="24"/>
          <w:lang w:val="sr-Cyrl-CS"/>
        </w:rPr>
        <w:t xml:space="preserve"> </w:t>
      </w:r>
      <w:r w:rsidRPr="005303F7">
        <w:rPr>
          <w:rFonts w:ascii="Times New Roman" w:hAnsi="Times New Roman"/>
          <w:sz w:val="24"/>
          <w:lang w:val="sr-Cyrl-CS"/>
        </w:rPr>
        <w:t>детаљно</w:t>
      </w:r>
      <w:r w:rsidR="002C5D12" w:rsidRPr="005303F7">
        <w:rPr>
          <w:rFonts w:ascii="Times New Roman" w:hAnsi="Times New Roman"/>
          <w:sz w:val="24"/>
          <w:lang w:val="sr-Cyrl-CS"/>
        </w:rPr>
        <w:t xml:space="preserve"> </w:t>
      </w:r>
      <w:r w:rsidRPr="005303F7">
        <w:rPr>
          <w:rFonts w:ascii="Times New Roman" w:hAnsi="Times New Roman"/>
          <w:sz w:val="24"/>
          <w:lang w:val="sr-Cyrl-CS"/>
        </w:rPr>
        <w:t>су</w:t>
      </w:r>
      <w:r w:rsidR="002C5D12" w:rsidRPr="005303F7">
        <w:rPr>
          <w:rFonts w:ascii="Times New Roman" w:hAnsi="Times New Roman"/>
          <w:sz w:val="24"/>
          <w:lang w:val="sr-Cyrl-CS"/>
        </w:rPr>
        <w:t xml:space="preserve"> </w:t>
      </w:r>
      <w:r w:rsidRPr="005303F7">
        <w:rPr>
          <w:rFonts w:ascii="Times New Roman" w:hAnsi="Times New Roman"/>
          <w:sz w:val="24"/>
          <w:lang w:val="sr-Cyrl-CS"/>
        </w:rPr>
        <w:t>описане</w:t>
      </w:r>
      <w:r w:rsidR="002C5D12" w:rsidRPr="005303F7">
        <w:rPr>
          <w:rFonts w:ascii="Times New Roman" w:hAnsi="Times New Roman"/>
          <w:sz w:val="24"/>
          <w:lang w:val="sr-Cyrl-CS"/>
        </w:rPr>
        <w:t xml:space="preserve"> </w:t>
      </w:r>
      <w:r w:rsidRPr="005303F7">
        <w:rPr>
          <w:rFonts w:ascii="Times New Roman" w:hAnsi="Times New Roman"/>
          <w:sz w:val="24"/>
          <w:lang w:val="sr-Cyrl-CS"/>
        </w:rPr>
        <w:t>у</w:t>
      </w:r>
      <w:r w:rsidR="002C5D12" w:rsidRPr="005303F7">
        <w:rPr>
          <w:rFonts w:ascii="Times New Roman" w:hAnsi="Times New Roman"/>
          <w:sz w:val="24"/>
          <w:lang w:val="sr-Cyrl-CS"/>
        </w:rPr>
        <w:t xml:space="preserve"> </w:t>
      </w:r>
      <w:bookmarkStart w:id="171" w:name="_Hlk123298569"/>
      <w:r w:rsidR="006B2914" w:rsidRPr="005303F7">
        <w:rPr>
          <w:rFonts w:ascii="Times New Roman" w:hAnsi="Times New Roman"/>
          <w:sz w:val="24"/>
          <w:lang w:val="sr-Cyrl-CS"/>
        </w:rPr>
        <w:t>делу „Опис мера укључених у Стратегију</w:t>
      </w:r>
      <w:bookmarkEnd w:id="171"/>
      <w:r w:rsidR="0035174D" w:rsidRPr="005303F7">
        <w:rPr>
          <w:rFonts w:ascii="Times New Roman" w:hAnsi="Times New Roman"/>
          <w:sz w:val="24"/>
          <w:lang w:val="sr-Cyrl-CS"/>
        </w:rPr>
        <w:t>”</w:t>
      </w:r>
      <w:r w:rsidR="002C5D12" w:rsidRPr="005303F7">
        <w:rPr>
          <w:rFonts w:ascii="Times New Roman" w:hAnsi="Times New Roman"/>
          <w:sz w:val="24"/>
          <w:lang w:val="sr-Cyrl-CS"/>
        </w:rPr>
        <w:t xml:space="preserve">, </w:t>
      </w:r>
      <w:r w:rsidRPr="005303F7">
        <w:rPr>
          <w:rFonts w:ascii="Times New Roman" w:hAnsi="Times New Roman"/>
          <w:sz w:val="24"/>
          <w:lang w:val="sr-Cyrl-CS"/>
        </w:rPr>
        <w:t>док</w:t>
      </w:r>
      <w:r w:rsidR="002C5D12" w:rsidRPr="005303F7">
        <w:rPr>
          <w:rFonts w:ascii="Times New Roman" w:hAnsi="Times New Roman"/>
          <w:sz w:val="24"/>
          <w:lang w:val="sr-Cyrl-CS"/>
        </w:rPr>
        <w:t xml:space="preserve"> </w:t>
      </w:r>
      <w:r w:rsidRPr="005303F7">
        <w:rPr>
          <w:rFonts w:ascii="Times New Roman" w:hAnsi="Times New Roman"/>
          <w:sz w:val="24"/>
          <w:lang w:val="sr-Cyrl-CS"/>
        </w:rPr>
        <w:t>су</w:t>
      </w:r>
      <w:r w:rsidR="002C5D12" w:rsidRPr="005303F7">
        <w:rPr>
          <w:rFonts w:ascii="Times New Roman" w:hAnsi="Times New Roman"/>
          <w:sz w:val="24"/>
          <w:lang w:val="sr-Cyrl-CS"/>
        </w:rPr>
        <w:t xml:space="preserve"> </w:t>
      </w:r>
      <w:r w:rsidRPr="005303F7">
        <w:rPr>
          <w:rFonts w:ascii="Times New Roman" w:hAnsi="Times New Roman"/>
          <w:sz w:val="24"/>
          <w:lang w:val="sr-Cyrl-CS"/>
        </w:rPr>
        <w:t>основне</w:t>
      </w:r>
      <w:r w:rsidR="002C5D12" w:rsidRPr="005303F7">
        <w:rPr>
          <w:rFonts w:ascii="Times New Roman" w:hAnsi="Times New Roman"/>
          <w:sz w:val="24"/>
          <w:lang w:val="sr-Cyrl-CS"/>
        </w:rPr>
        <w:t xml:space="preserve"> </w:t>
      </w:r>
      <w:r w:rsidRPr="005303F7">
        <w:rPr>
          <w:rFonts w:ascii="Times New Roman" w:hAnsi="Times New Roman"/>
          <w:sz w:val="24"/>
          <w:lang w:val="sr-Cyrl-CS"/>
        </w:rPr>
        <w:t>информације</w:t>
      </w:r>
      <w:r w:rsidR="002C5D12" w:rsidRPr="005303F7">
        <w:rPr>
          <w:rFonts w:ascii="Times New Roman" w:hAnsi="Times New Roman"/>
          <w:sz w:val="24"/>
          <w:lang w:val="sr-Cyrl-CS"/>
        </w:rPr>
        <w:t xml:space="preserve"> </w:t>
      </w:r>
      <w:r w:rsidRPr="005303F7">
        <w:rPr>
          <w:rFonts w:ascii="Times New Roman" w:hAnsi="Times New Roman"/>
          <w:sz w:val="24"/>
          <w:lang w:val="sr-Cyrl-CS"/>
        </w:rPr>
        <w:t>дате</w:t>
      </w:r>
      <w:r w:rsidR="002C5D12" w:rsidRPr="005303F7">
        <w:rPr>
          <w:rFonts w:ascii="Times New Roman" w:hAnsi="Times New Roman"/>
          <w:sz w:val="24"/>
          <w:lang w:val="sr-Cyrl-CS"/>
        </w:rPr>
        <w:t xml:space="preserve"> </w:t>
      </w:r>
      <w:r w:rsidRPr="005303F7">
        <w:rPr>
          <w:rFonts w:ascii="Times New Roman" w:hAnsi="Times New Roman"/>
          <w:sz w:val="24"/>
          <w:lang w:val="sr-Cyrl-CS"/>
        </w:rPr>
        <w:t>у</w:t>
      </w:r>
      <w:r w:rsidR="002C5D12" w:rsidRPr="005303F7">
        <w:rPr>
          <w:rFonts w:ascii="Times New Roman" w:hAnsi="Times New Roman"/>
          <w:sz w:val="24"/>
          <w:lang w:val="sr-Cyrl-CS"/>
        </w:rPr>
        <w:t xml:space="preserve"> </w:t>
      </w:r>
      <w:r w:rsidR="000E1644" w:rsidRPr="005303F7">
        <w:rPr>
          <w:rFonts w:ascii="Times New Roman" w:hAnsi="Times New Roman"/>
          <w:sz w:val="24"/>
          <w:lang w:val="sr-Cyrl-CS"/>
        </w:rPr>
        <w:t>наредним</w:t>
      </w:r>
      <w:r w:rsidR="002C5D12" w:rsidRPr="005303F7">
        <w:rPr>
          <w:rFonts w:ascii="Times New Roman" w:hAnsi="Times New Roman"/>
          <w:sz w:val="24"/>
          <w:lang w:val="sr-Cyrl-CS"/>
        </w:rPr>
        <w:t xml:space="preserve"> </w:t>
      </w:r>
      <w:r w:rsidR="005A4E6D" w:rsidRPr="005303F7">
        <w:rPr>
          <w:rFonts w:ascii="Times New Roman" w:hAnsi="Times New Roman"/>
          <w:sz w:val="24"/>
          <w:lang w:val="sr-Cyrl-CS"/>
        </w:rPr>
        <w:t xml:space="preserve">главама </w:t>
      </w:r>
      <w:r w:rsidRPr="005303F7">
        <w:rPr>
          <w:rFonts w:ascii="Times New Roman" w:hAnsi="Times New Roman"/>
          <w:sz w:val="24"/>
          <w:lang w:val="sr-Cyrl-CS"/>
        </w:rPr>
        <w:t>Стратегије</w:t>
      </w:r>
      <w:r w:rsidR="002C5D12" w:rsidRPr="005303F7">
        <w:rPr>
          <w:rFonts w:ascii="Times New Roman" w:hAnsi="Times New Roman"/>
          <w:sz w:val="24"/>
          <w:lang w:val="sr-Cyrl-CS"/>
        </w:rPr>
        <w:t>.</w:t>
      </w:r>
      <w:bookmarkEnd w:id="155"/>
      <w:bookmarkEnd w:id="156"/>
    </w:p>
    <w:p w14:paraId="7C62AFC6" w14:textId="62A99843" w:rsidR="00D04E49" w:rsidRPr="005303F7" w:rsidRDefault="00607CBA" w:rsidP="00BA4EAE">
      <w:pPr>
        <w:pStyle w:val="Einzug1"/>
        <w:spacing w:before="480"/>
        <w:ind w:left="714" w:hanging="357"/>
        <w:rPr>
          <w:rFonts w:ascii="Times New Roman" w:hAnsi="Times New Roman" w:cs="Times New Roman"/>
          <w:caps/>
          <w:lang w:val="sr-Cyrl-CS"/>
        </w:rPr>
      </w:pPr>
      <w:bookmarkStart w:id="172" w:name="_Toc11672714"/>
      <w:bookmarkStart w:id="173" w:name="_Toc26686105"/>
      <w:bookmarkEnd w:id="157"/>
      <w:bookmarkEnd w:id="172"/>
      <w:r w:rsidRPr="005303F7">
        <w:rPr>
          <w:rFonts w:ascii="Times New Roman" w:hAnsi="Times New Roman" w:cs="Times New Roman"/>
          <w:caps/>
          <w:lang w:val="sr-Cyrl-CS"/>
        </w:rPr>
        <w:t>Мере</w:t>
      </w:r>
      <w:r w:rsidR="0037373F" w:rsidRPr="005303F7">
        <w:rPr>
          <w:rFonts w:ascii="Times New Roman" w:hAnsi="Times New Roman" w:cs="Times New Roman"/>
          <w:caps/>
          <w:lang w:val="sr-Cyrl-CS"/>
        </w:rPr>
        <w:t xml:space="preserve"> </w:t>
      </w:r>
      <w:r w:rsidRPr="005303F7">
        <w:rPr>
          <w:rFonts w:ascii="Times New Roman" w:hAnsi="Times New Roman" w:cs="Times New Roman"/>
          <w:caps/>
          <w:lang w:val="sr-Cyrl-CS"/>
        </w:rPr>
        <w:t>и</w:t>
      </w:r>
      <w:r w:rsidR="0037373F" w:rsidRPr="005303F7">
        <w:rPr>
          <w:rFonts w:ascii="Times New Roman" w:hAnsi="Times New Roman" w:cs="Times New Roman"/>
          <w:caps/>
          <w:lang w:val="sr-Cyrl-CS"/>
        </w:rPr>
        <w:t xml:space="preserve"> </w:t>
      </w:r>
      <w:r w:rsidRPr="005303F7">
        <w:rPr>
          <w:rFonts w:ascii="Times New Roman" w:hAnsi="Times New Roman" w:cs="Times New Roman"/>
          <w:caps/>
          <w:lang w:val="sr-Cyrl-CS"/>
        </w:rPr>
        <w:t>њихови</w:t>
      </w:r>
      <w:r w:rsidR="0037373F" w:rsidRPr="005303F7">
        <w:rPr>
          <w:rFonts w:ascii="Times New Roman" w:hAnsi="Times New Roman" w:cs="Times New Roman"/>
          <w:caps/>
          <w:lang w:val="sr-Cyrl-CS"/>
        </w:rPr>
        <w:t xml:space="preserve"> </w:t>
      </w:r>
      <w:r w:rsidRPr="005303F7">
        <w:rPr>
          <w:rFonts w:ascii="Times New Roman" w:hAnsi="Times New Roman" w:cs="Times New Roman"/>
          <w:caps/>
          <w:lang w:val="sr-Cyrl-CS"/>
        </w:rPr>
        <w:t>утицај</w:t>
      </w:r>
      <w:bookmarkEnd w:id="173"/>
      <w:r w:rsidRPr="005303F7">
        <w:rPr>
          <w:rFonts w:ascii="Times New Roman" w:hAnsi="Times New Roman" w:cs="Times New Roman"/>
          <w:caps/>
          <w:lang w:val="sr-Cyrl-CS"/>
        </w:rPr>
        <w:t>и</w:t>
      </w:r>
    </w:p>
    <w:p w14:paraId="785D7CD7" w14:textId="4A519518" w:rsidR="00CA0DBD" w:rsidRPr="005303F7" w:rsidRDefault="00607CBA" w:rsidP="00D93231">
      <w:pPr>
        <w:pStyle w:val="Heading2"/>
        <w:numPr>
          <w:ilvl w:val="1"/>
          <w:numId w:val="40"/>
        </w:numPr>
        <w:tabs>
          <w:tab w:val="clear" w:pos="3825"/>
          <w:tab w:val="left" w:pos="1134"/>
        </w:tabs>
        <w:spacing w:before="240" w:after="0"/>
        <w:rPr>
          <w:rFonts w:ascii="Times New Roman" w:hAnsi="Times New Roman" w:cs="Times New Roman"/>
          <w:lang w:val="sr-Cyrl-CS"/>
        </w:rPr>
      </w:pPr>
      <w:bookmarkStart w:id="174" w:name="_Toc26686106"/>
      <w:r w:rsidRPr="005303F7">
        <w:rPr>
          <w:rFonts w:ascii="Times New Roman" w:hAnsi="Times New Roman" w:cs="Times New Roman"/>
          <w:lang w:val="sr-Cyrl-CS"/>
        </w:rPr>
        <w:t>Мер</w:t>
      </w:r>
      <w:bookmarkEnd w:id="174"/>
      <w:r w:rsidRPr="005303F7">
        <w:rPr>
          <w:rFonts w:ascii="Times New Roman" w:hAnsi="Times New Roman" w:cs="Times New Roman"/>
          <w:lang w:val="sr-Cyrl-CS"/>
        </w:rPr>
        <w:t>е</w:t>
      </w:r>
    </w:p>
    <w:p w14:paraId="7328DA6E" w14:textId="33073DAA" w:rsidR="003A4588" w:rsidRPr="005303F7" w:rsidRDefault="00555C65" w:rsidP="003174D9">
      <w:pPr>
        <w:rPr>
          <w:rFonts w:ascii="Times New Roman" w:hAnsi="Times New Roman"/>
          <w:sz w:val="24"/>
          <w:lang w:val="sr-Cyrl-CS"/>
        </w:rPr>
      </w:pPr>
      <w:r w:rsidRPr="005303F7">
        <w:rPr>
          <w:rFonts w:ascii="Times New Roman" w:hAnsi="Times New Roman"/>
          <w:sz w:val="24"/>
          <w:lang w:val="sr-Cyrl-CS"/>
        </w:rPr>
        <w:t xml:space="preserve">              </w:t>
      </w:r>
      <w:r w:rsidR="00607CBA" w:rsidRPr="005303F7">
        <w:rPr>
          <w:rFonts w:ascii="Times New Roman" w:hAnsi="Times New Roman"/>
          <w:sz w:val="24"/>
          <w:lang w:val="sr-Cyrl-CS"/>
        </w:rPr>
        <w:t>Предложене</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су</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конкретне</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мере</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које</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обезбеђују</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остваривање</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визије</w:t>
      </w:r>
      <w:r w:rsidR="00B622B7" w:rsidRPr="005303F7">
        <w:rPr>
          <w:rFonts w:ascii="Times New Roman" w:hAnsi="Times New Roman"/>
          <w:sz w:val="24"/>
          <w:lang w:val="sr-Cyrl-CS"/>
        </w:rPr>
        <w:t xml:space="preserve"> </w:t>
      </w:r>
      <w:r w:rsidR="005A4E6D" w:rsidRPr="005303F7">
        <w:rPr>
          <w:rFonts w:ascii="Times New Roman" w:hAnsi="Times New Roman"/>
          <w:sz w:val="24"/>
          <w:lang w:val="sr-Cyrl-CS"/>
        </w:rPr>
        <w:t>С</w:t>
      </w:r>
      <w:r w:rsidR="00607CBA" w:rsidRPr="005303F7">
        <w:rPr>
          <w:rFonts w:ascii="Times New Roman" w:hAnsi="Times New Roman"/>
          <w:sz w:val="24"/>
          <w:lang w:val="sr-Cyrl-CS"/>
        </w:rPr>
        <w:t>тратегије</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кроз</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реализацију</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посебних</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и</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општих</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циљева</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који</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су</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дати</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Табели</w:t>
      </w:r>
      <w:r w:rsidR="00DF4371" w:rsidRPr="005303F7">
        <w:rPr>
          <w:rFonts w:ascii="Times New Roman" w:hAnsi="Times New Roman"/>
          <w:sz w:val="24"/>
          <w:lang w:val="sr-Cyrl-CS"/>
        </w:rPr>
        <w:t xml:space="preserve"> 4</w:t>
      </w:r>
      <w:r w:rsidR="00FA391B" w:rsidRPr="005303F7">
        <w:rPr>
          <w:rFonts w:ascii="Times New Roman" w:hAnsi="Times New Roman"/>
          <w:sz w:val="24"/>
          <w:lang w:val="sr-Cyrl-CS"/>
        </w:rPr>
        <w:t xml:space="preserve">. </w:t>
      </w:r>
      <w:r w:rsidR="00607CBA" w:rsidRPr="005303F7">
        <w:rPr>
          <w:rFonts w:ascii="Times New Roman" w:hAnsi="Times New Roman"/>
          <w:sz w:val="24"/>
          <w:lang w:val="sr-Cyrl-CS"/>
        </w:rPr>
        <w:t>У</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овој</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табели</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су</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идентификоване</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и</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заинтересоване</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стране</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на</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које</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се</w:t>
      </w:r>
      <w:r w:rsidR="002C402A" w:rsidRPr="005303F7">
        <w:rPr>
          <w:rFonts w:ascii="Times New Roman" w:hAnsi="Times New Roman"/>
          <w:sz w:val="24"/>
          <w:lang w:val="sr-Cyrl-CS"/>
        </w:rPr>
        <w:t xml:space="preserve"> </w:t>
      </w:r>
      <w:r w:rsidR="00607CBA" w:rsidRPr="005303F7">
        <w:rPr>
          <w:rFonts w:ascii="Times New Roman" w:hAnsi="Times New Roman"/>
          <w:sz w:val="24"/>
          <w:lang w:val="sr-Cyrl-CS"/>
        </w:rPr>
        <w:t>ове</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мере</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односе</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и</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на</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које</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ће</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имати</w:t>
      </w:r>
      <w:r w:rsidR="00B622B7" w:rsidRPr="005303F7">
        <w:rPr>
          <w:rFonts w:ascii="Times New Roman" w:hAnsi="Times New Roman"/>
          <w:sz w:val="24"/>
          <w:lang w:val="sr-Cyrl-CS"/>
        </w:rPr>
        <w:t xml:space="preserve"> </w:t>
      </w:r>
      <w:r w:rsidR="00607CBA" w:rsidRPr="005303F7">
        <w:rPr>
          <w:rFonts w:ascii="Times New Roman" w:hAnsi="Times New Roman"/>
          <w:sz w:val="24"/>
          <w:lang w:val="sr-Cyrl-CS"/>
        </w:rPr>
        <w:t>утицај</w:t>
      </w:r>
      <w:r w:rsidR="008B7222" w:rsidRPr="005303F7">
        <w:rPr>
          <w:rStyle w:val="FootnoteReference"/>
          <w:rFonts w:ascii="Times New Roman" w:hAnsi="Times New Roman"/>
          <w:sz w:val="18"/>
          <w:lang w:val="sr-Cyrl-CS"/>
        </w:rPr>
        <w:footnoteReference w:id="37"/>
      </w:r>
      <w:r w:rsidR="008B7222" w:rsidRPr="005303F7">
        <w:rPr>
          <w:rFonts w:ascii="Times New Roman" w:hAnsi="Times New Roman"/>
          <w:sz w:val="24"/>
          <w:lang w:val="sr-Cyrl-CS"/>
        </w:rPr>
        <w:t xml:space="preserve">. </w:t>
      </w:r>
    </w:p>
    <w:p w14:paraId="7E0584D8" w14:textId="0D5D3FEE" w:rsidR="002C0973" w:rsidRPr="005303F7" w:rsidRDefault="00607CBA" w:rsidP="00614618">
      <w:pPr>
        <w:spacing w:after="60"/>
        <w:rPr>
          <w:rFonts w:ascii="Times New Roman" w:hAnsi="Times New Roman"/>
          <w:b/>
          <w:bCs/>
          <w:i/>
          <w:iCs/>
          <w:sz w:val="20"/>
          <w:szCs w:val="18"/>
          <w:lang w:val="sr-Cyrl-CS"/>
        </w:rPr>
      </w:pPr>
      <w:bookmarkStart w:id="175" w:name="_Ref13162495"/>
      <w:bookmarkStart w:id="176" w:name="_Toc26450876"/>
      <w:r w:rsidRPr="005303F7">
        <w:rPr>
          <w:rFonts w:ascii="Times New Roman" w:hAnsi="Times New Roman"/>
          <w:b/>
          <w:bCs/>
          <w:i/>
          <w:iCs/>
          <w:sz w:val="20"/>
          <w:szCs w:val="18"/>
          <w:lang w:val="sr-Cyrl-CS"/>
        </w:rPr>
        <w:t>Табела</w:t>
      </w:r>
      <w:r w:rsidR="00354B5D" w:rsidRPr="005303F7">
        <w:rPr>
          <w:rFonts w:ascii="Times New Roman" w:hAnsi="Times New Roman"/>
          <w:b/>
          <w:bCs/>
          <w:i/>
          <w:iCs/>
          <w:sz w:val="20"/>
          <w:szCs w:val="18"/>
          <w:lang w:val="sr-Cyrl-CS"/>
        </w:rPr>
        <w:t xml:space="preserve"> </w:t>
      </w:r>
      <w:r w:rsidR="00354B5D" w:rsidRPr="005303F7">
        <w:rPr>
          <w:rFonts w:ascii="Times New Roman" w:hAnsi="Times New Roman"/>
          <w:b/>
          <w:bCs/>
          <w:i/>
          <w:iCs/>
          <w:sz w:val="20"/>
          <w:szCs w:val="18"/>
          <w:lang w:val="sr-Cyrl-CS"/>
        </w:rPr>
        <w:fldChar w:fldCharType="begin"/>
      </w:r>
      <w:r w:rsidR="00354B5D" w:rsidRPr="005303F7">
        <w:rPr>
          <w:rFonts w:ascii="Times New Roman" w:hAnsi="Times New Roman"/>
          <w:b/>
          <w:bCs/>
          <w:i/>
          <w:iCs/>
          <w:sz w:val="20"/>
          <w:szCs w:val="18"/>
          <w:lang w:val="sr-Cyrl-CS"/>
        </w:rPr>
        <w:instrText xml:space="preserve"> SEQ Table \* ARABIC </w:instrText>
      </w:r>
      <w:r w:rsidR="00354B5D" w:rsidRPr="005303F7">
        <w:rPr>
          <w:rFonts w:ascii="Times New Roman" w:hAnsi="Times New Roman"/>
          <w:b/>
          <w:bCs/>
          <w:i/>
          <w:iCs/>
          <w:sz w:val="20"/>
          <w:szCs w:val="18"/>
          <w:lang w:val="sr-Cyrl-CS"/>
        </w:rPr>
        <w:fldChar w:fldCharType="separate"/>
      </w:r>
      <w:r w:rsidR="00DA2595" w:rsidRPr="005303F7">
        <w:rPr>
          <w:rFonts w:ascii="Times New Roman" w:hAnsi="Times New Roman"/>
          <w:b/>
          <w:bCs/>
          <w:i/>
          <w:iCs/>
          <w:noProof/>
          <w:sz w:val="20"/>
          <w:szCs w:val="18"/>
          <w:lang w:val="sr-Cyrl-CS"/>
        </w:rPr>
        <w:t>4</w:t>
      </w:r>
      <w:r w:rsidR="00354B5D" w:rsidRPr="005303F7">
        <w:rPr>
          <w:rFonts w:ascii="Times New Roman" w:hAnsi="Times New Roman"/>
          <w:b/>
          <w:bCs/>
          <w:i/>
          <w:iCs/>
          <w:sz w:val="20"/>
          <w:szCs w:val="18"/>
          <w:lang w:val="sr-Cyrl-CS"/>
        </w:rPr>
        <w:fldChar w:fldCharType="end"/>
      </w:r>
      <w:bookmarkEnd w:id="175"/>
      <w:r w:rsidR="002C097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Мере</w:t>
      </w:r>
      <w:r w:rsidR="0037373F"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за</w:t>
      </w:r>
      <w:r w:rsidR="0037373F"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постизање</w:t>
      </w:r>
      <w:r w:rsidR="0037373F"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циљева</w:t>
      </w:r>
      <w:r w:rsidR="0037373F"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и</w:t>
      </w:r>
      <w:r w:rsidR="0037373F"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идентификација</w:t>
      </w:r>
      <w:r w:rsidR="0037373F"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заинтересованих</w:t>
      </w:r>
      <w:r w:rsidR="0037373F"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стран</w:t>
      </w:r>
      <w:bookmarkEnd w:id="176"/>
      <w:r w:rsidRPr="005303F7">
        <w:rPr>
          <w:rFonts w:ascii="Times New Roman" w:hAnsi="Times New Roman"/>
          <w:b/>
          <w:bCs/>
          <w:i/>
          <w:iCs/>
          <w:sz w:val="20"/>
          <w:szCs w:val="18"/>
          <w:lang w:val="sr-Cyrl-CS"/>
        </w:rPr>
        <w:t>а</w:t>
      </w:r>
    </w:p>
    <w:tbl>
      <w:tblPr>
        <w:tblW w:w="5083" w:type="pct"/>
        <w:tblCellMar>
          <w:left w:w="70" w:type="dxa"/>
          <w:right w:w="70" w:type="dxa"/>
        </w:tblCellMar>
        <w:tblLook w:val="04A0" w:firstRow="1" w:lastRow="0" w:firstColumn="1" w:lastColumn="0" w:noHBand="0" w:noVBand="1"/>
      </w:tblPr>
      <w:tblGrid>
        <w:gridCol w:w="2267"/>
        <w:gridCol w:w="4107"/>
        <w:gridCol w:w="2991"/>
      </w:tblGrid>
      <w:tr w:rsidR="00A069FC" w:rsidRPr="005303F7" w14:paraId="5FFA36DF" w14:textId="77777777" w:rsidTr="00A17981">
        <w:trPr>
          <w:trHeight w:val="582"/>
          <w:tblHeader/>
        </w:trPr>
        <w:tc>
          <w:tcPr>
            <w:tcW w:w="12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CFB53F" w14:textId="25D7B76F" w:rsidR="00A069FC" w:rsidRPr="005303F7" w:rsidRDefault="00607CBA" w:rsidP="00A17981">
            <w:pPr>
              <w:tabs>
                <w:tab w:val="clear" w:pos="3825"/>
              </w:tabs>
              <w:overflowPunct/>
              <w:autoSpaceDE/>
              <w:autoSpaceDN/>
              <w:adjustRightInd/>
              <w:spacing w:before="0" w:after="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Посебан</w:t>
            </w:r>
            <w:r w:rsidR="0037373F"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циљ</w:t>
            </w:r>
          </w:p>
        </w:tc>
        <w:tc>
          <w:tcPr>
            <w:tcW w:w="21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8FBFE" w14:textId="02B19C20" w:rsidR="00A069FC" w:rsidRPr="005303F7" w:rsidRDefault="00607CBA" w:rsidP="00A17981">
            <w:pPr>
              <w:tabs>
                <w:tab w:val="clear" w:pos="3825"/>
              </w:tabs>
              <w:overflowPunct/>
              <w:autoSpaceDE/>
              <w:autoSpaceDN/>
              <w:adjustRightInd/>
              <w:spacing w:before="0" w:after="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Мера</w:t>
            </w: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80B67" w14:textId="754E5D4F" w:rsidR="00A069FC" w:rsidRPr="005303F7" w:rsidRDefault="00607CBA" w:rsidP="00A17981">
            <w:pPr>
              <w:tabs>
                <w:tab w:val="clear" w:pos="3825"/>
              </w:tabs>
              <w:overflowPunct/>
              <w:autoSpaceDE/>
              <w:autoSpaceDN/>
              <w:adjustRightInd/>
              <w:spacing w:before="0" w:after="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Заинтересоване</w:t>
            </w:r>
            <w:r w:rsidR="0037373F"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стране</w:t>
            </w:r>
          </w:p>
        </w:tc>
      </w:tr>
      <w:tr w:rsidR="00DB5B1E" w:rsidRPr="005303F7" w14:paraId="002BA4D7" w14:textId="77777777" w:rsidTr="00DB5B1E">
        <w:trPr>
          <w:trHeight w:val="1149"/>
        </w:trPr>
        <w:tc>
          <w:tcPr>
            <w:tcW w:w="1210" w:type="pct"/>
            <w:vMerge w:val="restart"/>
            <w:tcBorders>
              <w:top w:val="single" w:sz="4" w:space="0" w:color="auto"/>
              <w:left w:val="single" w:sz="4" w:space="0" w:color="auto"/>
              <w:right w:val="single" w:sz="4" w:space="0" w:color="auto"/>
            </w:tcBorders>
            <w:shd w:val="clear" w:color="auto" w:fill="auto"/>
            <w:vAlign w:val="center"/>
            <w:hideMark/>
          </w:tcPr>
          <w:p w14:paraId="67C185D8" w14:textId="769963F6" w:rsidR="00DB5B1E" w:rsidRPr="005303F7" w:rsidRDefault="00607CBA" w:rsidP="00BA6D66">
            <w:pPr>
              <w:jc w:val="center"/>
              <w:rPr>
                <w:rFonts w:ascii="Times New Roman" w:hAnsi="Times New Roman"/>
                <w:sz w:val="20"/>
                <w:lang w:val="sr-Cyrl-CS"/>
              </w:rPr>
            </w:pPr>
            <w:r w:rsidRPr="005303F7">
              <w:rPr>
                <w:rFonts w:ascii="Times New Roman" w:hAnsi="Times New Roman"/>
                <w:sz w:val="20"/>
                <w:lang w:val="sr-Cyrl-CS"/>
              </w:rPr>
              <w:t>Посебан</w:t>
            </w:r>
            <w:r w:rsidR="003B4AF9" w:rsidRPr="005303F7">
              <w:rPr>
                <w:rFonts w:ascii="Times New Roman" w:hAnsi="Times New Roman"/>
                <w:sz w:val="20"/>
                <w:lang w:val="sr-Cyrl-CS"/>
              </w:rPr>
              <w:t xml:space="preserve"> </w:t>
            </w:r>
            <w:r w:rsidRPr="005303F7">
              <w:rPr>
                <w:rFonts w:ascii="Times New Roman" w:hAnsi="Times New Roman"/>
                <w:sz w:val="20"/>
                <w:lang w:val="sr-Cyrl-CS"/>
              </w:rPr>
              <w:t>циљ</w:t>
            </w:r>
            <w:r w:rsidR="00DB5B1E" w:rsidRPr="005303F7">
              <w:rPr>
                <w:rFonts w:ascii="Times New Roman" w:hAnsi="Times New Roman"/>
                <w:sz w:val="20"/>
                <w:lang w:val="sr-Cyrl-CS"/>
              </w:rPr>
              <w:t xml:space="preserve"> 1: </w:t>
            </w:r>
            <w:r w:rsidRPr="005303F7">
              <w:rPr>
                <w:rFonts w:ascii="Times New Roman" w:hAnsi="Times New Roman"/>
                <w:sz w:val="20"/>
                <w:lang w:val="sr-Cyrl-CS"/>
              </w:rPr>
              <w:t>Смањење</w:t>
            </w:r>
            <w:r w:rsidR="003B4AF9" w:rsidRPr="005303F7">
              <w:rPr>
                <w:rFonts w:ascii="Times New Roman" w:hAnsi="Times New Roman"/>
                <w:sz w:val="20"/>
                <w:lang w:val="sr-Cyrl-CS"/>
              </w:rPr>
              <w:t xml:space="preserve"> </w:t>
            </w:r>
            <w:r w:rsidRPr="005303F7">
              <w:rPr>
                <w:rFonts w:ascii="Times New Roman" w:hAnsi="Times New Roman"/>
                <w:sz w:val="20"/>
                <w:lang w:val="sr-Cyrl-CS"/>
              </w:rPr>
              <w:t>емисија</w:t>
            </w:r>
            <w:r w:rsidR="003B4AF9" w:rsidRPr="005303F7">
              <w:rPr>
                <w:rFonts w:ascii="Times New Roman" w:hAnsi="Times New Roman"/>
                <w:sz w:val="20"/>
                <w:lang w:val="sr-Cyrl-CS"/>
              </w:rPr>
              <w:t xml:space="preserve"> </w:t>
            </w:r>
            <w:r w:rsidRPr="005303F7">
              <w:rPr>
                <w:rFonts w:ascii="Times New Roman" w:hAnsi="Times New Roman"/>
                <w:sz w:val="20"/>
                <w:lang w:val="sr-Cyrl-CS"/>
              </w:rPr>
              <w:t>GHG</w:t>
            </w:r>
            <w:r w:rsidR="003B4AF9" w:rsidRPr="005303F7">
              <w:rPr>
                <w:rFonts w:ascii="Times New Roman" w:hAnsi="Times New Roman"/>
                <w:sz w:val="20"/>
                <w:lang w:val="sr-Cyrl-CS"/>
              </w:rPr>
              <w:t xml:space="preserve"> </w:t>
            </w:r>
            <w:r w:rsidR="00172841" w:rsidRPr="005303F7">
              <w:rPr>
                <w:rFonts w:ascii="Times New Roman" w:hAnsi="Times New Roman"/>
                <w:sz w:val="20"/>
                <w:lang w:val="sr-Cyrl-CS"/>
              </w:rPr>
              <w:t xml:space="preserve">које ће бити </w:t>
            </w:r>
            <w:r w:rsidRPr="005303F7">
              <w:rPr>
                <w:rFonts w:ascii="Times New Roman" w:hAnsi="Times New Roman"/>
                <w:sz w:val="20"/>
                <w:lang w:val="sr-Cyrl-CS"/>
              </w:rPr>
              <w:t>обухваћен</w:t>
            </w:r>
            <w:r w:rsidR="00172841" w:rsidRPr="005303F7">
              <w:rPr>
                <w:rFonts w:ascii="Times New Roman" w:hAnsi="Times New Roman"/>
                <w:sz w:val="20"/>
                <w:lang w:val="sr-Cyrl-CS"/>
              </w:rPr>
              <w:t>е</w:t>
            </w:r>
            <w:r w:rsidR="003B4AF9" w:rsidRPr="005303F7">
              <w:rPr>
                <w:rFonts w:ascii="Times New Roman" w:hAnsi="Times New Roman"/>
                <w:sz w:val="20"/>
                <w:lang w:val="sr-Cyrl-CS"/>
              </w:rPr>
              <w:t xml:space="preserve"> </w:t>
            </w:r>
            <w:r w:rsidRPr="005303F7">
              <w:rPr>
                <w:rFonts w:ascii="Times New Roman" w:hAnsi="Times New Roman"/>
                <w:sz w:val="20"/>
                <w:lang w:val="sr-Cyrl-CS"/>
              </w:rPr>
              <w:t>Е</w:t>
            </w:r>
            <w:r w:rsidR="00965FFE" w:rsidRPr="005303F7">
              <w:rPr>
                <w:rFonts w:ascii="Times New Roman" w:hAnsi="Times New Roman"/>
                <w:sz w:val="20"/>
                <w:lang w:val="sr-Cyrl-CS"/>
              </w:rPr>
              <w:t>U</w:t>
            </w:r>
            <w:r w:rsidR="003B4AF9" w:rsidRPr="005303F7">
              <w:rPr>
                <w:rFonts w:ascii="Times New Roman" w:hAnsi="Times New Roman"/>
                <w:sz w:val="20"/>
                <w:lang w:val="sr-Cyrl-CS"/>
              </w:rPr>
              <w:t>-</w:t>
            </w:r>
            <w:r w:rsidRPr="005303F7">
              <w:rPr>
                <w:rFonts w:ascii="Times New Roman" w:hAnsi="Times New Roman"/>
                <w:sz w:val="20"/>
                <w:lang w:val="sr-Cyrl-CS"/>
              </w:rPr>
              <w:t>ЕТS</w:t>
            </w:r>
            <w:r w:rsidR="003B4AF9" w:rsidRPr="005303F7">
              <w:rPr>
                <w:rFonts w:ascii="Times New Roman" w:hAnsi="Times New Roman"/>
                <w:sz w:val="20"/>
                <w:lang w:val="sr-Cyrl-CS"/>
              </w:rPr>
              <w:t>-</w:t>
            </w:r>
            <w:r w:rsidRPr="005303F7">
              <w:rPr>
                <w:rFonts w:ascii="Times New Roman" w:hAnsi="Times New Roman"/>
                <w:sz w:val="20"/>
                <w:lang w:val="sr-Cyrl-CS"/>
              </w:rPr>
              <w:t>ом</w:t>
            </w:r>
            <w:r w:rsidR="003B4AF9" w:rsidRPr="005303F7">
              <w:rPr>
                <w:rFonts w:ascii="Times New Roman" w:hAnsi="Times New Roman"/>
                <w:sz w:val="20"/>
                <w:lang w:val="sr-Cyrl-CS"/>
              </w:rPr>
              <w:t xml:space="preserve"> </w:t>
            </w:r>
            <w:r w:rsidRPr="005303F7">
              <w:rPr>
                <w:rFonts w:ascii="Times New Roman" w:hAnsi="Times New Roman"/>
                <w:sz w:val="20"/>
                <w:lang w:val="sr-Cyrl-CS"/>
              </w:rPr>
              <w:t>за</w:t>
            </w:r>
            <w:r w:rsidR="003B4AF9" w:rsidRPr="005303F7">
              <w:rPr>
                <w:rFonts w:ascii="Times New Roman" w:hAnsi="Times New Roman"/>
                <w:sz w:val="20"/>
                <w:lang w:val="sr-Cyrl-CS"/>
              </w:rPr>
              <w:t xml:space="preserve"> 15,% </w:t>
            </w:r>
            <w:r w:rsidRPr="005303F7">
              <w:rPr>
                <w:rFonts w:ascii="Times New Roman" w:hAnsi="Times New Roman"/>
                <w:sz w:val="20"/>
                <w:lang w:val="sr-Cyrl-CS"/>
              </w:rPr>
              <w:t>у</w:t>
            </w:r>
            <w:r w:rsidR="003B4AF9" w:rsidRPr="005303F7">
              <w:rPr>
                <w:rFonts w:ascii="Times New Roman" w:hAnsi="Times New Roman"/>
                <w:sz w:val="20"/>
                <w:lang w:val="sr-Cyrl-CS"/>
              </w:rPr>
              <w:t xml:space="preserve"> 2030. </w:t>
            </w:r>
            <w:r w:rsidRPr="005303F7">
              <w:rPr>
                <w:rFonts w:ascii="Times New Roman" w:hAnsi="Times New Roman"/>
                <w:sz w:val="20"/>
                <w:lang w:val="sr-Cyrl-CS"/>
              </w:rPr>
              <w:t>години</w:t>
            </w:r>
            <w:r w:rsidR="003B4AF9" w:rsidRPr="005303F7">
              <w:rPr>
                <w:rFonts w:ascii="Times New Roman" w:hAnsi="Times New Roman"/>
                <w:sz w:val="20"/>
                <w:lang w:val="sr-Cyrl-CS"/>
              </w:rPr>
              <w:t xml:space="preserve"> </w:t>
            </w:r>
            <w:r w:rsidRPr="005303F7">
              <w:rPr>
                <w:rFonts w:ascii="Times New Roman" w:hAnsi="Times New Roman"/>
                <w:sz w:val="20"/>
                <w:lang w:val="sr-Cyrl-CS"/>
              </w:rPr>
              <w:t>и</w:t>
            </w:r>
            <w:r w:rsidR="003B4AF9" w:rsidRPr="005303F7">
              <w:rPr>
                <w:rFonts w:ascii="Times New Roman" w:hAnsi="Times New Roman"/>
                <w:sz w:val="20"/>
                <w:lang w:val="sr-Cyrl-CS"/>
              </w:rPr>
              <w:t xml:space="preserve"> </w:t>
            </w:r>
            <w:r w:rsidRPr="005303F7">
              <w:rPr>
                <w:rFonts w:ascii="Times New Roman" w:hAnsi="Times New Roman"/>
                <w:sz w:val="20"/>
                <w:lang w:val="sr-Cyrl-CS"/>
              </w:rPr>
              <w:t>између</w:t>
            </w:r>
            <w:r w:rsidR="003B4AF9" w:rsidRPr="005303F7">
              <w:rPr>
                <w:rFonts w:ascii="Times New Roman" w:hAnsi="Times New Roman"/>
                <w:sz w:val="20"/>
                <w:lang w:val="sr-Cyrl-CS"/>
              </w:rPr>
              <w:t xml:space="preserve"> 66,4% </w:t>
            </w:r>
            <w:r w:rsidRPr="005303F7">
              <w:rPr>
                <w:rFonts w:ascii="Times New Roman" w:hAnsi="Times New Roman"/>
                <w:sz w:val="20"/>
                <w:lang w:val="sr-Cyrl-CS"/>
              </w:rPr>
              <w:t>и</w:t>
            </w:r>
            <w:r w:rsidR="003B4AF9" w:rsidRPr="005303F7">
              <w:rPr>
                <w:rFonts w:ascii="Times New Roman" w:hAnsi="Times New Roman"/>
                <w:sz w:val="20"/>
                <w:lang w:val="sr-Cyrl-CS"/>
              </w:rPr>
              <w:t xml:space="preserve"> 76,8% </w:t>
            </w:r>
            <w:r w:rsidRPr="005303F7">
              <w:rPr>
                <w:rFonts w:ascii="Times New Roman" w:hAnsi="Times New Roman"/>
                <w:sz w:val="20"/>
                <w:lang w:val="sr-Cyrl-CS"/>
              </w:rPr>
              <w:t>до</w:t>
            </w:r>
            <w:r w:rsidR="003B4AF9" w:rsidRPr="005303F7">
              <w:rPr>
                <w:rFonts w:ascii="Times New Roman" w:hAnsi="Times New Roman"/>
                <w:sz w:val="20"/>
                <w:lang w:val="sr-Cyrl-CS"/>
              </w:rPr>
              <w:t xml:space="preserve"> 2050. </w:t>
            </w:r>
            <w:r w:rsidRPr="005303F7">
              <w:rPr>
                <w:rFonts w:ascii="Times New Roman" w:hAnsi="Times New Roman"/>
                <w:sz w:val="20"/>
                <w:lang w:val="sr-Cyrl-CS"/>
              </w:rPr>
              <w:t>у</w:t>
            </w:r>
            <w:r w:rsidR="003B4AF9" w:rsidRPr="005303F7">
              <w:rPr>
                <w:rFonts w:ascii="Times New Roman" w:hAnsi="Times New Roman"/>
                <w:sz w:val="20"/>
                <w:lang w:val="sr-Cyrl-CS"/>
              </w:rPr>
              <w:t xml:space="preserve"> </w:t>
            </w:r>
            <w:r w:rsidRPr="005303F7">
              <w:rPr>
                <w:rFonts w:ascii="Times New Roman" w:hAnsi="Times New Roman"/>
                <w:sz w:val="20"/>
                <w:lang w:val="sr-Cyrl-CS"/>
              </w:rPr>
              <w:t>поређењу</w:t>
            </w:r>
            <w:r w:rsidR="003B4AF9" w:rsidRPr="005303F7">
              <w:rPr>
                <w:rFonts w:ascii="Times New Roman" w:hAnsi="Times New Roman"/>
                <w:sz w:val="20"/>
                <w:lang w:val="sr-Cyrl-CS"/>
              </w:rPr>
              <w:t xml:space="preserve"> </w:t>
            </w:r>
            <w:r w:rsidRPr="005303F7">
              <w:rPr>
                <w:rFonts w:ascii="Times New Roman" w:hAnsi="Times New Roman"/>
                <w:sz w:val="20"/>
                <w:lang w:val="sr-Cyrl-CS"/>
              </w:rPr>
              <w:t>са</w:t>
            </w:r>
            <w:r w:rsidR="003B4AF9" w:rsidRPr="005303F7">
              <w:rPr>
                <w:rFonts w:ascii="Times New Roman" w:hAnsi="Times New Roman"/>
                <w:sz w:val="20"/>
                <w:lang w:val="sr-Cyrl-CS"/>
              </w:rPr>
              <w:t xml:space="preserve"> 2010. </w:t>
            </w:r>
            <w:r w:rsidRPr="005303F7">
              <w:rPr>
                <w:rFonts w:ascii="Times New Roman" w:hAnsi="Times New Roman"/>
                <w:sz w:val="20"/>
                <w:lang w:val="sr-Cyrl-CS"/>
              </w:rPr>
              <w:t>годином</w:t>
            </w:r>
          </w:p>
          <w:p w14:paraId="0638ACFA" w14:textId="77777777" w:rsidR="00DB5B1E" w:rsidRPr="005303F7" w:rsidRDefault="00DB5B1E" w:rsidP="00A17981">
            <w:pPr>
              <w:tabs>
                <w:tab w:val="clear" w:pos="3825"/>
              </w:tabs>
              <w:overflowPunct/>
              <w:autoSpaceDE/>
              <w:autoSpaceDN/>
              <w:adjustRightInd/>
              <w:spacing w:before="0" w:after="0"/>
              <w:jc w:val="center"/>
              <w:textAlignment w:val="auto"/>
              <w:rPr>
                <w:rFonts w:ascii="Times New Roman" w:hAnsi="Times New Roman"/>
                <w:sz w:val="20"/>
                <w:lang w:val="sr-Cyrl-CS"/>
              </w:rPr>
            </w:pPr>
          </w:p>
        </w:tc>
        <w:tc>
          <w:tcPr>
            <w:tcW w:w="2193" w:type="pct"/>
            <w:tcBorders>
              <w:top w:val="single" w:sz="4" w:space="0" w:color="auto"/>
              <w:left w:val="nil"/>
              <w:bottom w:val="single" w:sz="4" w:space="0" w:color="auto"/>
              <w:right w:val="single" w:sz="4" w:space="0" w:color="auto"/>
            </w:tcBorders>
            <w:shd w:val="clear" w:color="auto" w:fill="auto"/>
            <w:vAlign w:val="center"/>
            <w:hideMark/>
          </w:tcPr>
          <w:p w14:paraId="49C4C732" w14:textId="77777777" w:rsidR="005A15CB" w:rsidRPr="005303F7" w:rsidRDefault="005A15CB" w:rsidP="005A15CB">
            <w:pPr>
              <w:tabs>
                <w:tab w:val="clear" w:pos="3825"/>
              </w:tabs>
              <w:overflowPunct/>
              <w:autoSpaceDE/>
              <w:autoSpaceDN/>
              <w:adjustRightInd/>
              <w:spacing w:before="0" w:after="0"/>
              <w:jc w:val="center"/>
              <w:textAlignment w:val="auto"/>
              <w:rPr>
                <w:rFonts w:ascii="Times New Roman" w:hAnsi="Times New Roman"/>
                <w:sz w:val="20"/>
                <w:lang w:val="sr-Cyrl-CS" w:eastAsia="pt-PT"/>
              </w:rPr>
            </w:pPr>
            <w:r w:rsidRPr="005303F7">
              <w:rPr>
                <w:rFonts w:ascii="Times New Roman" w:hAnsi="Times New Roman"/>
                <w:sz w:val="20"/>
                <w:lang w:val="sr-Cyrl-CS" w:eastAsia="pt-PT"/>
              </w:rPr>
              <w:t>Усклађивање са системом трговања емисијама ЕУ и/или увођење других</w:t>
            </w:r>
          </w:p>
          <w:p w14:paraId="7D7592DA" w14:textId="19B8EE7B" w:rsidR="00DB5B1E" w:rsidRPr="005303F7" w:rsidRDefault="005A15CB" w:rsidP="005A15CB">
            <w:pPr>
              <w:tabs>
                <w:tab w:val="clear" w:pos="3825"/>
              </w:tabs>
              <w:overflowPunct/>
              <w:autoSpaceDE/>
              <w:autoSpaceDN/>
              <w:adjustRightInd/>
              <w:spacing w:before="0" w:after="0"/>
              <w:jc w:val="center"/>
              <w:textAlignment w:val="auto"/>
              <w:rPr>
                <w:rFonts w:ascii="Times New Roman" w:hAnsi="Times New Roman"/>
                <w:sz w:val="20"/>
                <w:lang w:val="sr-Cyrl-CS" w:eastAsia="pt-PT"/>
              </w:rPr>
            </w:pPr>
            <w:r w:rsidRPr="005303F7">
              <w:rPr>
                <w:rFonts w:ascii="Times New Roman" w:hAnsi="Times New Roman"/>
                <w:sz w:val="20"/>
                <w:lang w:val="sr-Cyrl-CS" w:eastAsia="pt-PT"/>
              </w:rPr>
              <w:t>инструмената за одређивање цена угљеника</w:t>
            </w:r>
          </w:p>
        </w:tc>
        <w:tc>
          <w:tcPr>
            <w:tcW w:w="15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8FC2A9" w14:textId="5B10D8AC" w:rsidR="00DB5B1E" w:rsidRPr="005303F7" w:rsidRDefault="00607CBA" w:rsidP="00952CCA">
            <w:pPr>
              <w:tabs>
                <w:tab w:val="clear" w:pos="3825"/>
              </w:tabs>
              <w:overflowPunct/>
              <w:autoSpaceDE/>
              <w:autoSpaceDN/>
              <w:adjustRightInd/>
              <w:spacing w:before="0" w:after="0"/>
              <w:jc w:val="left"/>
              <w:textAlignment w:val="auto"/>
              <w:rPr>
                <w:rFonts w:ascii="Times New Roman" w:hAnsi="Times New Roman"/>
                <w:sz w:val="20"/>
                <w:lang w:val="sr-Cyrl-CS" w:eastAsia="pt-PT"/>
              </w:rPr>
            </w:pPr>
            <w:r w:rsidRPr="005303F7">
              <w:rPr>
                <w:rFonts w:ascii="Times New Roman" w:hAnsi="Times New Roman"/>
                <w:sz w:val="20"/>
                <w:lang w:val="sr-Cyrl-CS" w:eastAsia="pt-PT"/>
              </w:rPr>
              <w:t>Јавна</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комунална</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предузећа</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и</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одговарајући</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ланац</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вредности</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рударски</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сектор</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независни</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произвођачи</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оператор</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преносног</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и</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дистрибутивног</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система</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индустрија</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која</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подлеже</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ЕТS</w:t>
            </w:r>
            <w:r w:rsidR="00A17FF5" w:rsidRPr="005303F7">
              <w:rPr>
                <w:rFonts w:ascii="Times New Roman" w:hAnsi="Times New Roman"/>
                <w:sz w:val="20"/>
                <w:lang w:val="sr-Cyrl-CS" w:eastAsia="pt-PT"/>
              </w:rPr>
              <w:t>-</w:t>
            </w:r>
            <w:r w:rsidRPr="005303F7">
              <w:rPr>
                <w:rFonts w:ascii="Times New Roman" w:hAnsi="Times New Roman"/>
                <w:sz w:val="20"/>
                <w:lang w:val="sr-Cyrl-CS" w:eastAsia="pt-PT"/>
              </w:rPr>
              <w:t>у</w:t>
            </w:r>
            <w:r w:rsidR="00952CCA" w:rsidRPr="005303F7">
              <w:rPr>
                <w:rFonts w:ascii="Times New Roman" w:hAnsi="Times New Roman"/>
                <w:sz w:val="20"/>
                <w:lang w:val="sr-Cyrl-CS" w:eastAsia="pt-PT"/>
              </w:rPr>
              <w:t>,</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потрошачи</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електричне</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енергије</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и</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других</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производа</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који</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подлежу</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цени</w:t>
            </w:r>
            <w:r w:rsidR="00A17FF5" w:rsidRPr="005303F7">
              <w:rPr>
                <w:rFonts w:ascii="Times New Roman" w:hAnsi="Times New Roman"/>
                <w:sz w:val="20"/>
                <w:lang w:val="sr-Cyrl-CS" w:eastAsia="pt-PT"/>
              </w:rPr>
              <w:t xml:space="preserve"> </w:t>
            </w:r>
            <w:r w:rsidRPr="005303F7">
              <w:rPr>
                <w:rFonts w:ascii="Times New Roman" w:hAnsi="Times New Roman"/>
                <w:sz w:val="20"/>
                <w:lang w:val="sr-Cyrl-CS" w:eastAsia="pt-PT"/>
              </w:rPr>
              <w:t>CО</w:t>
            </w:r>
            <w:r w:rsidR="0002186D" w:rsidRPr="005303F7">
              <w:rPr>
                <w:rFonts w:ascii="Times New Roman" w:hAnsi="Times New Roman"/>
                <w:sz w:val="20"/>
                <w:vertAlign w:val="subscript"/>
                <w:lang w:val="sr-Cyrl-CS" w:eastAsia="pt-PT"/>
              </w:rPr>
              <w:t>2</w:t>
            </w:r>
            <w:r w:rsidR="001735F4" w:rsidRPr="005303F7">
              <w:rPr>
                <w:rFonts w:ascii="Times New Roman" w:hAnsi="Times New Roman"/>
                <w:sz w:val="20"/>
                <w:lang w:val="sr-Cyrl-CS" w:eastAsia="pt-PT"/>
              </w:rPr>
              <w:t xml:space="preserve"> и заинтересоване стране у ланцу снабдевања биомасом</w:t>
            </w:r>
          </w:p>
        </w:tc>
      </w:tr>
      <w:tr w:rsidR="00DB5B1E" w:rsidRPr="005303F7" w14:paraId="27CDF60C" w14:textId="77777777" w:rsidTr="00DB5B1E">
        <w:trPr>
          <w:trHeight w:val="20"/>
        </w:trPr>
        <w:tc>
          <w:tcPr>
            <w:tcW w:w="1210" w:type="pct"/>
            <w:vMerge/>
            <w:tcBorders>
              <w:left w:val="single" w:sz="4" w:space="0" w:color="auto"/>
              <w:right w:val="single" w:sz="4" w:space="0" w:color="auto"/>
            </w:tcBorders>
            <w:vAlign w:val="center"/>
            <w:hideMark/>
          </w:tcPr>
          <w:p w14:paraId="255F7E9C" w14:textId="77777777" w:rsidR="00DB5B1E" w:rsidRPr="005303F7" w:rsidRDefault="00DB5B1E"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hideMark/>
          </w:tcPr>
          <w:p w14:paraId="5B88EA7B" w14:textId="6B264E16" w:rsidR="00DB5B1E" w:rsidRPr="005303F7" w:rsidRDefault="00607CBA" w:rsidP="003B4AF9">
            <w:pPr>
              <w:tabs>
                <w:tab w:val="clear" w:pos="3825"/>
              </w:tabs>
              <w:overflowPunct/>
              <w:autoSpaceDE/>
              <w:autoSpaceDN/>
              <w:adjustRightInd/>
              <w:spacing w:before="0" w:after="0"/>
              <w:jc w:val="center"/>
              <w:textAlignment w:val="auto"/>
              <w:rPr>
                <w:rFonts w:ascii="Times New Roman" w:hAnsi="Times New Roman"/>
                <w:sz w:val="20"/>
                <w:lang w:val="sr-Cyrl-CS" w:eastAsia="pt-PT"/>
              </w:rPr>
            </w:pPr>
            <w:r w:rsidRPr="005303F7">
              <w:rPr>
                <w:rFonts w:ascii="Times New Roman" w:hAnsi="Times New Roman"/>
                <w:sz w:val="20"/>
                <w:lang w:val="sr-Cyrl-CS" w:eastAsia="pt-PT"/>
              </w:rPr>
              <w:t>Повећање</w:t>
            </w:r>
            <w:r w:rsidR="00267ED3" w:rsidRPr="005303F7">
              <w:rPr>
                <w:rFonts w:ascii="Times New Roman" w:hAnsi="Times New Roman"/>
                <w:sz w:val="20"/>
                <w:lang w:val="sr-Cyrl-CS" w:eastAsia="pt-PT"/>
              </w:rPr>
              <w:t xml:space="preserve"> </w:t>
            </w:r>
            <w:r w:rsidRPr="005303F7">
              <w:rPr>
                <w:rFonts w:ascii="Times New Roman" w:hAnsi="Times New Roman"/>
                <w:sz w:val="20"/>
                <w:lang w:val="sr-Cyrl-CS" w:eastAsia="pt-PT"/>
              </w:rPr>
              <w:t>употребе</w:t>
            </w:r>
            <w:r w:rsidR="0005673F" w:rsidRPr="005303F7">
              <w:rPr>
                <w:rFonts w:ascii="Times New Roman" w:hAnsi="Times New Roman"/>
                <w:sz w:val="20"/>
                <w:lang w:val="sr-Cyrl-CS" w:eastAsia="pt-PT"/>
              </w:rPr>
              <w:t xml:space="preserve"> </w:t>
            </w:r>
            <w:r w:rsidRPr="005303F7">
              <w:rPr>
                <w:rFonts w:ascii="Times New Roman" w:hAnsi="Times New Roman"/>
                <w:sz w:val="20"/>
                <w:lang w:val="sr-Cyrl-CS" w:eastAsia="pt-PT"/>
              </w:rPr>
              <w:t>ОИЕ</w:t>
            </w:r>
            <w:r w:rsidR="00267ED3" w:rsidRPr="005303F7">
              <w:rPr>
                <w:rFonts w:ascii="Times New Roman" w:hAnsi="Times New Roman"/>
                <w:sz w:val="20"/>
                <w:lang w:val="sr-Cyrl-CS" w:eastAsia="pt-PT"/>
              </w:rPr>
              <w:t xml:space="preserve"> </w:t>
            </w:r>
            <w:r w:rsidRPr="005303F7">
              <w:rPr>
                <w:rFonts w:ascii="Times New Roman" w:hAnsi="Times New Roman"/>
                <w:sz w:val="20"/>
                <w:lang w:val="sr-Cyrl-CS" w:eastAsia="pt-PT"/>
              </w:rPr>
              <w:t>у</w:t>
            </w:r>
            <w:r w:rsidR="00267ED3" w:rsidRPr="005303F7">
              <w:rPr>
                <w:rFonts w:ascii="Times New Roman" w:hAnsi="Times New Roman"/>
                <w:sz w:val="20"/>
                <w:lang w:val="sr-Cyrl-CS" w:eastAsia="pt-PT"/>
              </w:rPr>
              <w:t xml:space="preserve"> </w:t>
            </w:r>
            <w:r w:rsidRPr="005303F7">
              <w:rPr>
                <w:rFonts w:ascii="Times New Roman" w:hAnsi="Times New Roman"/>
                <w:sz w:val="20"/>
                <w:lang w:val="sr-Cyrl-CS" w:eastAsia="pt-PT"/>
              </w:rPr>
              <w:t>производњи</w:t>
            </w:r>
            <w:r w:rsidR="00267ED3" w:rsidRPr="005303F7">
              <w:rPr>
                <w:rFonts w:ascii="Times New Roman" w:hAnsi="Times New Roman"/>
                <w:sz w:val="20"/>
                <w:lang w:val="sr-Cyrl-CS" w:eastAsia="pt-PT"/>
              </w:rPr>
              <w:t xml:space="preserve"> </w:t>
            </w:r>
            <w:r w:rsidRPr="005303F7">
              <w:rPr>
                <w:rFonts w:ascii="Times New Roman" w:hAnsi="Times New Roman"/>
                <w:sz w:val="20"/>
                <w:lang w:val="sr-Cyrl-CS" w:eastAsia="pt-PT"/>
              </w:rPr>
              <w:t>електричне</w:t>
            </w:r>
            <w:r w:rsidR="00267ED3" w:rsidRPr="005303F7">
              <w:rPr>
                <w:rFonts w:ascii="Times New Roman" w:hAnsi="Times New Roman"/>
                <w:sz w:val="20"/>
                <w:lang w:val="sr-Cyrl-CS" w:eastAsia="pt-PT"/>
              </w:rPr>
              <w:t xml:space="preserve"> </w:t>
            </w:r>
            <w:r w:rsidRPr="005303F7">
              <w:rPr>
                <w:rFonts w:ascii="Times New Roman" w:hAnsi="Times New Roman"/>
                <w:sz w:val="20"/>
                <w:lang w:val="sr-Cyrl-CS" w:eastAsia="pt-PT"/>
              </w:rPr>
              <w:t>енергије</w:t>
            </w:r>
          </w:p>
        </w:tc>
        <w:tc>
          <w:tcPr>
            <w:tcW w:w="1597" w:type="pct"/>
            <w:vMerge/>
            <w:tcBorders>
              <w:top w:val="single" w:sz="4" w:space="0" w:color="auto"/>
              <w:left w:val="single" w:sz="4" w:space="0" w:color="auto"/>
              <w:bottom w:val="single" w:sz="4" w:space="0" w:color="auto"/>
              <w:right w:val="single" w:sz="4" w:space="0" w:color="auto"/>
            </w:tcBorders>
            <w:vAlign w:val="center"/>
            <w:hideMark/>
          </w:tcPr>
          <w:p w14:paraId="2E9867AC" w14:textId="77777777" w:rsidR="00DB5B1E" w:rsidRPr="005303F7" w:rsidRDefault="00DB5B1E" w:rsidP="00A17981">
            <w:pPr>
              <w:tabs>
                <w:tab w:val="clear" w:pos="3825"/>
              </w:tabs>
              <w:overflowPunct/>
              <w:autoSpaceDE/>
              <w:autoSpaceDN/>
              <w:adjustRightInd/>
              <w:spacing w:before="0" w:after="0"/>
              <w:jc w:val="left"/>
              <w:textAlignment w:val="auto"/>
              <w:rPr>
                <w:rFonts w:ascii="Times New Roman" w:hAnsi="Times New Roman"/>
                <w:sz w:val="20"/>
                <w:lang w:val="sr-Cyrl-CS" w:eastAsia="pt-PT"/>
              </w:rPr>
            </w:pPr>
          </w:p>
        </w:tc>
      </w:tr>
      <w:tr w:rsidR="00DB5B1E" w:rsidRPr="005303F7" w14:paraId="078B05AB" w14:textId="77777777" w:rsidTr="00DB5B1E">
        <w:trPr>
          <w:trHeight w:val="20"/>
        </w:trPr>
        <w:tc>
          <w:tcPr>
            <w:tcW w:w="1210" w:type="pct"/>
            <w:vMerge/>
            <w:tcBorders>
              <w:left w:val="single" w:sz="4" w:space="0" w:color="auto"/>
              <w:bottom w:val="single" w:sz="4" w:space="0" w:color="auto"/>
              <w:right w:val="single" w:sz="4" w:space="0" w:color="auto"/>
            </w:tcBorders>
            <w:vAlign w:val="center"/>
          </w:tcPr>
          <w:p w14:paraId="2364E58E" w14:textId="77777777" w:rsidR="00DB5B1E" w:rsidRPr="005303F7" w:rsidRDefault="00DB5B1E"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tcPr>
          <w:p w14:paraId="70C73F17" w14:textId="062B34A3" w:rsidR="00DB5B1E" w:rsidRPr="005303F7" w:rsidRDefault="00607CBA" w:rsidP="00766902">
            <w:pPr>
              <w:tabs>
                <w:tab w:val="clear" w:pos="3825"/>
              </w:tabs>
              <w:overflowPunct/>
              <w:autoSpaceDE/>
              <w:autoSpaceDN/>
              <w:adjustRightInd/>
              <w:spacing w:before="0" w:after="0"/>
              <w:textAlignment w:val="auto"/>
              <w:rPr>
                <w:rFonts w:ascii="Times New Roman" w:hAnsi="Times New Roman"/>
                <w:sz w:val="20"/>
                <w:lang w:val="sr-Cyrl-CS" w:eastAsia="pt-PT"/>
              </w:rPr>
            </w:pPr>
            <w:bookmarkStart w:id="177" w:name="_Toc12861523"/>
            <w:bookmarkStart w:id="178" w:name="_Toc12861865"/>
            <w:r w:rsidRPr="005303F7">
              <w:rPr>
                <w:rFonts w:ascii="Times New Roman" w:hAnsi="Times New Roman"/>
                <w:sz w:val="20"/>
                <w:lang w:val="sr-Cyrl-CS" w:eastAsia="pt-PT"/>
              </w:rPr>
              <w:t>Унапређење</w:t>
            </w:r>
            <w:r w:rsidR="00AD299B" w:rsidRPr="005303F7">
              <w:rPr>
                <w:rFonts w:ascii="Times New Roman" w:hAnsi="Times New Roman"/>
                <w:sz w:val="20"/>
                <w:lang w:val="sr-Cyrl-CS" w:eastAsia="pt-PT"/>
              </w:rPr>
              <w:t xml:space="preserve"> </w:t>
            </w:r>
            <w:r w:rsidRPr="005303F7">
              <w:rPr>
                <w:rFonts w:ascii="Times New Roman" w:hAnsi="Times New Roman"/>
                <w:sz w:val="20"/>
                <w:lang w:val="sr-Cyrl-CS" w:eastAsia="pt-PT"/>
              </w:rPr>
              <w:t>енергетске</w:t>
            </w:r>
            <w:r w:rsidR="00AD299B" w:rsidRPr="005303F7">
              <w:rPr>
                <w:rFonts w:ascii="Times New Roman" w:hAnsi="Times New Roman"/>
                <w:sz w:val="20"/>
                <w:lang w:val="sr-Cyrl-CS" w:eastAsia="pt-PT"/>
              </w:rPr>
              <w:t xml:space="preserve"> </w:t>
            </w:r>
            <w:r w:rsidRPr="005303F7">
              <w:rPr>
                <w:rFonts w:ascii="Times New Roman" w:hAnsi="Times New Roman"/>
                <w:sz w:val="20"/>
                <w:lang w:val="sr-Cyrl-CS" w:eastAsia="pt-PT"/>
              </w:rPr>
              <w:t>ефикасности</w:t>
            </w:r>
            <w:r w:rsidR="00AD299B" w:rsidRPr="005303F7">
              <w:rPr>
                <w:rFonts w:ascii="Times New Roman" w:hAnsi="Times New Roman"/>
                <w:sz w:val="20"/>
                <w:lang w:val="sr-Cyrl-CS" w:eastAsia="pt-PT"/>
              </w:rPr>
              <w:t xml:space="preserve"> </w:t>
            </w:r>
            <w:r w:rsidRPr="005303F7">
              <w:rPr>
                <w:rFonts w:ascii="Times New Roman" w:hAnsi="Times New Roman"/>
                <w:sz w:val="20"/>
                <w:lang w:val="sr-Cyrl-CS" w:eastAsia="pt-PT"/>
              </w:rPr>
              <w:t>и</w:t>
            </w:r>
            <w:r w:rsidR="00AD299B" w:rsidRPr="005303F7">
              <w:rPr>
                <w:rFonts w:ascii="Times New Roman" w:hAnsi="Times New Roman"/>
                <w:sz w:val="20"/>
                <w:lang w:val="sr-Cyrl-CS" w:eastAsia="pt-PT"/>
              </w:rPr>
              <w:t xml:space="preserve"> </w:t>
            </w:r>
            <w:r w:rsidRPr="005303F7">
              <w:rPr>
                <w:rFonts w:ascii="Times New Roman" w:hAnsi="Times New Roman"/>
                <w:sz w:val="20"/>
                <w:lang w:val="sr-Cyrl-CS" w:eastAsia="pt-PT"/>
              </w:rPr>
              <w:t>повећање</w:t>
            </w:r>
            <w:r w:rsidR="00AD299B" w:rsidRPr="005303F7">
              <w:rPr>
                <w:rFonts w:ascii="Times New Roman" w:hAnsi="Times New Roman"/>
                <w:sz w:val="20"/>
                <w:lang w:val="sr-Cyrl-CS" w:eastAsia="pt-PT"/>
              </w:rPr>
              <w:t xml:space="preserve"> </w:t>
            </w:r>
            <w:r w:rsidRPr="005303F7">
              <w:rPr>
                <w:rFonts w:ascii="Times New Roman" w:hAnsi="Times New Roman"/>
                <w:sz w:val="20"/>
                <w:lang w:val="sr-Cyrl-CS" w:eastAsia="pt-PT"/>
              </w:rPr>
              <w:t>коришћења</w:t>
            </w:r>
            <w:r w:rsidR="00AD299B" w:rsidRPr="005303F7">
              <w:rPr>
                <w:rFonts w:ascii="Times New Roman" w:hAnsi="Times New Roman"/>
                <w:sz w:val="20"/>
                <w:lang w:val="sr-Cyrl-CS" w:eastAsia="pt-PT"/>
              </w:rPr>
              <w:t xml:space="preserve"> </w:t>
            </w:r>
            <w:r w:rsidRPr="005303F7">
              <w:rPr>
                <w:rFonts w:ascii="Times New Roman" w:hAnsi="Times New Roman"/>
                <w:sz w:val="20"/>
                <w:lang w:val="sr-Cyrl-CS" w:eastAsia="pt-PT"/>
              </w:rPr>
              <w:t>когенерације</w:t>
            </w:r>
            <w:r w:rsidR="00AD299B" w:rsidRPr="005303F7">
              <w:rPr>
                <w:rFonts w:ascii="Times New Roman" w:hAnsi="Times New Roman"/>
                <w:sz w:val="20"/>
                <w:lang w:val="sr-Cyrl-CS" w:eastAsia="pt-PT"/>
              </w:rPr>
              <w:t xml:space="preserve"> </w:t>
            </w:r>
            <w:r w:rsidRPr="005303F7">
              <w:rPr>
                <w:rFonts w:ascii="Times New Roman" w:hAnsi="Times New Roman"/>
                <w:sz w:val="20"/>
                <w:lang w:val="sr-Cyrl-CS" w:eastAsia="pt-PT"/>
              </w:rPr>
              <w:t>и</w:t>
            </w:r>
            <w:r w:rsidR="00AD299B" w:rsidRPr="005303F7">
              <w:rPr>
                <w:rFonts w:ascii="Times New Roman" w:hAnsi="Times New Roman"/>
                <w:sz w:val="20"/>
                <w:lang w:val="sr-Cyrl-CS" w:eastAsia="pt-PT"/>
              </w:rPr>
              <w:t xml:space="preserve"> </w:t>
            </w:r>
            <w:r w:rsidRPr="005303F7">
              <w:rPr>
                <w:rFonts w:ascii="Times New Roman" w:hAnsi="Times New Roman"/>
                <w:sz w:val="20"/>
                <w:lang w:val="sr-Cyrl-CS" w:eastAsia="pt-PT"/>
              </w:rPr>
              <w:t>ОИЕ</w:t>
            </w:r>
            <w:r w:rsidR="00AD299B" w:rsidRPr="005303F7">
              <w:rPr>
                <w:rFonts w:ascii="Times New Roman" w:hAnsi="Times New Roman"/>
                <w:sz w:val="20"/>
                <w:lang w:val="sr-Cyrl-CS" w:eastAsia="pt-PT"/>
              </w:rPr>
              <w:t xml:space="preserve"> </w:t>
            </w:r>
            <w:r w:rsidRPr="005303F7">
              <w:rPr>
                <w:rFonts w:ascii="Times New Roman" w:hAnsi="Times New Roman"/>
                <w:sz w:val="20"/>
                <w:lang w:val="sr-Cyrl-CS" w:eastAsia="pt-PT"/>
              </w:rPr>
              <w:t>у</w:t>
            </w:r>
            <w:r w:rsidR="00AD299B" w:rsidRPr="005303F7">
              <w:rPr>
                <w:rFonts w:ascii="Times New Roman" w:hAnsi="Times New Roman"/>
                <w:sz w:val="20"/>
                <w:lang w:val="sr-Cyrl-CS" w:eastAsia="pt-PT"/>
              </w:rPr>
              <w:t xml:space="preserve"> </w:t>
            </w:r>
            <w:r w:rsidRPr="005303F7">
              <w:rPr>
                <w:rFonts w:ascii="Times New Roman" w:hAnsi="Times New Roman"/>
                <w:sz w:val="20"/>
                <w:lang w:val="sr-Cyrl-CS" w:eastAsia="pt-PT"/>
              </w:rPr>
              <w:t>системима</w:t>
            </w:r>
            <w:r w:rsidR="00AD299B" w:rsidRPr="005303F7">
              <w:rPr>
                <w:rFonts w:ascii="Times New Roman" w:hAnsi="Times New Roman"/>
                <w:sz w:val="20"/>
                <w:lang w:val="sr-Cyrl-CS" w:eastAsia="pt-PT"/>
              </w:rPr>
              <w:t xml:space="preserve"> </w:t>
            </w:r>
            <w:r w:rsidRPr="005303F7">
              <w:rPr>
                <w:rFonts w:ascii="Times New Roman" w:hAnsi="Times New Roman"/>
                <w:sz w:val="20"/>
                <w:lang w:val="sr-Cyrl-CS" w:eastAsia="pt-PT"/>
              </w:rPr>
              <w:t>даљинског</w:t>
            </w:r>
            <w:r w:rsidR="00AD299B" w:rsidRPr="005303F7">
              <w:rPr>
                <w:rFonts w:ascii="Times New Roman" w:hAnsi="Times New Roman"/>
                <w:sz w:val="20"/>
                <w:lang w:val="sr-Cyrl-CS" w:eastAsia="pt-PT"/>
              </w:rPr>
              <w:t xml:space="preserve"> </w:t>
            </w:r>
            <w:r w:rsidRPr="005303F7">
              <w:rPr>
                <w:rFonts w:ascii="Times New Roman" w:hAnsi="Times New Roman"/>
                <w:sz w:val="20"/>
                <w:lang w:val="sr-Cyrl-CS" w:eastAsia="pt-PT"/>
              </w:rPr>
              <w:t>грејањ</w:t>
            </w:r>
            <w:bookmarkEnd w:id="177"/>
            <w:bookmarkEnd w:id="178"/>
            <w:r w:rsidRPr="005303F7">
              <w:rPr>
                <w:rFonts w:ascii="Times New Roman" w:hAnsi="Times New Roman"/>
                <w:sz w:val="20"/>
                <w:lang w:val="sr-Cyrl-CS" w:eastAsia="pt-PT"/>
              </w:rPr>
              <w:t>а</w:t>
            </w:r>
            <w:r w:rsidR="00DB5B1E" w:rsidRPr="005303F7">
              <w:rPr>
                <w:rFonts w:ascii="Times New Roman" w:hAnsi="Times New Roman"/>
                <w:sz w:val="20"/>
                <w:lang w:val="sr-Cyrl-CS" w:eastAsia="pt-PT"/>
              </w:rPr>
              <w:t xml:space="preserve"> </w:t>
            </w:r>
          </w:p>
        </w:tc>
        <w:tc>
          <w:tcPr>
            <w:tcW w:w="1597" w:type="pct"/>
            <w:tcBorders>
              <w:top w:val="single" w:sz="4" w:space="0" w:color="auto"/>
              <w:left w:val="single" w:sz="4" w:space="0" w:color="auto"/>
              <w:bottom w:val="single" w:sz="4" w:space="0" w:color="auto"/>
              <w:right w:val="single" w:sz="4" w:space="0" w:color="auto"/>
            </w:tcBorders>
            <w:vAlign w:val="center"/>
          </w:tcPr>
          <w:p w14:paraId="26CC52A3" w14:textId="434B0949" w:rsidR="00DB5B1E" w:rsidRPr="005303F7" w:rsidRDefault="001735F4" w:rsidP="00A17981">
            <w:pPr>
              <w:tabs>
                <w:tab w:val="clear" w:pos="3825"/>
              </w:tabs>
              <w:overflowPunct/>
              <w:autoSpaceDE/>
              <w:autoSpaceDN/>
              <w:adjustRightInd/>
              <w:spacing w:before="0" w:after="0"/>
              <w:jc w:val="left"/>
              <w:textAlignment w:val="auto"/>
              <w:rPr>
                <w:rFonts w:ascii="Times New Roman" w:hAnsi="Times New Roman"/>
                <w:sz w:val="20"/>
                <w:lang w:val="sr-Cyrl-CS" w:eastAsia="pt-PT"/>
              </w:rPr>
            </w:pPr>
            <w:r w:rsidRPr="005303F7">
              <w:rPr>
                <w:rFonts w:ascii="Times New Roman" w:hAnsi="Times New Roman"/>
                <w:sz w:val="20"/>
                <w:lang w:val="sr-Cyrl-CS" w:eastAsia="pt-PT"/>
              </w:rPr>
              <w:t>Општине, јединице локалне самоуправе, као и релевантне заинтересоване стране у ланцу снабдевања биомасом</w:t>
            </w:r>
          </w:p>
        </w:tc>
      </w:tr>
      <w:tr w:rsidR="00A069FC" w:rsidRPr="005303F7" w14:paraId="17D527BA" w14:textId="77777777" w:rsidTr="00A17981">
        <w:trPr>
          <w:trHeight w:val="20"/>
        </w:trPr>
        <w:tc>
          <w:tcPr>
            <w:tcW w:w="1210" w:type="pct"/>
            <w:vMerge w:val="restart"/>
            <w:tcBorders>
              <w:top w:val="nil"/>
              <w:left w:val="single" w:sz="4" w:space="0" w:color="auto"/>
              <w:right w:val="single" w:sz="4" w:space="0" w:color="auto"/>
            </w:tcBorders>
            <w:shd w:val="clear" w:color="auto" w:fill="auto"/>
            <w:vAlign w:val="center"/>
          </w:tcPr>
          <w:p w14:paraId="7B652B69" w14:textId="58FDB7F2" w:rsidR="00A069FC" w:rsidRPr="005303F7" w:rsidRDefault="00607CBA" w:rsidP="00A17981">
            <w:pPr>
              <w:jc w:val="center"/>
              <w:rPr>
                <w:rFonts w:ascii="Times New Roman" w:hAnsi="Times New Roman"/>
                <w:sz w:val="20"/>
                <w:lang w:val="sr-Cyrl-CS"/>
              </w:rPr>
            </w:pPr>
            <w:r w:rsidRPr="005303F7">
              <w:rPr>
                <w:rFonts w:ascii="Times New Roman" w:hAnsi="Times New Roman"/>
                <w:sz w:val="20"/>
                <w:lang w:val="sr-Cyrl-CS"/>
              </w:rPr>
              <w:t>Посебан</w:t>
            </w:r>
            <w:r w:rsidR="00E677AD" w:rsidRPr="005303F7">
              <w:rPr>
                <w:rFonts w:ascii="Times New Roman" w:hAnsi="Times New Roman"/>
                <w:sz w:val="20"/>
                <w:lang w:val="sr-Cyrl-CS"/>
              </w:rPr>
              <w:t xml:space="preserve"> </w:t>
            </w:r>
            <w:r w:rsidRPr="005303F7">
              <w:rPr>
                <w:rFonts w:ascii="Times New Roman" w:hAnsi="Times New Roman"/>
                <w:sz w:val="20"/>
                <w:lang w:val="sr-Cyrl-CS"/>
              </w:rPr>
              <w:t>циљ</w:t>
            </w:r>
            <w:r w:rsidR="00A069FC" w:rsidRPr="005303F7">
              <w:rPr>
                <w:rFonts w:ascii="Times New Roman" w:hAnsi="Times New Roman"/>
                <w:sz w:val="20"/>
                <w:lang w:val="sr-Cyrl-CS"/>
              </w:rPr>
              <w:t xml:space="preserve"> 2: </w:t>
            </w:r>
            <w:r w:rsidRPr="005303F7">
              <w:rPr>
                <w:rFonts w:ascii="Times New Roman" w:hAnsi="Times New Roman"/>
                <w:sz w:val="20"/>
                <w:lang w:val="sr-Cyrl-CS"/>
              </w:rPr>
              <w:t>Смањење</w:t>
            </w:r>
            <w:r w:rsidR="00A24EDD" w:rsidRPr="005303F7">
              <w:rPr>
                <w:rFonts w:ascii="Times New Roman" w:hAnsi="Times New Roman"/>
                <w:sz w:val="20"/>
                <w:lang w:val="sr-Cyrl-CS"/>
              </w:rPr>
              <w:t xml:space="preserve"> </w:t>
            </w:r>
            <w:r w:rsidRPr="005303F7">
              <w:rPr>
                <w:rFonts w:ascii="Times New Roman" w:hAnsi="Times New Roman"/>
                <w:sz w:val="20"/>
                <w:lang w:val="sr-Cyrl-CS"/>
              </w:rPr>
              <w:t>емисија</w:t>
            </w:r>
            <w:r w:rsidR="00A24EDD" w:rsidRPr="005303F7">
              <w:rPr>
                <w:rFonts w:ascii="Times New Roman" w:hAnsi="Times New Roman"/>
                <w:sz w:val="20"/>
                <w:lang w:val="sr-Cyrl-CS"/>
              </w:rPr>
              <w:t xml:space="preserve"> </w:t>
            </w:r>
            <w:r w:rsidR="00555E31" w:rsidRPr="005303F7">
              <w:rPr>
                <w:rFonts w:ascii="Times New Roman" w:hAnsi="Times New Roman"/>
                <w:sz w:val="20"/>
                <w:lang w:val="sr-Cyrl-CS"/>
              </w:rPr>
              <w:t>GHG</w:t>
            </w:r>
            <w:r w:rsidR="00A24EDD" w:rsidRPr="005303F7">
              <w:rPr>
                <w:rFonts w:ascii="Times New Roman" w:hAnsi="Times New Roman"/>
                <w:sz w:val="20"/>
                <w:lang w:val="sr-Cyrl-CS"/>
              </w:rPr>
              <w:t xml:space="preserve"> </w:t>
            </w:r>
            <w:r w:rsidRPr="005303F7">
              <w:rPr>
                <w:rFonts w:ascii="Times New Roman" w:hAnsi="Times New Roman"/>
                <w:sz w:val="20"/>
                <w:lang w:val="sr-Cyrl-CS"/>
              </w:rPr>
              <w:t>које</w:t>
            </w:r>
            <w:r w:rsidR="00A24EDD" w:rsidRPr="005303F7">
              <w:rPr>
                <w:rFonts w:ascii="Times New Roman" w:hAnsi="Times New Roman"/>
                <w:sz w:val="20"/>
                <w:lang w:val="sr-Cyrl-CS"/>
              </w:rPr>
              <w:t xml:space="preserve"> </w:t>
            </w:r>
            <w:r w:rsidRPr="005303F7">
              <w:rPr>
                <w:rFonts w:ascii="Times New Roman" w:hAnsi="Times New Roman"/>
                <w:sz w:val="20"/>
                <w:lang w:val="sr-Cyrl-CS"/>
              </w:rPr>
              <w:t>н</w:t>
            </w:r>
            <w:r w:rsidR="00E34136" w:rsidRPr="005303F7">
              <w:rPr>
                <w:rFonts w:ascii="Times New Roman" w:hAnsi="Times New Roman"/>
                <w:sz w:val="20"/>
                <w:lang w:val="sr-Cyrl-CS"/>
              </w:rPr>
              <w:t>еће бити</w:t>
            </w:r>
            <w:r w:rsidR="00A24EDD" w:rsidRPr="005303F7">
              <w:rPr>
                <w:rFonts w:ascii="Times New Roman" w:hAnsi="Times New Roman"/>
                <w:sz w:val="20"/>
                <w:lang w:val="sr-Cyrl-CS"/>
              </w:rPr>
              <w:t xml:space="preserve"> </w:t>
            </w:r>
            <w:r w:rsidRPr="005303F7">
              <w:rPr>
                <w:rFonts w:ascii="Times New Roman" w:hAnsi="Times New Roman"/>
                <w:sz w:val="20"/>
                <w:lang w:val="sr-Cyrl-CS"/>
              </w:rPr>
              <w:t>обухваћене</w:t>
            </w:r>
            <w:r w:rsidR="00A24EDD" w:rsidRPr="005303F7">
              <w:rPr>
                <w:rFonts w:ascii="Times New Roman" w:hAnsi="Times New Roman"/>
                <w:sz w:val="20"/>
                <w:lang w:val="sr-Cyrl-CS"/>
              </w:rPr>
              <w:t xml:space="preserve"> </w:t>
            </w:r>
            <w:r w:rsidRPr="005303F7">
              <w:rPr>
                <w:rFonts w:ascii="Times New Roman" w:hAnsi="Times New Roman"/>
                <w:sz w:val="20"/>
                <w:lang w:val="sr-Cyrl-CS"/>
              </w:rPr>
              <w:t>Е</w:t>
            </w:r>
            <w:r w:rsidR="00555E31" w:rsidRPr="005303F7">
              <w:rPr>
                <w:rFonts w:ascii="Times New Roman" w:hAnsi="Times New Roman"/>
                <w:sz w:val="20"/>
                <w:lang w:val="sr-Cyrl-CS"/>
              </w:rPr>
              <w:t>U</w:t>
            </w:r>
            <w:r w:rsidR="00A24EDD" w:rsidRPr="005303F7">
              <w:rPr>
                <w:rFonts w:ascii="Times New Roman" w:hAnsi="Times New Roman"/>
                <w:sz w:val="20"/>
                <w:lang w:val="sr-Cyrl-CS"/>
              </w:rPr>
              <w:t>-</w:t>
            </w:r>
            <w:r w:rsidRPr="005303F7">
              <w:rPr>
                <w:rFonts w:ascii="Times New Roman" w:hAnsi="Times New Roman"/>
                <w:sz w:val="20"/>
                <w:lang w:val="sr-Cyrl-CS"/>
              </w:rPr>
              <w:t>ЕТ</w:t>
            </w:r>
            <w:r w:rsidR="00555E31" w:rsidRPr="005303F7">
              <w:rPr>
                <w:rFonts w:ascii="Times New Roman" w:hAnsi="Times New Roman"/>
                <w:sz w:val="20"/>
                <w:lang w:val="sr-Cyrl-CS"/>
              </w:rPr>
              <w:t>S</w:t>
            </w:r>
            <w:r w:rsidR="00A24EDD" w:rsidRPr="005303F7">
              <w:rPr>
                <w:rFonts w:ascii="Times New Roman" w:hAnsi="Times New Roman"/>
                <w:sz w:val="20"/>
                <w:lang w:val="sr-Cyrl-CS"/>
              </w:rPr>
              <w:t>-</w:t>
            </w:r>
            <w:r w:rsidRPr="005303F7">
              <w:rPr>
                <w:rFonts w:ascii="Times New Roman" w:hAnsi="Times New Roman"/>
                <w:sz w:val="20"/>
                <w:lang w:val="sr-Cyrl-CS"/>
              </w:rPr>
              <w:t>ом</w:t>
            </w:r>
            <w:r w:rsidR="00A24EDD" w:rsidRPr="005303F7">
              <w:rPr>
                <w:rFonts w:ascii="Times New Roman" w:hAnsi="Times New Roman"/>
                <w:sz w:val="20"/>
                <w:lang w:val="sr-Cyrl-CS"/>
              </w:rPr>
              <w:t xml:space="preserve"> </w:t>
            </w:r>
            <w:r w:rsidRPr="005303F7">
              <w:rPr>
                <w:rFonts w:ascii="Times New Roman" w:hAnsi="Times New Roman"/>
                <w:sz w:val="20"/>
                <w:lang w:val="sr-Cyrl-CS"/>
              </w:rPr>
              <w:t>за</w:t>
            </w:r>
            <w:r w:rsidR="00A24EDD" w:rsidRPr="005303F7">
              <w:rPr>
                <w:rFonts w:ascii="Times New Roman" w:hAnsi="Times New Roman"/>
                <w:sz w:val="20"/>
                <w:lang w:val="sr-Cyrl-CS"/>
              </w:rPr>
              <w:t xml:space="preserve"> 9,7% </w:t>
            </w:r>
            <w:r w:rsidRPr="005303F7">
              <w:rPr>
                <w:rFonts w:ascii="Times New Roman" w:hAnsi="Times New Roman"/>
                <w:sz w:val="20"/>
                <w:lang w:val="sr-Cyrl-CS"/>
              </w:rPr>
              <w:t>у</w:t>
            </w:r>
            <w:r w:rsidR="00A24EDD" w:rsidRPr="005303F7">
              <w:rPr>
                <w:rFonts w:ascii="Times New Roman" w:hAnsi="Times New Roman"/>
                <w:sz w:val="20"/>
                <w:lang w:val="sr-Cyrl-CS"/>
              </w:rPr>
              <w:t xml:space="preserve"> 2030. </w:t>
            </w:r>
            <w:r w:rsidRPr="005303F7">
              <w:rPr>
                <w:rFonts w:ascii="Times New Roman" w:hAnsi="Times New Roman"/>
                <w:sz w:val="20"/>
                <w:lang w:val="sr-Cyrl-CS"/>
              </w:rPr>
              <w:t>години</w:t>
            </w:r>
            <w:r w:rsidR="00A24EDD" w:rsidRPr="005303F7">
              <w:rPr>
                <w:rFonts w:ascii="Times New Roman" w:hAnsi="Times New Roman"/>
                <w:sz w:val="20"/>
                <w:lang w:val="sr-Cyrl-CS"/>
              </w:rPr>
              <w:t xml:space="preserve"> </w:t>
            </w:r>
            <w:r w:rsidRPr="005303F7">
              <w:rPr>
                <w:rFonts w:ascii="Times New Roman" w:hAnsi="Times New Roman"/>
                <w:sz w:val="20"/>
                <w:lang w:val="sr-Cyrl-CS"/>
              </w:rPr>
              <w:t>и</w:t>
            </w:r>
            <w:r w:rsidR="00A24EDD" w:rsidRPr="005303F7">
              <w:rPr>
                <w:rFonts w:ascii="Times New Roman" w:hAnsi="Times New Roman"/>
                <w:sz w:val="20"/>
                <w:lang w:val="sr-Cyrl-CS"/>
              </w:rPr>
              <w:t xml:space="preserve"> </w:t>
            </w:r>
            <w:r w:rsidRPr="005303F7">
              <w:rPr>
                <w:rFonts w:ascii="Times New Roman" w:hAnsi="Times New Roman"/>
                <w:sz w:val="20"/>
                <w:lang w:val="sr-Cyrl-CS"/>
              </w:rPr>
              <w:t>између</w:t>
            </w:r>
            <w:r w:rsidR="00A24EDD" w:rsidRPr="005303F7">
              <w:rPr>
                <w:rFonts w:ascii="Times New Roman" w:hAnsi="Times New Roman"/>
                <w:sz w:val="20"/>
                <w:lang w:val="sr-Cyrl-CS"/>
              </w:rPr>
              <w:t xml:space="preserve"> 33,5% </w:t>
            </w:r>
            <w:r w:rsidRPr="005303F7">
              <w:rPr>
                <w:rFonts w:ascii="Times New Roman" w:hAnsi="Times New Roman"/>
                <w:sz w:val="20"/>
                <w:lang w:val="sr-Cyrl-CS"/>
              </w:rPr>
              <w:t>и</w:t>
            </w:r>
            <w:r w:rsidR="00A24EDD" w:rsidRPr="005303F7">
              <w:rPr>
                <w:rFonts w:ascii="Times New Roman" w:hAnsi="Times New Roman"/>
                <w:sz w:val="20"/>
                <w:lang w:val="sr-Cyrl-CS"/>
              </w:rPr>
              <w:t xml:space="preserve"> 54,5% </w:t>
            </w:r>
            <w:r w:rsidRPr="005303F7">
              <w:rPr>
                <w:rFonts w:ascii="Times New Roman" w:hAnsi="Times New Roman"/>
                <w:sz w:val="20"/>
                <w:lang w:val="sr-Cyrl-CS"/>
              </w:rPr>
              <w:t>до</w:t>
            </w:r>
            <w:r w:rsidR="00A24EDD" w:rsidRPr="005303F7">
              <w:rPr>
                <w:rFonts w:ascii="Times New Roman" w:hAnsi="Times New Roman"/>
                <w:sz w:val="20"/>
                <w:lang w:val="sr-Cyrl-CS"/>
              </w:rPr>
              <w:t xml:space="preserve"> 2050. </w:t>
            </w:r>
            <w:r w:rsidRPr="005303F7">
              <w:rPr>
                <w:rFonts w:ascii="Times New Roman" w:hAnsi="Times New Roman"/>
                <w:sz w:val="20"/>
                <w:lang w:val="sr-Cyrl-CS"/>
              </w:rPr>
              <w:t>у</w:t>
            </w:r>
            <w:r w:rsidR="00A24EDD" w:rsidRPr="005303F7">
              <w:rPr>
                <w:rFonts w:ascii="Times New Roman" w:hAnsi="Times New Roman"/>
                <w:sz w:val="20"/>
                <w:lang w:val="sr-Cyrl-CS"/>
              </w:rPr>
              <w:t xml:space="preserve"> </w:t>
            </w:r>
            <w:r w:rsidRPr="005303F7">
              <w:rPr>
                <w:rFonts w:ascii="Times New Roman" w:hAnsi="Times New Roman"/>
                <w:sz w:val="20"/>
                <w:lang w:val="sr-Cyrl-CS"/>
              </w:rPr>
              <w:t>поређењу</w:t>
            </w:r>
            <w:r w:rsidR="00A24EDD" w:rsidRPr="005303F7">
              <w:rPr>
                <w:rFonts w:ascii="Times New Roman" w:hAnsi="Times New Roman"/>
                <w:sz w:val="20"/>
                <w:lang w:val="sr-Cyrl-CS"/>
              </w:rPr>
              <w:t xml:space="preserve"> </w:t>
            </w:r>
            <w:r w:rsidRPr="005303F7">
              <w:rPr>
                <w:rFonts w:ascii="Times New Roman" w:hAnsi="Times New Roman"/>
                <w:sz w:val="20"/>
                <w:lang w:val="sr-Cyrl-CS"/>
              </w:rPr>
              <w:t>са</w:t>
            </w:r>
            <w:r w:rsidR="00A24EDD" w:rsidRPr="005303F7">
              <w:rPr>
                <w:rFonts w:ascii="Times New Roman" w:hAnsi="Times New Roman"/>
                <w:sz w:val="20"/>
                <w:lang w:val="sr-Cyrl-CS"/>
              </w:rPr>
              <w:t xml:space="preserve"> 2010. </w:t>
            </w:r>
            <w:r w:rsidRPr="005303F7">
              <w:rPr>
                <w:rFonts w:ascii="Times New Roman" w:hAnsi="Times New Roman"/>
                <w:sz w:val="20"/>
                <w:lang w:val="sr-Cyrl-CS"/>
              </w:rPr>
              <w:t>годином</w:t>
            </w:r>
            <w:r w:rsidR="00A24EDD" w:rsidRPr="005303F7">
              <w:rPr>
                <w:rFonts w:ascii="Times New Roman" w:hAnsi="Times New Roman"/>
                <w:sz w:val="20"/>
                <w:lang w:val="sr-Cyrl-CS"/>
              </w:rPr>
              <w:t>.</w:t>
            </w:r>
          </w:p>
          <w:p w14:paraId="203A60D1" w14:textId="77777777" w:rsidR="00A069FC" w:rsidRPr="005303F7" w:rsidRDefault="00A069FC" w:rsidP="00A17981">
            <w:pPr>
              <w:spacing w:before="0" w:after="0"/>
              <w:jc w:val="center"/>
              <w:rPr>
                <w:rFonts w:ascii="Times New Roman" w:hAnsi="Times New Roman"/>
                <w:sz w:val="20"/>
                <w:lang w:val="sr-Cyrl-CS"/>
              </w:rPr>
            </w:pPr>
          </w:p>
        </w:tc>
        <w:tc>
          <w:tcPr>
            <w:tcW w:w="2193" w:type="pct"/>
            <w:tcBorders>
              <w:top w:val="nil"/>
              <w:left w:val="nil"/>
              <w:bottom w:val="single" w:sz="4" w:space="0" w:color="auto"/>
              <w:right w:val="single" w:sz="4" w:space="0" w:color="auto"/>
            </w:tcBorders>
            <w:shd w:val="clear" w:color="auto" w:fill="auto"/>
            <w:vAlign w:val="center"/>
          </w:tcPr>
          <w:p w14:paraId="7AA0F73B" w14:textId="345899E2" w:rsidR="00A069FC" w:rsidRPr="005303F7" w:rsidRDefault="003B42CB" w:rsidP="00A24EDD">
            <w:pPr>
              <w:tabs>
                <w:tab w:val="clear" w:pos="3825"/>
              </w:tabs>
              <w:overflowPunct/>
              <w:autoSpaceDE/>
              <w:autoSpaceDN/>
              <w:adjustRightInd/>
              <w:spacing w:before="0" w:after="0"/>
              <w:jc w:val="center"/>
              <w:textAlignment w:val="auto"/>
              <w:rPr>
                <w:rFonts w:ascii="Times New Roman" w:hAnsi="Times New Roman"/>
                <w:i/>
                <w:iCs/>
                <w:color w:val="000000"/>
                <w:sz w:val="20"/>
                <w:lang w:val="sr-Cyrl-CS" w:eastAsia="pt-PT"/>
              </w:rPr>
            </w:pPr>
            <w:r w:rsidRPr="005303F7">
              <w:rPr>
                <w:rFonts w:ascii="Times New Roman" w:hAnsi="Times New Roman"/>
                <w:color w:val="000000"/>
                <w:sz w:val="20"/>
                <w:lang w:val="sr-Cyrl-CS" w:eastAsia="pt-PT"/>
              </w:rPr>
              <w:t xml:space="preserve">Увођење цене на угљеник </w:t>
            </w:r>
            <w:r w:rsidR="00607CBA" w:rsidRPr="005303F7">
              <w:rPr>
                <w:rFonts w:ascii="Times New Roman" w:hAnsi="Times New Roman"/>
                <w:color w:val="000000"/>
                <w:sz w:val="20"/>
                <w:lang w:val="sr-Cyrl-CS" w:eastAsia="pt-PT"/>
              </w:rPr>
              <w:t>и</w:t>
            </w:r>
            <w:r w:rsidR="00A24EDD" w:rsidRPr="005303F7">
              <w:rPr>
                <w:rFonts w:ascii="Times New Roman" w:hAnsi="Times New Roman"/>
                <w:color w:val="000000"/>
                <w:sz w:val="20"/>
                <w:lang w:val="sr-Cyrl-CS" w:eastAsia="pt-PT"/>
              </w:rPr>
              <w:t xml:space="preserve"> </w:t>
            </w:r>
            <w:r w:rsidR="00607CBA" w:rsidRPr="005303F7">
              <w:rPr>
                <w:rFonts w:ascii="Times New Roman" w:hAnsi="Times New Roman"/>
                <w:color w:val="000000"/>
                <w:sz w:val="20"/>
                <w:lang w:val="sr-Cyrl-CS" w:eastAsia="pt-PT"/>
              </w:rPr>
              <w:t>акцизе</w:t>
            </w:r>
            <w:r w:rsidR="00C07D98" w:rsidRPr="005303F7">
              <w:rPr>
                <w:rFonts w:ascii="Times New Roman" w:hAnsi="Times New Roman"/>
                <w:color w:val="000000"/>
                <w:sz w:val="20"/>
                <w:lang w:val="sr-Cyrl-CS" w:eastAsia="pt-PT"/>
              </w:rPr>
              <w:t xml:space="preserve"> </w:t>
            </w:r>
            <w:r w:rsidR="00607CBA" w:rsidRPr="005303F7">
              <w:rPr>
                <w:rFonts w:ascii="Times New Roman" w:hAnsi="Times New Roman"/>
                <w:color w:val="000000"/>
                <w:sz w:val="20"/>
                <w:lang w:val="sr-Cyrl-CS" w:eastAsia="pt-PT"/>
              </w:rPr>
              <w:t>на</w:t>
            </w:r>
            <w:r w:rsidR="00A24ED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 xml:space="preserve">финалну потрошњу </w:t>
            </w:r>
            <w:r w:rsidR="00607CBA" w:rsidRPr="005303F7">
              <w:rPr>
                <w:rFonts w:ascii="Times New Roman" w:hAnsi="Times New Roman"/>
                <w:color w:val="000000"/>
                <w:sz w:val="20"/>
                <w:lang w:val="sr-Cyrl-CS" w:eastAsia="pt-PT"/>
              </w:rPr>
              <w:t>енергиј</w:t>
            </w:r>
            <w:r w:rsidRPr="005303F7">
              <w:rPr>
                <w:rFonts w:ascii="Times New Roman" w:hAnsi="Times New Roman"/>
                <w:color w:val="000000"/>
                <w:sz w:val="20"/>
                <w:lang w:val="sr-Cyrl-CS" w:eastAsia="pt-PT"/>
              </w:rPr>
              <w:t>е</w:t>
            </w:r>
          </w:p>
        </w:tc>
        <w:tc>
          <w:tcPr>
            <w:tcW w:w="1597" w:type="pct"/>
            <w:tcBorders>
              <w:top w:val="nil"/>
              <w:left w:val="nil"/>
              <w:bottom w:val="single" w:sz="4" w:space="0" w:color="auto"/>
              <w:right w:val="single" w:sz="4" w:space="0" w:color="auto"/>
            </w:tcBorders>
            <w:shd w:val="clear" w:color="auto" w:fill="auto"/>
            <w:vAlign w:val="center"/>
          </w:tcPr>
          <w:p w14:paraId="0C399350" w14:textId="6A8FE4AE" w:rsidR="00A069FC" w:rsidRPr="005303F7" w:rsidRDefault="00607CBA" w:rsidP="00B83F35">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Сви</w:t>
            </w:r>
            <w:r w:rsidR="00B2532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крајњи</w:t>
            </w:r>
            <w:r w:rsidR="00B2532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корисници</w:t>
            </w:r>
            <w:r w:rsidR="00B2532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енергије</w:t>
            </w:r>
            <w:r w:rsidR="00DA6F4B" w:rsidRPr="005303F7">
              <w:rPr>
                <w:rFonts w:ascii="Times New Roman" w:hAnsi="Times New Roman"/>
                <w:color w:val="000000"/>
                <w:sz w:val="20"/>
                <w:lang w:val="sr-Cyrl-CS" w:eastAsia="pt-PT"/>
              </w:rPr>
              <w:t xml:space="preserve"> произведене из фосилних горива</w:t>
            </w:r>
            <w:r w:rsidR="00B2532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из</w:t>
            </w:r>
            <w:r w:rsidR="00274392" w:rsidRPr="005303F7">
              <w:rPr>
                <w:rFonts w:ascii="Times New Roman" w:hAnsi="Times New Roman"/>
                <w:color w:val="000000"/>
                <w:sz w:val="20"/>
                <w:lang w:val="sr-Cyrl-CS" w:eastAsia="pt-PT"/>
              </w:rPr>
              <w:t xml:space="preserve"> </w:t>
            </w:r>
            <w:r w:rsidR="003752AB" w:rsidRPr="005303F7">
              <w:rPr>
                <w:rFonts w:ascii="Times New Roman" w:hAnsi="Times New Roman"/>
                <w:color w:val="000000"/>
                <w:sz w:val="20"/>
                <w:lang w:val="sr-Cyrl-CS" w:eastAsia="pt-PT"/>
              </w:rPr>
              <w:t xml:space="preserve">сектора </w:t>
            </w:r>
            <w:r w:rsidRPr="005303F7">
              <w:rPr>
                <w:rFonts w:ascii="Times New Roman" w:hAnsi="Times New Roman"/>
                <w:color w:val="000000"/>
                <w:sz w:val="20"/>
                <w:lang w:val="sr-Cyrl-CS" w:eastAsia="pt-PT"/>
              </w:rPr>
              <w:t>индустрије</w:t>
            </w:r>
            <w:r w:rsidR="00A069FC" w:rsidRPr="005303F7">
              <w:rPr>
                <w:rStyle w:val="FootnoteReference"/>
                <w:rFonts w:ascii="Times New Roman" w:hAnsi="Times New Roman"/>
                <w:color w:val="000000"/>
                <w:szCs w:val="16"/>
                <w:lang w:val="sr-Cyrl-CS" w:eastAsia="pt-PT"/>
              </w:rPr>
              <w:footnoteReference w:id="38"/>
            </w:r>
            <w:r w:rsidR="00A069F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стамбеног</w:t>
            </w:r>
            <w:r w:rsidR="00274392"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274392"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терцијарног</w:t>
            </w:r>
            <w:r w:rsidR="00274392"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сектора</w:t>
            </w:r>
          </w:p>
        </w:tc>
      </w:tr>
      <w:tr w:rsidR="00A069FC" w:rsidRPr="005303F7" w14:paraId="0FBAC411" w14:textId="77777777" w:rsidTr="00A17981">
        <w:trPr>
          <w:trHeight w:val="20"/>
        </w:trPr>
        <w:tc>
          <w:tcPr>
            <w:tcW w:w="1210" w:type="pct"/>
            <w:vMerge/>
            <w:tcBorders>
              <w:top w:val="nil"/>
              <w:left w:val="single" w:sz="4" w:space="0" w:color="auto"/>
              <w:right w:val="single" w:sz="4" w:space="0" w:color="auto"/>
            </w:tcBorders>
            <w:shd w:val="clear" w:color="auto" w:fill="auto"/>
            <w:vAlign w:val="center"/>
          </w:tcPr>
          <w:p w14:paraId="6761BEDE" w14:textId="77777777" w:rsidR="00A069FC" w:rsidRPr="005303F7" w:rsidRDefault="00A069FC" w:rsidP="00A17981">
            <w:pPr>
              <w:jc w:val="center"/>
              <w:rPr>
                <w:rFonts w:ascii="Times New Roman" w:hAnsi="Times New Roman"/>
                <w:sz w:val="20"/>
                <w:lang w:val="sr-Cyrl-CS"/>
              </w:rPr>
            </w:pPr>
          </w:p>
        </w:tc>
        <w:tc>
          <w:tcPr>
            <w:tcW w:w="2193" w:type="pct"/>
            <w:tcBorders>
              <w:top w:val="nil"/>
              <w:left w:val="nil"/>
              <w:bottom w:val="single" w:sz="4" w:space="0" w:color="auto"/>
              <w:right w:val="single" w:sz="4" w:space="0" w:color="auto"/>
            </w:tcBorders>
            <w:shd w:val="clear" w:color="auto" w:fill="auto"/>
            <w:vAlign w:val="center"/>
          </w:tcPr>
          <w:p w14:paraId="2BE4429C" w14:textId="51FBE568" w:rsidR="00A069FC" w:rsidRPr="005303F7" w:rsidRDefault="00607CBA" w:rsidP="00A17981">
            <w:pPr>
              <w:tabs>
                <w:tab w:val="clear" w:pos="3825"/>
              </w:tabs>
              <w:overflowPunct/>
              <w:autoSpaceDE/>
              <w:autoSpaceDN/>
              <w:adjustRightInd/>
              <w:spacing w:before="0" w:after="0"/>
              <w:textAlignment w:val="auto"/>
              <w:rPr>
                <w:rFonts w:ascii="Times New Roman" w:hAnsi="Times New Roman"/>
                <w:i/>
                <w:iCs/>
                <w:color w:val="000000"/>
                <w:sz w:val="20"/>
                <w:lang w:val="sr-Cyrl-CS" w:eastAsia="pt-PT"/>
              </w:rPr>
            </w:pPr>
            <w:r w:rsidRPr="005303F7">
              <w:rPr>
                <w:rFonts w:ascii="Times New Roman" w:hAnsi="Times New Roman"/>
                <w:i/>
                <w:iCs/>
                <w:color w:val="000000"/>
                <w:sz w:val="20"/>
                <w:lang w:val="sr-Cyrl-CS" w:eastAsia="pt-PT"/>
              </w:rPr>
              <w:t>Индустрија</w:t>
            </w:r>
          </w:p>
        </w:tc>
        <w:tc>
          <w:tcPr>
            <w:tcW w:w="1597" w:type="pct"/>
            <w:tcBorders>
              <w:top w:val="nil"/>
              <w:left w:val="nil"/>
              <w:bottom w:val="single" w:sz="4" w:space="0" w:color="auto"/>
              <w:right w:val="single" w:sz="4" w:space="0" w:color="auto"/>
            </w:tcBorders>
            <w:shd w:val="clear" w:color="auto" w:fill="auto"/>
            <w:vAlign w:val="center"/>
          </w:tcPr>
          <w:p w14:paraId="6EDC2D17" w14:textId="77777777" w:rsidR="00A069FC" w:rsidRPr="005303F7" w:rsidRDefault="00A069FC" w:rsidP="00A17981">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A069FC" w:rsidRPr="005303F7" w14:paraId="2D9336C0" w14:textId="77777777" w:rsidTr="00A17981">
        <w:trPr>
          <w:trHeight w:val="20"/>
        </w:trPr>
        <w:tc>
          <w:tcPr>
            <w:tcW w:w="1210" w:type="pct"/>
            <w:vMerge/>
            <w:tcBorders>
              <w:left w:val="single" w:sz="4" w:space="0" w:color="auto"/>
              <w:right w:val="single" w:sz="4" w:space="0" w:color="auto"/>
            </w:tcBorders>
            <w:shd w:val="clear" w:color="auto" w:fill="auto"/>
            <w:vAlign w:val="center"/>
            <w:hideMark/>
          </w:tcPr>
          <w:p w14:paraId="0B008BA2" w14:textId="77777777" w:rsidR="00A069FC" w:rsidRPr="005303F7" w:rsidRDefault="00A069FC" w:rsidP="00A17981">
            <w:pPr>
              <w:spacing w:before="0" w:after="0"/>
              <w:jc w:val="center"/>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hideMark/>
          </w:tcPr>
          <w:p w14:paraId="2EF975F5" w14:textId="235B6091" w:rsidR="00A069FC" w:rsidRPr="005303F7" w:rsidRDefault="00607CBA" w:rsidP="00E82018">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Унапређење</w:t>
            </w:r>
            <w:r w:rsidR="00E8201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енергетске</w:t>
            </w:r>
            <w:r w:rsidR="00E8201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ефикасности</w:t>
            </w:r>
            <w:r w:rsidR="00E8201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E8201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повећање</w:t>
            </w:r>
            <w:r w:rsidR="00E8201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коришћења</w:t>
            </w:r>
            <w:r w:rsidR="00E8201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ОИЕ</w:t>
            </w:r>
            <w:r w:rsidR="00E8201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w:t>
            </w:r>
            <w:r w:rsidR="00E8201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индустрији</w:t>
            </w:r>
            <w:r w:rsidR="00A069FC" w:rsidRPr="005303F7">
              <w:rPr>
                <w:rFonts w:ascii="Times New Roman" w:hAnsi="Times New Roman"/>
                <w:color w:val="000000"/>
                <w:sz w:val="20"/>
                <w:lang w:val="sr-Cyrl-CS" w:eastAsia="pt-PT"/>
              </w:rPr>
              <w:t xml:space="preserve"> </w:t>
            </w:r>
          </w:p>
        </w:tc>
        <w:tc>
          <w:tcPr>
            <w:tcW w:w="1597" w:type="pct"/>
            <w:tcBorders>
              <w:top w:val="nil"/>
              <w:left w:val="nil"/>
              <w:bottom w:val="single" w:sz="4" w:space="0" w:color="auto"/>
              <w:right w:val="single" w:sz="4" w:space="0" w:color="auto"/>
            </w:tcBorders>
            <w:shd w:val="clear" w:color="auto" w:fill="auto"/>
            <w:vAlign w:val="center"/>
            <w:hideMark/>
          </w:tcPr>
          <w:p w14:paraId="332F0302" w14:textId="4659B72C" w:rsidR="00A069FC" w:rsidRPr="005303F7" w:rsidRDefault="00607CBA" w:rsidP="00A17981">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Компаније</w:t>
            </w:r>
            <w:r w:rsidR="005B49B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потрошачи</w:t>
            </w:r>
          </w:p>
        </w:tc>
      </w:tr>
      <w:tr w:rsidR="00A069FC" w:rsidRPr="005303F7" w14:paraId="4AC25A7F" w14:textId="77777777" w:rsidTr="00A17981">
        <w:trPr>
          <w:trHeight w:val="20"/>
        </w:trPr>
        <w:tc>
          <w:tcPr>
            <w:tcW w:w="1210" w:type="pct"/>
            <w:vMerge/>
            <w:tcBorders>
              <w:left w:val="single" w:sz="4" w:space="0" w:color="auto"/>
              <w:right w:val="single" w:sz="4" w:space="0" w:color="auto"/>
            </w:tcBorders>
            <w:vAlign w:val="center"/>
          </w:tcPr>
          <w:p w14:paraId="03A8211F" w14:textId="77777777" w:rsidR="00A069FC" w:rsidRPr="005303F7" w:rsidRDefault="00A069FC" w:rsidP="00A17981">
            <w:pPr>
              <w:spacing w:before="0" w:after="0"/>
              <w:jc w:val="center"/>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tcPr>
          <w:p w14:paraId="640B4CAB" w14:textId="38ED6577" w:rsidR="00A069FC" w:rsidRPr="005303F7" w:rsidRDefault="00607CBA" w:rsidP="00A17981">
            <w:pPr>
              <w:tabs>
                <w:tab w:val="clear" w:pos="3825"/>
              </w:tabs>
              <w:overflowPunct/>
              <w:autoSpaceDE/>
              <w:autoSpaceDN/>
              <w:adjustRightInd/>
              <w:spacing w:before="0" w:after="0"/>
              <w:textAlignment w:val="auto"/>
              <w:rPr>
                <w:rFonts w:ascii="Times New Roman" w:hAnsi="Times New Roman"/>
                <w:i/>
                <w:iCs/>
                <w:color w:val="000000"/>
                <w:sz w:val="20"/>
                <w:lang w:val="sr-Cyrl-CS" w:eastAsia="pt-PT"/>
              </w:rPr>
            </w:pPr>
            <w:r w:rsidRPr="005303F7">
              <w:rPr>
                <w:rFonts w:ascii="Times New Roman" w:hAnsi="Times New Roman"/>
                <w:i/>
                <w:iCs/>
                <w:color w:val="000000"/>
                <w:sz w:val="20"/>
                <w:lang w:val="sr-Cyrl-CS" w:eastAsia="pt-PT"/>
              </w:rPr>
              <w:t>Домаћинства</w:t>
            </w:r>
            <w:r w:rsidR="003837F9" w:rsidRPr="005303F7">
              <w:rPr>
                <w:rFonts w:ascii="Times New Roman" w:hAnsi="Times New Roman"/>
                <w:i/>
                <w:iCs/>
                <w:color w:val="000000"/>
                <w:sz w:val="20"/>
                <w:lang w:val="sr-Cyrl-CS" w:eastAsia="pt-PT"/>
              </w:rPr>
              <w:t xml:space="preserve"> </w:t>
            </w:r>
            <w:r w:rsidRPr="005303F7">
              <w:rPr>
                <w:rFonts w:ascii="Times New Roman" w:hAnsi="Times New Roman"/>
                <w:i/>
                <w:iCs/>
                <w:color w:val="000000"/>
                <w:sz w:val="20"/>
                <w:lang w:val="sr-Cyrl-CS" w:eastAsia="pt-PT"/>
              </w:rPr>
              <w:t>и</w:t>
            </w:r>
            <w:r w:rsidR="003837F9" w:rsidRPr="005303F7">
              <w:rPr>
                <w:rFonts w:ascii="Times New Roman" w:hAnsi="Times New Roman"/>
                <w:i/>
                <w:iCs/>
                <w:color w:val="000000"/>
                <w:sz w:val="20"/>
                <w:lang w:val="sr-Cyrl-CS" w:eastAsia="pt-PT"/>
              </w:rPr>
              <w:t xml:space="preserve"> </w:t>
            </w:r>
            <w:r w:rsidRPr="005303F7">
              <w:rPr>
                <w:rFonts w:ascii="Times New Roman" w:hAnsi="Times New Roman"/>
                <w:i/>
                <w:iCs/>
                <w:color w:val="000000"/>
                <w:sz w:val="20"/>
                <w:lang w:val="sr-Cyrl-CS" w:eastAsia="pt-PT"/>
              </w:rPr>
              <w:t>терцијарни</w:t>
            </w:r>
            <w:r w:rsidR="003837F9" w:rsidRPr="005303F7">
              <w:rPr>
                <w:rFonts w:ascii="Times New Roman" w:hAnsi="Times New Roman"/>
                <w:i/>
                <w:iCs/>
                <w:color w:val="000000"/>
                <w:sz w:val="20"/>
                <w:lang w:val="sr-Cyrl-CS" w:eastAsia="pt-PT"/>
              </w:rPr>
              <w:t xml:space="preserve"> </w:t>
            </w:r>
            <w:r w:rsidRPr="005303F7">
              <w:rPr>
                <w:rFonts w:ascii="Times New Roman" w:hAnsi="Times New Roman"/>
                <w:i/>
                <w:iCs/>
                <w:color w:val="000000"/>
                <w:sz w:val="20"/>
                <w:lang w:val="sr-Cyrl-CS" w:eastAsia="pt-PT"/>
              </w:rPr>
              <w:t>сектор</w:t>
            </w:r>
          </w:p>
        </w:tc>
        <w:tc>
          <w:tcPr>
            <w:tcW w:w="1597" w:type="pct"/>
            <w:tcBorders>
              <w:top w:val="nil"/>
              <w:left w:val="nil"/>
              <w:bottom w:val="single" w:sz="4" w:space="0" w:color="auto"/>
              <w:right w:val="single" w:sz="4" w:space="0" w:color="auto"/>
            </w:tcBorders>
            <w:shd w:val="clear" w:color="auto" w:fill="auto"/>
            <w:vAlign w:val="center"/>
          </w:tcPr>
          <w:p w14:paraId="208934FC" w14:textId="77777777" w:rsidR="00A069FC" w:rsidRPr="005303F7" w:rsidRDefault="00A069FC" w:rsidP="00A17981">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A069FC" w:rsidRPr="005303F7" w14:paraId="20FA2504" w14:textId="77777777" w:rsidTr="00A17981">
        <w:trPr>
          <w:trHeight w:val="20"/>
        </w:trPr>
        <w:tc>
          <w:tcPr>
            <w:tcW w:w="1210" w:type="pct"/>
            <w:vMerge/>
            <w:tcBorders>
              <w:left w:val="single" w:sz="4" w:space="0" w:color="auto"/>
              <w:right w:val="single" w:sz="4" w:space="0" w:color="auto"/>
            </w:tcBorders>
            <w:vAlign w:val="center"/>
            <w:hideMark/>
          </w:tcPr>
          <w:p w14:paraId="1D16A7C2" w14:textId="77777777" w:rsidR="00A069FC" w:rsidRPr="005303F7" w:rsidRDefault="00A069FC" w:rsidP="00A17981">
            <w:pPr>
              <w:spacing w:before="0" w:after="0"/>
              <w:jc w:val="center"/>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hideMark/>
          </w:tcPr>
          <w:p w14:paraId="092E8D5B" w14:textId="31BD136E" w:rsidR="00A069FC" w:rsidRPr="005303F7" w:rsidRDefault="00607CBA" w:rsidP="00EC772C">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Побољшање</w:t>
            </w:r>
            <w:r w:rsidR="003837F9"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ефикасности</w:t>
            </w:r>
            <w:r w:rsidR="003837F9"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електричних</w:t>
            </w:r>
            <w:r w:rsidR="003837F9"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уређаја</w:t>
            </w:r>
            <w:r w:rsidR="003837F9"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w:t>
            </w:r>
            <w:r w:rsidR="00EC772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домаћинствима</w:t>
            </w:r>
            <w:r w:rsidR="003837F9" w:rsidRPr="005303F7">
              <w:rPr>
                <w:rStyle w:val="FootnoteReference"/>
                <w:rFonts w:ascii="Times New Roman" w:hAnsi="Times New Roman"/>
                <w:color w:val="000000"/>
                <w:position w:val="0"/>
                <w:sz w:val="20"/>
                <w:lang w:val="sr-Cyrl-CS" w:eastAsia="pt-PT"/>
              </w:rPr>
              <w:t xml:space="preserve"> </w:t>
            </w:r>
            <w:r w:rsidR="00524115" w:rsidRPr="005303F7">
              <w:rPr>
                <w:rStyle w:val="FootnoteReference"/>
                <w:rFonts w:ascii="Times New Roman" w:hAnsi="Times New Roman"/>
                <w:color w:val="000000"/>
                <w:szCs w:val="16"/>
                <w:lang w:val="sr-Cyrl-CS" w:eastAsia="pt-PT"/>
              </w:rPr>
              <w:footnoteReference w:id="39"/>
            </w:r>
          </w:p>
        </w:tc>
        <w:tc>
          <w:tcPr>
            <w:tcW w:w="1597" w:type="pct"/>
            <w:tcBorders>
              <w:top w:val="nil"/>
              <w:left w:val="nil"/>
              <w:bottom w:val="single" w:sz="4" w:space="0" w:color="auto"/>
              <w:right w:val="single" w:sz="4" w:space="0" w:color="auto"/>
            </w:tcBorders>
            <w:shd w:val="clear" w:color="auto" w:fill="auto"/>
            <w:vAlign w:val="center"/>
            <w:hideMark/>
          </w:tcPr>
          <w:p w14:paraId="59F1814C" w14:textId="3626AF0D" w:rsidR="00A069FC" w:rsidRPr="005303F7" w:rsidRDefault="00607CBA" w:rsidP="00A17981">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Потрошачи</w:t>
            </w:r>
          </w:p>
        </w:tc>
      </w:tr>
      <w:tr w:rsidR="00250D1D" w:rsidRPr="005303F7" w14:paraId="4F304225" w14:textId="77777777" w:rsidTr="00A17981">
        <w:trPr>
          <w:trHeight w:val="20"/>
        </w:trPr>
        <w:tc>
          <w:tcPr>
            <w:tcW w:w="1210" w:type="pct"/>
            <w:vMerge/>
            <w:tcBorders>
              <w:left w:val="single" w:sz="4" w:space="0" w:color="auto"/>
              <w:right w:val="single" w:sz="4" w:space="0" w:color="auto"/>
            </w:tcBorders>
            <w:vAlign w:val="center"/>
          </w:tcPr>
          <w:p w14:paraId="60D4BF53" w14:textId="77777777" w:rsidR="00250D1D" w:rsidRPr="005303F7" w:rsidRDefault="00250D1D" w:rsidP="00250D1D">
            <w:pPr>
              <w:spacing w:before="0" w:after="0"/>
              <w:jc w:val="center"/>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tcPr>
          <w:p w14:paraId="5CBCC724" w14:textId="6529A565" w:rsidR="00250D1D" w:rsidRPr="005303F7" w:rsidRDefault="00607CBA" w:rsidP="00E84506">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Унапређење</w:t>
            </w:r>
            <w:r w:rsidR="00CE6369"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термичког</w:t>
            </w:r>
            <w:r w:rsidR="00CE6369"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интегритета</w:t>
            </w:r>
            <w:r w:rsidR="00D473A1" w:rsidRPr="005303F7">
              <w:rPr>
                <w:rStyle w:val="FootnoteReference"/>
                <w:rFonts w:ascii="Times New Roman" w:hAnsi="Times New Roman"/>
                <w:color w:val="000000"/>
                <w:lang w:val="sr-Cyrl-CS" w:eastAsia="pt-PT"/>
              </w:rPr>
              <w:footnoteReference w:id="40"/>
            </w:r>
            <w:r w:rsidR="00CE6369"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домаћинстава</w:t>
            </w:r>
          </w:p>
        </w:tc>
        <w:tc>
          <w:tcPr>
            <w:tcW w:w="1597" w:type="pct"/>
            <w:tcBorders>
              <w:top w:val="nil"/>
              <w:left w:val="nil"/>
              <w:bottom w:val="single" w:sz="4" w:space="0" w:color="auto"/>
              <w:right w:val="single" w:sz="4" w:space="0" w:color="auto"/>
            </w:tcBorders>
            <w:shd w:val="clear" w:color="auto" w:fill="auto"/>
            <w:vAlign w:val="center"/>
          </w:tcPr>
          <w:p w14:paraId="513090CF" w14:textId="4A8BB392" w:rsidR="00250D1D" w:rsidRPr="005303F7" w:rsidRDefault="00607CBA" w:rsidP="00E84506">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Грађевинске</w:t>
            </w:r>
            <w:r w:rsidR="00E8450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фирме</w:t>
            </w:r>
            <w:r w:rsidR="00E8450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7D511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одговарајући</w:t>
            </w:r>
            <w:r w:rsidR="007D511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ланац</w:t>
            </w:r>
            <w:r w:rsidR="007D511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вредности</w:t>
            </w:r>
            <w:r w:rsidR="007D511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добављачи</w:t>
            </w:r>
            <w:r w:rsidR="007D511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материјала</w:t>
            </w:r>
            <w:r w:rsidR="007D511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потрошачи</w:t>
            </w:r>
            <w:r w:rsidR="007D511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власници</w:t>
            </w:r>
            <w:r w:rsidR="007D511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домаћинстава</w:t>
            </w:r>
            <w:r w:rsidR="007D511C" w:rsidRPr="005303F7">
              <w:rPr>
                <w:rFonts w:ascii="Times New Roman" w:hAnsi="Times New Roman"/>
                <w:color w:val="000000"/>
                <w:sz w:val="20"/>
                <w:lang w:val="sr-Cyrl-CS" w:eastAsia="pt-PT"/>
              </w:rPr>
              <w:t>)</w:t>
            </w:r>
          </w:p>
        </w:tc>
      </w:tr>
      <w:tr w:rsidR="00250D1D" w:rsidRPr="005303F7" w14:paraId="27AA07BF" w14:textId="77777777" w:rsidTr="00A17981">
        <w:trPr>
          <w:trHeight w:val="20"/>
        </w:trPr>
        <w:tc>
          <w:tcPr>
            <w:tcW w:w="1210" w:type="pct"/>
            <w:vMerge/>
            <w:tcBorders>
              <w:left w:val="single" w:sz="4" w:space="0" w:color="auto"/>
              <w:right w:val="single" w:sz="4" w:space="0" w:color="auto"/>
            </w:tcBorders>
            <w:vAlign w:val="center"/>
          </w:tcPr>
          <w:p w14:paraId="5AEA31FA" w14:textId="77777777" w:rsidR="00250D1D" w:rsidRPr="005303F7" w:rsidRDefault="00250D1D" w:rsidP="00250D1D">
            <w:pPr>
              <w:spacing w:before="0" w:after="0"/>
              <w:jc w:val="center"/>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tcPr>
          <w:p w14:paraId="658C29DF" w14:textId="5972C2F3" w:rsidR="00250D1D" w:rsidRPr="005303F7" w:rsidRDefault="00607CBA" w:rsidP="00250D1D">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rPr>
              <w:t>Унапређење</w:t>
            </w:r>
            <w:r w:rsidR="002568CA"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енергетске</w:t>
            </w:r>
            <w:r w:rsidR="00B65E39"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ефикасности</w:t>
            </w:r>
            <w:r w:rsidR="00B65E39"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инфраструктуре</w:t>
            </w:r>
            <w:r w:rsidR="00B65E39"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за</w:t>
            </w:r>
            <w:r w:rsidR="00B65E39"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грејање</w:t>
            </w:r>
            <w:r w:rsidR="00B65E39"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и</w:t>
            </w:r>
            <w:r w:rsidR="00B65E39"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хлађење</w:t>
            </w:r>
            <w:r w:rsidR="00B65E39"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и</w:t>
            </w:r>
            <w:r w:rsidR="00B65E39"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промоција</w:t>
            </w:r>
            <w:r w:rsidR="00B65E39"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коришћења</w:t>
            </w:r>
            <w:r w:rsidR="00B65E39"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ОИЕ</w:t>
            </w:r>
            <w:r w:rsidR="00B65E39"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у</w:t>
            </w:r>
            <w:r w:rsidR="00B65E39"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домаћинствима</w:t>
            </w:r>
          </w:p>
        </w:tc>
        <w:tc>
          <w:tcPr>
            <w:tcW w:w="1597" w:type="pct"/>
            <w:tcBorders>
              <w:top w:val="nil"/>
              <w:left w:val="nil"/>
              <w:bottom w:val="single" w:sz="4" w:space="0" w:color="auto"/>
              <w:right w:val="single" w:sz="4" w:space="0" w:color="auto"/>
            </w:tcBorders>
            <w:shd w:val="clear" w:color="auto" w:fill="auto"/>
            <w:vAlign w:val="center"/>
          </w:tcPr>
          <w:p w14:paraId="4D2F38FC" w14:textId="6449A52B" w:rsidR="00250D1D" w:rsidRPr="005303F7" w:rsidRDefault="00607CBA" w:rsidP="00B65E39">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Добављачи</w:t>
            </w:r>
            <w:r w:rsidR="00B65E39"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опреме</w:t>
            </w:r>
            <w:r w:rsidR="00B65E39"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инсталациони</w:t>
            </w:r>
            <w:r w:rsidR="00B65E39"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субјекти</w:t>
            </w:r>
            <w:r w:rsidR="00B65E39"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потрошачи</w:t>
            </w:r>
          </w:p>
        </w:tc>
      </w:tr>
      <w:tr w:rsidR="00250D1D" w:rsidRPr="005303F7" w14:paraId="239ECA9D" w14:textId="77777777" w:rsidTr="00A17981">
        <w:trPr>
          <w:trHeight w:val="20"/>
        </w:trPr>
        <w:tc>
          <w:tcPr>
            <w:tcW w:w="1210" w:type="pct"/>
            <w:vMerge/>
            <w:tcBorders>
              <w:left w:val="single" w:sz="4" w:space="0" w:color="auto"/>
              <w:right w:val="single" w:sz="4" w:space="0" w:color="auto"/>
            </w:tcBorders>
            <w:vAlign w:val="center"/>
            <w:hideMark/>
          </w:tcPr>
          <w:p w14:paraId="376ACD37" w14:textId="77777777" w:rsidR="00250D1D" w:rsidRPr="005303F7" w:rsidRDefault="00250D1D" w:rsidP="00250D1D">
            <w:pPr>
              <w:spacing w:before="0" w:after="0"/>
              <w:jc w:val="center"/>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hideMark/>
          </w:tcPr>
          <w:p w14:paraId="174F8AC1" w14:textId="0D4EC6DD" w:rsidR="00250D1D" w:rsidRPr="005303F7" w:rsidRDefault="00607CBA" w:rsidP="00250D1D">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Унапређење</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енергетске</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ефикасности</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повећање</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коришћења</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ОИЕ</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терцијарном</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сектору</w:t>
            </w:r>
          </w:p>
        </w:tc>
        <w:tc>
          <w:tcPr>
            <w:tcW w:w="1597" w:type="pct"/>
            <w:tcBorders>
              <w:top w:val="nil"/>
              <w:left w:val="nil"/>
              <w:bottom w:val="single" w:sz="4" w:space="0" w:color="auto"/>
              <w:right w:val="single" w:sz="4" w:space="0" w:color="auto"/>
            </w:tcBorders>
            <w:shd w:val="clear" w:color="auto" w:fill="auto"/>
            <w:vAlign w:val="center"/>
            <w:hideMark/>
          </w:tcPr>
          <w:p w14:paraId="618AC46F" w14:textId="01F14871" w:rsidR="00250D1D" w:rsidRPr="005303F7" w:rsidRDefault="00607CBA"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Приватни</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субјекти</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терцијарног</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сектора</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потрошачи</w:t>
            </w:r>
          </w:p>
        </w:tc>
      </w:tr>
      <w:tr w:rsidR="00250D1D" w:rsidRPr="005303F7" w14:paraId="3BCC003E" w14:textId="77777777" w:rsidTr="00A17981">
        <w:trPr>
          <w:trHeight w:val="20"/>
        </w:trPr>
        <w:tc>
          <w:tcPr>
            <w:tcW w:w="1210" w:type="pct"/>
            <w:vMerge/>
            <w:tcBorders>
              <w:left w:val="single" w:sz="4" w:space="0" w:color="auto"/>
              <w:right w:val="single" w:sz="4" w:space="0" w:color="auto"/>
            </w:tcBorders>
            <w:vAlign w:val="center"/>
            <w:hideMark/>
          </w:tcPr>
          <w:p w14:paraId="1DCFBF48" w14:textId="77777777" w:rsidR="00250D1D" w:rsidRPr="005303F7" w:rsidRDefault="00250D1D" w:rsidP="00250D1D">
            <w:pPr>
              <w:spacing w:before="0" w:after="0"/>
              <w:jc w:val="center"/>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hideMark/>
          </w:tcPr>
          <w:p w14:paraId="45E9E341" w14:textId="6B6E8A2B" w:rsidR="00250D1D" w:rsidRPr="005303F7" w:rsidRDefault="00607CBA" w:rsidP="00E84506">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Унапређење</w:t>
            </w:r>
            <w:r w:rsidR="00CE6369"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термичког</w:t>
            </w:r>
            <w:r w:rsidR="00CE6369"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интегритета</w:t>
            </w:r>
            <w:r w:rsidR="00AB558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w:t>
            </w:r>
            <w:r w:rsidR="00CE6369"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терцијарном</w:t>
            </w:r>
            <w:r w:rsidR="00CE6369"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сектору</w:t>
            </w:r>
            <w:r w:rsidR="00CE6369" w:rsidRPr="005303F7">
              <w:rPr>
                <w:rFonts w:ascii="Times New Roman" w:hAnsi="Times New Roman"/>
                <w:color w:val="000000"/>
                <w:sz w:val="20"/>
                <w:lang w:val="sr-Cyrl-CS" w:eastAsia="pt-PT"/>
              </w:rPr>
              <w:t xml:space="preserve"> </w:t>
            </w:r>
          </w:p>
        </w:tc>
        <w:tc>
          <w:tcPr>
            <w:tcW w:w="1597" w:type="pct"/>
            <w:tcBorders>
              <w:top w:val="nil"/>
              <w:left w:val="nil"/>
              <w:bottom w:val="single" w:sz="4" w:space="0" w:color="auto"/>
              <w:right w:val="single" w:sz="4" w:space="0" w:color="auto"/>
            </w:tcBorders>
            <w:shd w:val="clear" w:color="auto" w:fill="auto"/>
            <w:vAlign w:val="center"/>
            <w:hideMark/>
          </w:tcPr>
          <w:p w14:paraId="38C013FF" w14:textId="3D43068A" w:rsidR="00250D1D" w:rsidRPr="005303F7" w:rsidRDefault="00607CBA" w:rsidP="00C06413">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Приватни</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субјекти</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терцијарног</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сектора</w:t>
            </w:r>
            <w:r w:rsidR="001831F8" w:rsidRPr="005303F7">
              <w:rPr>
                <w:rFonts w:ascii="Times New Roman" w:hAnsi="Times New Roman"/>
                <w:color w:val="000000"/>
                <w:sz w:val="20"/>
                <w:lang w:val="sr-Cyrl-CS" w:eastAsia="pt-PT"/>
              </w:rPr>
              <w:t>,</w:t>
            </w:r>
            <w:r w:rsidR="00250D1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грађевинске</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фирме</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одговарајући</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ланац</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вредности</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добављачи</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материјала</w:t>
            </w:r>
            <w:r w:rsidR="001831F8" w:rsidRPr="005303F7">
              <w:rPr>
                <w:rFonts w:ascii="Times New Roman" w:hAnsi="Times New Roman"/>
                <w:color w:val="000000"/>
                <w:sz w:val="20"/>
                <w:lang w:val="sr-Cyrl-CS" w:eastAsia="pt-PT"/>
              </w:rPr>
              <w:t>)</w:t>
            </w:r>
            <w:r w:rsidR="00C06413" w:rsidRPr="005303F7">
              <w:rPr>
                <w:rFonts w:ascii="Times New Roman" w:hAnsi="Times New Roman"/>
                <w:color w:val="000000"/>
                <w:sz w:val="20"/>
                <w:lang w:val="sr-Cyrl-CS" w:eastAsia="pt-PT"/>
              </w:rPr>
              <w:t>,</w:t>
            </w:r>
            <w:r w:rsidR="001831F8"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потрошачи</w:t>
            </w:r>
          </w:p>
        </w:tc>
      </w:tr>
      <w:tr w:rsidR="00250D1D" w:rsidRPr="005303F7" w14:paraId="41208623" w14:textId="77777777" w:rsidTr="00A17981">
        <w:trPr>
          <w:trHeight w:val="20"/>
        </w:trPr>
        <w:tc>
          <w:tcPr>
            <w:tcW w:w="1210" w:type="pct"/>
            <w:vMerge/>
            <w:tcBorders>
              <w:left w:val="single" w:sz="4" w:space="0" w:color="auto"/>
              <w:right w:val="single" w:sz="4" w:space="0" w:color="auto"/>
            </w:tcBorders>
            <w:shd w:val="clear" w:color="auto" w:fill="auto"/>
            <w:vAlign w:val="center"/>
          </w:tcPr>
          <w:p w14:paraId="46D90EDE" w14:textId="77777777" w:rsidR="00250D1D" w:rsidRPr="005303F7" w:rsidDel="00A657D6" w:rsidRDefault="00250D1D" w:rsidP="00250D1D">
            <w:pPr>
              <w:spacing w:before="0" w:after="0"/>
              <w:jc w:val="center"/>
              <w:rPr>
                <w:rFonts w:ascii="Times New Roman" w:hAnsi="Times New Roman"/>
                <w:color w:val="000000"/>
                <w:sz w:val="20"/>
                <w:lang w:val="sr-Cyrl-CS" w:eastAsia="pt-PT"/>
              </w:rPr>
            </w:pPr>
          </w:p>
        </w:tc>
        <w:tc>
          <w:tcPr>
            <w:tcW w:w="2193" w:type="pct"/>
            <w:tcBorders>
              <w:top w:val="single" w:sz="4" w:space="0" w:color="auto"/>
              <w:left w:val="nil"/>
              <w:bottom w:val="single" w:sz="4" w:space="0" w:color="auto"/>
              <w:right w:val="single" w:sz="4" w:space="0" w:color="auto"/>
            </w:tcBorders>
            <w:shd w:val="clear" w:color="auto" w:fill="auto"/>
            <w:vAlign w:val="center"/>
          </w:tcPr>
          <w:p w14:paraId="101C4799" w14:textId="197BFB89" w:rsidR="00250D1D" w:rsidRPr="005303F7" w:rsidRDefault="00607CBA" w:rsidP="00250D1D">
            <w:pPr>
              <w:tabs>
                <w:tab w:val="clear" w:pos="3825"/>
              </w:tabs>
              <w:overflowPunct/>
              <w:autoSpaceDE/>
              <w:autoSpaceDN/>
              <w:adjustRightInd/>
              <w:spacing w:before="0" w:after="0"/>
              <w:textAlignment w:val="auto"/>
              <w:rPr>
                <w:rFonts w:ascii="Times New Roman" w:hAnsi="Times New Roman"/>
                <w:i/>
                <w:iCs/>
                <w:color w:val="000000"/>
                <w:sz w:val="20"/>
                <w:lang w:val="sr-Cyrl-CS" w:eastAsia="pt-PT"/>
              </w:rPr>
            </w:pPr>
            <w:r w:rsidRPr="005303F7">
              <w:rPr>
                <w:rFonts w:ascii="Times New Roman" w:hAnsi="Times New Roman"/>
                <w:i/>
                <w:iCs/>
                <w:color w:val="000000"/>
                <w:sz w:val="20"/>
                <w:lang w:val="sr-Cyrl-CS" w:eastAsia="pt-PT"/>
              </w:rPr>
              <w:t>Сектор</w:t>
            </w:r>
            <w:r w:rsidR="00653DCE" w:rsidRPr="005303F7">
              <w:rPr>
                <w:rFonts w:ascii="Times New Roman" w:hAnsi="Times New Roman"/>
                <w:i/>
                <w:iCs/>
                <w:color w:val="000000"/>
                <w:sz w:val="20"/>
                <w:lang w:val="sr-Cyrl-CS" w:eastAsia="pt-PT"/>
              </w:rPr>
              <w:t xml:space="preserve"> </w:t>
            </w:r>
            <w:r w:rsidRPr="005303F7">
              <w:rPr>
                <w:rFonts w:ascii="Times New Roman" w:hAnsi="Times New Roman"/>
                <w:i/>
                <w:iCs/>
                <w:color w:val="000000"/>
                <w:sz w:val="20"/>
                <w:lang w:val="sr-Cyrl-CS" w:eastAsia="pt-PT"/>
              </w:rPr>
              <w:t>саобраћаја</w:t>
            </w:r>
          </w:p>
        </w:tc>
        <w:tc>
          <w:tcPr>
            <w:tcW w:w="1597" w:type="pct"/>
            <w:tcBorders>
              <w:top w:val="single" w:sz="4" w:space="0" w:color="auto"/>
              <w:left w:val="nil"/>
              <w:bottom w:val="single" w:sz="4" w:space="0" w:color="auto"/>
              <w:right w:val="single" w:sz="4" w:space="0" w:color="auto"/>
            </w:tcBorders>
            <w:shd w:val="clear" w:color="auto" w:fill="auto"/>
            <w:vAlign w:val="center"/>
          </w:tcPr>
          <w:p w14:paraId="27F3701B"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250D1D" w:rsidRPr="005303F7" w14:paraId="23D61FD7" w14:textId="77777777" w:rsidTr="00A17981">
        <w:trPr>
          <w:trHeight w:val="20"/>
        </w:trPr>
        <w:tc>
          <w:tcPr>
            <w:tcW w:w="1210" w:type="pct"/>
            <w:vMerge/>
            <w:tcBorders>
              <w:left w:val="single" w:sz="4" w:space="0" w:color="auto"/>
              <w:right w:val="single" w:sz="4" w:space="0" w:color="auto"/>
            </w:tcBorders>
            <w:shd w:val="clear" w:color="auto" w:fill="auto"/>
            <w:vAlign w:val="center"/>
            <w:hideMark/>
          </w:tcPr>
          <w:p w14:paraId="17C6CDC0" w14:textId="77777777" w:rsidR="00250D1D" w:rsidRPr="005303F7" w:rsidRDefault="00250D1D" w:rsidP="00250D1D">
            <w:pPr>
              <w:spacing w:before="0" w:after="0"/>
              <w:jc w:val="center"/>
              <w:rPr>
                <w:rFonts w:ascii="Times New Roman" w:hAnsi="Times New Roman"/>
                <w:color w:val="000000"/>
                <w:sz w:val="20"/>
                <w:lang w:val="sr-Cyrl-CS" w:eastAsia="pt-PT"/>
              </w:rPr>
            </w:pPr>
          </w:p>
        </w:tc>
        <w:tc>
          <w:tcPr>
            <w:tcW w:w="2193" w:type="pct"/>
            <w:tcBorders>
              <w:top w:val="single" w:sz="4" w:space="0" w:color="auto"/>
              <w:left w:val="nil"/>
              <w:bottom w:val="single" w:sz="4" w:space="0" w:color="auto"/>
              <w:right w:val="single" w:sz="4" w:space="0" w:color="auto"/>
            </w:tcBorders>
            <w:shd w:val="clear" w:color="auto" w:fill="auto"/>
            <w:vAlign w:val="center"/>
            <w:hideMark/>
          </w:tcPr>
          <w:p w14:paraId="786321DE" w14:textId="239DA6E7" w:rsidR="009563C1" w:rsidRPr="005303F7" w:rsidRDefault="00607CBA" w:rsidP="009563C1">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Обнова</w:t>
            </w:r>
            <w:r w:rsidR="009563C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возног</w:t>
            </w:r>
            <w:r w:rsidR="009563C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парка</w:t>
            </w:r>
            <w:r w:rsidR="00F4311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F4311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превоз</w:t>
            </w:r>
            <w:r w:rsidR="00F4311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путника</w:t>
            </w:r>
            <w:r w:rsidR="009563C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9563C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промоција</w:t>
            </w:r>
            <w:r w:rsidR="009563C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одрживог</w:t>
            </w:r>
            <w:r w:rsidR="009563C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путничког</w:t>
            </w:r>
            <w:r w:rsidR="009563C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саобраћаја</w:t>
            </w:r>
          </w:p>
          <w:p w14:paraId="40CFFAD8" w14:textId="5FE09664" w:rsidR="00250D1D" w:rsidRPr="005303F7" w:rsidRDefault="009563C1" w:rsidP="009563C1">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w:t>
            </w:r>
            <w:r w:rsidR="00607CBA" w:rsidRPr="005303F7">
              <w:rPr>
                <w:rFonts w:ascii="Times New Roman" w:hAnsi="Times New Roman"/>
                <w:color w:val="000000"/>
                <w:sz w:val="20"/>
                <w:lang w:val="sr-Cyrl-CS" w:eastAsia="pt-PT"/>
              </w:rPr>
              <w:t>унапређење</w:t>
            </w:r>
            <w:r w:rsidR="00F4311D" w:rsidRPr="005303F7">
              <w:rPr>
                <w:rFonts w:ascii="Times New Roman" w:hAnsi="Times New Roman"/>
                <w:color w:val="000000"/>
                <w:sz w:val="20"/>
                <w:lang w:val="sr-Cyrl-CS" w:eastAsia="pt-PT"/>
              </w:rPr>
              <w:t xml:space="preserve"> </w:t>
            </w:r>
            <w:r w:rsidR="00607CBA" w:rsidRPr="005303F7">
              <w:rPr>
                <w:rFonts w:ascii="Times New Roman" w:hAnsi="Times New Roman"/>
                <w:color w:val="000000"/>
                <w:sz w:val="20"/>
                <w:lang w:val="sr-Cyrl-CS" w:eastAsia="pt-PT"/>
              </w:rPr>
              <w:t>ефикасности</w:t>
            </w:r>
            <w:r w:rsidR="00F4311D" w:rsidRPr="005303F7">
              <w:rPr>
                <w:rFonts w:ascii="Times New Roman" w:hAnsi="Times New Roman"/>
                <w:color w:val="000000"/>
                <w:sz w:val="20"/>
                <w:lang w:val="sr-Cyrl-CS" w:eastAsia="pt-PT"/>
              </w:rPr>
              <w:t xml:space="preserve"> </w:t>
            </w:r>
            <w:r w:rsidR="00607CBA" w:rsidRPr="005303F7">
              <w:rPr>
                <w:rFonts w:ascii="Times New Roman" w:hAnsi="Times New Roman"/>
                <w:color w:val="000000"/>
                <w:sz w:val="20"/>
                <w:lang w:val="sr-Cyrl-CS" w:eastAsia="pt-PT"/>
              </w:rPr>
              <w:t>возног</w:t>
            </w:r>
            <w:r w:rsidRPr="005303F7">
              <w:rPr>
                <w:rFonts w:ascii="Times New Roman" w:hAnsi="Times New Roman"/>
                <w:color w:val="000000"/>
                <w:sz w:val="20"/>
                <w:lang w:val="sr-Cyrl-CS" w:eastAsia="pt-PT"/>
              </w:rPr>
              <w:t xml:space="preserve"> </w:t>
            </w:r>
            <w:r w:rsidR="00607CBA" w:rsidRPr="005303F7">
              <w:rPr>
                <w:rFonts w:ascii="Times New Roman" w:hAnsi="Times New Roman"/>
                <w:color w:val="000000"/>
                <w:sz w:val="20"/>
                <w:lang w:val="sr-Cyrl-CS" w:eastAsia="pt-PT"/>
              </w:rPr>
              <w:t>парка</w:t>
            </w:r>
            <w:r w:rsidRPr="005303F7">
              <w:rPr>
                <w:rFonts w:ascii="Times New Roman" w:hAnsi="Times New Roman"/>
                <w:color w:val="000000"/>
                <w:sz w:val="20"/>
                <w:lang w:val="sr-Cyrl-CS" w:eastAsia="pt-PT"/>
              </w:rPr>
              <w:t xml:space="preserve"> </w:t>
            </w:r>
            <w:r w:rsidR="00607CBA" w:rsidRPr="005303F7">
              <w:rPr>
                <w:rFonts w:ascii="Times New Roman" w:hAnsi="Times New Roman"/>
                <w:color w:val="000000"/>
                <w:sz w:val="20"/>
                <w:lang w:val="sr-Cyrl-CS" w:eastAsia="pt-PT"/>
              </w:rPr>
              <w:t>и</w:t>
            </w:r>
            <w:r w:rsidRPr="005303F7">
              <w:rPr>
                <w:rFonts w:ascii="Times New Roman" w:hAnsi="Times New Roman"/>
                <w:color w:val="000000"/>
                <w:sz w:val="20"/>
                <w:lang w:val="sr-Cyrl-CS" w:eastAsia="pt-PT"/>
              </w:rPr>
              <w:t xml:space="preserve"> </w:t>
            </w:r>
            <w:r w:rsidR="00607CBA" w:rsidRPr="005303F7">
              <w:rPr>
                <w:rFonts w:ascii="Times New Roman" w:hAnsi="Times New Roman"/>
                <w:color w:val="000000"/>
                <w:sz w:val="20"/>
                <w:lang w:val="sr-Cyrl-CS" w:eastAsia="pt-PT"/>
              </w:rPr>
              <w:t>коришћење</w:t>
            </w:r>
            <w:r w:rsidR="00F4311D" w:rsidRPr="005303F7">
              <w:rPr>
                <w:rFonts w:ascii="Times New Roman" w:hAnsi="Times New Roman"/>
                <w:color w:val="000000"/>
                <w:sz w:val="20"/>
                <w:lang w:val="sr-Cyrl-CS" w:eastAsia="pt-PT"/>
              </w:rPr>
              <w:t xml:space="preserve"> </w:t>
            </w:r>
            <w:r w:rsidR="00607CBA" w:rsidRPr="005303F7">
              <w:rPr>
                <w:rFonts w:ascii="Times New Roman" w:hAnsi="Times New Roman"/>
                <w:color w:val="000000"/>
                <w:sz w:val="20"/>
                <w:lang w:val="sr-Cyrl-CS" w:eastAsia="pt-PT"/>
              </w:rPr>
              <w:t>возила</w:t>
            </w:r>
            <w:r w:rsidRPr="005303F7">
              <w:rPr>
                <w:rFonts w:ascii="Times New Roman" w:hAnsi="Times New Roman"/>
                <w:color w:val="000000"/>
                <w:sz w:val="20"/>
                <w:lang w:val="sr-Cyrl-CS" w:eastAsia="pt-PT"/>
              </w:rPr>
              <w:t xml:space="preserve">; </w:t>
            </w:r>
            <w:r w:rsidR="00607CBA" w:rsidRPr="005303F7">
              <w:rPr>
                <w:rFonts w:ascii="Times New Roman" w:hAnsi="Times New Roman"/>
                <w:color w:val="000000"/>
                <w:sz w:val="20"/>
                <w:lang w:val="sr-Cyrl-CS" w:eastAsia="pt-PT"/>
              </w:rPr>
              <w:t>Промоција</w:t>
            </w:r>
            <w:r w:rsidRPr="005303F7">
              <w:rPr>
                <w:rFonts w:ascii="Times New Roman" w:hAnsi="Times New Roman"/>
                <w:color w:val="000000"/>
                <w:sz w:val="20"/>
                <w:lang w:val="sr-Cyrl-CS" w:eastAsia="pt-PT"/>
              </w:rPr>
              <w:t xml:space="preserve"> </w:t>
            </w:r>
            <w:r w:rsidR="00607CBA" w:rsidRPr="005303F7">
              <w:rPr>
                <w:rFonts w:ascii="Times New Roman" w:hAnsi="Times New Roman"/>
                <w:color w:val="000000"/>
                <w:sz w:val="20"/>
                <w:lang w:val="sr-Cyrl-CS" w:eastAsia="pt-PT"/>
              </w:rPr>
              <w:t>јавног</w:t>
            </w:r>
            <w:r w:rsidRPr="005303F7">
              <w:rPr>
                <w:rFonts w:ascii="Times New Roman" w:hAnsi="Times New Roman"/>
                <w:color w:val="000000"/>
                <w:sz w:val="20"/>
                <w:lang w:val="sr-Cyrl-CS" w:eastAsia="pt-PT"/>
              </w:rPr>
              <w:t xml:space="preserve"> </w:t>
            </w:r>
            <w:r w:rsidR="00607CBA" w:rsidRPr="005303F7">
              <w:rPr>
                <w:rFonts w:ascii="Times New Roman" w:hAnsi="Times New Roman"/>
                <w:color w:val="000000"/>
                <w:sz w:val="20"/>
                <w:lang w:val="sr-Cyrl-CS" w:eastAsia="pt-PT"/>
              </w:rPr>
              <w:t>превоза</w:t>
            </w:r>
            <w:r w:rsidRPr="005303F7">
              <w:rPr>
                <w:rFonts w:ascii="Times New Roman" w:hAnsi="Times New Roman"/>
                <w:color w:val="000000"/>
                <w:sz w:val="20"/>
                <w:lang w:val="sr-Cyrl-CS" w:eastAsia="pt-PT"/>
              </w:rPr>
              <w:t xml:space="preserve"> </w:t>
            </w:r>
            <w:r w:rsidR="00607CBA" w:rsidRPr="005303F7">
              <w:rPr>
                <w:rFonts w:ascii="Times New Roman" w:hAnsi="Times New Roman"/>
                <w:color w:val="000000"/>
                <w:sz w:val="20"/>
                <w:lang w:val="sr-Cyrl-CS" w:eastAsia="pt-PT"/>
              </w:rPr>
              <w:t>и</w:t>
            </w:r>
            <w:r w:rsidRPr="005303F7">
              <w:rPr>
                <w:rFonts w:ascii="Times New Roman" w:hAnsi="Times New Roman"/>
                <w:color w:val="000000"/>
                <w:sz w:val="20"/>
                <w:lang w:val="sr-Cyrl-CS" w:eastAsia="pt-PT"/>
              </w:rPr>
              <w:t xml:space="preserve"> </w:t>
            </w:r>
            <w:r w:rsidR="00607CBA" w:rsidRPr="005303F7">
              <w:rPr>
                <w:rFonts w:ascii="Times New Roman" w:hAnsi="Times New Roman"/>
                <w:color w:val="000000"/>
                <w:sz w:val="20"/>
                <w:lang w:val="sr-Cyrl-CS" w:eastAsia="pt-PT"/>
              </w:rPr>
              <w:t>немоторизованог</w:t>
            </w:r>
            <w:r w:rsidRPr="005303F7">
              <w:rPr>
                <w:rFonts w:ascii="Times New Roman" w:hAnsi="Times New Roman"/>
                <w:color w:val="000000"/>
                <w:sz w:val="20"/>
                <w:lang w:val="sr-Cyrl-CS" w:eastAsia="pt-PT"/>
              </w:rPr>
              <w:t xml:space="preserve"> </w:t>
            </w:r>
            <w:r w:rsidR="00607CBA" w:rsidRPr="005303F7">
              <w:rPr>
                <w:rFonts w:ascii="Times New Roman" w:hAnsi="Times New Roman"/>
                <w:color w:val="000000"/>
                <w:sz w:val="20"/>
                <w:lang w:val="sr-Cyrl-CS" w:eastAsia="pt-PT"/>
              </w:rPr>
              <w:t>транспорта</w:t>
            </w:r>
            <w:r w:rsidRPr="005303F7">
              <w:rPr>
                <w:rFonts w:ascii="Times New Roman" w:hAnsi="Times New Roman"/>
                <w:color w:val="000000"/>
                <w:sz w:val="20"/>
                <w:lang w:val="sr-Cyrl-CS" w:eastAsia="pt-PT"/>
              </w:rPr>
              <w:t xml:space="preserve">; </w:t>
            </w:r>
            <w:r w:rsidR="00607CBA" w:rsidRPr="005303F7">
              <w:rPr>
                <w:rFonts w:ascii="Times New Roman" w:hAnsi="Times New Roman"/>
                <w:color w:val="000000"/>
                <w:sz w:val="20"/>
                <w:lang w:val="sr-Cyrl-CS" w:eastAsia="pt-PT"/>
              </w:rPr>
              <w:t>Промоција</w:t>
            </w:r>
            <w:r w:rsidR="00F4311D" w:rsidRPr="005303F7">
              <w:rPr>
                <w:rFonts w:ascii="Times New Roman" w:hAnsi="Times New Roman"/>
                <w:color w:val="000000"/>
                <w:sz w:val="20"/>
                <w:lang w:val="sr-Cyrl-CS" w:eastAsia="pt-PT"/>
              </w:rPr>
              <w:t xml:space="preserve"> </w:t>
            </w:r>
            <w:r w:rsidR="00607CBA" w:rsidRPr="005303F7">
              <w:rPr>
                <w:rFonts w:ascii="Times New Roman" w:hAnsi="Times New Roman"/>
                <w:color w:val="000000"/>
                <w:sz w:val="20"/>
                <w:lang w:val="sr-Cyrl-CS" w:eastAsia="pt-PT"/>
              </w:rPr>
              <w:t>употребе</w:t>
            </w:r>
            <w:r w:rsidR="00F4311D" w:rsidRPr="005303F7">
              <w:rPr>
                <w:rFonts w:ascii="Times New Roman" w:hAnsi="Times New Roman"/>
                <w:color w:val="000000"/>
                <w:sz w:val="20"/>
                <w:lang w:val="sr-Cyrl-CS" w:eastAsia="pt-PT"/>
              </w:rPr>
              <w:t xml:space="preserve"> </w:t>
            </w:r>
            <w:r w:rsidR="00607CBA" w:rsidRPr="005303F7">
              <w:rPr>
                <w:rFonts w:ascii="Times New Roman" w:hAnsi="Times New Roman"/>
                <w:color w:val="000000"/>
                <w:sz w:val="20"/>
                <w:lang w:val="sr-Cyrl-CS" w:eastAsia="pt-PT"/>
              </w:rPr>
              <w:t>алтернативних</w:t>
            </w:r>
            <w:r w:rsidRPr="005303F7">
              <w:rPr>
                <w:rFonts w:ascii="Times New Roman" w:hAnsi="Times New Roman"/>
                <w:color w:val="000000"/>
                <w:sz w:val="20"/>
                <w:lang w:val="sr-Cyrl-CS" w:eastAsia="pt-PT"/>
              </w:rPr>
              <w:t xml:space="preserve"> </w:t>
            </w:r>
            <w:r w:rsidR="00607CBA" w:rsidRPr="005303F7">
              <w:rPr>
                <w:rFonts w:ascii="Times New Roman" w:hAnsi="Times New Roman"/>
                <w:color w:val="000000"/>
                <w:sz w:val="20"/>
                <w:lang w:val="sr-Cyrl-CS" w:eastAsia="pt-PT"/>
              </w:rPr>
              <w:t>горива</w:t>
            </w:r>
            <w:r w:rsidRPr="005303F7">
              <w:rPr>
                <w:rFonts w:ascii="Times New Roman" w:hAnsi="Times New Roman"/>
                <w:color w:val="000000"/>
                <w:sz w:val="20"/>
                <w:lang w:val="sr-Cyrl-CS" w:eastAsia="pt-PT"/>
              </w:rPr>
              <w:t xml:space="preserve"> </w:t>
            </w:r>
            <w:r w:rsidR="00607CBA" w:rsidRPr="005303F7">
              <w:rPr>
                <w:rFonts w:ascii="Times New Roman" w:hAnsi="Times New Roman"/>
                <w:color w:val="000000"/>
                <w:sz w:val="20"/>
                <w:lang w:val="sr-Cyrl-CS" w:eastAsia="pt-PT"/>
              </w:rPr>
              <w:t>и</w:t>
            </w:r>
            <w:r w:rsidRPr="005303F7">
              <w:rPr>
                <w:rFonts w:ascii="Times New Roman" w:hAnsi="Times New Roman"/>
                <w:color w:val="000000"/>
                <w:sz w:val="20"/>
                <w:lang w:val="sr-Cyrl-CS" w:eastAsia="pt-PT"/>
              </w:rPr>
              <w:t xml:space="preserve"> </w:t>
            </w:r>
            <w:r w:rsidR="00607CBA" w:rsidRPr="005303F7">
              <w:rPr>
                <w:rFonts w:ascii="Times New Roman" w:hAnsi="Times New Roman"/>
                <w:color w:val="000000"/>
                <w:sz w:val="20"/>
                <w:lang w:val="sr-Cyrl-CS" w:eastAsia="pt-PT"/>
              </w:rPr>
              <w:t>биогорива</w:t>
            </w:r>
            <w:r w:rsidRPr="005303F7">
              <w:rPr>
                <w:rFonts w:ascii="Times New Roman" w:hAnsi="Times New Roman"/>
                <w:color w:val="000000"/>
                <w:sz w:val="20"/>
                <w:lang w:val="sr-Cyrl-CS" w:eastAsia="pt-PT"/>
              </w:rPr>
              <w:t>)</w:t>
            </w:r>
          </w:p>
        </w:tc>
        <w:tc>
          <w:tcPr>
            <w:tcW w:w="1597" w:type="pct"/>
            <w:tcBorders>
              <w:top w:val="single" w:sz="4" w:space="0" w:color="auto"/>
              <w:left w:val="nil"/>
              <w:bottom w:val="single" w:sz="4" w:space="0" w:color="auto"/>
              <w:right w:val="single" w:sz="4" w:space="0" w:color="auto"/>
            </w:tcBorders>
            <w:shd w:val="clear" w:color="auto" w:fill="auto"/>
            <w:vAlign w:val="center"/>
            <w:hideMark/>
          </w:tcPr>
          <w:p w14:paraId="05D6FDE0" w14:textId="062CFC96" w:rsidR="00250D1D" w:rsidRPr="005303F7" w:rsidRDefault="00607CBA"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Аутомобилска</w:t>
            </w:r>
            <w:r w:rsidR="009563C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индустрија</w:t>
            </w:r>
            <w:r w:rsidR="009563C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укључујући</w:t>
            </w:r>
            <w:r w:rsidR="009563C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производњу</w:t>
            </w:r>
            <w:r w:rsidR="009563C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увоз</w:t>
            </w:r>
            <w:r w:rsidR="009563C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9563C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продају</w:t>
            </w:r>
            <w:r w:rsidR="009563C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потрошач</w:t>
            </w:r>
          </w:p>
        </w:tc>
      </w:tr>
      <w:tr w:rsidR="00250D1D" w:rsidRPr="005303F7" w14:paraId="4F6521AD" w14:textId="77777777" w:rsidTr="00A17981">
        <w:trPr>
          <w:trHeight w:val="20"/>
        </w:trPr>
        <w:tc>
          <w:tcPr>
            <w:tcW w:w="1210" w:type="pct"/>
            <w:vMerge/>
            <w:tcBorders>
              <w:left w:val="single" w:sz="4" w:space="0" w:color="auto"/>
              <w:right w:val="single" w:sz="4" w:space="0" w:color="auto"/>
            </w:tcBorders>
            <w:vAlign w:val="center"/>
            <w:hideMark/>
          </w:tcPr>
          <w:p w14:paraId="68904E0D" w14:textId="77777777" w:rsidR="00250D1D" w:rsidRPr="005303F7" w:rsidRDefault="00250D1D" w:rsidP="00250D1D">
            <w:pPr>
              <w:spacing w:before="0" w:after="0"/>
              <w:jc w:val="center"/>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hideMark/>
          </w:tcPr>
          <w:p w14:paraId="030F257D" w14:textId="055BB594" w:rsidR="00250D1D" w:rsidRPr="005303F7" w:rsidRDefault="00607CBA" w:rsidP="00250D1D">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Обнова</w:t>
            </w:r>
            <w:r w:rsidR="00F25DB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возног</w:t>
            </w:r>
            <w:r w:rsidR="00F25DB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парка</w:t>
            </w:r>
            <w:r w:rsidR="003F2073"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3F2073"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теретни</w:t>
            </w:r>
            <w:r w:rsidR="003F2073"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саобраћај</w:t>
            </w:r>
            <w:r w:rsidR="00F25DB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F25DB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промоција</w:t>
            </w:r>
            <w:r w:rsidR="00F25DB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одрживог</w:t>
            </w:r>
            <w:r w:rsidR="00F25DB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теретног</w:t>
            </w:r>
            <w:r w:rsidR="00F25DB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саобраћаја</w:t>
            </w:r>
          </w:p>
        </w:tc>
        <w:tc>
          <w:tcPr>
            <w:tcW w:w="1597" w:type="pct"/>
            <w:tcBorders>
              <w:top w:val="nil"/>
              <w:left w:val="nil"/>
              <w:bottom w:val="single" w:sz="4" w:space="0" w:color="auto"/>
              <w:right w:val="single" w:sz="4" w:space="0" w:color="auto"/>
            </w:tcBorders>
            <w:shd w:val="clear" w:color="auto" w:fill="auto"/>
            <w:vAlign w:val="center"/>
            <w:hideMark/>
          </w:tcPr>
          <w:p w14:paraId="771DDAF0" w14:textId="3789CD75" w:rsidR="00250D1D" w:rsidRPr="005303F7" w:rsidRDefault="00607CBA" w:rsidP="00F25DB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Индустрија</w:t>
            </w:r>
            <w:r w:rsidR="00F25DB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тешких</w:t>
            </w:r>
            <w:r w:rsidR="00F25DB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F25DB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лаких</w:t>
            </w:r>
            <w:r w:rsidR="00F25DB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возила</w:t>
            </w:r>
            <w:r w:rsidR="00F25DB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укључујући</w:t>
            </w:r>
            <w:r w:rsidR="00F25DB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производњу</w:t>
            </w:r>
            <w:r w:rsidR="00F25DB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увоз</w:t>
            </w:r>
            <w:r w:rsidR="00F25DB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F25DB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продају</w:t>
            </w:r>
            <w:r w:rsidR="00F25DB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потрошачи</w:t>
            </w:r>
            <w:r w:rsidR="00F25DB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транспортне</w:t>
            </w:r>
            <w:r w:rsidR="00F25DB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компаније</w:t>
            </w:r>
            <w:r w:rsidR="00F25DBD" w:rsidRPr="005303F7">
              <w:rPr>
                <w:rFonts w:ascii="Times New Roman" w:hAnsi="Times New Roman"/>
                <w:color w:val="000000"/>
                <w:sz w:val="20"/>
                <w:lang w:val="sr-Cyrl-CS" w:eastAsia="pt-PT"/>
              </w:rPr>
              <w:t>)</w:t>
            </w:r>
          </w:p>
        </w:tc>
      </w:tr>
      <w:tr w:rsidR="00250D1D" w:rsidRPr="005303F7" w14:paraId="3131EC87" w14:textId="77777777" w:rsidTr="00A17981">
        <w:trPr>
          <w:trHeight w:val="20"/>
        </w:trPr>
        <w:tc>
          <w:tcPr>
            <w:tcW w:w="1210" w:type="pct"/>
            <w:vMerge/>
            <w:tcBorders>
              <w:left w:val="single" w:sz="4" w:space="0" w:color="auto"/>
              <w:right w:val="single" w:sz="4" w:space="0" w:color="auto"/>
            </w:tcBorders>
            <w:vAlign w:val="center"/>
          </w:tcPr>
          <w:p w14:paraId="75C9B765" w14:textId="77777777" w:rsidR="00250D1D" w:rsidRPr="005303F7" w:rsidDel="00A657D6" w:rsidRDefault="00250D1D" w:rsidP="00250D1D">
            <w:pPr>
              <w:spacing w:before="0" w:after="0"/>
              <w:jc w:val="center"/>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tcPr>
          <w:p w14:paraId="568D9DD1" w14:textId="32A997BA" w:rsidR="00250D1D" w:rsidRPr="005303F7" w:rsidRDefault="00607CBA" w:rsidP="00C8134D">
            <w:pPr>
              <w:tabs>
                <w:tab w:val="clear" w:pos="3825"/>
              </w:tabs>
              <w:overflowPunct/>
              <w:autoSpaceDE/>
              <w:autoSpaceDN/>
              <w:adjustRightInd/>
              <w:spacing w:before="0" w:after="0"/>
              <w:textAlignment w:val="auto"/>
              <w:rPr>
                <w:rFonts w:ascii="Times New Roman" w:hAnsi="Times New Roman"/>
                <w:i/>
                <w:iCs/>
                <w:color w:val="000000"/>
                <w:sz w:val="20"/>
                <w:lang w:val="sr-Cyrl-CS" w:eastAsia="pt-PT"/>
              </w:rPr>
            </w:pPr>
            <w:r w:rsidRPr="005303F7">
              <w:rPr>
                <w:rFonts w:ascii="Times New Roman" w:hAnsi="Times New Roman"/>
                <w:i/>
                <w:iCs/>
                <w:color w:val="000000"/>
                <w:sz w:val="20"/>
                <w:lang w:val="sr-Cyrl-CS" w:eastAsia="pt-PT"/>
              </w:rPr>
              <w:t>Индустријски</w:t>
            </w:r>
            <w:r w:rsidR="00C8134D" w:rsidRPr="005303F7">
              <w:rPr>
                <w:rFonts w:ascii="Times New Roman" w:hAnsi="Times New Roman"/>
                <w:i/>
                <w:iCs/>
                <w:color w:val="000000"/>
                <w:sz w:val="20"/>
                <w:lang w:val="sr-Cyrl-CS" w:eastAsia="pt-PT"/>
              </w:rPr>
              <w:t xml:space="preserve"> </w:t>
            </w:r>
            <w:r w:rsidRPr="005303F7">
              <w:rPr>
                <w:rFonts w:ascii="Times New Roman" w:hAnsi="Times New Roman"/>
                <w:i/>
                <w:iCs/>
                <w:color w:val="000000"/>
                <w:sz w:val="20"/>
                <w:lang w:val="sr-Cyrl-CS" w:eastAsia="pt-PT"/>
              </w:rPr>
              <w:t>процеси</w:t>
            </w:r>
            <w:r w:rsidR="00C8134D" w:rsidRPr="005303F7">
              <w:rPr>
                <w:rFonts w:ascii="Times New Roman" w:hAnsi="Times New Roman"/>
                <w:i/>
                <w:iCs/>
                <w:color w:val="000000"/>
                <w:sz w:val="20"/>
                <w:lang w:val="sr-Cyrl-CS" w:eastAsia="pt-PT"/>
              </w:rPr>
              <w:t xml:space="preserve"> </w:t>
            </w:r>
            <w:r w:rsidRPr="005303F7">
              <w:rPr>
                <w:rFonts w:ascii="Times New Roman" w:hAnsi="Times New Roman"/>
                <w:i/>
                <w:iCs/>
                <w:color w:val="000000"/>
                <w:sz w:val="20"/>
                <w:lang w:val="sr-Cyrl-CS" w:eastAsia="pt-PT"/>
              </w:rPr>
              <w:t>и</w:t>
            </w:r>
            <w:r w:rsidR="00C8134D" w:rsidRPr="005303F7">
              <w:rPr>
                <w:rFonts w:ascii="Times New Roman" w:hAnsi="Times New Roman"/>
                <w:i/>
                <w:iCs/>
                <w:color w:val="000000"/>
                <w:sz w:val="20"/>
                <w:lang w:val="sr-Cyrl-CS" w:eastAsia="pt-PT"/>
              </w:rPr>
              <w:t xml:space="preserve"> </w:t>
            </w:r>
            <w:r w:rsidRPr="005303F7">
              <w:rPr>
                <w:rFonts w:ascii="Times New Roman" w:hAnsi="Times New Roman"/>
                <w:i/>
                <w:iCs/>
                <w:color w:val="000000"/>
                <w:sz w:val="20"/>
                <w:lang w:val="sr-Cyrl-CS" w:eastAsia="pt-PT"/>
              </w:rPr>
              <w:t>употреба</w:t>
            </w:r>
            <w:r w:rsidR="00EB050F" w:rsidRPr="005303F7">
              <w:rPr>
                <w:rFonts w:ascii="Times New Roman" w:hAnsi="Times New Roman"/>
                <w:i/>
                <w:iCs/>
                <w:color w:val="000000"/>
                <w:sz w:val="20"/>
                <w:lang w:val="sr-Cyrl-CS" w:eastAsia="pt-PT"/>
              </w:rPr>
              <w:t xml:space="preserve"> </w:t>
            </w:r>
            <w:r w:rsidRPr="005303F7">
              <w:rPr>
                <w:rFonts w:ascii="Times New Roman" w:hAnsi="Times New Roman"/>
                <w:i/>
                <w:iCs/>
                <w:color w:val="000000"/>
                <w:sz w:val="20"/>
                <w:lang w:val="sr-Cyrl-CS" w:eastAsia="pt-PT"/>
              </w:rPr>
              <w:t>производа</w:t>
            </w:r>
          </w:p>
        </w:tc>
        <w:tc>
          <w:tcPr>
            <w:tcW w:w="1597" w:type="pct"/>
            <w:tcBorders>
              <w:top w:val="nil"/>
              <w:left w:val="nil"/>
              <w:bottom w:val="single" w:sz="4" w:space="0" w:color="auto"/>
              <w:right w:val="single" w:sz="4" w:space="0" w:color="auto"/>
            </w:tcBorders>
            <w:shd w:val="clear" w:color="auto" w:fill="auto"/>
            <w:vAlign w:val="center"/>
          </w:tcPr>
          <w:p w14:paraId="11EC4C25"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250D1D" w:rsidRPr="005303F7" w14:paraId="71E47F72" w14:textId="77777777" w:rsidTr="00A17981">
        <w:trPr>
          <w:trHeight w:val="20"/>
        </w:trPr>
        <w:tc>
          <w:tcPr>
            <w:tcW w:w="1210" w:type="pct"/>
            <w:vMerge/>
            <w:tcBorders>
              <w:left w:val="single" w:sz="4" w:space="0" w:color="auto"/>
              <w:right w:val="single" w:sz="4" w:space="0" w:color="auto"/>
            </w:tcBorders>
            <w:vAlign w:val="center"/>
          </w:tcPr>
          <w:p w14:paraId="634BBCA6" w14:textId="77777777" w:rsidR="00250D1D" w:rsidRPr="005303F7" w:rsidRDefault="00250D1D" w:rsidP="00250D1D">
            <w:pPr>
              <w:spacing w:before="0" w:after="0"/>
              <w:jc w:val="center"/>
              <w:rPr>
                <w:rFonts w:ascii="Times New Roman" w:hAnsi="Times New Roman"/>
                <w:sz w:val="20"/>
                <w:lang w:val="sr-Cyrl-CS"/>
              </w:rPr>
            </w:pPr>
          </w:p>
        </w:tc>
        <w:tc>
          <w:tcPr>
            <w:tcW w:w="2193" w:type="pct"/>
            <w:tcBorders>
              <w:top w:val="nil"/>
              <w:left w:val="nil"/>
              <w:bottom w:val="single" w:sz="4" w:space="0" w:color="auto"/>
              <w:right w:val="single" w:sz="4" w:space="0" w:color="auto"/>
            </w:tcBorders>
            <w:shd w:val="clear" w:color="auto" w:fill="auto"/>
            <w:vAlign w:val="center"/>
          </w:tcPr>
          <w:p w14:paraId="6B9122B0" w14:textId="461434BD" w:rsidR="00250D1D" w:rsidRPr="005303F7" w:rsidRDefault="00607CBA" w:rsidP="00250D1D">
            <w:pPr>
              <w:tabs>
                <w:tab w:val="clear" w:pos="3825"/>
              </w:tabs>
              <w:overflowPunct/>
              <w:autoSpaceDE/>
              <w:autoSpaceDN/>
              <w:adjustRightInd/>
              <w:spacing w:before="0" w:after="0"/>
              <w:textAlignment w:val="auto"/>
              <w:rPr>
                <w:rFonts w:ascii="Times New Roman" w:hAnsi="Times New Roman"/>
                <w:sz w:val="20"/>
                <w:lang w:val="sr-Cyrl-CS" w:eastAsia="pt-PT"/>
              </w:rPr>
            </w:pPr>
            <w:r w:rsidRPr="005303F7">
              <w:rPr>
                <w:rFonts w:ascii="Times New Roman" w:hAnsi="Times New Roman"/>
                <w:color w:val="000000"/>
                <w:sz w:val="20"/>
                <w:lang w:val="sr-Cyrl-CS" w:eastAsia="pt-PT"/>
              </w:rPr>
              <w:t>Примена</w:t>
            </w:r>
            <w:r w:rsidR="00C813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уредбе</w:t>
            </w:r>
            <w:r w:rsidR="00C8134D" w:rsidRPr="005303F7">
              <w:rPr>
                <w:rFonts w:ascii="Times New Roman" w:hAnsi="Times New Roman"/>
                <w:color w:val="000000"/>
                <w:sz w:val="20"/>
                <w:lang w:val="sr-Cyrl-CS" w:eastAsia="pt-PT"/>
              </w:rPr>
              <w:t xml:space="preserve"> </w:t>
            </w:r>
            <w:r w:rsidRPr="005303F7">
              <w:rPr>
                <w:rFonts w:ascii="Times New Roman" w:hAnsi="Times New Roman"/>
                <w:sz w:val="20"/>
                <w:lang w:val="sr-Cyrl-CS" w:eastAsia="pt-PT"/>
              </w:rPr>
              <w:t>о</w:t>
            </w:r>
            <w:r w:rsidR="00C8134D" w:rsidRPr="005303F7">
              <w:rPr>
                <w:rFonts w:ascii="Times New Roman" w:hAnsi="Times New Roman"/>
                <w:sz w:val="20"/>
                <w:lang w:val="sr-Cyrl-CS" w:eastAsia="pt-PT"/>
              </w:rPr>
              <w:t xml:space="preserve"> </w:t>
            </w:r>
            <w:r w:rsidR="00303813" w:rsidRPr="005303F7">
              <w:rPr>
                <w:rFonts w:ascii="Times New Roman" w:hAnsi="Times New Roman"/>
                <w:sz w:val="20"/>
                <w:lang w:val="sr-Cyrl-CS" w:eastAsia="pt-PT"/>
              </w:rPr>
              <w:t>F</w:t>
            </w:r>
            <w:r w:rsidR="00C8134D" w:rsidRPr="005303F7">
              <w:rPr>
                <w:rFonts w:ascii="Times New Roman" w:hAnsi="Times New Roman"/>
                <w:sz w:val="20"/>
                <w:lang w:val="sr-Cyrl-CS" w:eastAsia="pt-PT"/>
              </w:rPr>
              <w:t xml:space="preserve"> </w:t>
            </w:r>
            <w:r w:rsidRPr="005303F7">
              <w:rPr>
                <w:rFonts w:ascii="Times New Roman" w:hAnsi="Times New Roman"/>
                <w:sz w:val="20"/>
                <w:lang w:val="sr-Cyrl-CS" w:eastAsia="pt-PT"/>
              </w:rPr>
              <w:t>гасовима</w:t>
            </w:r>
            <w:r w:rsidR="00C8134D" w:rsidRPr="005303F7">
              <w:rPr>
                <w:rFonts w:ascii="Times New Roman" w:hAnsi="Times New Roman"/>
                <w:sz w:val="20"/>
                <w:lang w:val="sr-Cyrl-CS" w:eastAsia="pt-PT"/>
              </w:rPr>
              <w:t xml:space="preserve"> </w:t>
            </w:r>
            <w:r w:rsidRPr="005303F7">
              <w:rPr>
                <w:rFonts w:ascii="Times New Roman" w:hAnsi="Times New Roman"/>
                <w:sz w:val="20"/>
                <w:lang w:val="sr-Cyrl-CS" w:eastAsia="pt-PT"/>
              </w:rPr>
              <w:t>и</w:t>
            </w:r>
            <w:r w:rsidR="00C8134D" w:rsidRPr="005303F7">
              <w:rPr>
                <w:rFonts w:ascii="Times New Roman" w:hAnsi="Times New Roman"/>
                <w:sz w:val="20"/>
                <w:lang w:val="sr-Cyrl-CS" w:eastAsia="pt-PT"/>
              </w:rPr>
              <w:t xml:space="preserve"> </w:t>
            </w:r>
            <w:r w:rsidRPr="005303F7">
              <w:rPr>
                <w:rFonts w:ascii="Times New Roman" w:hAnsi="Times New Roman"/>
                <w:sz w:val="20"/>
                <w:lang w:val="sr-Cyrl-CS" w:eastAsia="pt-PT"/>
              </w:rPr>
              <w:t>директиве</w:t>
            </w:r>
            <w:r w:rsidR="00C8134D" w:rsidRPr="005303F7">
              <w:rPr>
                <w:rFonts w:ascii="Times New Roman" w:hAnsi="Times New Roman"/>
                <w:sz w:val="20"/>
                <w:lang w:val="sr-Cyrl-CS" w:eastAsia="pt-PT"/>
              </w:rPr>
              <w:t xml:space="preserve"> </w:t>
            </w:r>
            <w:r w:rsidRPr="005303F7">
              <w:rPr>
                <w:rFonts w:ascii="Times New Roman" w:hAnsi="Times New Roman"/>
                <w:sz w:val="20"/>
                <w:lang w:val="sr-Cyrl-CS" w:eastAsia="pt-PT"/>
              </w:rPr>
              <w:t>о</w:t>
            </w:r>
            <w:r w:rsidR="004E2F5C" w:rsidRPr="005303F7">
              <w:rPr>
                <w:rFonts w:ascii="Times New Roman" w:hAnsi="Times New Roman"/>
                <w:sz w:val="20"/>
                <w:lang w:val="sr-Cyrl-CS" w:eastAsia="pt-PT"/>
              </w:rPr>
              <w:t xml:space="preserve"> </w:t>
            </w:r>
            <w:r w:rsidRPr="005303F7">
              <w:rPr>
                <w:rFonts w:ascii="Times New Roman" w:hAnsi="Times New Roman"/>
                <w:bCs/>
                <w:sz w:val="20"/>
                <w:lang w:val="sr-Cyrl-CS"/>
              </w:rPr>
              <w:t>емисијама</w:t>
            </w:r>
            <w:r w:rsidR="004E2F5C" w:rsidRPr="005303F7">
              <w:rPr>
                <w:rFonts w:ascii="Times New Roman" w:hAnsi="Times New Roman"/>
                <w:bCs/>
                <w:sz w:val="20"/>
                <w:lang w:val="sr-Cyrl-CS"/>
              </w:rPr>
              <w:t xml:space="preserve"> </w:t>
            </w:r>
            <w:r w:rsidRPr="005303F7">
              <w:rPr>
                <w:rFonts w:ascii="Times New Roman" w:hAnsi="Times New Roman"/>
                <w:bCs/>
                <w:sz w:val="20"/>
                <w:lang w:val="sr-Cyrl-CS"/>
              </w:rPr>
              <w:t>гасова</w:t>
            </w:r>
            <w:r w:rsidR="004E2F5C" w:rsidRPr="005303F7">
              <w:rPr>
                <w:rFonts w:ascii="Times New Roman" w:hAnsi="Times New Roman"/>
                <w:bCs/>
                <w:sz w:val="20"/>
                <w:lang w:val="sr-Cyrl-CS"/>
              </w:rPr>
              <w:t xml:space="preserve"> </w:t>
            </w:r>
            <w:r w:rsidRPr="005303F7">
              <w:rPr>
                <w:rFonts w:ascii="Times New Roman" w:hAnsi="Times New Roman"/>
                <w:bCs/>
                <w:sz w:val="20"/>
                <w:lang w:val="sr-Cyrl-CS"/>
              </w:rPr>
              <w:t>из</w:t>
            </w:r>
            <w:r w:rsidR="004E2F5C" w:rsidRPr="005303F7">
              <w:rPr>
                <w:rFonts w:ascii="Times New Roman" w:hAnsi="Times New Roman"/>
                <w:bCs/>
                <w:sz w:val="20"/>
                <w:lang w:val="sr-Cyrl-CS"/>
              </w:rPr>
              <w:t xml:space="preserve"> </w:t>
            </w:r>
            <w:r w:rsidRPr="005303F7">
              <w:rPr>
                <w:rFonts w:ascii="Times New Roman" w:hAnsi="Times New Roman"/>
                <w:bCs/>
                <w:sz w:val="20"/>
                <w:lang w:val="sr-Cyrl-CS"/>
              </w:rPr>
              <w:t>клима</w:t>
            </w:r>
            <w:r w:rsidR="004E2F5C" w:rsidRPr="005303F7">
              <w:rPr>
                <w:rFonts w:ascii="Times New Roman" w:hAnsi="Times New Roman"/>
                <w:bCs/>
                <w:sz w:val="20"/>
                <w:lang w:val="sr-Cyrl-CS"/>
              </w:rPr>
              <w:t xml:space="preserve"> </w:t>
            </w:r>
            <w:r w:rsidRPr="005303F7">
              <w:rPr>
                <w:rFonts w:ascii="Times New Roman" w:hAnsi="Times New Roman"/>
                <w:bCs/>
                <w:sz w:val="20"/>
                <w:lang w:val="sr-Cyrl-CS"/>
              </w:rPr>
              <w:t>уређаја</w:t>
            </w:r>
            <w:r w:rsidR="004E2F5C" w:rsidRPr="005303F7">
              <w:rPr>
                <w:rFonts w:ascii="Times New Roman" w:hAnsi="Times New Roman"/>
                <w:bCs/>
                <w:sz w:val="20"/>
                <w:lang w:val="sr-Cyrl-CS"/>
              </w:rPr>
              <w:t xml:space="preserve"> </w:t>
            </w:r>
            <w:r w:rsidRPr="005303F7">
              <w:rPr>
                <w:rFonts w:ascii="Times New Roman" w:hAnsi="Times New Roman"/>
                <w:bCs/>
                <w:sz w:val="20"/>
                <w:lang w:val="sr-Cyrl-CS"/>
              </w:rPr>
              <w:t>у</w:t>
            </w:r>
            <w:r w:rsidR="004E2F5C" w:rsidRPr="005303F7">
              <w:rPr>
                <w:rFonts w:ascii="Times New Roman" w:hAnsi="Times New Roman"/>
                <w:bCs/>
                <w:sz w:val="20"/>
                <w:lang w:val="sr-Cyrl-CS"/>
              </w:rPr>
              <w:t xml:space="preserve"> </w:t>
            </w:r>
            <w:r w:rsidRPr="005303F7">
              <w:rPr>
                <w:rFonts w:ascii="Times New Roman" w:hAnsi="Times New Roman"/>
                <w:bCs/>
                <w:sz w:val="20"/>
                <w:lang w:val="sr-Cyrl-CS"/>
              </w:rPr>
              <w:t>моторним</w:t>
            </w:r>
            <w:r w:rsidR="004E2F5C" w:rsidRPr="005303F7">
              <w:rPr>
                <w:rFonts w:ascii="Times New Roman" w:hAnsi="Times New Roman"/>
                <w:bCs/>
                <w:sz w:val="20"/>
                <w:lang w:val="sr-Cyrl-CS"/>
              </w:rPr>
              <w:t xml:space="preserve"> </w:t>
            </w:r>
            <w:r w:rsidRPr="005303F7">
              <w:rPr>
                <w:rFonts w:ascii="Times New Roman" w:hAnsi="Times New Roman"/>
                <w:bCs/>
                <w:sz w:val="20"/>
                <w:lang w:val="sr-Cyrl-CS"/>
              </w:rPr>
              <w:t>возилима</w:t>
            </w:r>
            <w:r w:rsidR="004E2F5C" w:rsidRPr="005303F7">
              <w:rPr>
                <w:rFonts w:ascii="Times New Roman" w:hAnsi="Times New Roman"/>
                <w:bCs/>
                <w:sz w:val="20"/>
                <w:lang w:val="sr-Cyrl-CS"/>
              </w:rPr>
              <w:t xml:space="preserve"> (</w:t>
            </w:r>
            <w:r w:rsidRPr="005303F7">
              <w:rPr>
                <w:rFonts w:ascii="Times New Roman" w:hAnsi="Times New Roman"/>
                <w:bCs/>
                <w:sz w:val="20"/>
                <w:lang w:val="sr-Cyrl-CS"/>
              </w:rPr>
              <w:t>енгл</w:t>
            </w:r>
            <w:r w:rsidR="00900F47" w:rsidRPr="005303F7">
              <w:rPr>
                <w:rFonts w:ascii="Times New Roman" w:hAnsi="Times New Roman"/>
                <w:bCs/>
                <w:sz w:val="20"/>
                <w:lang w:val="sr-Cyrl-CS"/>
              </w:rPr>
              <w:t xml:space="preserve">. </w:t>
            </w:r>
            <w:r w:rsidRPr="005303F7">
              <w:rPr>
                <w:rFonts w:ascii="Times New Roman" w:hAnsi="Times New Roman"/>
                <w:bCs/>
                <w:sz w:val="20"/>
                <w:lang w:val="sr-Cyrl-CS"/>
              </w:rPr>
              <w:t>Mobile</w:t>
            </w:r>
            <w:r w:rsidR="004E2F5C" w:rsidRPr="005303F7">
              <w:rPr>
                <w:rFonts w:ascii="Times New Roman" w:hAnsi="Times New Roman"/>
                <w:bCs/>
                <w:sz w:val="20"/>
                <w:lang w:val="sr-Cyrl-CS"/>
              </w:rPr>
              <w:t xml:space="preserve"> </w:t>
            </w:r>
            <w:r w:rsidRPr="005303F7">
              <w:rPr>
                <w:rFonts w:ascii="Times New Roman" w:hAnsi="Times New Roman"/>
                <w:bCs/>
                <w:sz w:val="20"/>
                <w:lang w:val="sr-Cyrl-CS"/>
              </w:rPr>
              <w:t>Air</w:t>
            </w:r>
            <w:r w:rsidR="004E2F5C" w:rsidRPr="005303F7">
              <w:rPr>
                <w:rFonts w:ascii="Times New Roman" w:hAnsi="Times New Roman"/>
                <w:bCs/>
                <w:sz w:val="20"/>
                <w:lang w:val="sr-Cyrl-CS"/>
              </w:rPr>
              <w:t xml:space="preserve"> </w:t>
            </w:r>
            <w:r w:rsidRPr="005303F7">
              <w:rPr>
                <w:rFonts w:ascii="Times New Roman" w:hAnsi="Times New Roman"/>
                <w:bCs/>
                <w:sz w:val="20"/>
                <w:lang w:val="sr-Cyrl-CS"/>
              </w:rPr>
              <w:t>Conditioning</w:t>
            </w:r>
            <w:r w:rsidR="004E2F5C" w:rsidRPr="005303F7">
              <w:rPr>
                <w:rFonts w:ascii="Times New Roman" w:hAnsi="Times New Roman"/>
                <w:bCs/>
                <w:sz w:val="20"/>
                <w:lang w:val="sr-Cyrl-CS"/>
              </w:rPr>
              <w:t xml:space="preserve">  </w:t>
            </w:r>
            <w:r w:rsidRPr="005303F7">
              <w:rPr>
                <w:rFonts w:ascii="Times New Roman" w:hAnsi="Times New Roman"/>
                <w:bCs/>
                <w:sz w:val="20"/>
                <w:lang w:val="sr-Cyrl-CS"/>
              </w:rPr>
              <w:t>s</w:t>
            </w:r>
            <w:r w:rsidR="004E2F5C" w:rsidRPr="005303F7">
              <w:rPr>
                <w:rFonts w:ascii="Times New Roman" w:hAnsi="Times New Roman"/>
                <w:bCs/>
                <w:sz w:val="20"/>
                <w:lang w:val="sr-Cyrl-CS"/>
              </w:rPr>
              <w:t>y</w:t>
            </w:r>
            <w:r w:rsidRPr="005303F7">
              <w:rPr>
                <w:rFonts w:ascii="Times New Roman" w:hAnsi="Times New Roman"/>
                <w:bCs/>
                <w:sz w:val="20"/>
                <w:lang w:val="sr-Cyrl-CS"/>
              </w:rPr>
              <w:t>stems</w:t>
            </w:r>
            <w:r w:rsidR="004E2F5C" w:rsidRPr="005303F7">
              <w:rPr>
                <w:rFonts w:ascii="Times New Roman" w:hAnsi="Times New Roman"/>
                <w:bCs/>
                <w:sz w:val="20"/>
                <w:lang w:val="sr-Cyrl-CS"/>
              </w:rPr>
              <w:t xml:space="preserve"> - </w:t>
            </w:r>
            <w:r w:rsidRPr="005303F7">
              <w:rPr>
                <w:rFonts w:ascii="Times New Roman" w:hAnsi="Times New Roman"/>
                <w:bCs/>
                <w:sz w:val="20"/>
                <w:lang w:val="sr-Cyrl-CS"/>
              </w:rPr>
              <w:t>MACs</w:t>
            </w:r>
            <w:r w:rsidR="004E2F5C" w:rsidRPr="005303F7">
              <w:rPr>
                <w:rFonts w:ascii="Times New Roman" w:hAnsi="Times New Roman"/>
                <w:bCs/>
                <w:sz w:val="20"/>
                <w:lang w:val="sr-Cyrl-CS"/>
              </w:rPr>
              <w:t>)</w:t>
            </w:r>
          </w:p>
          <w:p w14:paraId="39ECB9D7" w14:textId="77777777" w:rsidR="00250D1D" w:rsidRPr="005303F7" w:rsidRDefault="00250D1D" w:rsidP="00250D1D">
            <w:pPr>
              <w:tabs>
                <w:tab w:val="clear" w:pos="3825"/>
              </w:tabs>
              <w:overflowPunct/>
              <w:autoSpaceDE/>
              <w:autoSpaceDN/>
              <w:adjustRightInd/>
              <w:spacing w:before="0" w:after="0"/>
              <w:textAlignment w:val="auto"/>
              <w:rPr>
                <w:rFonts w:ascii="Times New Roman" w:hAnsi="Times New Roman"/>
                <w:sz w:val="20"/>
                <w:lang w:val="sr-Cyrl-CS" w:eastAsia="pt-PT"/>
              </w:rPr>
            </w:pPr>
          </w:p>
        </w:tc>
        <w:tc>
          <w:tcPr>
            <w:tcW w:w="1597" w:type="pct"/>
            <w:tcBorders>
              <w:top w:val="nil"/>
              <w:left w:val="nil"/>
              <w:bottom w:val="single" w:sz="4" w:space="0" w:color="auto"/>
              <w:right w:val="single" w:sz="4" w:space="0" w:color="auto"/>
            </w:tcBorders>
            <w:shd w:val="clear" w:color="auto" w:fill="auto"/>
            <w:vAlign w:val="center"/>
          </w:tcPr>
          <w:p w14:paraId="49A24958" w14:textId="528A4869" w:rsidR="00250D1D" w:rsidRPr="005303F7" w:rsidRDefault="00607CBA" w:rsidP="000F54BF">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Производна</w:t>
            </w:r>
            <w:r w:rsidR="003977B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индустрија</w:t>
            </w:r>
            <w:r w:rsidR="003977B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произвођачи</w:t>
            </w:r>
            <w:r w:rsidR="003977B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опреме</w:t>
            </w:r>
            <w:r w:rsidR="003977B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која</w:t>
            </w:r>
            <w:r w:rsidR="003977B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садржи</w:t>
            </w:r>
            <w:r w:rsidR="003977B7" w:rsidRPr="005303F7">
              <w:rPr>
                <w:rFonts w:ascii="Times New Roman" w:hAnsi="Times New Roman"/>
                <w:color w:val="000000"/>
                <w:sz w:val="20"/>
                <w:lang w:val="sr-Cyrl-CS" w:eastAsia="pt-PT"/>
              </w:rPr>
              <w:t xml:space="preserve"> </w:t>
            </w:r>
            <w:r w:rsidR="00303813" w:rsidRPr="005303F7">
              <w:rPr>
                <w:rFonts w:ascii="Times New Roman" w:hAnsi="Times New Roman"/>
                <w:color w:val="000000"/>
                <w:sz w:val="20"/>
                <w:lang w:val="sr-Cyrl-CS" w:eastAsia="pt-PT"/>
              </w:rPr>
              <w:t xml:space="preserve">F </w:t>
            </w:r>
            <w:r w:rsidRPr="005303F7">
              <w:rPr>
                <w:rFonts w:ascii="Times New Roman" w:hAnsi="Times New Roman"/>
                <w:color w:val="000000"/>
                <w:sz w:val="20"/>
                <w:lang w:val="sr-Cyrl-CS" w:eastAsia="pt-PT"/>
              </w:rPr>
              <w:t>гасове</w:t>
            </w:r>
            <w:r w:rsidR="003977B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фирме</w:t>
            </w:r>
            <w:r w:rsidR="003977B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3977B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одржавање</w:t>
            </w:r>
            <w:r w:rsidR="003977B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опреме</w:t>
            </w:r>
          </w:p>
        </w:tc>
      </w:tr>
      <w:tr w:rsidR="00250D1D" w:rsidRPr="005303F7" w14:paraId="5A3C21F0" w14:textId="77777777" w:rsidTr="00A17981">
        <w:trPr>
          <w:trHeight w:val="20"/>
        </w:trPr>
        <w:tc>
          <w:tcPr>
            <w:tcW w:w="1210" w:type="pct"/>
            <w:vMerge/>
            <w:tcBorders>
              <w:left w:val="single" w:sz="4" w:space="0" w:color="auto"/>
              <w:right w:val="single" w:sz="4" w:space="0" w:color="auto"/>
            </w:tcBorders>
            <w:shd w:val="clear" w:color="auto" w:fill="auto"/>
            <w:vAlign w:val="center"/>
          </w:tcPr>
          <w:p w14:paraId="65FA2762" w14:textId="77777777" w:rsidR="00250D1D" w:rsidRPr="005303F7" w:rsidRDefault="00250D1D" w:rsidP="00250D1D">
            <w:pPr>
              <w:tabs>
                <w:tab w:val="clear" w:pos="3825"/>
              </w:tabs>
              <w:overflowPunct/>
              <w:autoSpaceDE/>
              <w:autoSpaceDN/>
              <w:adjustRightInd/>
              <w:spacing w:before="0" w:after="0"/>
              <w:jc w:val="center"/>
              <w:textAlignment w:val="auto"/>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tcPr>
          <w:p w14:paraId="48C5B4E4" w14:textId="1887B56B" w:rsidR="00250D1D" w:rsidRPr="005303F7" w:rsidRDefault="00555E31" w:rsidP="00250D1D">
            <w:pPr>
              <w:tabs>
                <w:tab w:val="clear" w:pos="3825"/>
              </w:tabs>
              <w:overflowPunct/>
              <w:autoSpaceDE/>
              <w:autoSpaceDN/>
              <w:adjustRightInd/>
              <w:spacing w:before="0" w:after="0"/>
              <w:textAlignment w:val="auto"/>
              <w:rPr>
                <w:rFonts w:ascii="Times New Roman" w:hAnsi="Times New Roman"/>
                <w:i/>
                <w:iCs/>
                <w:color w:val="000000"/>
                <w:sz w:val="20"/>
                <w:lang w:val="sr-Cyrl-CS" w:eastAsia="pt-PT"/>
              </w:rPr>
            </w:pPr>
            <w:r w:rsidRPr="005303F7">
              <w:rPr>
                <w:rFonts w:ascii="Times New Roman" w:hAnsi="Times New Roman"/>
                <w:i/>
                <w:iCs/>
                <w:color w:val="000000"/>
                <w:sz w:val="20"/>
                <w:lang w:val="sr-Cyrl-CS" w:eastAsia="pt-PT"/>
              </w:rPr>
              <w:t>Пољопривреда</w:t>
            </w:r>
          </w:p>
        </w:tc>
        <w:tc>
          <w:tcPr>
            <w:tcW w:w="1597" w:type="pct"/>
            <w:tcBorders>
              <w:top w:val="nil"/>
              <w:left w:val="single" w:sz="4" w:space="0" w:color="auto"/>
              <w:bottom w:val="single" w:sz="4" w:space="0" w:color="auto"/>
              <w:right w:val="single" w:sz="4" w:space="0" w:color="auto"/>
            </w:tcBorders>
            <w:shd w:val="clear" w:color="auto" w:fill="auto"/>
            <w:vAlign w:val="center"/>
          </w:tcPr>
          <w:p w14:paraId="63B963F2"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250D1D" w:rsidRPr="005303F7" w14:paraId="16EEF836" w14:textId="77777777" w:rsidTr="00A17981">
        <w:trPr>
          <w:trHeight w:val="20"/>
        </w:trPr>
        <w:tc>
          <w:tcPr>
            <w:tcW w:w="1210" w:type="pct"/>
            <w:vMerge/>
            <w:tcBorders>
              <w:left w:val="single" w:sz="4" w:space="0" w:color="auto"/>
              <w:right w:val="single" w:sz="4" w:space="0" w:color="auto"/>
            </w:tcBorders>
            <w:shd w:val="clear" w:color="auto" w:fill="auto"/>
            <w:vAlign w:val="center"/>
            <w:hideMark/>
          </w:tcPr>
          <w:p w14:paraId="4FEEEB06" w14:textId="77777777" w:rsidR="00250D1D" w:rsidRPr="005303F7" w:rsidRDefault="00250D1D" w:rsidP="00250D1D">
            <w:pPr>
              <w:tabs>
                <w:tab w:val="clear" w:pos="3825"/>
              </w:tabs>
              <w:overflowPunct/>
              <w:autoSpaceDE/>
              <w:autoSpaceDN/>
              <w:adjustRightInd/>
              <w:spacing w:before="0" w:after="0"/>
              <w:jc w:val="center"/>
              <w:textAlignment w:val="auto"/>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hideMark/>
          </w:tcPr>
          <w:p w14:paraId="1BBB222B" w14:textId="528C3AA3" w:rsidR="00250D1D" w:rsidRPr="005303F7" w:rsidRDefault="00555E31" w:rsidP="00250D1D">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Озими</w:t>
            </w:r>
            <w:r w:rsidR="005A08E5"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покровни</w:t>
            </w:r>
            <w:r w:rsidR="00B0045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усеви</w:t>
            </w:r>
          </w:p>
        </w:tc>
        <w:tc>
          <w:tcPr>
            <w:tcW w:w="1597" w:type="pct"/>
            <w:vMerge w:val="restart"/>
            <w:tcBorders>
              <w:top w:val="nil"/>
              <w:left w:val="single" w:sz="4" w:space="0" w:color="auto"/>
              <w:bottom w:val="single" w:sz="4" w:space="0" w:color="auto"/>
              <w:right w:val="single" w:sz="4" w:space="0" w:color="auto"/>
            </w:tcBorders>
            <w:shd w:val="clear" w:color="auto" w:fill="auto"/>
            <w:vAlign w:val="center"/>
            <w:hideMark/>
          </w:tcPr>
          <w:p w14:paraId="751A8F0E" w14:textId="5E8BABC4" w:rsidR="00250D1D" w:rsidRPr="005303F7" w:rsidRDefault="00555E31"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Пољопривредници</w:t>
            </w:r>
            <w:r w:rsidR="003977B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добављачи</w:t>
            </w:r>
            <w:r w:rsidR="003977B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семена</w:t>
            </w:r>
            <w:r w:rsidR="003977B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потрошачи</w:t>
            </w:r>
          </w:p>
        </w:tc>
      </w:tr>
      <w:tr w:rsidR="00250D1D" w:rsidRPr="005303F7" w14:paraId="3899F680" w14:textId="77777777" w:rsidTr="00A17981">
        <w:trPr>
          <w:trHeight w:val="20"/>
        </w:trPr>
        <w:tc>
          <w:tcPr>
            <w:tcW w:w="1210" w:type="pct"/>
            <w:vMerge/>
            <w:tcBorders>
              <w:left w:val="single" w:sz="4" w:space="0" w:color="auto"/>
              <w:right w:val="single" w:sz="4" w:space="0" w:color="auto"/>
            </w:tcBorders>
            <w:vAlign w:val="center"/>
            <w:hideMark/>
          </w:tcPr>
          <w:p w14:paraId="68B4E749"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hideMark/>
          </w:tcPr>
          <w:p w14:paraId="7F19DA25" w14:textId="35F0257F" w:rsidR="00250D1D" w:rsidRPr="005303F7" w:rsidRDefault="00555E31" w:rsidP="00BC7CE0">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Пове</w:t>
            </w:r>
            <w:r w:rsidR="00016298" w:rsidRPr="005303F7">
              <w:rPr>
                <w:rFonts w:ascii="Times New Roman" w:hAnsi="Times New Roman"/>
                <w:color w:val="000000"/>
                <w:sz w:val="20"/>
                <w:lang w:val="sr-Cyrl-CS" w:eastAsia="pt-PT"/>
              </w:rPr>
              <w:t>ћ</w:t>
            </w:r>
            <w:r w:rsidRPr="005303F7">
              <w:rPr>
                <w:rFonts w:ascii="Times New Roman" w:hAnsi="Times New Roman"/>
                <w:color w:val="000000"/>
                <w:sz w:val="20"/>
                <w:lang w:val="sr-Cyrl-CS" w:eastAsia="pt-PT"/>
              </w:rPr>
              <w:t>ање</w:t>
            </w:r>
            <w:r w:rsidR="0086055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удела</w:t>
            </w:r>
            <w:r w:rsidR="0086055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махунарки</w:t>
            </w:r>
            <w:r w:rsidR="0086055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w:t>
            </w:r>
            <w:r w:rsidR="0086055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површинама</w:t>
            </w:r>
            <w:r w:rsidR="0086055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86055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исхрану</w:t>
            </w:r>
            <w:r w:rsidR="00860551"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стоке</w:t>
            </w:r>
          </w:p>
        </w:tc>
        <w:tc>
          <w:tcPr>
            <w:tcW w:w="1597" w:type="pct"/>
            <w:vMerge/>
            <w:tcBorders>
              <w:top w:val="nil"/>
              <w:left w:val="single" w:sz="4" w:space="0" w:color="auto"/>
              <w:bottom w:val="single" w:sz="4" w:space="0" w:color="auto"/>
              <w:right w:val="single" w:sz="4" w:space="0" w:color="auto"/>
            </w:tcBorders>
            <w:vAlign w:val="center"/>
            <w:hideMark/>
          </w:tcPr>
          <w:p w14:paraId="1DD2BC99"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250D1D" w:rsidRPr="005303F7" w14:paraId="18E9E171" w14:textId="77777777" w:rsidTr="00A17981">
        <w:trPr>
          <w:trHeight w:val="20"/>
        </w:trPr>
        <w:tc>
          <w:tcPr>
            <w:tcW w:w="1210" w:type="pct"/>
            <w:vMerge/>
            <w:tcBorders>
              <w:left w:val="single" w:sz="4" w:space="0" w:color="auto"/>
              <w:right w:val="single" w:sz="4" w:space="0" w:color="auto"/>
            </w:tcBorders>
            <w:vAlign w:val="center"/>
            <w:hideMark/>
          </w:tcPr>
          <w:p w14:paraId="059259D4"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hideMark/>
          </w:tcPr>
          <w:p w14:paraId="5A8CDEE0" w14:textId="36B4A59B" w:rsidR="00250D1D" w:rsidRPr="005303F7" w:rsidRDefault="00B32BBD" w:rsidP="003977B7">
            <w:pPr>
              <w:tabs>
                <w:tab w:val="clear" w:pos="3825"/>
              </w:tabs>
              <w:overflowPunct/>
              <w:autoSpaceDE/>
              <w:autoSpaceDN/>
              <w:adjustRightInd/>
              <w:spacing w:before="0" w:after="0"/>
              <w:textAlignment w:val="auto"/>
              <w:rPr>
                <w:rFonts w:ascii="Times New Roman" w:hAnsi="Times New Roman"/>
                <w:color w:val="000000"/>
                <w:sz w:val="20"/>
                <w:lang w:val="sr-Cyrl-CS" w:eastAsia="pt-PT"/>
              </w:rPr>
            </w:pPr>
            <w:bookmarkStart w:id="179" w:name="_Hlk26964196"/>
            <w:r w:rsidRPr="005303F7">
              <w:rPr>
                <w:rFonts w:ascii="Times New Roman" w:hAnsi="Times New Roman"/>
                <w:color w:val="000000"/>
                <w:sz w:val="20"/>
                <w:lang w:val="sr-Cyrl-CS" w:eastAsia="pt-PT"/>
              </w:rPr>
              <w:t>Унапређење генетског потенцијала на већу производњу млека по грлу</w:t>
            </w:r>
            <w:bookmarkEnd w:id="179"/>
          </w:p>
        </w:tc>
        <w:tc>
          <w:tcPr>
            <w:tcW w:w="1597" w:type="pct"/>
            <w:vMerge w:val="restart"/>
            <w:tcBorders>
              <w:top w:val="nil"/>
              <w:left w:val="single" w:sz="4" w:space="0" w:color="auto"/>
              <w:right w:val="single" w:sz="4" w:space="0" w:color="auto"/>
            </w:tcBorders>
            <w:shd w:val="clear" w:color="auto" w:fill="auto"/>
            <w:vAlign w:val="center"/>
            <w:hideMark/>
          </w:tcPr>
          <w:p w14:paraId="694F0E71" w14:textId="7C40B647" w:rsidR="00250D1D" w:rsidRPr="005303F7" w:rsidRDefault="00555E31"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Сточари</w:t>
            </w:r>
            <w:r w:rsidR="003977B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добављачи</w:t>
            </w:r>
            <w:r w:rsidR="003977B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адитива</w:t>
            </w:r>
            <w:r w:rsidR="003977B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потрошачи</w:t>
            </w:r>
          </w:p>
        </w:tc>
      </w:tr>
      <w:tr w:rsidR="00250D1D" w:rsidRPr="005303F7" w14:paraId="1FCD9D89" w14:textId="77777777" w:rsidTr="00A17981">
        <w:trPr>
          <w:trHeight w:val="675"/>
        </w:trPr>
        <w:tc>
          <w:tcPr>
            <w:tcW w:w="1210" w:type="pct"/>
            <w:vMerge/>
            <w:tcBorders>
              <w:left w:val="single" w:sz="4" w:space="0" w:color="auto"/>
              <w:right w:val="single" w:sz="4" w:space="0" w:color="auto"/>
            </w:tcBorders>
            <w:vAlign w:val="center"/>
            <w:hideMark/>
          </w:tcPr>
          <w:p w14:paraId="5F7A5E1A"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hideMark/>
          </w:tcPr>
          <w:p w14:paraId="7478F22B" w14:textId="7624B05A" w:rsidR="00250D1D" w:rsidRPr="005303F7" w:rsidRDefault="00555E31" w:rsidP="00250D1D">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Ланено</w:t>
            </w:r>
            <w:r w:rsidR="003977B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семе</w:t>
            </w:r>
            <w:r w:rsidR="003977B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као</w:t>
            </w:r>
            <w:r w:rsidR="003977B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додатак</w:t>
            </w:r>
            <w:r w:rsidR="003977B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храни</w:t>
            </w:r>
            <w:r w:rsidR="003977B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3977B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говеда</w:t>
            </w:r>
            <w:r w:rsidR="003977B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после</w:t>
            </w:r>
            <w:r w:rsidR="003977B7" w:rsidRPr="005303F7">
              <w:rPr>
                <w:rFonts w:ascii="Times New Roman" w:hAnsi="Times New Roman"/>
                <w:color w:val="000000"/>
                <w:sz w:val="20"/>
                <w:lang w:val="sr-Cyrl-CS" w:eastAsia="pt-PT"/>
              </w:rPr>
              <w:t xml:space="preserve"> 2030.)</w:t>
            </w:r>
          </w:p>
        </w:tc>
        <w:tc>
          <w:tcPr>
            <w:tcW w:w="1597" w:type="pct"/>
            <w:vMerge/>
            <w:tcBorders>
              <w:left w:val="single" w:sz="4" w:space="0" w:color="auto"/>
              <w:right w:val="single" w:sz="4" w:space="0" w:color="auto"/>
            </w:tcBorders>
            <w:vAlign w:val="center"/>
            <w:hideMark/>
          </w:tcPr>
          <w:p w14:paraId="5EEF5CF2"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250D1D" w:rsidRPr="005303F7" w14:paraId="500C85AE" w14:textId="77777777" w:rsidTr="00A17981">
        <w:trPr>
          <w:trHeight w:val="458"/>
        </w:trPr>
        <w:tc>
          <w:tcPr>
            <w:tcW w:w="1210" w:type="pct"/>
            <w:vMerge/>
            <w:tcBorders>
              <w:left w:val="single" w:sz="4" w:space="0" w:color="auto"/>
              <w:right w:val="single" w:sz="4" w:space="0" w:color="auto"/>
            </w:tcBorders>
            <w:vAlign w:val="center"/>
          </w:tcPr>
          <w:p w14:paraId="2E2160A5"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tcPr>
          <w:p w14:paraId="5185658B" w14:textId="2D67403C" w:rsidR="00250D1D" w:rsidRPr="005303F7" w:rsidRDefault="00555E31" w:rsidP="00127216">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Додатне</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мере</w:t>
            </w:r>
            <w:r w:rsidR="00F25346" w:rsidRPr="005303F7">
              <w:rPr>
                <w:rFonts w:ascii="Times New Roman" w:hAnsi="Times New Roman"/>
                <w:color w:val="000000"/>
                <w:sz w:val="20"/>
                <w:lang w:val="sr-Cyrl-CS" w:eastAsia="pt-PT"/>
              </w:rPr>
              <w:t xml:space="preserve"> </w:t>
            </w:r>
            <w:r w:rsidR="00BB0AA2" w:rsidRPr="005303F7">
              <w:rPr>
                <w:rFonts w:ascii="Times New Roman" w:hAnsi="Times New Roman"/>
                <w:color w:val="000000"/>
                <w:sz w:val="20"/>
                <w:lang w:val="sr-Cyrl-CS" w:eastAsia="pt-PT"/>
              </w:rPr>
              <w:t>после</w:t>
            </w:r>
            <w:r w:rsidR="00F25346" w:rsidRPr="005303F7">
              <w:rPr>
                <w:rFonts w:ascii="Times New Roman" w:hAnsi="Times New Roman"/>
                <w:color w:val="000000"/>
                <w:sz w:val="20"/>
                <w:lang w:val="sr-Cyrl-CS" w:eastAsia="pt-PT"/>
              </w:rPr>
              <w:t xml:space="preserve"> 2030. </w:t>
            </w:r>
            <w:r w:rsidRPr="005303F7">
              <w:rPr>
                <w:rFonts w:ascii="Times New Roman" w:hAnsi="Times New Roman"/>
                <w:color w:val="000000"/>
                <w:sz w:val="20"/>
                <w:lang w:val="sr-Cyrl-CS" w:eastAsia="pt-PT"/>
              </w:rPr>
              <w:t>године</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ако</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начин</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ублажавање</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буде</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складу</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са</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сценаријима</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М</w:t>
            </w:r>
            <w:r w:rsidR="00F25346" w:rsidRPr="005303F7">
              <w:rPr>
                <w:rFonts w:ascii="Times New Roman" w:hAnsi="Times New Roman"/>
                <w:color w:val="000000"/>
                <w:sz w:val="20"/>
                <w:lang w:val="sr-Cyrl-CS" w:eastAsia="pt-PT"/>
              </w:rPr>
              <w:t xml:space="preserve">3 </w:t>
            </w:r>
            <w:r w:rsidRPr="005303F7">
              <w:rPr>
                <w:rFonts w:ascii="Times New Roman" w:hAnsi="Times New Roman"/>
                <w:color w:val="000000"/>
                <w:sz w:val="20"/>
                <w:lang w:val="sr-Cyrl-CS" w:eastAsia="pt-PT"/>
              </w:rPr>
              <w:t>или</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М</w:t>
            </w:r>
            <w:r w:rsidR="00F25346" w:rsidRPr="005303F7">
              <w:rPr>
                <w:rFonts w:ascii="Times New Roman" w:hAnsi="Times New Roman"/>
                <w:color w:val="000000"/>
                <w:sz w:val="20"/>
                <w:lang w:val="sr-Cyrl-CS" w:eastAsia="pt-PT"/>
              </w:rPr>
              <w:t xml:space="preserve">4: </w:t>
            </w:r>
            <w:r w:rsidRPr="005303F7">
              <w:rPr>
                <w:rFonts w:ascii="Times New Roman" w:hAnsi="Times New Roman"/>
                <w:color w:val="000000"/>
                <w:sz w:val="20"/>
                <w:lang w:val="sr-Cyrl-CS" w:eastAsia="pt-PT"/>
              </w:rPr>
              <w:t>Прецизна</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пољопривреда</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анаеробна</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дигестија</w:t>
            </w:r>
            <w:r w:rsidR="00F25346" w:rsidRPr="005303F7">
              <w:rPr>
                <w:rFonts w:ascii="Times New Roman" w:hAnsi="Times New Roman"/>
                <w:color w:val="000000"/>
                <w:sz w:val="20"/>
                <w:lang w:val="sr-Cyrl-CS" w:eastAsia="pt-PT"/>
              </w:rPr>
              <w:t>.</w:t>
            </w:r>
            <w:r w:rsidR="00F25346" w:rsidRPr="005303F7">
              <w:rPr>
                <w:rFonts w:ascii="Times New Roman" w:hAnsi="Times New Roman"/>
                <w:lang w:val="sr-Cyrl-CS"/>
              </w:rPr>
              <w:t xml:space="preserve"> </w:t>
            </w:r>
          </w:p>
        </w:tc>
        <w:tc>
          <w:tcPr>
            <w:tcW w:w="1597" w:type="pct"/>
            <w:vMerge/>
            <w:tcBorders>
              <w:left w:val="single" w:sz="4" w:space="0" w:color="auto"/>
              <w:right w:val="single" w:sz="4" w:space="0" w:color="auto"/>
            </w:tcBorders>
            <w:vAlign w:val="center"/>
          </w:tcPr>
          <w:p w14:paraId="059569E7"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250D1D" w:rsidRPr="005303F7" w14:paraId="3D6F396E" w14:textId="77777777" w:rsidTr="00A17981">
        <w:trPr>
          <w:trHeight w:val="457"/>
        </w:trPr>
        <w:tc>
          <w:tcPr>
            <w:tcW w:w="1210" w:type="pct"/>
            <w:vMerge/>
            <w:tcBorders>
              <w:left w:val="single" w:sz="4" w:space="0" w:color="auto"/>
              <w:right w:val="single" w:sz="4" w:space="0" w:color="auto"/>
            </w:tcBorders>
            <w:vAlign w:val="center"/>
          </w:tcPr>
          <w:p w14:paraId="0B7137FC"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tcPr>
          <w:p w14:paraId="117D74E0" w14:textId="4EEB29EC" w:rsidR="00250D1D" w:rsidRPr="005303F7" w:rsidRDefault="00555E31" w:rsidP="00250D1D">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Додатне</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мере</w:t>
            </w:r>
            <w:r w:rsidR="00F25346" w:rsidRPr="005303F7">
              <w:rPr>
                <w:rFonts w:ascii="Times New Roman" w:hAnsi="Times New Roman"/>
                <w:color w:val="000000"/>
                <w:sz w:val="20"/>
                <w:lang w:val="sr-Cyrl-CS" w:eastAsia="pt-PT"/>
              </w:rPr>
              <w:t xml:space="preserve"> </w:t>
            </w:r>
            <w:r w:rsidR="00BB0AA2" w:rsidRPr="005303F7">
              <w:rPr>
                <w:rFonts w:ascii="Times New Roman" w:hAnsi="Times New Roman"/>
                <w:color w:val="000000"/>
                <w:sz w:val="20"/>
                <w:lang w:val="sr-Cyrl-CS" w:eastAsia="pt-PT"/>
              </w:rPr>
              <w:t>после</w:t>
            </w:r>
            <w:r w:rsidR="00F25346" w:rsidRPr="005303F7">
              <w:rPr>
                <w:rFonts w:ascii="Times New Roman" w:hAnsi="Times New Roman"/>
                <w:color w:val="000000"/>
                <w:sz w:val="20"/>
                <w:lang w:val="sr-Cyrl-CS" w:eastAsia="pt-PT"/>
              </w:rPr>
              <w:t xml:space="preserve"> 2030. </w:t>
            </w:r>
            <w:r w:rsidRPr="005303F7">
              <w:rPr>
                <w:rFonts w:ascii="Times New Roman" w:hAnsi="Times New Roman"/>
                <w:color w:val="000000"/>
                <w:sz w:val="20"/>
                <w:lang w:val="sr-Cyrl-CS" w:eastAsia="pt-PT"/>
              </w:rPr>
              <w:t>године</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ако</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начин</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ублажавање</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буде</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складу</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са</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сценариом</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М</w:t>
            </w:r>
            <w:r w:rsidR="00250D1D" w:rsidRPr="005303F7">
              <w:rPr>
                <w:rFonts w:ascii="Times New Roman" w:hAnsi="Times New Roman"/>
                <w:color w:val="000000"/>
                <w:sz w:val="20"/>
                <w:lang w:val="sr-Cyrl-CS" w:eastAsia="pt-PT"/>
              </w:rPr>
              <w:t xml:space="preserve">4: </w:t>
            </w:r>
            <w:r w:rsidRPr="005303F7">
              <w:rPr>
                <w:rFonts w:ascii="Times New Roman" w:hAnsi="Times New Roman"/>
                <w:color w:val="000000"/>
                <w:sz w:val="20"/>
                <w:lang w:val="sr-Cyrl-CS" w:eastAsia="pt-PT"/>
              </w:rPr>
              <w:t>анти</w:t>
            </w:r>
            <w:r w:rsidR="00F25346" w:rsidRPr="005303F7">
              <w:rPr>
                <w:rFonts w:ascii="Times New Roman" w:hAnsi="Times New Roman"/>
                <w:color w:val="000000"/>
                <w:sz w:val="20"/>
                <w:lang w:val="sr-Cyrl-CS" w:eastAsia="pt-PT"/>
              </w:rPr>
              <w:t>-</w:t>
            </w:r>
            <w:r w:rsidRPr="005303F7">
              <w:rPr>
                <w:rFonts w:ascii="Times New Roman" w:hAnsi="Times New Roman"/>
                <w:color w:val="000000"/>
                <w:sz w:val="20"/>
                <w:lang w:val="sr-Cyrl-CS" w:eastAsia="pt-PT"/>
              </w:rPr>
              <w:t>метаногена</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вакцинација</w:t>
            </w:r>
            <w:r w:rsidR="003719F1" w:rsidRPr="005303F7">
              <w:rPr>
                <w:rFonts w:ascii="Times New Roman" w:hAnsi="Times New Roman"/>
                <w:color w:val="000000"/>
                <w:sz w:val="20"/>
                <w:lang w:val="sr-Cyrl-CS" w:eastAsia="pt-PT"/>
              </w:rPr>
              <w:t xml:space="preserve"> (предвиђена тек у периоду </w:t>
            </w:r>
            <w:r w:rsidR="00BB0AA2" w:rsidRPr="005303F7">
              <w:rPr>
                <w:rFonts w:ascii="Times New Roman" w:hAnsi="Times New Roman"/>
                <w:color w:val="000000"/>
                <w:sz w:val="20"/>
                <w:lang w:val="sr-Cyrl-CS" w:eastAsia="pt-PT"/>
              </w:rPr>
              <w:t>после</w:t>
            </w:r>
            <w:r w:rsidR="003719F1" w:rsidRPr="005303F7">
              <w:rPr>
                <w:rFonts w:ascii="Times New Roman" w:hAnsi="Times New Roman"/>
                <w:color w:val="000000"/>
                <w:sz w:val="20"/>
                <w:lang w:val="sr-Cyrl-CS" w:eastAsia="pt-PT"/>
              </w:rPr>
              <w:t xml:space="preserve"> 2030 године уколико буде у складу са прописима који се односе на здравствену заштиту животиња)</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узгој</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ради</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ефикасности</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преживара</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инхибитори</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нитрификације</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нитрати</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као</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додатак</w:t>
            </w:r>
            <w:r w:rsidR="00F2534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храни</w:t>
            </w:r>
            <w:r w:rsidR="00F25346" w:rsidRPr="005303F7">
              <w:rPr>
                <w:rFonts w:ascii="Times New Roman" w:hAnsi="Times New Roman"/>
                <w:color w:val="000000"/>
                <w:sz w:val="20"/>
                <w:lang w:val="sr-Cyrl-CS" w:eastAsia="pt-PT"/>
              </w:rPr>
              <w:t>.</w:t>
            </w:r>
          </w:p>
        </w:tc>
        <w:tc>
          <w:tcPr>
            <w:tcW w:w="1597" w:type="pct"/>
            <w:vMerge/>
            <w:tcBorders>
              <w:left w:val="single" w:sz="4" w:space="0" w:color="auto"/>
              <w:bottom w:val="single" w:sz="4" w:space="0" w:color="auto"/>
              <w:right w:val="single" w:sz="4" w:space="0" w:color="auto"/>
            </w:tcBorders>
            <w:vAlign w:val="center"/>
          </w:tcPr>
          <w:p w14:paraId="14F95CF1"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250D1D" w:rsidRPr="005303F7" w14:paraId="17ED7093" w14:textId="77777777" w:rsidTr="00A17981">
        <w:trPr>
          <w:trHeight w:val="457"/>
        </w:trPr>
        <w:tc>
          <w:tcPr>
            <w:tcW w:w="1210" w:type="pct"/>
            <w:vMerge/>
            <w:tcBorders>
              <w:left w:val="single" w:sz="4" w:space="0" w:color="auto"/>
              <w:right w:val="single" w:sz="4" w:space="0" w:color="auto"/>
            </w:tcBorders>
            <w:vAlign w:val="center"/>
          </w:tcPr>
          <w:p w14:paraId="6EFB0D6B"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tcPr>
          <w:p w14:paraId="303EC79F" w14:textId="69EF5358" w:rsidR="00250D1D" w:rsidRPr="005303F7" w:rsidRDefault="00555E31" w:rsidP="00250D1D">
            <w:pPr>
              <w:tabs>
                <w:tab w:val="clear" w:pos="3825"/>
              </w:tabs>
              <w:overflowPunct/>
              <w:autoSpaceDE/>
              <w:autoSpaceDN/>
              <w:adjustRightInd/>
              <w:spacing w:before="0" w:after="0"/>
              <w:textAlignment w:val="auto"/>
              <w:rPr>
                <w:rFonts w:ascii="Times New Roman" w:hAnsi="Times New Roman"/>
                <w:i/>
                <w:iCs/>
                <w:color w:val="000000"/>
                <w:sz w:val="20"/>
                <w:lang w:val="sr-Cyrl-CS" w:eastAsia="pt-PT"/>
              </w:rPr>
            </w:pPr>
            <w:r w:rsidRPr="005303F7">
              <w:rPr>
                <w:rFonts w:ascii="Times New Roman" w:hAnsi="Times New Roman"/>
                <w:i/>
                <w:iCs/>
                <w:color w:val="000000"/>
                <w:sz w:val="20"/>
                <w:lang w:val="sr-Cyrl-CS" w:eastAsia="pt-PT"/>
              </w:rPr>
              <w:t>Сектор</w:t>
            </w:r>
            <w:r w:rsidR="00F25346" w:rsidRPr="005303F7">
              <w:rPr>
                <w:rFonts w:ascii="Times New Roman" w:hAnsi="Times New Roman"/>
                <w:i/>
                <w:iCs/>
                <w:color w:val="000000"/>
                <w:sz w:val="20"/>
                <w:lang w:val="sr-Cyrl-CS" w:eastAsia="pt-PT"/>
              </w:rPr>
              <w:t xml:space="preserve"> </w:t>
            </w:r>
            <w:r w:rsidRPr="005303F7">
              <w:rPr>
                <w:rFonts w:ascii="Times New Roman" w:hAnsi="Times New Roman"/>
                <w:i/>
                <w:iCs/>
                <w:color w:val="000000"/>
                <w:sz w:val="20"/>
                <w:lang w:val="sr-Cyrl-CS" w:eastAsia="pt-PT"/>
              </w:rPr>
              <w:t>отпада</w:t>
            </w:r>
          </w:p>
        </w:tc>
        <w:tc>
          <w:tcPr>
            <w:tcW w:w="1597" w:type="pct"/>
            <w:tcBorders>
              <w:left w:val="single" w:sz="4" w:space="0" w:color="auto"/>
              <w:right w:val="single" w:sz="4" w:space="0" w:color="auto"/>
            </w:tcBorders>
            <w:vAlign w:val="center"/>
          </w:tcPr>
          <w:p w14:paraId="737CDB14"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250D1D" w:rsidRPr="005303F7" w14:paraId="33E83A70" w14:textId="77777777" w:rsidTr="00A17981">
        <w:trPr>
          <w:trHeight w:val="457"/>
        </w:trPr>
        <w:tc>
          <w:tcPr>
            <w:tcW w:w="1210" w:type="pct"/>
            <w:vMerge/>
            <w:tcBorders>
              <w:left w:val="single" w:sz="4" w:space="0" w:color="auto"/>
              <w:right w:val="single" w:sz="4" w:space="0" w:color="auto"/>
            </w:tcBorders>
            <w:vAlign w:val="center"/>
          </w:tcPr>
          <w:p w14:paraId="0B0476DF"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tcPr>
          <w:p w14:paraId="4550F6B8" w14:textId="743CE62E" w:rsidR="00250D1D" w:rsidRPr="005303F7" w:rsidRDefault="00321B40" w:rsidP="00321B40">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w:t>
            </w:r>
            <w:r w:rsidR="00555E31" w:rsidRPr="005303F7">
              <w:rPr>
                <w:rFonts w:ascii="Times New Roman" w:hAnsi="Times New Roman"/>
                <w:color w:val="000000"/>
                <w:sz w:val="20"/>
                <w:lang w:val="sr-Cyrl-CS" w:eastAsia="pt-PT"/>
              </w:rPr>
              <w:t>Нема</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додатних</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мера</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које</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су</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изван</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тренутног</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оквира</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политике</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за</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сектор</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отпада</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до</w:t>
            </w:r>
            <w:r w:rsidRPr="005303F7">
              <w:rPr>
                <w:rFonts w:ascii="Times New Roman" w:hAnsi="Times New Roman"/>
                <w:color w:val="000000"/>
                <w:sz w:val="20"/>
                <w:lang w:val="sr-Cyrl-CS" w:eastAsia="pt-PT"/>
              </w:rPr>
              <w:t xml:space="preserve"> 2030. </w:t>
            </w:r>
            <w:r w:rsidR="00555E31" w:rsidRPr="005303F7">
              <w:rPr>
                <w:rFonts w:ascii="Times New Roman" w:hAnsi="Times New Roman"/>
                <w:color w:val="000000"/>
                <w:sz w:val="20"/>
                <w:lang w:val="sr-Cyrl-CS" w:eastAsia="pt-PT"/>
              </w:rPr>
              <w:t>и</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у</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периоду</w:t>
            </w:r>
            <w:r w:rsidRPr="005303F7">
              <w:rPr>
                <w:rFonts w:ascii="Times New Roman" w:hAnsi="Times New Roman"/>
                <w:color w:val="000000"/>
                <w:sz w:val="20"/>
                <w:lang w:val="sr-Cyrl-CS" w:eastAsia="pt-PT"/>
              </w:rPr>
              <w:t xml:space="preserve"> 2030-2050. </w:t>
            </w:r>
            <w:r w:rsidR="00555E31" w:rsidRPr="005303F7">
              <w:rPr>
                <w:rFonts w:ascii="Times New Roman" w:hAnsi="Times New Roman"/>
                <w:color w:val="000000"/>
                <w:sz w:val="20"/>
                <w:lang w:val="sr-Cyrl-CS" w:eastAsia="pt-PT"/>
              </w:rPr>
              <w:t>уколико</w:t>
            </w:r>
            <w:r w:rsidR="009B04F4"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је</w:t>
            </w:r>
            <w:r w:rsidR="009B04F4"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начин</w:t>
            </w:r>
            <w:r w:rsidR="009B04F4"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ублажавања</w:t>
            </w:r>
            <w:r w:rsidR="002E581C"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у</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складу</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са</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сценариом</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М</w:t>
            </w:r>
            <w:r w:rsidRPr="005303F7">
              <w:rPr>
                <w:rFonts w:ascii="Times New Roman" w:hAnsi="Times New Roman"/>
                <w:color w:val="000000"/>
                <w:sz w:val="20"/>
                <w:lang w:val="sr-Cyrl-CS" w:eastAsia="pt-PT"/>
              </w:rPr>
              <w:t>2)</w:t>
            </w:r>
          </w:p>
        </w:tc>
        <w:tc>
          <w:tcPr>
            <w:tcW w:w="1597" w:type="pct"/>
            <w:vMerge w:val="restart"/>
            <w:tcBorders>
              <w:left w:val="single" w:sz="4" w:space="0" w:color="auto"/>
              <w:right w:val="single" w:sz="4" w:space="0" w:color="auto"/>
            </w:tcBorders>
            <w:vAlign w:val="center"/>
          </w:tcPr>
          <w:p w14:paraId="4E15C30A" w14:textId="2EB42890" w:rsidR="00250D1D" w:rsidRPr="005303F7" w:rsidRDefault="00250D1D" w:rsidP="00A61A59">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w:t>
            </w:r>
            <w:r w:rsidR="00BB0AA2" w:rsidRPr="005303F7">
              <w:rPr>
                <w:rFonts w:ascii="Times New Roman" w:hAnsi="Times New Roman"/>
                <w:color w:val="000000"/>
                <w:sz w:val="20"/>
                <w:lang w:val="sr-Cyrl-CS" w:eastAsia="pt-PT"/>
              </w:rPr>
              <w:t>После</w:t>
            </w:r>
            <w:r w:rsidR="00A61A59" w:rsidRPr="005303F7">
              <w:rPr>
                <w:rFonts w:ascii="Times New Roman" w:hAnsi="Times New Roman"/>
                <w:color w:val="000000"/>
                <w:sz w:val="20"/>
                <w:lang w:val="sr-Cyrl-CS" w:eastAsia="pt-PT"/>
              </w:rPr>
              <w:t xml:space="preserve"> 2030. </w:t>
            </w:r>
            <w:r w:rsidR="00555E31" w:rsidRPr="005303F7">
              <w:rPr>
                <w:rFonts w:ascii="Times New Roman" w:hAnsi="Times New Roman"/>
                <w:color w:val="000000"/>
                <w:sz w:val="20"/>
                <w:lang w:val="sr-Cyrl-CS" w:eastAsia="pt-PT"/>
              </w:rPr>
              <w:t>године</w:t>
            </w:r>
            <w:r w:rsidR="00A61A59"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ако</w:t>
            </w:r>
            <w:r w:rsidR="00A61A59"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се</w:t>
            </w:r>
            <w:r w:rsidR="00A61A59"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изаберу</w:t>
            </w:r>
            <w:r w:rsidR="00A61A59"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М</w:t>
            </w:r>
            <w:r w:rsidR="00A61A59" w:rsidRPr="005303F7">
              <w:rPr>
                <w:rFonts w:ascii="Times New Roman" w:hAnsi="Times New Roman"/>
                <w:color w:val="000000"/>
                <w:sz w:val="20"/>
                <w:lang w:val="sr-Cyrl-CS" w:eastAsia="pt-PT"/>
              </w:rPr>
              <w:t xml:space="preserve">3 </w:t>
            </w:r>
            <w:r w:rsidR="00555E31" w:rsidRPr="005303F7">
              <w:rPr>
                <w:rFonts w:ascii="Times New Roman" w:hAnsi="Times New Roman"/>
                <w:color w:val="000000"/>
                <w:sz w:val="20"/>
                <w:lang w:val="sr-Cyrl-CS" w:eastAsia="pt-PT"/>
              </w:rPr>
              <w:t>или</w:t>
            </w:r>
            <w:r w:rsidR="00A61A59"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М</w:t>
            </w:r>
            <w:r w:rsidR="00A61A59" w:rsidRPr="005303F7">
              <w:rPr>
                <w:rFonts w:ascii="Times New Roman" w:hAnsi="Times New Roman"/>
                <w:color w:val="000000"/>
                <w:sz w:val="20"/>
                <w:lang w:val="sr-Cyrl-CS" w:eastAsia="pt-PT"/>
              </w:rPr>
              <w:t xml:space="preserve">4: </w:t>
            </w:r>
            <w:r w:rsidR="00555E31" w:rsidRPr="005303F7">
              <w:rPr>
                <w:rFonts w:ascii="Times New Roman" w:hAnsi="Times New Roman"/>
                <w:color w:val="000000"/>
                <w:sz w:val="20"/>
                <w:lang w:val="sr-Cyrl-CS" w:eastAsia="pt-PT"/>
              </w:rPr>
              <w:t>локалне</w:t>
            </w:r>
            <w:r w:rsidR="00A61A59"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самоуправе</w:t>
            </w:r>
            <w:r w:rsidR="00A61A59"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јавна</w:t>
            </w:r>
            <w:r w:rsidR="00A61A59"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комунална</w:t>
            </w:r>
            <w:r w:rsidR="00A61A59"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предузећа</w:t>
            </w:r>
            <w:r w:rsidR="00A61A59"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приватна</w:t>
            </w:r>
            <w:r w:rsidR="00A61A59"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лица</w:t>
            </w:r>
            <w:r w:rsidR="00A61A59"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потрошачи</w:t>
            </w:r>
            <w:r w:rsidR="00A61A59" w:rsidRPr="005303F7">
              <w:rPr>
                <w:rFonts w:ascii="Times New Roman" w:hAnsi="Times New Roman"/>
                <w:color w:val="000000"/>
                <w:sz w:val="20"/>
                <w:lang w:val="sr-Cyrl-CS" w:eastAsia="pt-PT"/>
              </w:rPr>
              <w:t>)</w:t>
            </w:r>
          </w:p>
        </w:tc>
      </w:tr>
      <w:tr w:rsidR="00250D1D" w:rsidRPr="005303F7" w14:paraId="019A344E" w14:textId="77777777" w:rsidTr="004E2F5C">
        <w:trPr>
          <w:trHeight w:val="2197"/>
        </w:trPr>
        <w:tc>
          <w:tcPr>
            <w:tcW w:w="1210" w:type="pct"/>
            <w:vMerge/>
            <w:tcBorders>
              <w:left w:val="single" w:sz="4" w:space="0" w:color="auto"/>
              <w:right w:val="single" w:sz="4" w:space="0" w:color="auto"/>
            </w:tcBorders>
            <w:vAlign w:val="center"/>
          </w:tcPr>
          <w:p w14:paraId="6F16B26D"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tcPr>
          <w:p w14:paraId="54C7F456" w14:textId="5084F062" w:rsidR="00250D1D" w:rsidRPr="005303F7" w:rsidRDefault="00555E31" w:rsidP="000F54BF">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Мере</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224B5E"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које</w:t>
            </w:r>
            <w:r w:rsidR="00224B5E"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ће</w:t>
            </w:r>
            <w:r w:rsidR="00224B5E"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бити</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потребан</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додатни</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напор</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односу</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на</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Б</w:t>
            </w:r>
            <w:r w:rsidR="009A644D" w:rsidRPr="005303F7">
              <w:rPr>
                <w:rFonts w:ascii="Times New Roman" w:hAnsi="Times New Roman"/>
                <w:color w:val="000000"/>
                <w:sz w:val="20"/>
                <w:lang w:val="sr-Cyrl-CS" w:eastAsia="pt-PT"/>
              </w:rPr>
              <w:t>2/</w:t>
            </w:r>
            <w:r w:rsidRPr="005303F7">
              <w:rPr>
                <w:rFonts w:ascii="Times New Roman" w:hAnsi="Times New Roman"/>
                <w:color w:val="000000"/>
                <w:sz w:val="20"/>
                <w:lang w:val="sr-Cyrl-CS" w:eastAsia="pt-PT"/>
              </w:rPr>
              <w:t>М</w:t>
            </w:r>
            <w:r w:rsidR="009A644D" w:rsidRPr="005303F7">
              <w:rPr>
                <w:rFonts w:ascii="Times New Roman" w:hAnsi="Times New Roman"/>
                <w:color w:val="000000"/>
                <w:sz w:val="20"/>
                <w:lang w:val="sr-Cyrl-CS" w:eastAsia="pt-PT"/>
              </w:rPr>
              <w:t xml:space="preserve">2, </w:t>
            </w:r>
            <w:r w:rsidR="00BB0AA2" w:rsidRPr="005303F7">
              <w:rPr>
                <w:rFonts w:ascii="Times New Roman" w:hAnsi="Times New Roman"/>
                <w:color w:val="000000"/>
                <w:sz w:val="20"/>
                <w:lang w:val="sr-Cyrl-CS" w:eastAsia="pt-PT"/>
              </w:rPr>
              <w:t>после</w:t>
            </w:r>
            <w:r w:rsidR="009A644D" w:rsidRPr="005303F7">
              <w:rPr>
                <w:rFonts w:ascii="Times New Roman" w:hAnsi="Times New Roman"/>
                <w:color w:val="000000"/>
                <w:sz w:val="20"/>
                <w:lang w:val="sr-Cyrl-CS" w:eastAsia="pt-PT"/>
              </w:rPr>
              <w:t xml:space="preserve"> 2030. </w:t>
            </w:r>
            <w:r w:rsidRPr="005303F7">
              <w:rPr>
                <w:rFonts w:ascii="Times New Roman" w:hAnsi="Times New Roman"/>
                <w:color w:val="000000"/>
                <w:sz w:val="20"/>
                <w:lang w:val="sr-Cyrl-CS" w:eastAsia="pt-PT"/>
              </w:rPr>
              <w:t>године</w:t>
            </w:r>
            <w:r w:rsidR="00026A6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ако</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начин</w:t>
            </w:r>
            <w:r w:rsidR="00A61A59"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A61A59"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ублажавање</w:t>
            </w:r>
            <w:r w:rsidR="00A61A59"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буде</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складу</w:t>
            </w:r>
            <w:r w:rsidR="00A01410"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са</w:t>
            </w:r>
            <w:r w:rsidR="00A01410"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сценаријима</w:t>
            </w:r>
            <w:r w:rsidR="00A01410"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М</w:t>
            </w:r>
            <w:r w:rsidR="00A01410" w:rsidRPr="005303F7">
              <w:rPr>
                <w:rFonts w:ascii="Times New Roman" w:hAnsi="Times New Roman"/>
                <w:color w:val="000000"/>
                <w:sz w:val="20"/>
                <w:lang w:val="sr-Cyrl-CS" w:eastAsia="pt-PT"/>
              </w:rPr>
              <w:t xml:space="preserve">3 </w:t>
            </w:r>
            <w:r w:rsidRPr="005303F7">
              <w:rPr>
                <w:rFonts w:ascii="Times New Roman" w:hAnsi="Times New Roman"/>
                <w:color w:val="000000"/>
                <w:sz w:val="20"/>
                <w:lang w:val="sr-Cyrl-CS" w:eastAsia="pt-PT"/>
              </w:rPr>
              <w:t>или</w:t>
            </w:r>
            <w:r w:rsidR="00A01410"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М</w:t>
            </w:r>
            <w:r w:rsidR="00A01410" w:rsidRPr="005303F7">
              <w:rPr>
                <w:rFonts w:ascii="Times New Roman" w:hAnsi="Times New Roman"/>
                <w:color w:val="000000"/>
                <w:sz w:val="20"/>
                <w:lang w:val="sr-Cyrl-CS" w:eastAsia="pt-PT"/>
              </w:rPr>
              <w:t>4:</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изградња</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санитарних</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депонија</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одвајање</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извора</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изградња</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објеката</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рециклажу</w:t>
            </w:r>
            <w:r w:rsidR="001D565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материјала</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изградња</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постројења</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биолошки</w:t>
            </w:r>
            <w:r w:rsidR="00E82C93"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третман</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постројења</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компостирање</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изградња</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постројења</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термички</w:t>
            </w:r>
            <w:r w:rsidR="00E82C93"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третман</w:t>
            </w:r>
            <w:r w:rsidR="009A644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инсинерација</w:t>
            </w:r>
            <w:r w:rsidR="009A644D" w:rsidRPr="005303F7">
              <w:rPr>
                <w:rFonts w:ascii="Times New Roman" w:hAnsi="Times New Roman"/>
                <w:color w:val="000000"/>
                <w:sz w:val="20"/>
                <w:lang w:val="sr-Cyrl-CS" w:eastAsia="pt-PT"/>
              </w:rPr>
              <w:t>);</w:t>
            </w:r>
          </w:p>
        </w:tc>
        <w:tc>
          <w:tcPr>
            <w:tcW w:w="1597" w:type="pct"/>
            <w:vMerge/>
            <w:tcBorders>
              <w:left w:val="single" w:sz="4" w:space="0" w:color="auto"/>
              <w:right w:val="single" w:sz="4" w:space="0" w:color="auto"/>
            </w:tcBorders>
            <w:vAlign w:val="center"/>
          </w:tcPr>
          <w:p w14:paraId="15F56116"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250D1D" w:rsidRPr="005303F7" w14:paraId="37D17DB5" w14:textId="77777777" w:rsidTr="00A17981">
        <w:trPr>
          <w:trHeight w:val="457"/>
        </w:trPr>
        <w:tc>
          <w:tcPr>
            <w:tcW w:w="1210" w:type="pct"/>
            <w:vMerge/>
            <w:tcBorders>
              <w:left w:val="single" w:sz="4" w:space="0" w:color="auto"/>
              <w:bottom w:val="single" w:sz="4" w:space="0" w:color="auto"/>
              <w:right w:val="single" w:sz="4" w:space="0" w:color="auto"/>
            </w:tcBorders>
            <w:vAlign w:val="center"/>
          </w:tcPr>
          <w:p w14:paraId="13D5475D"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tcPr>
          <w:p w14:paraId="781F8902" w14:textId="2C6A0D5C" w:rsidR="00250D1D" w:rsidRPr="005303F7" w:rsidRDefault="00555E31" w:rsidP="009063BA">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Мере</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којима</w:t>
            </w:r>
            <w:r w:rsidR="009063BA" w:rsidRPr="005303F7">
              <w:rPr>
                <w:rFonts w:ascii="Times New Roman" w:hAnsi="Times New Roman"/>
                <w:color w:val="000000"/>
                <w:sz w:val="20"/>
                <w:lang w:val="sr-Cyrl-CS" w:eastAsia="pt-PT"/>
              </w:rPr>
              <w:t xml:space="preserve"> </w:t>
            </w:r>
            <w:r w:rsidR="00016298" w:rsidRPr="005303F7">
              <w:rPr>
                <w:rFonts w:ascii="Times New Roman" w:hAnsi="Times New Roman"/>
                <w:color w:val="000000"/>
                <w:sz w:val="20"/>
                <w:lang w:val="sr-Cyrl-CS" w:eastAsia="pt-PT"/>
              </w:rPr>
              <w:t>ћ</w:t>
            </w:r>
            <w:r w:rsidRPr="005303F7">
              <w:rPr>
                <w:rFonts w:ascii="Times New Roman" w:hAnsi="Times New Roman"/>
                <w:color w:val="000000"/>
                <w:sz w:val="20"/>
                <w:lang w:val="sr-Cyrl-CS" w:eastAsia="pt-PT"/>
              </w:rPr>
              <w:t>е</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бити</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потребан</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додатни</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напор</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поређењу</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са</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Б</w:t>
            </w:r>
            <w:r w:rsidR="00016298" w:rsidRPr="005303F7">
              <w:rPr>
                <w:rFonts w:ascii="Times New Roman" w:hAnsi="Times New Roman"/>
                <w:color w:val="000000"/>
                <w:sz w:val="20"/>
                <w:lang w:val="sr-Cyrl-CS" w:eastAsia="pt-PT"/>
              </w:rPr>
              <w:t>2/</w:t>
            </w:r>
            <w:r w:rsidRPr="005303F7">
              <w:rPr>
                <w:rFonts w:ascii="Times New Roman" w:hAnsi="Times New Roman"/>
                <w:color w:val="000000"/>
                <w:sz w:val="20"/>
                <w:lang w:val="sr-Cyrl-CS" w:eastAsia="pt-PT"/>
              </w:rPr>
              <w:t>М</w:t>
            </w:r>
            <w:r w:rsidR="009063BA" w:rsidRPr="005303F7">
              <w:rPr>
                <w:rFonts w:ascii="Times New Roman" w:hAnsi="Times New Roman"/>
                <w:color w:val="000000"/>
                <w:sz w:val="20"/>
                <w:lang w:val="sr-Cyrl-CS" w:eastAsia="pt-PT"/>
              </w:rPr>
              <w:t xml:space="preserve">2, </w:t>
            </w:r>
            <w:r w:rsidRPr="005303F7">
              <w:rPr>
                <w:rFonts w:ascii="Times New Roman" w:hAnsi="Times New Roman"/>
                <w:color w:val="000000"/>
                <w:sz w:val="20"/>
                <w:lang w:val="sr-Cyrl-CS" w:eastAsia="pt-PT"/>
              </w:rPr>
              <w:t>после</w:t>
            </w:r>
            <w:r w:rsidR="009063BA" w:rsidRPr="005303F7">
              <w:rPr>
                <w:rFonts w:ascii="Times New Roman" w:hAnsi="Times New Roman"/>
                <w:color w:val="000000"/>
                <w:sz w:val="20"/>
                <w:lang w:val="sr-Cyrl-CS" w:eastAsia="pt-PT"/>
              </w:rPr>
              <w:t xml:space="preserve"> 2030. </w:t>
            </w:r>
            <w:r w:rsidRPr="005303F7">
              <w:rPr>
                <w:rFonts w:ascii="Times New Roman" w:hAnsi="Times New Roman"/>
                <w:color w:val="000000"/>
                <w:sz w:val="20"/>
                <w:lang w:val="sr-Cyrl-CS" w:eastAsia="pt-PT"/>
              </w:rPr>
              <w:t>године</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ако</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начин</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ублажавање</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буде</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складу</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са</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сценаријем</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М</w:t>
            </w:r>
            <w:r w:rsidR="009063BA" w:rsidRPr="005303F7">
              <w:rPr>
                <w:rFonts w:ascii="Times New Roman" w:hAnsi="Times New Roman"/>
                <w:color w:val="000000"/>
                <w:sz w:val="20"/>
                <w:lang w:val="sr-Cyrl-CS" w:eastAsia="pt-PT"/>
              </w:rPr>
              <w:t xml:space="preserve">4: </w:t>
            </w:r>
            <w:r w:rsidRPr="005303F7">
              <w:rPr>
                <w:rFonts w:ascii="Times New Roman" w:hAnsi="Times New Roman"/>
                <w:color w:val="000000"/>
                <w:sz w:val="20"/>
                <w:lang w:val="sr-Cyrl-CS" w:eastAsia="pt-PT"/>
              </w:rPr>
              <w:t>изградња</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постројења</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биолошку</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обраду</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анаеробна</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дигестија</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појачана</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превенција</w:t>
            </w:r>
            <w:r w:rsidR="00906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отпада</w:t>
            </w:r>
            <w:r w:rsidR="009063BA" w:rsidRPr="005303F7">
              <w:rPr>
                <w:rFonts w:ascii="Times New Roman" w:hAnsi="Times New Roman"/>
                <w:color w:val="000000"/>
                <w:sz w:val="20"/>
                <w:lang w:val="sr-Cyrl-CS" w:eastAsia="pt-PT"/>
              </w:rPr>
              <w:t>.</w:t>
            </w:r>
          </w:p>
        </w:tc>
        <w:tc>
          <w:tcPr>
            <w:tcW w:w="1597" w:type="pct"/>
            <w:vMerge/>
            <w:tcBorders>
              <w:left w:val="single" w:sz="4" w:space="0" w:color="auto"/>
              <w:bottom w:val="single" w:sz="4" w:space="0" w:color="auto"/>
              <w:right w:val="single" w:sz="4" w:space="0" w:color="auto"/>
            </w:tcBorders>
            <w:vAlign w:val="center"/>
          </w:tcPr>
          <w:p w14:paraId="6CD80F57"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250D1D" w:rsidRPr="005303F7" w14:paraId="0D9F52AC" w14:textId="77777777" w:rsidTr="004E2F5C">
        <w:trPr>
          <w:trHeight w:val="291"/>
        </w:trPr>
        <w:tc>
          <w:tcPr>
            <w:tcW w:w="12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534F6" w14:textId="602B5EF6" w:rsidR="00250D1D" w:rsidRPr="005303F7" w:rsidRDefault="008E072D" w:rsidP="000F54BF">
            <w:pPr>
              <w:tabs>
                <w:tab w:val="clear" w:pos="3825"/>
              </w:tabs>
              <w:overflowPunct/>
              <w:autoSpaceDE/>
              <w:autoSpaceDN/>
              <w:adjustRightInd/>
              <w:spacing w:before="0" w:after="0"/>
              <w:jc w:val="center"/>
              <w:textAlignment w:val="auto"/>
              <w:rPr>
                <w:rFonts w:ascii="Times New Roman" w:hAnsi="Times New Roman"/>
                <w:color w:val="000000"/>
                <w:sz w:val="20"/>
                <w:lang w:val="sr-Cyrl-CS" w:eastAsia="pt-PT"/>
              </w:rPr>
            </w:pPr>
            <w:r w:rsidRPr="005303F7">
              <w:rPr>
                <w:rFonts w:ascii="Times New Roman" w:hAnsi="Times New Roman"/>
                <w:sz w:val="20"/>
                <w:lang w:val="sr-Cyrl-CS"/>
              </w:rPr>
              <w:t>Посебан циљ</w:t>
            </w:r>
            <w:r w:rsidR="009E0825" w:rsidRPr="005303F7">
              <w:rPr>
                <w:rFonts w:ascii="Times New Roman" w:hAnsi="Times New Roman"/>
                <w:sz w:val="20"/>
                <w:lang w:val="sr-Cyrl-CS"/>
              </w:rPr>
              <w:t xml:space="preserve"> 3: </w:t>
            </w:r>
            <w:r w:rsidRPr="005303F7">
              <w:rPr>
                <w:rFonts w:ascii="Times New Roman" w:hAnsi="Times New Roman"/>
                <w:sz w:val="20"/>
                <w:lang w:val="sr-Cyrl-CS"/>
              </w:rPr>
              <w:t xml:space="preserve">Повећање понора угљеника у српским шумама за </w:t>
            </w:r>
            <w:r w:rsidR="009D7C53" w:rsidRPr="005303F7">
              <w:rPr>
                <w:rFonts w:ascii="Times New Roman" w:hAnsi="Times New Roman"/>
                <w:sz w:val="20"/>
                <w:lang w:val="sr-Cyrl-CS"/>
              </w:rPr>
              <w:t xml:space="preserve">17% </w:t>
            </w:r>
            <w:r w:rsidRPr="005303F7">
              <w:rPr>
                <w:rFonts w:ascii="Times New Roman" w:hAnsi="Times New Roman"/>
                <w:sz w:val="20"/>
                <w:lang w:val="sr-Cyrl-CS"/>
              </w:rPr>
              <w:t>до</w:t>
            </w:r>
            <w:r w:rsidR="009D7C53" w:rsidRPr="005303F7">
              <w:rPr>
                <w:rFonts w:ascii="Times New Roman" w:hAnsi="Times New Roman"/>
                <w:sz w:val="20"/>
                <w:lang w:val="sr-Cyrl-CS"/>
              </w:rPr>
              <w:t xml:space="preserve"> 2030. </w:t>
            </w:r>
            <w:r w:rsidRPr="005303F7">
              <w:rPr>
                <w:rFonts w:ascii="Times New Roman" w:hAnsi="Times New Roman"/>
                <w:sz w:val="20"/>
                <w:lang w:val="sr-Cyrl-CS"/>
              </w:rPr>
              <w:t>и између</w:t>
            </w:r>
            <w:r w:rsidR="009D7C53" w:rsidRPr="005303F7">
              <w:rPr>
                <w:rFonts w:ascii="Times New Roman" w:hAnsi="Times New Roman"/>
                <w:sz w:val="20"/>
                <w:lang w:val="sr-Cyrl-CS"/>
              </w:rPr>
              <w:t xml:space="preserve"> 22% </w:t>
            </w:r>
            <w:r w:rsidRPr="005303F7">
              <w:rPr>
                <w:rFonts w:ascii="Times New Roman" w:hAnsi="Times New Roman"/>
                <w:sz w:val="20"/>
                <w:lang w:val="sr-Cyrl-CS"/>
              </w:rPr>
              <w:t>и</w:t>
            </w:r>
            <w:r w:rsidR="009D7C53" w:rsidRPr="005303F7">
              <w:rPr>
                <w:rFonts w:ascii="Times New Roman" w:hAnsi="Times New Roman"/>
                <w:sz w:val="20"/>
                <w:lang w:val="sr-Cyrl-CS"/>
              </w:rPr>
              <w:t xml:space="preserve"> 132% </w:t>
            </w:r>
            <w:r w:rsidRPr="005303F7">
              <w:rPr>
                <w:rFonts w:ascii="Times New Roman" w:hAnsi="Times New Roman"/>
                <w:sz w:val="20"/>
                <w:lang w:val="sr-Cyrl-CS"/>
              </w:rPr>
              <w:t>до</w:t>
            </w:r>
            <w:r w:rsidR="00855C71" w:rsidRPr="005303F7">
              <w:rPr>
                <w:rFonts w:ascii="Times New Roman" w:hAnsi="Times New Roman"/>
                <w:sz w:val="20"/>
                <w:lang w:val="sr-Cyrl-CS"/>
              </w:rPr>
              <w:t xml:space="preserve"> 2050</w:t>
            </w:r>
            <w:r w:rsidR="009D7C53" w:rsidRPr="005303F7">
              <w:rPr>
                <w:rFonts w:ascii="Times New Roman" w:hAnsi="Times New Roman"/>
                <w:sz w:val="20"/>
                <w:lang w:val="sr-Cyrl-CS"/>
              </w:rPr>
              <w:t>,</w:t>
            </w:r>
            <w:r w:rsidRPr="005303F7">
              <w:rPr>
                <w:rFonts w:ascii="Times New Roman" w:hAnsi="Times New Roman"/>
                <w:sz w:val="20"/>
                <w:lang w:val="sr-Cyrl-CS"/>
              </w:rPr>
              <w:t xml:space="preserve"> у поређењу са </w:t>
            </w:r>
            <w:r w:rsidR="009D7C53" w:rsidRPr="005303F7">
              <w:rPr>
                <w:rFonts w:ascii="Times New Roman" w:hAnsi="Times New Roman"/>
                <w:sz w:val="20"/>
                <w:lang w:val="sr-Cyrl-CS"/>
              </w:rPr>
              <w:t xml:space="preserve">2010. </w:t>
            </w:r>
            <w:r w:rsidRPr="005303F7">
              <w:rPr>
                <w:rFonts w:ascii="Times New Roman" w:hAnsi="Times New Roman"/>
                <w:sz w:val="20"/>
                <w:lang w:val="sr-Cyrl-CS"/>
              </w:rPr>
              <w:t>годином</w:t>
            </w:r>
            <w:r w:rsidR="009D7C53" w:rsidRPr="005303F7">
              <w:rPr>
                <w:rFonts w:ascii="Times New Roman" w:hAnsi="Times New Roman"/>
                <w:sz w:val="20"/>
                <w:lang w:val="sr-Cyrl-CS"/>
              </w:rPr>
              <w:t xml:space="preserve"> </w:t>
            </w:r>
          </w:p>
        </w:tc>
        <w:tc>
          <w:tcPr>
            <w:tcW w:w="2193" w:type="pct"/>
            <w:tcBorders>
              <w:top w:val="nil"/>
              <w:left w:val="nil"/>
              <w:bottom w:val="single" w:sz="4" w:space="0" w:color="auto"/>
              <w:right w:val="single" w:sz="4" w:space="0" w:color="auto"/>
            </w:tcBorders>
            <w:shd w:val="clear" w:color="auto" w:fill="auto"/>
            <w:vAlign w:val="center"/>
            <w:hideMark/>
          </w:tcPr>
          <w:p w14:paraId="3F3D901E" w14:textId="3C16940F" w:rsidR="00250D1D" w:rsidRPr="005303F7" w:rsidRDefault="00555E31" w:rsidP="00250D1D">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Пошумљавање</w:t>
            </w:r>
          </w:p>
        </w:tc>
        <w:tc>
          <w:tcPr>
            <w:tcW w:w="1597" w:type="pct"/>
            <w:vMerge w:val="restart"/>
            <w:tcBorders>
              <w:top w:val="nil"/>
              <w:left w:val="single" w:sz="4" w:space="0" w:color="auto"/>
              <w:bottom w:val="single" w:sz="4" w:space="0" w:color="auto"/>
              <w:right w:val="single" w:sz="4" w:space="0" w:color="auto"/>
            </w:tcBorders>
            <w:shd w:val="clear" w:color="auto" w:fill="auto"/>
            <w:vAlign w:val="center"/>
            <w:hideMark/>
          </w:tcPr>
          <w:p w14:paraId="37CEA511" w14:textId="4701B7C7" w:rsidR="00250D1D" w:rsidRPr="005303F7" w:rsidRDefault="00555E31" w:rsidP="00396EDA">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ЈП</w:t>
            </w:r>
            <w:r w:rsidR="00396EDA" w:rsidRPr="005303F7">
              <w:rPr>
                <w:rFonts w:ascii="Times New Roman" w:hAnsi="Times New Roman"/>
                <w:color w:val="000000"/>
                <w:sz w:val="20"/>
                <w:lang w:val="sr-Cyrl-CS" w:eastAsia="pt-PT"/>
              </w:rPr>
              <w:t xml:space="preserve"> „</w:t>
            </w:r>
            <w:r w:rsidR="00D73AAB" w:rsidRPr="005303F7">
              <w:rPr>
                <w:rFonts w:ascii="Times New Roman" w:hAnsi="Times New Roman"/>
                <w:color w:val="000000"/>
                <w:sz w:val="20"/>
                <w:lang w:val="sr-Cyrl-CS" w:eastAsia="pt-PT"/>
              </w:rPr>
              <w:t>Србија</w:t>
            </w:r>
            <w:r w:rsidRPr="005303F7">
              <w:rPr>
                <w:rFonts w:ascii="Times New Roman" w:hAnsi="Times New Roman"/>
                <w:color w:val="000000"/>
                <w:sz w:val="20"/>
                <w:lang w:val="sr-Cyrl-CS" w:eastAsia="pt-PT"/>
              </w:rPr>
              <w:t>шуме</w:t>
            </w:r>
            <w:r w:rsidR="0035174D" w:rsidRPr="005303F7">
              <w:rPr>
                <w:rFonts w:ascii="Times New Roman" w:hAnsi="Times New Roman"/>
                <w:color w:val="000000"/>
                <w:sz w:val="20"/>
                <w:lang w:val="sr-Cyrl-CS" w:eastAsia="pt-PT"/>
              </w:rPr>
              <w:t>”</w:t>
            </w:r>
            <w:r w:rsidR="00250D1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396ED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ЈП</w:t>
            </w:r>
            <w:r w:rsidR="00396ED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Војводинашуме</w:t>
            </w:r>
            <w:r w:rsidR="0035174D" w:rsidRPr="005303F7">
              <w:rPr>
                <w:rFonts w:ascii="Times New Roman" w:hAnsi="Times New Roman"/>
                <w:color w:val="000000"/>
                <w:sz w:val="20"/>
                <w:lang w:val="sr-Cyrl-CS" w:eastAsia="pt-PT"/>
              </w:rPr>
              <w:t>”</w:t>
            </w:r>
            <w:r w:rsidR="00396EDA" w:rsidRPr="005303F7">
              <w:rPr>
                <w:rFonts w:ascii="Times New Roman" w:hAnsi="Times New Roman"/>
                <w:color w:val="000000"/>
                <w:sz w:val="20"/>
                <w:lang w:val="sr-Cyrl-CS" w:eastAsia="pt-PT"/>
              </w:rPr>
              <w:t>,</w:t>
            </w:r>
            <w:r w:rsidR="008E072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w:t>
            </w:r>
            <w:r w:rsidR="00AC4F88" w:rsidRPr="005303F7">
              <w:rPr>
                <w:rFonts w:ascii="Times New Roman" w:hAnsi="Times New Roman"/>
                <w:color w:val="000000"/>
                <w:sz w:val="20"/>
                <w:lang w:val="sr-Cyrl-CS" w:eastAsia="pt-PT"/>
              </w:rPr>
              <w:t>и</w:t>
            </w:r>
            <w:r w:rsidRPr="005303F7">
              <w:rPr>
                <w:rFonts w:ascii="Times New Roman" w:hAnsi="Times New Roman"/>
                <w:color w:val="000000"/>
                <w:sz w:val="20"/>
                <w:lang w:val="sr-Cyrl-CS" w:eastAsia="pt-PT"/>
              </w:rPr>
              <w:t>ватни</w:t>
            </w:r>
            <w:r w:rsidR="00396ED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поседници</w:t>
            </w:r>
            <w:r w:rsidR="00396ED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шума</w:t>
            </w:r>
            <w:r w:rsidR="00396EDA" w:rsidRPr="005303F7">
              <w:rPr>
                <w:rFonts w:ascii="Times New Roman" w:hAnsi="Times New Roman"/>
                <w:color w:val="000000"/>
                <w:sz w:val="20"/>
                <w:lang w:val="sr-Cyrl-CS" w:eastAsia="pt-PT"/>
              </w:rPr>
              <w:t xml:space="preserve"> </w:t>
            </w:r>
            <w:r w:rsidR="00250D1D" w:rsidRPr="005303F7">
              <w:rPr>
                <w:rFonts w:ascii="Times New Roman" w:hAnsi="Times New Roman"/>
                <w:color w:val="000000"/>
                <w:sz w:val="20"/>
                <w:lang w:val="sr-Cyrl-CS" w:eastAsia="pt-PT"/>
              </w:rPr>
              <w:t>(</w:t>
            </w:r>
            <w:r w:rsidRPr="005303F7">
              <w:rPr>
                <w:rFonts w:ascii="Times New Roman" w:hAnsi="Times New Roman"/>
                <w:color w:val="000000"/>
                <w:sz w:val="20"/>
                <w:lang w:val="sr-Cyrl-CS" w:eastAsia="pt-PT"/>
              </w:rPr>
              <w:t>превасходно</w:t>
            </w:r>
            <w:r w:rsidR="00396ED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Српска</w:t>
            </w:r>
            <w:r w:rsidR="00396ED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православна</w:t>
            </w:r>
            <w:r w:rsidR="00396ED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црква</w:t>
            </w:r>
            <w:r w:rsidR="00396EDA" w:rsidRPr="005303F7">
              <w:rPr>
                <w:rFonts w:ascii="Times New Roman" w:hAnsi="Times New Roman"/>
                <w:color w:val="000000"/>
                <w:sz w:val="20"/>
                <w:lang w:val="sr-Cyrl-CS" w:eastAsia="pt-PT"/>
              </w:rPr>
              <w:t>),</w:t>
            </w:r>
            <w:r w:rsidR="00250D1D"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универзитети</w:t>
            </w:r>
          </w:p>
        </w:tc>
      </w:tr>
      <w:tr w:rsidR="00250D1D" w:rsidRPr="005303F7" w14:paraId="1D7C2990" w14:textId="77777777" w:rsidTr="004E2F5C">
        <w:trPr>
          <w:trHeight w:val="565"/>
        </w:trPr>
        <w:tc>
          <w:tcPr>
            <w:tcW w:w="1210" w:type="pct"/>
            <w:vMerge/>
            <w:tcBorders>
              <w:top w:val="single" w:sz="4" w:space="0" w:color="auto"/>
              <w:left w:val="single" w:sz="4" w:space="0" w:color="auto"/>
              <w:bottom w:val="single" w:sz="4" w:space="0" w:color="auto"/>
              <w:right w:val="single" w:sz="4" w:space="0" w:color="auto"/>
            </w:tcBorders>
            <w:vAlign w:val="center"/>
            <w:hideMark/>
          </w:tcPr>
          <w:p w14:paraId="34334DA0"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hideMark/>
          </w:tcPr>
          <w:p w14:paraId="2F35D55B" w14:textId="228CE261" w:rsidR="00250D1D" w:rsidRPr="005303F7" w:rsidRDefault="00555E31" w:rsidP="005735BD">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Природи</w:t>
            </w:r>
            <w:r w:rsidR="008179B0"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блиско</w:t>
            </w:r>
            <w:r w:rsidR="00BF7E1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газдовање</w:t>
            </w:r>
            <w:r w:rsidR="00BF7E1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шумама</w:t>
            </w:r>
            <w:r w:rsidR="007110D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7110D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климатски</w:t>
            </w:r>
            <w:r w:rsidR="007110D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паметан</w:t>
            </w:r>
            <w:r w:rsidR="007110D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приступ</w:t>
            </w:r>
            <w:r w:rsidR="00BF7E1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шумарству</w:t>
            </w:r>
          </w:p>
        </w:tc>
        <w:tc>
          <w:tcPr>
            <w:tcW w:w="1597" w:type="pct"/>
            <w:vMerge/>
            <w:tcBorders>
              <w:top w:val="nil"/>
              <w:left w:val="single" w:sz="4" w:space="0" w:color="auto"/>
              <w:bottom w:val="single" w:sz="4" w:space="0" w:color="auto"/>
              <w:right w:val="single" w:sz="4" w:space="0" w:color="auto"/>
            </w:tcBorders>
            <w:vAlign w:val="center"/>
            <w:hideMark/>
          </w:tcPr>
          <w:p w14:paraId="3F46E2EB"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250D1D" w:rsidRPr="005303F7" w14:paraId="2803CDD1" w14:textId="77777777" w:rsidTr="00FA0FFE">
        <w:trPr>
          <w:trHeight w:val="923"/>
        </w:trPr>
        <w:tc>
          <w:tcPr>
            <w:tcW w:w="1210" w:type="pct"/>
            <w:vMerge/>
            <w:tcBorders>
              <w:top w:val="single" w:sz="4" w:space="0" w:color="auto"/>
              <w:left w:val="single" w:sz="4" w:space="0" w:color="auto"/>
              <w:bottom w:val="single" w:sz="4" w:space="0" w:color="auto"/>
              <w:right w:val="single" w:sz="4" w:space="0" w:color="auto"/>
            </w:tcBorders>
            <w:vAlign w:val="center"/>
            <w:hideMark/>
          </w:tcPr>
          <w:p w14:paraId="3F534B22"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hideMark/>
          </w:tcPr>
          <w:p w14:paraId="79763EAD" w14:textId="1BF9AA77" w:rsidR="00250D1D" w:rsidRPr="005303F7" w:rsidRDefault="00555E31" w:rsidP="00250D1D">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Конверзија</w:t>
            </w:r>
            <w:r w:rsidR="008179B0"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изданачких</w:t>
            </w:r>
            <w:r w:rsidR="008179B0"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шума</w:t>
            </w:r>
            <w:r w:rsidR="008179B0"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w:t>
            </w:r>
            <w:r w:rsidR="008179B0"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високе</w:t>
            </w:r>
          </w:p>
        </w:tc>
        <w:tc>
          <w:tcPr>
            <w:tcW w:w="1597" w:type="pct"/>
            <w:vMerge/>
            <w:tcBorders>
              <w:top w:val="nil"/>
              <w:left w:val="single" w:sz="4" w:space="0" w:color="auto"/>
              <w:bottom w:val="single" w:sz="4" w:space="0" w:color="auto"/>
              <w:right w:val="single" w:sz="4" w:space="0" w:color="auto"/>
            </w:tcBorders>
            <w:vAlign w:val="center"/>
            <w:hideMark/>
          </w:tcPr>
          <w:p w14:paraId="484F5F32"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250D1D" w:rsidRPr="005303F7" w14:paraId="42A37092" w14:textId="77777777" w:rsidTr="004E2F5C">
        <w:trPr>
          <w:trHeight w:val="265"/>
        </w:trPr>
        <w:tc>
          <w:tcPr>
            <w:tcW w:w="1210" w:type="pct"/>
            <w:vMerge/>
            <w:tcBorders>
              <w:top w:val="single" w:sz="4" w:space="0" w:color="auto"/>
              <w:left w:val="single" w:sz="4" w:space="0" w:color="auto"/>
              <w:bottom w:val="single" w:sz="4" w:space="0" w:color="auto"/>
              <w:right w:val="single" w:sz="4" w:space="0" w:color="auto"/>
            </w:tcBorders>
            <w:vAlign w:val="center"/>
            <w:hideMark/>
          </w:tcPr>
          <w:p w14:paraId="34FB9DCC"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hideMark/>
          </w:tcPr>
          <w:p w14:paraId="33E170E7" w14:textId="41EB43EB" w:rsidR="00250D1D" w:rsidRPr="005303F7" w:rsidRDefault="001F3B5D" w:rsidP="00250D1D">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 xml:space="preserve">Засади брзорастућих врста шумског дрвећа </w:t>
            </w:r>
          </w:p>
        </w:tc>
        <w:tc>
          <w:tcPr>
            <w:tcW w:w="1597" w:type="pct"/>
            <w:vMerge/>
            <w:tcBorders>
              <w:top w:val="nil"/>
              <w:left w:val="single" w:sz="4" w:space="0" w:color="auto"/>
              <w:bottom w:val="single" w:sz="4" w:space="0" w:color="auto"/>
              <w:right w:val="single" w:sz="4" w:space="0" w:color="auto"/>
            </w:tcBorders>
            <w:vAlign w:val="center"/>
            <w:hideMark/>
          </w:tcPr>
          <w:p w14:paraId="6AB526EE"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250D1D" w:rsidRPr="005303F7" w14:paraId="5BBB5BA2" w14:textId="77777777" w:rsidTr="004E2F5C">
        <w:trPr>
          <w:trHeight w:val="269"/>
        </w:trPr>
        <w:tc>
          <w:tcPr>
            <w:tcW w:w="1210" w:type="pct"/>
            <w:vMerge/>
            <w:tcBorders>
              <w:top w:val="single" w:sz="4" w:space="0" w:color="auto"/>
              <w:left w:val="single" w:sz="4" w:space="0" w:color="auto"/>
              <w:bottom w:val="single" w:sz="4" w:space="0" w:color="auto"/>
              <w:right w:val="single" w:sz="4" w:space="0" w:color="auto"/>
            </w:tcBorders>
            <w:vAlign w:val="center"/>
            <w:hideMark/>
          </w:tcPr>
          <w:p w14:paraId="13227166"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hideMark/>
          </w:tcPr>
          <w:p w14:paraId="2B652029" w14:textId="03464B2D" w:rsidR="00250D1D" w:rsidRPr="005303F7" w:rsidRDefault="00555E31" w:rsidP="00250D1D">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Обнављање</w:t>
            </w:r>
            <w:r w:rsidR="008179B0"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презрелих</w:t>
            </w:r>
            <w:r w:rsidR="008179B0"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састојина</w:t>
            </w:r>
            <w:r w:rsidR="008179B0"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буква</w:t>
            </w:r>
            <w:r w:rsidR="008179B0" w:rsidRPr="005303F7">
              <w:rPr>
                <w:rFonts w:ascii="Times New Roman" w:hAnsi="Times New Roman"/>
                <w:color w:val="000000"/>
                <w:sz w:val="20"/>
                <w:lang w:val="sr-Cyrl-CS" w:eastAsia="pt-PT"/>
              </w:rPr>
              <w:t>)</w:t>
            </w:r>
          </w:p>
        </w:tc>
        <w:tc>
          <w:tcPr>
            <w:tcW w:w="1597" w:type="pct"/>
            <w:vMerge/>
            <w:tcBorders>
              <w:top w:val="nil"/>
              <w:left w:val="single" w:sz="4" w:space="0" w:color="auto"/>
              <w:bottom w:val="single" w:sz="4" w:space="0" w:color="auto"/>
              <w:right w:val="single" w:sz="4" w:space="0" w:color="auto"/>
            </w:tcBorders>
            <w:vAlign w:val="center"/>
            <w:hideMark/>
          </w:tcPr>
          <w:p w14:paraId="618F9105"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250D1D" w:rsidRPr="005303F7" w14:paraId="0692252D" w14:textId="77777777" w:rsidTr="004E2F5C">
        <w:trPr>
          <w:trHeight w:val="570"/>
        </w:trPr>
        <w:tc>
          <w:tcPr>
            <w:tcW w:w="1210" w:type="pct"/>
            <w:vMerge/>
            <w:tcBorders>
              <w:top w:val="single" w:sz="4" w:space="0" w:color="auto"/>
              <w:left w:val="single" w:sz="4" w:space="0" w:color="auto"/>
              <w:bottom w:val="single" w:sz="4" w:space="0" w:color="auto"/>
              <w:right w:val="single" w:sz="4" w:space="0" w:color="auto"/>
            </w:tcBorders>
            <w:vAlign w:val="center"/>
            <w:hideMark/>
          </w:tcPr>
          <w:p w14:paraId="3DB7487E"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hideMark/>
          </w:tcPr>
          <w:p w14:paraId="3B64E02B" w14:textId="442A24D0" w:rsidR="00250D1D" w:rsidRPr="005303F7" w:rsidRDefault="00555E31" w:rsidP="00250D1D">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Израда</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смерница</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смањење</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негативних</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фактора</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ризика</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биоти</w:t>
            </w:r>
            <w:r w:rsidR="00CA5D63" w:rsidRPr="005303F7">
              <w:rPr>
                <w:rFonts w:ascii="Times New Roman" w:hAnsi="Times New Roman"/>
                <w:color w:val="000000"/>
                <w:sz w:val="20"/>
                <w:lang w:val="sr-Cyrl-CS" w:eastAsia="pt-PT"/>
              </w:rPr>
              <w:t>ч</w:t>
            </w:r>
            <w:r w:rsidRPr="005303F7">
              <w:rPr>
                <w:rFonts w:ascii="Times New Roman" w:hAnsi="Times New Roman"/>
                <w:color w:val="000000"/>
                <w:sz w:val="20"/>
                <w:lang w:val="sr-Cyrl-CS" w:eastAsia="pt-PT"/>
              </w:rPr>
              <w:t>ког</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абиоти</w:t>
            </w:r>
            <w:r w:rsidR="00CA5D63" w:rsidRPr="005303F7">
              <w:rPr>
                <w:rFonts w:ascii="Times New Roman" w:hAnsi="Times New Roman"/>
                <w:color w:val="000000"/>
                <w:sz w:val="20"/>
                <w:lang w:val="sr-Cyrl-CS" w:eastAsia="pt-PT"/>
              </w:rPr>
              <w:t>ч</w:t>
            </w:r>
            <w:r w:rsidRPr="005303F7">
              <w:rPr>
                <w:rFonts w:ascii="Times New Roman" w:hAnsi="Times New Roman"/>
                <w:color w:val="000000"/>
                <w:sz w:val="20"/>
                <w:lang w:val="sr-Cyrl-CS" w:eastAsia="pt-PT"/>
              </w:rPr>
              <w:t>ког</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порекла</w:t>
            </w:r>
          </w:p>
        </w:tc>
        <w:tc>
          <w:tcPr>
            <w:tcW w:w="1597" w:type="pct"/>
            <w:vMerge/>
            <w:tcBorders>
              <w:top w:val="nil"/>
              <w:left w:val="single" w:sz="4" w:space="0" w:color="auto"/>
              <w:bottom w:val="single" w:sz="4" w:space="0" w:color="auto"/>
              <w:right w:val="single" w:sz="4" w:space="0" w:color="auto"/>
            </w:tcBorders>
            <w:vAlign w:val="center"/>
            <w:hideMark/>
          </w:tcPr>
          <w:p w14:paraId="27F895A8"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250D1D" w:rsidRPr="005303F7" w14:paraId="30734B79" w14:textId="77777777" w:rsidTr="004E2F5C">
        <w:trPr>
          <w:trHeight w:val="975"/>
        </w:trPr>
        <w:tc>
          <w:tcPr>
            <w:tcW w:w="1210" w:type="pct"/>
            <w:vMerge/>
            <w:tcBorders>
              <w:top w:val="single" w:sz="4" w:space="0" w:color="auto"/>
              <w:left w:val="single" w:sz="4" w:space="0" w:color="auto"/>
              <w:bottom w:val="single" w:sz="4" w:space="0" w:color="auto"/>
              <w:right w:val="single" w:sz="4" w:space="0" w:color="auto"/>
            </w:tcBorders>
            <w:vAlign w:val="center"/>
            <w:hideMark/>
          </w:tcPr>
          <w:p w14:paraId="2FA8EC57"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c>
          <w:tcPr>
            <w:tcW w:w="2193" w:type="pct"/>
            <w:tcBorders>
              <w:top w:val="nil"/>
              <w:left w:val="nil"/>
              <w:bottom w:val="single" w:sz="4" w:space="0" w:color="auto"/>
              <w:right w:val="single" w:sz="4" w:space="0" w:color="auto"/>
            </w:tcBorders>
            <w:shd w:val="clear" w:color="auto" w:fill="auto"/>
            <w:vAlign w:val="center"/>
            <w:hideMark/>
          </w:tcPr>
          <w:p w14:paraId="7E7F99E5" w14:textId="43A2B95E" w:rsidR="00250D1D" w:rsidRPr="005303F7" w:rsidRDefault="00555E31" w:rsidP="00EA0E64">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Програм</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истраживања</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обуке</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подизања</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свести</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са</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циљем</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повећања</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понора</w:t>
            </w:r>
            <w:r w:rsidR="00EA0E64" w:rsidRPr="005303F7">
              <w:rPr>
                <w:rFonts w:ascii="Times New Roman" w:hAnsi="Times New Roman"/>
                <w:color w:val="000000"/>
                <w:sz w:val="20"/>
                <w:lang w:val="sr-Cyrl-CS" w:eastAsia="pt-PT"/>
              </w:rPr>
              <w:t xml:space="preserve"> </w:t>
            </w:r>
            <w:r w:rsidR="00BF65FC" w:rsidRPr="005303F7">
              <w:rPr>
                <w:rFonts w:ascii="Times New Roman" w:hAnsi="Times New Roman"/>
                <w:color w:val="000000"/>
                <w:sz w:val="20"/>
                <w:lang w:val="sr-Cyrl-CS" w:eastAsia="pt-PT"/>
              </w:rPr>
              <w:t>C</w:t>
            </w:r>
            <w:r w:rsidRPr="005303F7">
              <w:rPr>
                <w:rFonts w:ascii="Times New Roman" w:hAnsi="Times New Roman"/>
                <w:color w:val="000000"/>
                <w:sz w:val="20"/>
                <w:lang w:val="sr-Cyrl-CS" w:eastAsia="pt-PT"/>
              </w:rPr>
              <w:t>О</w:t>
            </w:r>
            <w:r w:rsidR="004837F7" w:rsidRPr="005303F7">
              <w:rPr>
                <w:rFonts w:ascii="Times New Roman" w:hAnsi="Times New Roman"/>
                <w:color w:val="000000"/>
                <w:sz w:val="20"/>
                <w:vertAlign w:val="subscript"/>
                <w:lang w:val="sr-Cyrl-CS" w:eastAsia="pt-PT"/>
              </w:rPr>
              <w:t>2</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стварања</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веће</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отпорности</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шума</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w:t>
            </w:r>
            <w:r w:rsidR="004837F7" w:rsidRPr="005303F7">
              <w:rPr>
                <w:rFonts w:ascii="Times New Roman" w:hAnsi="Times New Roman"/>
                <w:color w:val="000000"/>
                <w:sz w:val="20"/>
                <w:lang w:val="sr-Cyrl-CS" w:eastAsia="pt-PT"/>
              </w:rPr>
              <w:t xml:space="preserve"> </w:t>
            </w:r>
            <w:r w:rsidR="00D73AAB" w:rsidRPr="005303F7">
              <w:rPr>
                <w:rFonts w:ascii="Times New Roman" w:hAnsi="Times New Roman"/>
                <w:color w:val="000000"/>
                <w:sz w:val="20"/>
                <w:lang w:val="sr-Cyrl-CS" w:eastAsia="pt-PT"/>
              </w:rPr>
              <w:t>Републици Србији</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на</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климатске</w:t>
            </w:r>
            <w:r w:rsidR="004837F7"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промене</w:t>
            </w:r>
          </w:p>
        </w:tc>
        <w:tc>
          <w:tcPr>
            <w:tcW w:w="1597" w:type="pct"/>
            <w:vMerge/>
            <w:tcBorders>
              <w:top w:val="nil"/>
              <w:left w:val="single" w:sz="4" w:space="0" w:color="auto"/>
              <w:bottom w:val="single" w:sz="4" w:space="0" w:color="auto"/>
              <w:right w:val="single" w:sz="4" w:space="0" w:color="auto"/>
            </w:tcBorders>
            <w:vAlign w:val="center"/>
            <w:hideMark/>
          </w:tcPr>
          <w:p w14:paraId="003FF3A9" w14:textId="77777777" w:rsidR="00250D1D" w:rsidRPr="005303F7" w:rsidRDefault="00250D1D"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D07A7C" w:rsidRPr="005303F7" w14:paraId="79A9F231" w14:textId="77777777" w:rsidTr="00ED14E7">
        <w:trPr>
          <w:trHeight w:val="451"/>
        </w:trPr>
        <w:tc>
          <w:tcPr>
            <w:tcW w:w="1210" w:type="pct"/>
            <w:vMerge w:val="restart"/>
            <w:tcBorders>
              <w:top w:val="single" w:sz="4" w:space="0" w:color="auto"/>
              <w:left w:val="single" w:sz="4" w:space="0" w:color="auto"/>
              <w:right w:val="single" w:sz="4" w:space="0" w:color="auto"/>
            </w:tcBorders>
            <w:shd w:val="clear" w:color="auto" w:fill="auto"/>
            <w:vAlign w:val="center"/>
          </w:tcPr>
          <w:p w14:paraId="2C6E25DA" w14:textId="7C570A2C" w:rsidR="00D07A7C" w:rsidRPr="005303F7" w:rsidRDefault="00555E31" w:rsidP="00537377">
            <w:pPr>
              <w:tabs>
                <w:tab w:val="clear" w:pos="3825"/>
              </w:tabs>
              <w:overflowPunct/>
              <w:autoSpaceDE/>
              <w:autoSpaceDN/>
              <w:adjustRightInd/>
              <w:spacing w:before="0" w:after="0"/>
              <w:jc w:val="center"/>
              <w:textAlignment w:val="auto"/>
              <w:rPr>
                <w:rFonts w:ascii="Times New Roman" w:hAnsi="Times New Roman"/>
                <w:color w:val="000000"/>
                <w:sz w:val="20"/>
                <w:lang w:val="sr-Cyrl-CS" w:eastAsia="pt-PT"/>
              </w:rPr>
            </w:pPr>
            <w:r w:rsidRPr="005303F7">
              <w:rPr>
                <w:rFonts w:ascii="Times New Roman" w:hAnsi="Times New Roman"/>
                <w:sz w:val="20"/>
                <w:lang w:val="sr-Cyrl-CS"/>
              </w:rPr>
              <w:t>Посебан</w:t>
            </w:r>
            <w:r w:rsidR="00D07A7C" w:rsidRPr="005303F7">
              <w:rPr>
                <w:rFonts w:ascii="Times New Roman" w:hAnsi="Times New Roman"/>
                <w:sz w:val="20"/>
                <w:lang w:val="sr-Cyrl-CS"/>
              </w:rPr>
              <w:t xml:space="preserve"> </w:t>
            </w:r>
            <w:r w:rsidRPr="005303F7">
              <w:rPr>
                <w:rFonts w:ascii="Times New Roman" w:hAnsi="Times New Roman"/>
                <w:sz w:val="20"/>
                <w:lang w:val="sr-Cyrl-CS"/>
              </w:rPr>
              <w:t>циљ</w:t>
            </w:r>
            <w:r w:rsidR="00D07A7C" w:rsidRPr="005303F7">
              <w:rPr>
                <w:rFonts w:ascii="Times New Roman" w:hAnsi="Times New Roman"/>
                <w:sz w:val="20"/>
                <w:lang w:val="sr-Cyrl-CS"/>
              </w:rPr>
              <w:t xml:space="preserve"> 4: </w:t>
            </w:r>
            <w:r w:rsidRPr="005303F7">
              <w:rPr>
                <w:rFonts w:ascii="Times New Roman" w:hAnsi="Times New Roman"/>
                <w:sz w:val="20"/>
                <w:lang w:val="sr-Cyrl-CS"/>
              </w:rPr>
              <w:t>Очување</w:t>
            </w:r>
            <w:r w:rsidR="00D07A7C" w:rsidRPr="005303F7">
              <w:rPr>
                <w:rFonts w:ascii="Times New Roman" w:hAnsi="Times New Roman"/>
                <w:sz w:val="20"/>
                <w:lang w:val="sr-Cyrl-CS"/>
              </w:rPr>
              <w:t xml:space="preserve"> </w:t>
            </w:r>
            <w:r w:rsidRPr="005303F7">
              <w:rPr>
                <w:rFonts w:ascii="Times New Roman" w:hAnsi="Times New Roman"/>
                <w:sz w:val="20"/>
                <w:lang w:val="sr-Cyrl-CS"/>
              </w:rPr>
              <w:t>потенцијала</w:t>
            </w:r>
            <w:r w:rsidR="00D07A7C" w:rsidRPr="005303F7">
              <w:rPr>
                <w:rFonts w:ascii="Times New Roman" w:hAnsi="Times New Roman"/>
                <w:sz w:val="20"/>
                <w:lang w:val="sr-Cyrl-CS"/>
              </w:rPr>
              <w:t xml:space="preserve"> </w:t>
            </w:r>
            <w:r w:rsidRPr="005303F7">
              <w:rPr>
                <w:rFonts w:ascii="Times New Roman" w:hAnsi="Times New Roman"/>
                <w:sz w:val="20"/>
                <w:lang w:val="sr-Cyrl-CS"/>
              </w:rPr>
              <w:t>мера</w:t>
            </w:r>
            <w:r w:rsidR="00D07A7C" w:rsidRPr="005303F7">
              <w:rPr>
                <w:rFonts w:ascii="Times New Roman" w:hAnsi="Times New Roman"/>
                <w:sz w:val="20"/>
                <w:lang w:val="sr-Cyrl-CS"/>
              </w:rPr>
              <w:t xml:space="preserve"> </w:t>
            </w:r>
            <w:r w:rsidRPr="005303F7">
              <w:rPr>
                <w:rFonts w:ascii="Times New Roman" w:hAnsi="Times New Roman"/>
                <w:sz w:val="20"/>
                <w:lang w:val="sr-Cyrl-CS"/>
              </w:rPr>
              <w:t>ублажавања</w:t>
            </w:r>
            <w:r w:rsidR="00D07A7C" w:rsidRPr="005303F7">
              <w:rPr>
                <w:rFonts w:ascii="Times New Roman" w:hAnsi="Times New Roman"/>
                <w:sz w:val="20"/>
                <w:lang w:val="sr-Cyrl-CS"/>
              </w:rPr>
              <w:t xml:space="preserve">, </w:t>
            </w:r>
            <w:r w:rsidRPr="005303F7">
              <w:rPr>
                <w:rFonts w:ascii="Times New Roman" w:hAnsi="Times New Roman"/>
                <w:sz w:val="20"/>
                <w:lang w:val="sr-Cyrl-CS"/>
              </w:rPr>
              <w:t>утврђених</w:t>
            </w:r>
            <w:r w:rsidR="00D07A7C" w:rsidRPr="005303F7">
              <w:rPr>
                <w:rFonts w:ascii="Times New Roman" w:hAnsi="Times New Roman"/>
                <w:sz w:val="20"/>
                <w:lang w:val="sr-Cyrl-CS"/>
              </w:rPr>
              <w:t xml:space="preserve"> </w:t>
            </w:r>
            <w:r w:rsidRPr="005303F7">
              <w:rPr>
                <w:rFonts w:ascii="Times New Roman" w:hAnsi="Times New Roman"/>
                <w:sz w:val="20"/>
                <w:lang w:val="sr-Cyrl-CS"/>
              </w:rPr>
              <w:t>за</w:t>
            </w:r>
            <w:r w:rsidR="00D07A7C" w:rsidRPr="005303F7">
              <w:rPr>
                <w:rFonts w:ascii="Times New Roman" w:hAnsi="Times New Roman"/>
                <w:sz w:val="20"/>
                <w:lang w:val="sr-Cyrl-CS"/>
              </w:rPr>
              <w:t xml:space="preserve"> 2030. </w:t>
            </w:r>
            <w:r w:rsidRPr="005303F7">
              <w:rPr>
                <w:rFonts w:ascii="Times New Roman" w:hAnsi="Times New Roman"/>
                <w:sz w:val="20"/>
                <w:lang w:val="sr-Cyrl-CS"/>
              </w:rPr>
              <w:t>и</w:t>
            </w:r>
            <w:r w:rsidR="00D07A7C" w:rsidRPr="005303F7">
              <w:rPr>
                <w:rFonts w:ascii="Times New Roman" w:hAnsi="Times New Roman"/>
                <w:sz w:val="20"/>
                <w:lang w:val="sr-Cyrl-CS"/>
              </w:rPr>
              <w:t xml:space="preserve"> 2050. </w:t>
            </w:r>
            <w:r w:rsidRPr="005303F7">
              <w:rPr>
                <w:rFonts w:ascii="Times New Roman" w:hAnsi="Times New Roman"/>
                <w:sz w:val="20"/>
                <w:lang w:val="sr-Cyrl-CS"/>
              </w:rPr>
              <w:t>годину</w:t>
            </w:r>
            <w:r w:rsidR="00D07A7C" w:rsidRPr="005303F7">
              <w:rPr>
                <w:rFonts w:ascii="Times New Roman" w:hAnsi="Times New Roman"/>
                <w:sz w:val="20"/>
                <w:lang w:val="sr-Cyrl-CS"/>
              </w:rPr>
              <w:t xml:space="preserve">, </w:t>
            </w:r>
            <w:r w:rsidRPr="005303F7">
              <w:rPr>
                <w:rFonts w:ascii="Times New Roman" w:hAnsi="Times New Roman"/>
                <w:sz w:val="20"/>
                <w:lang w:val="sr-Cyrl-CS"/>
              </w:rPr>
              <w:t>повећањем</w:t>
            </w:r>
            <w:r w:rsidR="00D07A7C" w:rsidRPr="005303F7">
              <w:rPr>
                <w:rFonts w:ascii="Times New Roman" w:hAnsi="Times New Roman"/>
                <w:sz w:val="20"/>
                <w:lang w:val="sr-Cyrl-CS"/>
              </w:rPr>
              <w:t xml:space="preserve"> </w:t>
            </w:r>
            <w:r w:rsidRPr="005303F7">
              <w:rPr>
                <w:rFonts w:ascii="Times New Roman" w:hAnsi="Times New Roman"/>
                <w:sz w:val="20"/>
                <w:lang w:val="sr-Cyrl-CS"/>
              </w:rPr>
              <w:t>отпорности</w:t>
            </w:r>
            <w:r w:rsidR="00D07A7C" w:rsidRPr="005303F7">
              <w:rPr>
                <w:rFonts w:ascii="Times New Roman" w:hAnsi="Times New Roman"/>
                <w:sz w:val="20"/>
                <w:lang w:val="sr-Cyrl-CS"/>
              </w:rPr>
              <w:t xml:space="preserve"> </w:t>
            </w:r>
            <w:r w:rsidRPr="005303F7">
              <w:rPr>
                <w:rFonts w:ascii="Times New Roman" w:hAnsi="Times New Roman"/>
                <w:sz w:val="20"/>
                <w:lang w:val="sr-Cyrl-CS"/>
              </w:rPr>
              <w:t>на</w:t>
            </w:r>
            <w:r w:rsidR="00D07A7C" w:rsidRPr="005303F7">
              <w:rPr>
                <w:rFonts w:ascii="Times New Roman" w:hAnsi="Times New Roman"/>
                <w:sz w:val="20"/>
                <w:lang w:val="sr-Cyrl-CS"/>
              </w:rPr>
              <w:t xml:space="preserve"> </w:t>
            </w:r>
            <w:r w:rsidRPr="005303F7">
              <w:rPr>
                <w:rFonts w:ascii="Times New Roman" w:hAnsi="Times New Roman"/>
                <w:sz w:val="20"/>
                <w:lang w:val="sr-Cyrl-CS"/>
              </w:rPr>
              <w:t>климатске</w:t>
            </w:r>
            <w:r w:rsidR="00D07A7C" w:rsidRPr="005303F7">
              <w:rPr>
                <w:rFonts w:ascii="Times New Roman" w:hAnsi="Times New Roman"/>
                <w:sz w:val="20"/>
                <w:lang w:val="sr-Cyrl-CS"/>
              </w:rPr>
              <w:t xml:space="preserve"> </w:t>
            </w:r>
            <w:r w:rsidRPr="005303F7">
              <w:rPr>
                <w:rFonts w:ascii="Times New Roman" w:hAnsi="Times New Roman"/>
                <w:sz w:val="20"/>
                <w:lang w:val="sr-Cyrl-CS"/>
              </w:rPr>
              <w:t>промене</w:t>
            </w:r>
            <w:r w:rsidR="00D07A7C" w:rsidRPr="005303F7">
              <w:rPr>
                <w:rFonts w:ascii="Times New Roman" w:hAnsi="Times New Roman"/>
                <w:sz w:val="20"/>
                <w:lang w:val="sr-Cyrl-CS"/>
              </w:rPr>
              <w:t xml:space="preserve"> </w:t>
            </w:r>
            <w:r w:rsidRPr="005303F7">
              <w:rPr>
                <w:rFonts w:ascii="Times New Roman" w:hAnsi="Times New Roman"/>
                <w:sz w:val="20"/>
                <w:lang w:val="sr-Cyrl-CS"/>
              </w:rPr>
              <w:t>у</w:t>
            </w:r>
            <w:r w:rsidR="00D07A7C" w:rsidRPr="005303F7">
              <w:rPr>
                <w:rFonts w:ascii="Times New Roman" w:hAnsi="Times New Roman"/>
                <w:sz w:val="20"/>
                <w:lang w:val="sr-Cyrl-CS"/>
              </w:rPr>
              <w:t xml:space="preserve"> </w:t>
            </w:r>
            <w:r w:rsidRPr="005303F7">
              <w:rPr>
                <w:rFonts w:ascii="Times New Roman" w:hAnsi="Times New Roman"/>
                <w:sz w:val="20"/>
                <w:lang w:val="sr-Cyrl-CS"/>
              </w:rPr>
              <w:t>приоритетним</w:t>
            </w:r>
            <w:r w:rsidR="00D07A7C" w:rsidRPr="005303F7">
              <w:rPr>
                <w:rFonts w:ascii="Times New Roman" w:hAnsi="Times New Roman"/>
                <w:sz w:val="20"/>
                <w:lang w:val="sr-Cyrl-CS"/>
              </w:rPr>
              <w:t xml:space="preserve"> </w:t>
            </w:r>
            <w:r w:rsidRPr="005303F7">
              <w:rPr>
                <w:rFonts w:ascii="Times New Roman" w:hAnsi="Times New Roman"/>
                <w:sz w:val="20"/>
                <w:lang w:val="sr-Cyrl-CS"/>
              </w:rPr>
              <w:t>секторима</w:t>
            </w:r>
          </w:p>
        </w:tc>
        <w:tc>
          <w:tcPr>
            <w:tcW w:w="2193" w:type="pct"/>
            <w:tcBorders>
              <w:top w:val="single" w:sz="4" w:space="0" w:color="auto"/>
              <w:left w:val="nil"/>
              <w:bottom w:val="single" w:sz="4" w:space="0" w:color="auto"/>
              <w:right w:val="single" w:sz="4" w:space="0" w:color="auto"/>
            </w:tcBorders>
            <w:shd w:val="clear" w:color="auto" w:fill="auto"/>
            <w:vAlign w:val="center"/>
          </w:tcPr>
          <w:p w14:paraId="5E509A61" w14:textId="5D0F6BA7" w:rsidR="00D07A7C" w:rsidRPr="005303F7" w:rsidRDefault="00555E31" w:rsidP="005F4C68">
            <w:pPr>
              <w:spacing w:before="0" w:after="0"/>
              <w:rPr>
                <w:rFonts w:ascii="Times New Roman" w:hAnsi="Times New Roman"/>
                <w:color w:val="000000"/>
                <w:sz w:val="20"/>
                <w:lang w:val="sr-Cyrl-CS" w:eastAsia="pt-PT"/>
              </w:rPr>
            </w:pPr>
            <w:r w:rsidRPr="005303F7">
              <w:rPr>
                <w:rFonts w:ascii="Times New Roman" w:hAnsi="Times New Roman"/>
                <w:color w:val="000000"/>
                <w:sz w:val="20"/>
                <w:lang w:val="sr-Cyrl-CS" w:eastAsia="pt-PT"/>
              </w:rPr>
              <w:t>Изградња</w:t>
            </w:r>
            <w:r w:rsidR="00D07A7C" w:rsidRPr="005303F7">
              <w:rPr>
                <w:rFonts w:ascii="Times New Roman" w:hAnsi="Times New Roman"/>
                <w:color w:val="000000"/>
                <w:sz w:val="20"/>
                <w:lang w:val="sr-Cyrl-CS" w:eastAsia="pt-PT"/>
              </w:rPr>
              <w:t xml:space="preserve"> </w:t>
            </w:r>
            <w:r w:rsidR="005F4C68" w:rsidRPr="005303F7">
              <w:rPr>
                <w:rFonts w:ascii="Times New Roman" w:hAnsi="Times New Roman"/>
                <w:color w:val="000000"/>
                <w:sz w:val="20"/>
                <w:lang w:val="sr-Cyrl-CS" w:eastAsia="pt-PT"/>
              </w:rPr>
              <w:t xml:space="preserve">водних објеката </w:t>
            </w:r>
            <w:r w:rsidRPr="005303F7">
              <w:rPr>
                <w:rFonts w:ascii="Times New Roman" w:hAnsi="Times New Roman"/>
                <w:color w:val="000000"/>
                <w:sz w:val="20"/>
                <w:lang w:val="sr-Cyrl-CS" w:eastAsia="pt-PT"/>
              </w:rPr>
              <w:t>за</w:t>
            </w:r>
            <w:r w:rsidR="005F4C68" w:rsidRPr="005303F7">
              <w:rPr>
                <w:rFonts w:ascii="Times New Roman" w:hAnsi="Times New Roman"/>
                <w:color w:val="000000"/>
                <w:sz w:val="20"/>
                <w:lang w:val="sr-Cyrl-CS" w:eastAsia="pt-PT"/>
              </w:rPr>
              <w:t xml:space="preserve"> заштиту од</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поплав</w:t>
            </w:r>
            <w:r w:rsidR="005F4C68" w:rsidRPr="005303F7">
              <w:rPr>
                <w:rFonts w:ascii="Times New Roman" w:hAnsi="Times New Roman"/>
                <w:color w:val="000000"/>
                <w:sz w:val="20"/>
                <w:lang w:val="sr-Cyrl-CS" w:eastAsia="pt-PT"/>
              </w:rPr>
              <w:t>а, ерозија и</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бујиц</w:t>
            </w:r>
            <w:r w:rsidR="005F4C68" w:rsidRPr="005303F7">
              <w:rPr>
                <w:rFonts w:ascii="Times New Roman" w:hAnsi="Times New Roman"/>
                <w:color w:val="000000"/>
                <w:sz w:val="20"/>
                <w:lang w:val="sr-Cyrl-CS" w:eastAsia="pt-PT"/>
              </w:rPr>
              <w:t>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додатне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мере</w:t>
            </w:r>
            <w:r w:rsidR="005F4C68" w:rsidRPr="005303F7">
              <w:rPr>
                <w:rFonts w:ascii="Times New Roman" w:hAnsi="Times New Roman"/>
                <w:color w:val="000000"/>
                <w:sz w:val="20"/>
                <w:lang w:val="sr-Cyrl-CS" w:eastAsia="pt-PT"/>
              </w:rPr>
              <w:t xml:space="preserve"> заштите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слив</w:t>
            </w:r>
            <w:bookmarkStart w:id="180" w:name="_Ref25587677"/>
            <w:r w:rsidRPr="005303F7">
              <w:rPr>
                <w:rFonts w:ascii="Times New Roman" w:hAnsi="Times New Roman"/>
                <w:color w:val="000000"/>
                <w:sz w:val="20"/>
                <w:lang w:val="sr-Cyrl-CS" w:eastAsia="pt-PT"/>
              </w:rPr>
              <w:t>у</w:t>
            </w:r>
            <w:r w:rsidR="00D07A7C" w:rsidRPr="005303F7">
              <w:rPr>
                <w:rStyle w:val="FootnoteReference"/>
                <w:rFonts w:ascii="Times New Roman" w:hAnsi="Times New Roman"/>
                <w:color w:val="000000"/>
                <w:sz w:val="20"/>
                <w:vertAlign w:val="superscript"/>
                <w:lang w:val="sr-Cyrl-CS" w:eastAsia="pt-PT"/>
              </w:rPr>
              <w:footnoteReference w:id="41"/>
            </w:r>
            <w:bookmarkEnd w:id="180"/>
          </w:p>
        </w:tc>
        <w:tc>
          <w:tcPr>
            <w:tcW w:w="1597" w:type="pct"/>
            <w:vMerge w:val="restart"/>
            <w:tcBorders>
              <w:top w:val="single" w:sz="4" w:space="0" w:color="auto"/>
              <w:left w:val="nil"/>
              <w:right w:val="single" w:sz="4" w:space="0" w:color="auto"/>
            </w:tcBorders>
            <w:shd w:val="clear" w:color="auto" w:fill="auto"/>
            <w:vAlign w:val="center"/>
          </w:tcPr>
          <w:p w14:paraId="553F54ED" w14:textId="469A951E" w:rsidR="00D07A7C" w:rsidRPr="005303F7" w:rsidRDefault="00555E31"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Јавна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предузећа</w:t>
            </w:r>
          </w:p>
        </w:tc>
      </w:tr>
      <w:tr w:rsidR="00D07A7C" w:rsidRPr="005303F7" w14:paraId="49F4297B" w14:textId="77777777" w:rsidTr="0019167A">
        <w:trPr>
          <w:trHeight w:val="818"/>
        </w:trPr>
        <w:tc>
          <w:tcPr>
            <w:tcW w:w="1210" w:type="pct"/>
            <w:vMerge/>
            <w:tcBorders>
              <w:left w:val="single" w:sz="4" w:space="0" w:color="auto"/>
              <w:right w:val="single" w:sz="4" w:space="0" w:color="auto"/>
            </w:tcBorders>
            <w:shd w:val="clear" w:color="auto" w:fill="auto"/>
            <w:vAlign w:val="center"/>
          </w:tcPr>
          <w:p w14:paraId="2D0F3974" w14:textId="77777777" w:rsidR="00D07A7C" w:rsidRPr="005303F7" w:rsidRDefault="00D07A7C" w:rsidP="00537377">
            <w:pPr>
              <w:tabs>
                <w:tab w:val="clear" w:pos="3825"/>
              </w:tabs>
              <w:overflowPunct/>
              <w:autoSpaceDE/>
              <w:autoSpaceDN/>
              <w:adjustRightInd/>
              <w:spacing w:before="0" w:after="0"/>
              <w:jc w:val="center"/>
              <w:textAlignment w:val="auto"/>
              <w:rPr>
                <w:rFonts w:ascii="Times New Roman" w:hAnsi="Times New Roman"/>
                <w:sz w:val="20"/>
                <w:lang w:val="sr-Cyrl-CS"/>
              </w:rPr>
            </w:pPr>
          </w:p>
        </w:tc>
        <w:tc>
          <w:tcPr>
            <w:tcW w:w="2193" w:type="pct"/>
            <w:tcBorders>
              <w:top w:val="single" w:sz="4" w:space="0" w:color="auto"/>
              <w:left w:val="nil"/>
              <w:bottom w:val="single" w:sz="4" w:space="0" w:color="auto"/>
              <w:right w:val="single" w:sz="4" w:space="0" w:color="auto"/>
            </w:tcBorders>
            <w:shd w:val="clear" w:color="auto" w:fill="auto"/>
            <w:vAlign w:val="center"/>
          </w:tcPr>
          <w:p w14:paraId="3C1BD3D5" w14:textId="2B6BB090" w:rsidR="00D07A7C" w:rsidRPr="005303F7" w:rsidRDefault="00555E31" w:rsidP="008C542C">
            <w:pPr>
              <w:spacing w:before="0" w:after="0"/>
              <w:rPr>
                <w:rFonts w:ascii="Times New Roman" w:hAnsi="Times New Roman"/>
                <w:color w:val="000000"/>
                <w:sz w:val="20"/>
                <w:highlight w:val="yellow"/>
                <w:lang w:val="sr-Cyrl-CS" w:eastAsia="pt-PT"/>
              </w:rPr>
            </w:pPr>
            <w:r w:rsidRPr="005303F7">
              <w:rPr>
                <w:rFonts w:ascii="Times New Roman" w:hAnsi="Times New Roman"/>
                <w:color w:val="000000"/>
                <w:sz w:val="20"/>
                <w:lang w:val="sr-Cyrl-CS" w:eastAsia="pt-PT"/>
              </w:rPr>
              <w:t>Побољшање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система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осматрање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прикупљање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података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рано</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упозоравање</w:t>
            </w:r>
            <w:r w:rsidR="00E57099" w:rsidRPr="005303F7">
              <w:rPr>
                <w:rStyle w:val="FootnoteReference"/>
                <w:color w:val="000000"/>
                <w:lang w:val="sr-Cyrl-CS" w:eastAsia="pt-PT"/>
              </w:rPr>
              <w:footnoteReference w:id="42"/>
            </w:r>
            <w:r w:rsidR="00D07A7C" w:rsidRPr="005303F7">
              <w:rPr>
                <w:rFonts w:ascii="Times New Roman" w:hAnsi="Times New Roman"/>
                <w:color w:val="000000"/>
                <w:sz w:val="20"/>
                <w:lang w:val="sr-Cyrl-CS" w:eastAsia="pt-PT"/>
              </w:rPr>
              <w:t xml:space="preserve"> </w:t>
            </w:r>
          </w:p>
        </w:tc>
        <w:tc>
          <w:tcPr>
            <w:tcW w:w="1597" w:type="pct"/>
            <w:vMerge/>
            <w:tcBorders>
              <w:left w:val="nil"/>
              <w:right w:val="single" w:sz="4" w:space="0" w:color="auto"/>
            </w:tcBorders>
            <w:shd w:val="clear" w:color="auto" w:fill="auto"/>
            <w:vAlign w:val="center"/>
          </w:tcPr>
          <w:p w14:paraId="129A712B" w14:textId="77777777" w:rsidR="00D07A7C" w:rsidRPr="005303F7" w:rsidRDefault="00D07A7C"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D07A7C" w:rsidRPr="005303F7" w14:paraId="79F899CA" w14:textId="77777777" w:rsidTr="0019167A">
        <w:trPr>
          <w:trHeight w:val="972"/>
        </w:trPr>
        <w:tc>
          <w:tcPr>
            <w:tcW w:w="1210" w:type="pct"/>
            <w:vMerge/>
            <w:tcBorders>
              <w:left w:val="single" w:sz="4" w:space="0" w:color="auto"/>
              <w:right w:val="single" w:sz="4" w:space="0" w:color="auto"/>
            </w:tcBorders>
            <w:shd w:val="clear" w:color="auto" w:fill="auto"/>
            <w:vAlign w:val="center"/>
          </w:tcPr>
          <w:p w14:paraId="5F9D20AB" w14:textId="77777777" w:rsidR="00D07A7C" w:rsidRPr="005303F7" w:rsidRDefault="00D07A7C" w:rsidP="00537377">
            <w:pPr>
              <w:tabs>
                <w:tab w:val="clear" w:pos="3825"/>
              </w:tabs>
              <w:overflowPunct/>
              <w:autoSpaceDE/>
              <w:autoSpaceDN/>
              <w:adjustRightInd/>
              <w:spacing w:before="0" w:after="0"/>
              <w:jc w:val="center"/>
              <w:textAlignment w:val="auto"/>
              <w:rPr>
                <w:rFonts w:ascii="Times New Roman" w:hAnsi="Times New Roman"/>
                <w:sz w:val="20"/>
                <w:lang w:val="sr-Cyrl-CS"/>
              </w:rPr>
            </w:pPr>
          </w:p>
        </w:tc>
        <w:tc>
          <w:tcPr>
            <w:tcW w:w="2193" w:type="pct"/>
            <w:tcBorders>
              <w:top w:val="single" w:sz="4" w:space="0" w:color="auto"/>
              <w:left w:val="nil"/>
              <w:bottom w:val="single" w:sz="4" w:space="0" w:color="auto"/>
              <w:right w:val="single" w:sz="4" w:space="0" w:color="auto"/>
            </w:tcBorders>
            <w:shd w:val="clear" w:color="auto" w:fill="auto"/>
            <w:vAlign w:val="center"/>
          </w:tcPr>
          <w:p w14:paraId="29FB2307" w14:textId="340AF602" w:rsidR="00D07A7C" w:rsidRPr="005303F7" w:rsidRDefault="00555E31" w:rsidP="000F54BF">
            <w:pPr>
              <w:spacing w:before="0" w:after="0"/>
              <w:rPr>
                <w:rFonts w:ascii="Times New Roman" w:hAnsi="Times New Roman"/>
                <w:color w:val="000000"/>
                <w:sz w:val="20"/>
                <w:lang w:val="sr-Cyrl-CS" w:eastAsia="pt-PT"/>
              </w:rPr>
            </w:pPr>
            <w:r w:rsidRPr="005303F7">
              <w:rPr>
                <w:rFonts w:ascii="Times New Roman" w:hAnsi="Times New Roman"/>
                <w:color w:val="000000"/>
                <w:sz w:val="20"/>
                <w:lang w:val="sr-Cyrl-CS" w:eastAsia="pt-PT"/>
              </w:rPr>
              <w:t>Повећање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капацитета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складиштење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воде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интегрисано</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мером</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ублажавања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Пове</w:t>
            </w:r>
            <w:r w:rsidR="00016298" w:rsidRPr="005303F7">
              <w:rPr>
                <w:rFonts w:ascii="Times New Roman" w:hAnsi="Times New Roman"/>
                <w:color w:val="000000"/>
                <w:sz w:val="20"/>
                <w:lang w:val="sr-Cyrl-CS" w:eastAsia="pt-PT"/>
              </w:rPr>
              <w:t>ћ</w:t>
            </w:r>
            <w:r w:rsidRPr="005303F7">
              <w:rPr>
                <w:rFonts w:ascii="Times New Roman" w:hAnsi="Times New Roman"/>
                <w:color w:val="000000"/>
                <w:sz w:val="20"/>
                <w:lang w:val="sr-Cyrl-CS" w:eastAsia="pt-PT"/>
              </w:rPr>
              <w:t>ање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употребе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ОИЕ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производњи</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електричне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топлотне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енергије</w:t>
            </w:r>
            <w:r w:rsidR="00D07A7C" w:rsidRPr="005303F7">
              <w:rPr>
                <w:rFonts w:ascii="Times New Roman" w:hAnsi="Times New Roman"/>
                <w:color w:val="000000"/>
                <w:sz w:val="20"/>
                <w:lang w:val="sr-Cyrl-CS" w:eastAsia="pt-PT"/>
              </w:rPr>
              <w:t xml:space="preserve"> (</w:t>
            </w:r>
            <w:r w:rsidR="00EC1D15" w:rsidRPr="005303F7">
              <w:rPr>
                <w:rFonts w:ascii="Times New Roman" w:hAnsi="Times New Roman"/>
                <w:color w:val="000000"/>
                <w:sz w:val="20"/>
                <w:lang w:val="sr-Cyrl-CS" w:eastAsia="pt-PT"/>
              </w:rPr>
              <w:t>увођење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ОИЕ</w:t>
            </w:r>
            <w:r w:rsidR="00D07A7C" w:rsidRPr="005303F7">
              <w:rPr>
                <w:rFonts w:ascii="Times New Roman" w:hAnsi="Times New Roman"/>
                <w:color w:val="000000"/>
                <w:sz w:val="20"/>
                <w:lang w:val="sr-Cyrl-CS" w:eastAsia="pt-PT"/>
              </w:rPr>
              <w:t>)</w:t>
            </w:r>
            <w:r w:rsidR="0035174D" w:rsidRPr="005303F7">
              <w:rPr>
                <w:rFonts w:ascii="Times New Roman" w:hAnsi="Times New Roman"/>
                <w:color w:val="000000"/>
                <w:sz w:val="20"/>
                <w:lang w:val="sr-Cyrl-CS" w:eastAsia="pt-PT"/>
              </w:rPr>
              <w:t>”</w:t>
            </w:r>
          </w:p>
        </w:tc>
        <w:tc>
          <w:tcPr>
            <w:tcW w:w="1597" w:type="pct"/>
            <w:vMerge/>
            <w:tcBorders>
              <w:left w:val="nil"/>
              <w:bottom w:val="single" w:sz="4" w:space="0" w:color="auto"/>
              <w:right w:val="single" w:sz="4" w:space="0" w:color="auto"/>
            </w:tcBorders>
            <w:shd w:val="clear" w:color="auto" w:fill="auto"/>
            <w:vAlign w:val="center"/>
          </w:tcPr>
          <w:p w14:paraId="227B9465" w14:textId="77777777" w:rsidR="00D07A7C" w:rsidRPr="005303F7" w:rsidRDefault="00D07A7C" w:rsidP="00250D1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D07A7C" w:rsidRPr="005303F7" w14:paraId="11E4D193" w14:textId="77777777" w:rsidTr="00ED14E7">
        <w:trPr>
          <w:trHeight w:val="684"/>
        </w:trPr>
        <w:tc>
          <w:tcPr>
            <w:tcW w:w="1210" w:type="pct"/>
            <w:vMerge/>
            <w:tcBorders>
              <w:left w:val="single" w:sz="4" w:space="0" w:color="auto"/>
              <w:right w:val="single" w:sz="4" w:space="0" w:color="auto"/>
            </w:tcBorders>
            <w:shd w:val="clear" w:color="auto" w:fill="auto"/>
            <w:vAlign w:val="center"/>
          </w:tcPr>
          <w:p w14:paraId="07BD49CD" w14:textId="77777777" w:rsidR="00D07A7C" w:rsidRPr="005303F7" w:rsidRDefault="00D07A7C" w:rsidP="00250D1D">
            <w:pPr>
              <w:tabs>
                <w:tab w:val="clear" w:pos="3825"/>
                <w:tab w:val="num" w:pos="720"/>
              </w:tabs>
              <w:overflowPunct/>
              <w:autoSpaceDE/>
              <w:autoSpaceDN/>
              <w:adjustRightInd/>
              <w:spacing w:before="0" w:after="0"/>
              <w:textAlignment w:val="auto"/>
              <w:rPr>
                <w:rFonts w:ascii="Times New Roman" w:hAnsi="Times New Roman"/>
                <w:color w:val="000000"/>
                <w:sz w:val="20"/>
                <w:lang w:val="sr-Cyrl-CS" w:eastAsia="pt-PT"/>
              </w:rPr>
            </w:pPr>
          </w:p>
        </w:tc>
        <w:tc>
          <w:tcPr>
            <w:tcW w:w="2193" w:type="pct"/>
            <w:tcBorders>
              <w:top w:val="single" w:sz="4" w:space="0" w:color="auto"/>
              <w:left w:val="nil"/>
              <w:bottom w:val="single" w:sz="4" w:space="0" w:color="auto"/>
              <w:right w:val="single" w:sz="4" w:space="0" w:color="auto"/>
            </w:tcBorders>
            <w:shd w:val="clear" w:color="auto" w:fill="auto"/>
            <w:vAlign w:val="center"/>
          </w:tcPr>
          <w:p w14:paraId="108A4C9A" w14:textId="74E7D031" w:rsidR="00D07A7C" w:rsidRPr="005303F7" w:rsidRDefault="00555E31" w:rsidP="00D07A7C">
            <w:pPr>
              <w:spacing w:before="0" w:after="0"/>
              <w:rPr>
                <w:rFonts w:ascii="Times New Roman" w:hAnsi="Times New Roman"/>
                <w:color w:val="000000"/>
                <w:sz w:val="20"/>
                <w:lang w:val="sr-Cyrl-CS" w:eastAsia="pt-PT"/>
              </w:rPr>
            </w:pPr>
            <w:r w:rsidRPr="005303F7">
              <w:rPr>
                <w:rFonts w:ascii="Times New Roman" w:hAnsi="Times New Roman"/>
                <w:color w:val="000000"/>
                <w:sz w:val="20"/>
                <w:lang w:val="sr-Cyrl-CS" w:eastAsia="pt-PT"/>
              </w:rPr>
              <w:t>Изградња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нових</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Система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наводњавање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унапређење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ефикасности</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постојећих</w:t>
            </w:r>
            <w:r w:rsidR="00D07A7C" w:rsidRPr="005303F7">
              <w:rPr>
                <w:rStyle w:val="FootnoteReference"/>
                <w:rFonts w:ascii="Times New Roman" w:hAnsi="Times New Roman"/>
                <w:color w:val="000000"/>
                <w:sz w:val="20"/>
                <w:lang w:val="sr-Cyrl-CS" w:eastAsia="pt-PT"/>
              </w:rPr>
              <w:footnoteReference w:id="43"/>
            </w:r>
          </w:p>
        </w:tc>
        <w:tc>
          <w:tcPr>
            <w:tcW w:w="1597" w:type="pct"/>
            <w:vMerge w:val="restart"/>
            <w:tcBorders>
              <w:top w:val="single" w:sz="4" w:space="0" w:color="auto"/>
              <w:left w:val="nil"/>
              <w:right w:val="single" w:sz="4" w:space="0" w:color="auto"/>
            </w:tcBorders>
            <w:shd w:val="clear" w:color="auto" w:fill="auto"/>
            <w:vAlign w:val="center"/>
          </w:tcPr>
          <w:p w14:paraId="24A96718" w14:textId="738B9887" w:rsidR="00D07A7C" w:rsidRPr="005303F7" w:rsidRDefault="00555E31" w:rsidP="00106E2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Грађевинске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фирме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добављачи</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грађевинског</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материјала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наводњавање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пољопривредници</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добављачи</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семена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пољопривредне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технологије</w:t>
            </w:r>
            <w:r w:rsidR="00D07A7C" w:rsidRPr="005303F7">
              <w:rPr>
                <w:rFonts w:ascii="Times New Roman" w:hAnsi="Times New Roman"/>
                <w:color w:val="000000"/>
                <w:sz w:val="20"/>
                <w:lang w:val="sr-Cyrl-CS" w:eastAsia="pt-PT"/>
              </w:rPr>
              <w:t>;</w:t>
            </w:r>
          </w:p>
        </w:tc>
      </w:tr>
      <w:tr w:rsidR="00D07A7C" w:rsidRPr="005303F7" w14:paraId="30A7CE3F" w14:textId="77777777" w:rsidTr="00ED14E7">
        <w:trPr>
          <w:trHeight w:val="930"/>
        </w:trPr>
        <w:tc>
          <w:tcPr>
            <w:tcW w:w="1210" w:type="pct"/>
            <w:vMerge/>
            <w:tcBorders>
              <w:left w:val="single" w:sz="4" w:space="0" w:color="auto"/>
              <w:right w:val="single" w:sz="4" w:space="0" w:color="auto"/>
            </w:tcBorders>
            <w:shd w:val="clear" w:color="auto" w:fill="auto"/>
            <w:vAlign w:val="center"/>
          </w:tcPr>
          <w:p w14:paraId="5ADC68A4" w14:textId="77777777" w:rsidR="00D07A7C" w:rsidRPr="005303F7" w:rsidRDefault="00D07A7C" w:rsidP="00250D1D">
            <w:pPr>
              <w:tabs>
                <w:tab w:val="clear" w:pos="3825"/>
                <w:tab w:val="num" w:pos="720"/>
              </w:tabs>
              <w:overflowPunct/>
              <w:autoSpaceDE/>
              <w:autoSpaceDN/>
              <w:adjustRightInd/>
              <w:spacing w:before="0" w:after="0"/>
              <w:textAlignment w:val="auto"/>
              <w:rPr>
                <w:rFonts w:ascii="Times New Roman" w:hAnsi="Times New Roman"/>
                <w:color w:val="000000"/>
                <w:sz w:val="20"/>
                <w:lang w:val="sr-Cyrl-CS" w:eastAsia="pt-PT"/>
              </w:rPr>
            </w:pPr>
          </w:p>
        </w:tc>
        <w:tc>
          <w:tcPr>
            <w:tcW w:w="2193" w:type="pct"/>
            <w:tcBorders>
              <w:top w:val="single" w:sz="4" w:space="0" w:color="auto"/>
              <w:left w:val="nil"/>
              <w:bottom w:val="single" w:sz="4" w:space="0" w:color="auto"/>
              <w:right w:val="single" w:sz="4" w:space="0" w:color="auto"/>
            </w:tcBorders>
            <w:shd w:val="clear" w:color="auto" w:fill="auto"/>
            <w:vAlign w:val="center"/>
          </w:tcPr>
          <w:p w14:paraId="54A752A3" w14:textId="5BD5F812" w:rsidR="00D07A7C" w:rsidRPr="005303F7" w:rsidRDefault="00555E31" w:rsidP="00851084">
            <w:pPr>
              <w:spacing w:before="0" w:after="0"/>
              <w:rPr>
                <w:rFonts w:ascii="Times New Roman" w:hAnsi="Times New Roman"/>
                <w:color w:val="000000"/>
                <w:sz w:val="20"/>
                <w:lang w:val="sr-Cyrl-CS" w:eastAsia="pt-PT"/>
              </w:rPr>
            </w:pPr>
            <w:r w:rsidRPr="005303F7">
              <w:rPr>
                <w:rFonts w:ascii="Times New Roman" w:hAnsi="Times New Roman"/>
                <w:color w:val="000000"/>
                <w:sz w:val="20"/>
                <w:lang w:val="sr-Cyrl-CS" w:eastAsia="pt-PT"/>
              </w:rPr>
              <w:t>Изградња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вишенаменских</w:t>
            </w:r>
            <w:r w:rsidR="00D07A7C" w:rsidRPr="005303F7">
              <w:rPr>
                <w:rFonts w:ascii="Times New Roman" w:hAnsi="Times New Roman"/>
                <w:color w:val="000000"/>
                <w:sz w:val="20"/>
                <w:lang w:val="sr-Cyrl-CS" w:eastAsia="pt-PT"/>
              </w:rPr>
              <w:t xml:space="preserve"> </w:t>
            </w:r>
            <w:r w:rsidR="000441B4" w:rsidRPr="005303F7">
              <w:rPr>
                <w:rFonts w:ascii="Times New Roman" w:hAnsi="Times New Roman"/>
                <w:color w:val="000000"/>
                <w:sz w:val="20"/>
                <w:lang w:val="sr-Cyrl-CS" w:eastAsia="pt-PT"/>
              </w:rPr>
              <w:t>малих а</w:t>
            </w:r>
            <w:r w:rsidRPr="005303F7">
              <w:rPr>
                <w:rFonts w:ascii="Times New Roman" w:hAnsi="Times New Roman"/>
                <w:color w:val="000000"/>
                <w:sz w:val="20"/>
                <w:lang w:val="sr-Cyrl-CS" w:eastAsia="pt-PT"/>
              </w:rPr>
              <w:t>кумулаци</w:t>
            </w:r>
            <w:r w:rsidR="000441B4" w:rsidRPr="005303F7">
              <w:rPr>
                <w:rFonts w:ascii="Times New Roman" w:hAnsi="Times New Roman"/>
                <w:color w:val="000000"/>
                <w:sz w:val="20"/>
                <w:lang w:val="sr-Cyrl-CS" w:eastAsia="pt-PT"/>
              </w:rPr>
              <w:t>ја и стајаће воде</w:t>
            </w:r>
            <w:r w:rsidR="00D07A7C" w:rsidRPr="005303F7">
              <w:rPr>
                <w:rFonts w:ascii="Times New Roman" w:hAnsi="Times New Roman"/>
                <w:color w:val="000000"/>
                <w:sz w:val="20"/>
                <w:lang w:val="sr-Cyrl-CS" w:eastAsia="pt-PT"/>
              </w:rPr>
              <w:t xml:space="preserve"> </w:t>
            </w:r>
            <w:r w:rsidR="000441B4" w:rsidRPr="005303F7">
              <w:rPr>
                <w:rFonts w:ascii="Times New Roman" w:hAnsi="Times New Roman"/>
                <w:color w:val="000000"/>
                <w:sz w:val="20"/>
                <w:lang w:val="sr-Cyrl-CS" w:eastAsia="pt-PT"/>
              </w:rPr>
              <w:t>(</w:t>
            </w:r>
            <w:r w:rsidRPr="005303F7">
              <w:rPr>
                <w:rFonts w:ascii="Times New Roman" w:hAnsi="Times New Roman"/>
                <w:color w:val="000000"/>
                <w:sz w:val="20"/>
                <w:lang w:val="sr-Cyrl-CS" w:eastAsia="pt-PT"/>
              </w:rPr>
              <w:t>језера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бар</w:t>
            </w:r>
            <w:r w:rsidR="000441B4" w:rsidRPr="005303F7">
              <w:rPr>
                <w:rFonts w:ascii="Times New Roman" w:hAnsi="Times New Roman"/>
                <w:color w:val="000000"/>
                <w:sz w:val="20"/>
                <w:lang w:val="sr-Cyrl-CS" w:eastAsia="pt-PT"/>
              </w:rPr>
              <w:t>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0441B4" w:rsidRPr="005303F7">
              <w:rPr>
                <w:rFonts w:ascii="Times New Roman" w:hAnsi="Times New Roman"/>
                <w:color w:val="000000"/>
                <w:sz w:val="20"/>
                <w:lang w:val="sr-Cyrl-CS" w:eastAsia="pt-PT"/>
              </w:rPr>
              <w:t xml:space="preserve"> вишенаменске акумулације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водоснабдевање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наводњавање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контролу</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ерозије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D07A7C" w:rsidRPr="005303F7">
              <w:rPr>
                <w:rFonts w:ascii="Times New Roman" w:hAnsi="Times New Roman"/>
                <w:color w:val="000000"/>
                <w:sz w:val="20"/>
                <w:lang w:val="sr-Cyrl-CS" w:eastAsia="pt-PT"/>
              </w:rPr>
              <w:t xml:space="preserve"> </w:t>
            </w:r>
            <w:r w:rsidR="00851084" w:rsidRPr="005303F7">
              <w:rPr>
                <w:rFonts w:ascii="Times New Roman" w:hAnsi="Times New Roman"/>
                <w:color w:val="000000"/>
                <w:sz w:val="20"/>
                <w:lang w:val="sr-Cyrl-CS" w:eastAsia="pt-PT"/>
              </w:rPr>
              <w:t>екосистемске услуге</w:t>
            </w:r>
            <w:r w:rsidR="00D07A7C" w:rsidRPr="005303F7">
              <w:rPr>
                <w:rStyle w:val="FootnoteReference"/>
                <w:rFonts w:ascii="Times New Roman" w:hAnsi="Times New Roman"/>
                <w:color w:val="000000"/>
                <w:sz w:val="20"/>
                <w:lang w:val="sr-Cyrl-CS" w:eastAsia="pt-PT"/>
              </w:rPr>
              <w:footnoteReference w:id="44"/>
            </w:r>
          </w:p>
        </w:tc>
        <w:tc>
          <w:tcPr>
            <w:tcW w:w="1597" w:type="pct"/>
            <w:vMerge/>
            <w:tcBorders>
              <w:left w:val="nil"/>
              <w:right w:val="single" w:sz="4" w:space="0" w:color="auto"/>
            </w:tcBorders>
            <w:shd w:val="clear" w:color="auto" w:fill="auto"/>
            <w:vAlign w:val="center"/>
          </w:tcPr>
          <w:p w14:paraId="321A291B" w14:textId="77777777" w:rsidR="00D07A7C" w:rsidRPr="005303F7" w:rsidRDefault="00D07A7C" w:rsidP="00106E2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D07A7C" w:rsidRPr="005303F7" w14:paraId="5B0A3258" w14:textId="77777777" w:rsidTr="00D07A7C">
        <w:trPr>
          <w:trHeight w:val="823"/>
        </w:trPr>
        <w:tc>
          <w:tcPr>
            <w:tcW w:w="1210" w:type="pct"/>
            <w:vMerge/>
            <w:tcBorders>
              <w:left w:val="single" w:sz="4" w:space="0" w:color="auto"/>
              <w:right w:val="single" w:sz="4" w:space="0" w:color="auto"/>
            </w:tcBorders>
            <w:shd w:val="clear" w:color="auto" w:fill="auto"/>
            <w:vAlign w:val="center"/>
          </w:tcPr>
          <w:p w14:paraId="59DB428F" w14:textId="77777777" w:rsidR="00D07A7C" w:rsidRPr="005303F7" w:rsidRDefault="00D07A7C" w:rsidP="00250D1D">
            <w:pPr>
              <w:tabs>
                <w:tab w:val="clear" w:pos="3825"/>
                <w:tab w:val="num" w:pos="720"/>
              </w:tabs>
              <w:overflowPunct/>
              <w:autoSpaceDE/>
              <w:autoSpaceDN/>
              <w:adjustRightInd/>
              <w:spacing w:before="0" w:after="0"/>
              <w:textAlignment w:val="auto"/>
              <w:rPr>
                <w:rFonts w:ascii="Times New Roman" w:hAnsi="Times New Roman"/>
                <w:color w:val="000000"/>
                <w:sz w:val="20"/>
                <w:lang w:val="sr-Cyrl-CS" w:eastAsia="pt-PT"/>
              </w:rPr>
            </w:pPr>
          </w:p>
        </w:tc>
        <w:tc>
          <w:tcPr>
            <w:tcW w:w="2193" w:type="pct"/>
            <w:tcBorders>
              <w:top w:val="single" w:sz="4" w:space="0" w:color="auto"/>
              <w:left w:val="nil"/>
              <w:right w:val="single" w:sz="4" w:space="0" w:color="auto"/>
            </w:tcBorders>
            <w:shd w:val="clear" w:color="auto" w:fill="auto"/>
            <w:vAlign w:val="center"/>
          </w:tcPr>
          <w:p w14:paraId="4B9553B2" w14:textId="656C3BD6" w:rsidR="00D07A7C" w:rsidRPr="005303F7" w:rsidRDefault="00555E31" w:rsidP="00620D7E">
            <w:pPr>
              <w:spacing w:before="0" w:after="0"/>
              <w:rPr>
                <w:rFonts w:ascii="Times New Roman" w:hAnsi="Times New Roman"/>
                <w:color w:val="000000"/>
                <w:sz w:val="20"/>
                <w:lang w:val="sr-Cyrl-CS" w:eastAsia="pt-PT"/>
              </w:rPr>
            </w:pPr>
            <w:r w:rsidRPr="005303F7">
              <w:rPr>
                <w:rFonts w:ascii="Times New Roman" w:hAnsi="Times New Roman"/>
                <w:color w:val="000000"/>
                <w:sz w:val="20"/>
                <w:lang w:val="sr-Cyrl-CS" w:eastAsia="pt-PT"/>
              </w:rPr>
              <w:t>Прилагођавање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техника</w:t>
            </w:r>
            <w:r w:rsidR="00331612"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узгајања</w:t>
            </w:r>
            <w:r w:rsidR="007F01BB" w:rsidRPr="005303F7">
              <w:rPr>
                <w:rFonts w:ascii="Times New Roman" w:hAnsi="Times New Roman"/>
                <w:color w:val="000000"/>
                <w:sz w:val="20"/>
                <w:lang w:val="sr-Cyrl-CS" w:eastAsia="pt-PT"/>
              </w:rPr>
              <w:t xml:space="preserve"> </w:t>
            </w:r>
            <w:r w:rsidR="00D07A7C" w:rsidRPr="005303F7">
              <w:rPr>
                <w:rFonts w:ascii="Times New Roman" w:hAnsi="Times New Roman"/>
                <w:color w:val="000000"/>
                <w:sz w:val="20"/>
                <w:lang w:val="sr-Cyrl-CS" w:eastAsia="pt-PT"/>
              </w:rPr>
              <w:t>(</w:t>
            </w:r>
            <w:r w:rsidRPr="005303F7">
              <w:rPr>
                <w:rFonts w:ascii="Times New Roman" w:hAnsi="Times New Roman"/>
                <w:color w:val="000000"/>
                <w:sz w:val="20"/>
                <w:lang w:val="sr-Cyrl-CS" w:eastAsia="pt-PT"/>
              </w:rPr>
              <w:t>избор</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врста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агротехничких</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мера</w:t>
            </w:r>
            <w:r w:rsidR="00D07A7C" w:rsidRPr="005303F7">
              <w:rPr>
                <w:rFonts w:ascii="Times New Roman" w:hAnsi="Times New Roman"/>
                <w:color w:val="000000"/>
                <w:sz w:val="20"/>
                <w:lang w:val="sr-Cyrl-CS" w:eastAsia="pt-PT"/>
              </w:rPr>
              <w:t>)</w:t>
            </w:r>
          </w:p>
        </w:tc>
        <w:tc>
          <w:tcPr>
            <w:tcW w:w="1597" w:type="pct"/>
            <w:vMerge/>
            <w:tcBorders>
              <w:left w:val="nil"/>
              <w:right w:val="single" w:sz="4" w:space="0" w:color="auto"/>
            </w:tcBorders>
            <w:shd w:val="clear" w:color="auto" w:fill="auto"/>
            <w:vAlign w:val="center"/>
          </w:tcPr>
          <w:p w14:paraId="3AB8B525" w14:textId="77777777" w:rsidR="00D07A7C" w:rsidRPr="005303F7" w:rsidRDefault="00D07A7C" w:rsidP="00106E2D">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D07A7C" w:rsidRPr="005303F7" w14:paraId="0183C280" w14:textId="77777777" w:rsidTr="00ED14E7">
        <w:trPr>
          <w:trHeight w:val="1130"/>
        </w:trPr>
        <w:tc>
          <w:tcPr>
            <w:tcW w:w="1210" w:type="pct"/>
            <w:vMerge/>
            <w:tcBorders>
              <w:left w:val="single" w:sz="4" w:space="0" w:color="auto"/>
              <w:right w:val="single" w:sz="4" w:space="0" w:color="auto"/>
            </w:tcBorders>
            <w:shd w:val="clear" w:color="auto" w:fill="auto"/>
            <w:vAlign w:val="center"/>
          </w:tcPr>
          <w:p w14:paraId="12489D51" w14:textId="77777777" w:rsidR="00D07A7C" w:rsidRPr="005303F7" w:rsidRDefault="00D07A7C" w:rsidP="00250D1D">
            <w:pPr>
              <w:tabs>
                <w:tab w:val="clear" w:pos="3825"/>
                <w:tab w:val="num" w:pos="720"/>
              </w:tabs>
              <w:overflowPunct/>
              <w:autoSpaceDE/>
              <w:autoSpaceDN/>
              <w:adjustRightInd/>
              <w:spacing w:before="0" w:after="0"/>
              <w:textAlignment w:val="auto"/>
              <w:rPr>
                <w:rFonts w:ascii="Times New Roman" w:hAnsi="Times New Roman"/>
                <w:color w:val="000000"/>
                <w:sz w:val="20"/>
                <w:lang w:val="sr-Cyrl-CS" w:eastAsia="pt-PT"/>
              </w:rPr>
            </w:pPr>
          </w:p>
        </w:tc>
        <w:tc>
          <w:tcPr>
            <w:tcW w:w="2193" w:type="pct"/>
            <w:tcBorders>
              <w:top w:val="single" w:sz="4" w:space="0" w:color="auto"/>
              <w:left w:val="nil"/>
              <w:bottom w:val="single" w:sz="4" w:space="0" w:color="auto"/>
              <w:right w:val="single" w:sz="4" w:space="0" w:color="auto"/>
            </w:tcBorders>
            <w:shd w:val="clear" w:color="auto" w:fill="auto"/>
            <w:vAlign w:val="center"/>
          </w:tcPr>
          <w:p w14:paraId="0E2B1E68" w14:textId="275B943A" w:rsidR="00D07A7C" w:rsidRPr="005303F7" w:rsidRDefault="00555E31" w:rsidP="00D07A7C">
            <w:pPr>
              <w:spacing w:before="0" w:after="0"/>
              <w:rPr>
                <w:rFonts w:ascii="Times New Roman" w:hAnsi="Times New Roman"/>
                <w:color w:val="000000"/>
                <w:sz w:val="20"/>
                <w:lang w:val="sr-Cyrl-CS" w:eastAsia="pt-PT"/>
              </w:rPr>
            </w:pPr>
            <w:r w:rsidRPr="005303F7">
              <w:rPr>
                <w:rFonts w:ascii="Times New Roman" w:hAnsi="Times New Roman"/>
                <w:color w:val="000000"/>
                <w:sz w:val="20"/>
                <w:lang w:val="sr-Cyrl-CS" w:eastAsia="pt-PT"/>
              </w:rPr>
              <w:t>Пошумљавање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уз</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коришћење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мапирања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места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врста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дрве</w:t>
            </w:r>
            <w:r w:rsidR="00016298" w:rsidRPr="005303F7">
              <w:rPr>
                <w:rFonts w:ascii="Times New Roman" w:hAnsi="Times New Roman"/>
                <w:color w:val="000000"/>
                <w:sz w:val="20"/>
                <w:lang w:val="sr-Cyrl-CS" w:eastAsia="pt-PT"/>
              </w:rPr>
              <w:t>ћ</w:t>
            </w:r>
            <w:r w:rsidRPr="005303F7">
              <w:rPr>
                <w:rFonts w:ascii="Times New Roman" w:hAnsi="Times New Roman"/>
                <w:color w:val="000000"/>
                <w:sz w:val="20"/>
                <w:lang w:val="sr-Cyrl-CS" w:eastAsia="pt-PT"/>
              </w:rPr>
              <w:t>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прилагођених</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на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климатске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промене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склопу</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мера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ублажавање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која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односи</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на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пошумљавање</w:t>
            </w:r>
            <w:r w:rsidR="00D07A7C" w:rsidRPr="005303F7">
              <w:rPr>
                <w:rFonts w:ascii="Times New Roman" w:hAnsi="Times New Roman"/>
                <w:color w:val="000000"/>
                <w:sz w:val="20"/>
                <w:lang w:val="sr-Cyrl-CS" w:eastAsia="pt-PT"/>
              </w:rPr>
              <w:t>)</w:t>
            </w:r>
          </w:p>
        </w:tc>
        <w:tc>
          <w:tcPr>
            <w:tcW w:w="1597" w:type="pct"/>
            <w:vMerge w:val="restart"/>
            <w:tcBorders>
              <w:top w:val="single" w:sz="4" w:space="0" w:color="auto"/>
              <w:left w:val="nil"/>
              <w:right w:val="single" w:sz="4" w:space="0" w:color="auto"/>
            </w:tcBorders>
            <w:shd w:val="clear" w:color="auto" w:fill="auto"/>
            <w:vAlign w:val="center"/>
          </w:tcPr>
          <w:p w14:paraId="273A455D" w14:textId="08A86591" w:rsidR="00D07A7C" w:rsidRPr="005303F7" w:rsidRDefault="00555E31" w:rsidP="007B0304">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ЈП</w:t>
            </w:r>
            <w:r w:rsidR="00D07A7C" w:rsidRPr="005303F7">
              <w:rPr>
                <w:rFonts w:ascii="Times New Roman" w:hAnsi="Times New Roman"/>
                <w:color w:val="000000"/>
                <w:sz w:val="20"/>
                <w:lang w:val="sr-Cyrl-CS" w:eastAsia="pt-PT"/>
              </w:rPr>
              <w:t xml:space="preserve"> „</w:t>
            </w:r>
            <w:r w:rsidR="00D73AAB" w:rsidRPr="005303F7">
              <w:rPr>
                <w:rFonts w:ascii="Times New Roman" w:hAnsi="Times New Roman"/>
                <w:color w:val="000000"/>
                <w:sz w:val="20"/>
                <w:lang w:val="sr-Cyrl-CS" w:eastAsia="pt-PT"/>
              </w:rPr>
              <w:t>Србија</w:t>
            </w:r>
            <w:r w:rsidRPr="005303F7">
              <w:rPr>
                <w:rFonts w:ascii="Times New Roman" w:hAnsi="Times New Roman"/>
                <w:color w:val="000000"/>
                <w:sz w:val="20"/>
                <w:lang w:val="sr-Cyrl-CS" w:eastAsia="pt-PT"/>
              </w:rPr>
              <w:t>шуме</w:t>
            </w:r>
            <w:r w:rsidR="0035174D" w:rsidRPr="005303F7">
              <w:rPr>
                <w:rFonts w:ascii="Times New Roman" w:hAnsi="Times New Roman"/>
                <w:color w:val="000000"/>
                <w:sz w:val="20"/>
                <w:lang w:val="sr-Cyrl-CS" w:eastAsia="pt-PT"/>
              </w:rPr>
              <w:t>”</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ЈП</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Војводинашуме</w:t>
            </w:r>
            <w:r w:rsidR="0035174D" w:rsidRPr="005303F7">
              <w:rPr>
                <w:rFonts w:ascii="Times New Roman" w:hAnsi="Times New Roman"/>
                <w:color w:val="000000"/>
                <w:sz w:val="20"/>
                <w:lang w:val="sr-Cyrl-CS" w:eastAsia="pt-PT"/>
              </w:rPr>
              <w:t>”</w:t>
            </w:r>
            <w:r w:rsidR="00D07A7C" w:rsidRPr="005303F7">
              <w:rPr>
                <w:rFonts w:ascii="Times New Roman" w:hAnsi="Times New Roman"/>
                <w:color w:val="000000"/>
                <w:sz w:val="20"/>
                <w:lang w:val="sr-Cyrl-CS" w:eastAsia="pt-PT"/>
              </w:rPr>
              <w:t>,</w:t>
            </w:r>
            <w:r w:rsidR="00E133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приватни</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поседници</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шума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превасходно</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Српска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православна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црква</w:t>
            </w:r>
            <w:r w:rsidR="00D07A7C" w:rsidRPr="005303F7">
              <w:rPr>
                <w:rFonts w:ascii="Times New Roman" w:hAnsi="Times New Roman"/>
                <w:color w:val="000000"/>
                <w:sz w:val="20"/>
                <w:lang w:val="sr-Cyrl-CS" w:eastAsia="pt-PT"/>
              </w:rPr>
              <w:t>)</w:t>
            </w:r>
          </w:p>
        </w:tc>
      </w:tr>
      <w:tr w:rsidR="00D07A7C" w:rsidRPr="005303F7" w14:paraId="79D68C99" w14:textId="77777777" w:rsidTr="00ED14E7">
        <w:trPr>
          <w:trHeight w:val="921"/>
        </w:trPr>
        <w:tc>
          <w:tcPr>
            <w:tcW w:w="1210" w:type="pct"/>
            <w:vMerge/>
            <w:tcBorders>
              <w:left w:val="single" w:sz="4" w:space="0" w:color="auto"/>
              <w:right w:val="single" w:sz="4" w:space="0" w:color="auto"/>
            </w:tcBorders>
            <w:shd w:val="clear" w:color="auto" w:fill="auto"/>
            <w:vAlign w:val="center"/>
          </w:tcPr>
          <w:p w14:paraId="250D5AA8" w14:textId="77777777" w:rsidR="00D07A7C" w:rsidRPr="005303F7" w:rsidRDefault="00D07A7C" w:rsidP="00250D1D">
            <w:pPr>
              <w:tabs>
                <w:tab w:val="clear" w:pos="3825"/>
                <w:tab w:val="num" w:pos="720"/>
              </w:tabs>
              <w:overflowPunct/>
              <w:autoSpaceDE/>
              <w:autoSpaceDN/>
              <w:adjustRightInd/>
              <w:spacing w:before="0" w:after="0"/>
              <w:textAlignment w:val="auto"/>
              <w:rPr>
                <w:rFonts w:ascii="Times New Roman" w:hAnsi="Times New Roman"/>
                <w:color w:val="000000"/>
                <w:sz w:val="20"/>
                <w:lang w:val="sr-Cyrl-CS" w:eastAsia="pt-PT"/>
              </w:rPr>
            </w:pPr>
          </w:p>
        </w:tc>
        <w:tc>
          <w:tcPr>
            <w:tcW w:w="2193" w:type="pct"/>
            <w:tcBorders>
              <w:top w:val="single" w:sz="4" w:space="0" w:color="auto"/>
              <w:left w:val="nil"/>
              <w:bottom w:val="single" w:sz="4" w:space="0" w:color="auto"/>
              <w:right w:val="single" w:sz="4" w:space="0" w:color="auto"/>
            </w:tcBorders>
            <w:shd w:val="clear" w:color="auto" w:fill="auto"/>
            <w:vAlign w:val="center"/>
          </w:tcPr>
          <w:p w14:paraId="0C5B96DB" w14:textId="057EA5B8" w:rsidR="00D07A7C" w:rsidRPr="005303F7" w:rsidRDefault="00555E31" w:rsidP="00D07A7C">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Увођење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приступа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климатски</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паметног</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шумарства</w:t>
            </w:r>
            <w:r w:rsidR="0035174D" w:rsidRPr="005303F7">
              <w:rPr>
                <w:rFonts w:ascii="Times New Roman" w:hAnsi="Times New Roman"/>
                <w:color w:val="000000"/>
                <w:sz w:val="20"/>
                <w:lang w:val="sr-Cyrl-CS" w:eastAsia="pt-PT"/>
              </w:rPr>
              <w:t>”</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склопу</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мере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ублажавање</w:t>
            </w:r>
            <w:r w:rsidR="00C2451C" w:rsidRPr="005303F7">
              <w:rPr>
                <w:rFonts w:ascii="Times New Roman" w:hAnsi="Times New Roman"/>
                <w:color w:val="000000"/>
                <w:sz w:val="20"/>
                <w:lang w:val="sr-Cyrl-CS" w:eastAsia="pt-PT"/>
              </w:rPr>
              <w:t xml:space="preserve"> </w:t>
            </w:r>
            <w:r w:rsidR="00D07A7C" w:rsidRPr="005303F7">
              <w:rPr>
                <w:rFonts w:ascii="Times New Roman" w:hAnsi="Times New Roman"/>
                <w:color w:val="000000"/>
                <w:sz w:val="20"/>
                <w:lang w:val="sr-Cyrl-CS" w:eastAsia="pt-PT"/>
              </w:rPr>
              <w:t>„</w:t>
            </w:r>
            <w:r w:rsidRPr="005303F7">
              <w:rPr>
                <w:rFonts w:ascii="Times New Roman" w:hAnsi="Times New Roman"/>
                <w:color w:val="000000"/>
                <w:sz w:val="20"/>
                <w:lang w:val="sr-Cyrl-CS" w:eastAsia="pt-PT"/>
              </w:rPr>
              <w:t>Природи</w:t>
            </w:r>
            <w:r w:rsidR="008179B0"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блиско</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управљање</w:t>
            </w:r>
            <w:r w:rsidR="00D07A7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шумама</w:t>
            </w:r>
            <w:r w:rsidR="00C2451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C2451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климатски</w:t>
            </w:r>
            <w:r w:rsidR="00C2451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паметан</w:t>
            </w:r>
            <w:r w:rsidR="00C2451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приступ</w:t>
            </w:r>
            <w:r w:rsidR="00C2451C"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шумарству</w:t>
            </w:r>
            <w:r w:rsidR="0035174D" w:rsidRPr="005303F7">
              <w:rPr>
                <w:rFonts w:ascii="Times New Roman" w:hAnsi="Times New Roman"/>
                <w:color w:val="000000"/>
                <w:sz w:val="20"/>
                <w:lang w:val="sr-Cyrl-CS" w:eastAsia="pt-PT"/>
              </w:rPr>
              <w:t>”</w:t>
            </w:r>
            <w:r w:rsidR="00D07A7C" w:rsidRPr="005303F7">
              <w:rPr>
                <w:rFonts w:ascii="Times New Roman" w:hAnsi="Times New Roman"/>
                <w:color w:val="000000"/>
                <w:sz w:val="20"/>
                <w:lang w:val="sr-Cyrl-CS" w:eastAsia="pt-PT"/>
              </w:rPr>
              <w:t>)</w:t>
            </w:r>
          </w:p>
        </w:tc>
        <w:tc>
          <w:tcPr>
            <w:tcW w:w="1597" w:type="pct"/>
            <w:vMerge/>
            <w:tcBorders>
              <w:left w:val="nil"/>
              <w:right w:val="single" w:sz="4" w:space="0" w:color="auto"/>
            </w:tcBorders>
            <w:shd w:val="clear" w:color="auto" w:fill="auto"/>
            <w:vAlign w:val="center"/>
          </w:tcPr>
          <w:p w14:paraId="30B70F66" w14:textId="77777777" w:rsidR="00D07A7C" w:rsidRPr="005303F7" w:rsidRDefault="00D07A7C" w:rsidP="0084705A">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D07A7C" w:rsidRPr="005303F7" w14:paraId="5347F0EF" w14:textId="77777777" w:rsidTr="0029378D">
        <w:trPr>
          <w:trHeight w:val="1455"/>
        </w:trPr>
        <w:tc>
          <w:tcPr>
            <w:tcW w:w="1210" w:type="pct"/>
            <w:vMerge/>
            <w:tcBorders>
              <w:left w:val="single" w:sz="4" w:space="0" w:color="auto"/>
              <w:bottom w:val="single" w:sz="4" w:space="0" w:color="auto"/>
              <w:right w:val="single" w:sz="4" w:space="0" w:color="auto"/>
            </w:tcBorders>
            <w:shd w:val="clear" w:color="auto" w:fill="auto"/>
            <w:vAlign w:val="center"/>
          </w:tcPr>
          <w:p w14:paraId="41BC4FD2" w14:textId="77777777" w:rsidR="00D07A7C" w:rsidRPr="005303F7" w:rsidRDefault="00D07A7C" w:rsidP="00250D1D">
            <w:pPr>
              <w:tabs>
                <w:tab w:val="clear" w:pos="3825"/>
                <w:tab w:val="num" w:pos="720"/>
              </w:tabs>
              <w:overflowPunct/>
              <w:autoSpaceDE/>
              <w:autoSpaceDN/>
              <w:adjustRightInd/>
              <w:spacing w:before="0" w:after="0"/>
              <w:textAlignment w:val="auto"/>
              <w:rPr>
                <w:rFonts w:ascii="Times New Roman" w:hAnsi="Times New Roman"/>
                <w:color w:val="000000"/>
                <w:sz w:val="20"/>
                <w:lang w:val="sr-Cyrl-CS" w:eastAsia="pt-PT"/>
              </w:rPr>
            </w:pPr>
          </w:p>
        </w:tc>
        <w:tc>
          <w:tcPr>
            <w:tcW w:w="2193" w:type="pct"/>
            <w:tcBorders>
              <w:top w:val="single" w:sz="4" w:space="0" w:color="auto"/>
              <w:left w:val="nil"/>
              <w:bottom w:val="single" w:sz="4" w:space="0" w:color="auto"/>
              <w:right w:val="single" w:sz="4" w:space="0" w:color="auto"/>
            </w:tcBorders>
            <w:shd w:val="clear" w:color="auto" w:fill="auto"/>
            <w:vAlign w:val="center"/>
          </w:tcPr>
          <w:p w14:paraId="704F0520" w14:textId="3A83A23F" w:rsidR="00D07A7C" w:rsidRPr="005303F7" w:rsidRDefault="00D07A7C" w:rsidP="0029378D">
            <w:pPr>
              <w:spacing w:before="0" w:after="0"/>
              <w:rPr>
                <w:rFonts w:ascii="Times New Roman" w:hAnsi="Times New Roman"/>
                <w:color w:val="000000"/>
                <w:sz w:val="20"/>
                <w:lang w:val="sr-Cyrl-CS" w:eastAsia="pt-PT"/>
              </w:rPr>
            </w:pP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Промена</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праксе</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у</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газдовању</w:t>
            </w:r>
            <w:r w:rsidR="00331612"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шумама</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у</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складу</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са</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приступом</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Природи</w:t>
            </w:r>
            <w:r w:rsidR="008179B0"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блиско</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управљање</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шумама</w:t>
            </w:r>
            <w:r w:rsidR="0035174D" w:rsidRPr="005303F7">
              <w:rPr>
                <w:rFonts w:ascii="Times New Roman" w:hAnsi="Times New Roman"/>
                <w:color w:val="000000"/>
                <w:sz w:val="20"/>
                <w:lang w:val="sr-Cyrl-CS" w:eastAsia="pt-PT"/>
              </w:rPr>
              <w:t>”</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у</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склопу</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мере</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за</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ублажавање</w:t>
            </w:r>
            <w:r w:rsidR="00207D32"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w:t>
            </w:r>
            <w:r w:rsidR="00555E31" w:rsidRPr="005303F7">
              <w:rPr>
                <w:rFonts w:ascii="Times New Roman" w:hAnsi="Times New Roman"/>
                <w:color w:val="000000"/>
                <w:sz w:val="20"/>
                <w:lang w:val="sr-Cyrl-CS" w:eastAsia="pt-PT"/>
              </w:rPr>
              <w:t>Природи</w:t>
            </w:r>
            <w:r w:rsidR="008179B0"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блиско</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управљање</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шумама</w:t>
            </w:r>
            <w:r w:rsidR="0035174D" w:rsidRPr="005303F7">
              <w:rPr>
                <w:rFonts w:ascii="Times New Roman" w:hAnsi="Times New Roman"/>
                <w:color w:val="000000"/>
                <w:sz w:val="20"/>
                <w:lang w:val="sr-Cyrl-CS" w:eastAsia="pt-PT"/>
              </w:rPr>
              <w:t>”</w:t>
            </w:r>
            <w:r w:rsidR="00415473"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и</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климатски</w:t>
            </w:r>
            <w:r w:rsidR="00C2451C"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паметан</w:t>
            </w:r>
            <w:r w:rsidR="00C2451C"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приступ</w:t>
            </w:r>
            <w:r w:rsidRPr="005303F7">
              <w:rPr>
                <w:rFonts w:ascii="Times New Roman" w:hAnsi="Times New Roman"/>
                <w:color w:val="000000"/>
                <w:sz w:val="20"/>
                <w:lang w:val="sr-Cyrl-CS" w:eastAsia="pt-PT"/>
              </w:rPr>
              <w:t xml:space="preserve"> </w:t>
            </w:r>
            <w:r w:rsidR="00555E31" w:rsidRPr="005303F7">
              <w:rPr>
                <w:rFonts w:ascii="Times New Roman" w:hAnsi="Times New Roman"/>
                <w:color w:val="000000"/>
                <w:sz w:val="20"/>
                <w:lang w:val="sr-Cyrl-CS" w:eastAsia="pt-PT"/>
              </w:rPr>
              <w:t>шумарству</w:t>
            </w:r>
            <w:r w:rsidR="0035174D" w:rsidRPr="005303F7">
              <w:rPr>
                <w:rFonts w:ascii="Times New Roman" w:hAnsi="Times New Roman"/>
                <w:color w:val="000000"/>
                <w:sz w:val="20"/>
                <w:lang w:val="sr-Cyrl-CS" w:eastAsia="pt-PT"/>
              </w:rPr>
              <w:t>”</w:t>
            </w:r>
            <w:r w:rsidRPr="005303F7">
              <w:rPr>
                <w:rFonts w:ascii="Times New Roman" w:hAnsi="Times New Roman"/>
                <w:color w:val="000000"/>
                <w:sz w:val="20"/>
                <w:lang w:val="sr-Cyrl-CS" w:eastAsia="pt-PT"/>
              </w:rPr>
              <w:t>)</w:t>
            </w:r>
          </w:p>
        </w:tc>
        <w:tc>
          <w:tcPr>
            <w:tcW w:w="1597" w:type="pct"/>
            <w:vMerge/>
            <w:tcBorders>
              <w:left w:val="nil"/>
              <w:bottom w:val="single" w:sz="4" w:space="0" w:color="auto"/>
              <w:right w:val="single" w:sz="4" w:space="0" w:color="auto"/>
            </w:tcBorders>
            <w:shd w:val="clear" w:color="auto" w:fill="auto"/>
            <w:vAlign w:val="center"/>
          </w:tcPr>
          <w:p w14:paraId="228494AA" w14:textId="77777777" w:rsidR="00D07A7C" w:rsidRPr="005303F7" w:rsidRDefault="00D07A7C" w:rsidP="0084705A">
            <w:pPr>
              <w:tabs>
                <w:tab w:val="clear" w:pos="3825"/>
              </w:tabs>
              <w:overflowPunct/>
              <w:autoSpaceDE/>
              <w:autoSpaceDN/>
              <w:adjustRightInd/>
              <w:spacing w:before="0" w:after="0"/>
              <w:jc w:val="left"/>
              <w:textAlignment w:val="auto"/>
              <w:rPr>
                <w:rFonts w:ascii="Times New Roman" w:hAnsi="Times New Roman"/>
                <w:color w:val="000000"/>
                <w:sz w:val="20"/>
                <w:lang w:val="sr-Cyrl-CS" w:eastAsia="pt-PT"/>
              </w:rPr>
            </w:pPr>
          </w:p>
        </w:tc>
      </w:tr>
      <w:tr w:rsidR="00250D1D" w:rsidRPr="005303F7" w14:paraId="292FFCAE" w14:textId="77777777" w:rsidTr="00A17981">
        <w:trPr>
          <w:trHeight w:val="20"/>
        </w:trPr>
        <w:tc>
          <w:tcPr>
            <w:tcW w:w="1210" w:type="pct"/>
            <w:tcBorders>
              <w:top w:val="single" w:sz="4" w:space="0" w:color="auto"/>
              <w:left w:val="single" w:sz="4" w:space="0" w:color="auto"/>
              <w:bottom w:val="single" w:sz="4" w:space="0" w:color="auto"/>
              <w:right w:val="single" w:sz="4" w:space="0" w:color="auto"/>
            </w:tcBorders>
            <w:shd w:val="clear" w:color="auto" w:fill="auto"/>
            <w:vAlign w:val="center"/>
          </w:tcPr>
          <w:p w14:paraId="679223B4" w14:textId="153293CF" w:rsidR="00250D1D" w:rsidRPr="005303F7" w:rsidRDefault="00555E31" w:rsidP="00250D1D">
            <w:pPr>
              <w:tabs>
                <w:tab w:val="clear" w:pos="3825"/>
              </w:tabs>
              <w:overflowPunct/>
              <w:autoSpaceDE/>
              <w:autoSpaceDN/>
              <w:adjustRightInd/>
              <w:spacing w:before="0" w:after="0"/>
              <w:jc w:val="center"/>
              <w:textAlignment w:val="auto"/>
              <w:rPr>
                <w:rFonts w:ascii="Times New Roman" w:hAnsi="Times New Roman"/>
                <w:sz w:val="20"/>
                <w:lang w:val="sr-Cyrl-CS"/>
              </w:rPr>
            </w:pPr>
            <w:r w:rsidRPr="005303F7">
              <w:rPr>
                <w:rFonts w:ascii="Times New Roman" w:hAnsi="Times New Roman"/>
                <w:sz w:val="20"/>
                <w:lang w:val="sr-Cyrl-CS"/>
              </w:rPr>
              <w:t>Посебан</w:t>
            </w:r>
            <w:r w:rsidR="00BC4F36" w:rsidRPr="005303F7">
              <w:rPr>
                <w:rFonts w:ascii="Times New Roman" w:hAnsi="Times New Roman"/>
                <w:sz w:val="20"/>
                <w:lang w:val="sr-Cyrl-CS"/>
              </w:rPr>
              <w:t xml:space="preserve"> </w:t>
            </w:r>
            <w:r w:rsidRPr="005303F7">
              <w:rPr>
                <w:rFonts w:ascii="Times New Roman" w:hAnsi="Times New Roman"/>
                <w:sz w:val="20"/>
                <w:lang w:val="sr-Cyrl-CS"/>
              </w:rPr>
              <w:t>циљ</w:t>
            </w:r>
            <w:r w:rsidR="00BC4F36" w:rsidRPr="005303F7">
              <w:rPr>
                <w:rFonts w:ascii="Times New Roman" w:hAnsi="Times New Roman"/>
                <w:sz w:val="20"/>
                <w:lang w:val="sr-Cyrl-CS"/>
              </w:rPr>
              <w:t xml:space="preserve"> 5: </w:t>
            </w:r>
            <w:r w:rsidRPr="005303F7">
              <w:rPr>
                <w:rFonts w:ascii="Times New Roman" w:hAnsi="Times New Roman"/>
                <w:sz w:val="20"/>
                <w:lang w:val="sr-Cyrl-CS"/>
              </w:rPr>
              <w:t>Промовисање</w:t>
            </w:r>
            <w:r w:rsidR="00BC4F36" w:rsidRPr="005303F7">
              <w:rPr>
                <w:rFonts w:ascii="Times New Roman" w:hAnsi="Times New Roman"/>
                <w:sz w:val="20"/>
                <w:lang w:val="sr-Cyrl-CS"/>
              </w:rPr>
              <w:t xml:space="preserve"> </w:t>
            </w:r>
            <w:r w:rsidRPr="005303F7">
              <w:rPr>
                <w:rFonts w:ascii="Times New Roman" w:hAnsi="Times New Roman"/>
                <w:sz w:val="20"/>
                <w:lang w:val="sr-Cyrl-CS"/>
              </w:rPr>
              <w:t>преласка</w:t>
            </w:r>
            <w:r w:rsidR="00BC4F36" w:rsidRPr="005303F7">
              <w:rPr>
                <w:rFonts w:ascii="Times New Roman" w:hAnsi="Times New Roman"/>
                <w:sz w:val="20"/>
                <w:lang w:val="sr-Cyrl-CS"/>
              </w:rPr>
              <w:t xml:space="preserve"> </w:t>
            </w:r>
            <w:r w:rsidRPr="005303F7">
              <w:rPr>
                <w:rFonts w:ascii="Times New Roman" w:hAnsi="Times New Roman"/>
                <w:sz w:val="20"/>
                <w:lang w:val="sr-Cyrl-CS"/>
              </w:rPr>
              <w:t>на</w:t>
            </w:r>
            <w:r w:rsidR="00BC4F36" w:rsidRPr="005303F7">
              <w:rPr>
                <w:rFonts w:ascii="Times New Roman" w:hAnsi="Times New Roman"/>
                <w:sz w:val="20"/>
                <w:lang w:val="sr-Cyrl-CS"/>
              </w:rPr>
              <w:t xml:space="preserve"> </w:t>
            </w:r>
            <w:r w:rsidRPr="005303F7">
              <w:rPr>
                <w:rFonts w:ascii="Times New Roman" w:hAnsi="Times New Roman"/>
                <w:sz w:val="20"/>
                <w:lang w:val="sr-Cyrl-CS"/>
              </w:rPr>
              <w:t>климатски</w:t>
            </w:r>
            <w:r w:rsidR="00BC4F36" w:rsidRPr="005303F7">
              <w:rPr>
                <w:rFonts w:ascii="Times New Roman" w:hAnsi="Times New Roman"/>
                <w:sz w:val="20"/>
                <w:lang w:val="sr-Cyrl-CS"/>
              </w:rPr>
              <w:t xml:space="preserve"> </w:t>
            </w:r>
            <w:r w:rsidRPr="005303F7">
              <w:rPr>
                <w:rFonts w:ascii="Times New Roman" w:hAnsi="Times New Roman"/>
                <w:sz w:val="20"/>
                <w:lang w:val="sr-Cyrl-CS"/>
              </w:rPr>
              <w:t>неутралну</w:t>
            </w:r>
            <w:r w:rsidR="00BC4F36" w:rsidRPr="005303F7">
              <w:rPr>
                <w:rFonts w:ascii="Times New Roman" w:hAnsi="Times New Roman"/>
                <w:sz w:val="20"/>
                <w:lang w:val="sr-Cyrl-CS"/>
              </w:rPr>
              <w:t xml:space="preserve"> </w:t>
            </w:r>
            <w:r w:rsidRPr="005303F7">
              <w:rPr>
                <w:rFonts w:ascii="Times New Roman" w:hAnsi="Times New Roman"/>
                <w:sz w:val="20"/>
                <w:lang w:val="sr-Cyrl-CS"/>
              </w:rPr>
              <w:t>економију</w:t>
            </w:r>
            <w:r w:rsidR="00BC4F36" w:rsidRPr="005303F7">
              <w:rPr>
                <w:rFonts w:ascii="Times New Roman" w:hAnsi="Times New Roman"/>
                <w:sz w:val="20"/>
                <w:lang w:val="sr-Cyrl-CS"/>
              </w:rPr>
              <w:t xml:space="preserve"> </w:t>
            </w:r>
            <w:r w:rsidRPr="005303F7">
              <w:rPr>
                <w:rFonts w:ascii="Times New Roman" w:hAnsi="Times New Roman"/>
                <w:sz w:val="20"/>
                <w:lang w:val="sr-Cyrl-CS"/>
              </w:rPr>
              <w:t>и</w:t>
            </w:r>
            <w:r w:rsidR="00BC4F36" w:rsidRPr="005303F7">
              <w:rPr>
                <w:rFonts w:ascii="Times New Roman" w:hAnsi="Times New Roman"/>
                <w:sz w:val="20"/>
                <w:lang w:val="sr-Cyrl-CS"/>
              </w:rPr>
              <w:t xml:space="preserve"> </w:t>
            </w:r>
            <w:r w:rsidRPr="005303F7">
              <w:rPr>
                <w:rFonts w:ascii="Times New Roman" w:hAnsi="Times New Roman"/>
                <w:sz w:val="20"/>
                <w:lang w:val="sr-Cyrl-CS"/>
              </w:rPr>
              <w:t>друштво</w:t>
            </w:r>
            <w:r w:rsidR="00BC4F36" w:rsidRPr="005303F7">
              <w:rPr>
                <w:rFonts w:ascii="Times New Roman" w:hAnsi="Times New Roman"/>
                <w:sz w:val="20"/>
                <w:lang w:val="sr-Cyrl-CS"/>
              </w:rPr>
              <w:t xml:space="preserve"> </w:t>
            </w:r>
            <w:r w:rsidRPr="005303F7">
              <w:rPr>
                <w:rFonts w:ascii="Times New Roman" w:hAnsi="Times New Roman"/>
                <w:sz w:val="20"/>
                <w:lang w:val="sr-Cyrl-CS"/>
              </w:rPr>
              <w:t>отпорно</w:t>
            </w:r>
            <w:r w:rsidR="00BC4F36" w:rsidRPr="005303F7">
              <w:rPr>
                <w:rFonts w:ascii="Times New Roman" w:hAnsi="Times New Roman"/>
                <w:sz w:val="20"/>
                <w:lang w:val="sr-Cyrl-CS"/>
              </w:rPr>
              <w:t xml:space="preserve"> </w:t>
            </w:r>
            <w:r w:rsidRPr="005303F7">
              <w:rPr>
                <w:rFonts w:ascii="Times New Roman" w:hAnsi="Times New Roman"/>
                <w:sz w:val="20"/>
                <w:lang w:val="sr-Cyrl-CS"/>
              </w:rPr>
              <w:t>на</w:t>
            </w:r>
            <w:r w:rsidR="00BC4F36" w:rsidRPr="005303F7">
              <w:rPr>
                <w:rFonts w:ascii="Times New Roman" w:hAnsi="Times New Roman"/>
                <w:sz w:val="20"/>
                <w:lang w:val="sr-Cyrl-CS"/>
              </w:rPr>
              <w:t xml:space="preserve"> </w:t>
            </w:r>
            <w:r w:rsidRPr="005303F7">
              <w:rPr>
                <w:rFonts w:ascii="Times New Roman" w:hAnsi="Times New Roman"/>
                <w:sz w:val="20"/>
                <w:lang w:val="sr-Cyrl-CS"/>
              </w:rPr>
              <w:t>климатске</w:t>
            </w:r>
            <w:r w:rsidR="00BC4F36" w:rsidRPr="005303F7">
              <w:rPr>
                <w:rFonts w:ascii="Times New Roman" w:hAnsi="Times New Roman"/>
                <w:sz w:val="20"/>
                <w:lang w:val="sr-Cyrl-CS"/>
              </w:rPr>
              <w:t xml:space="preserve"> </w:t>
            </w:r>
            <w:r w:rsidRPr="005303F7">
              <w:rPr>
                <w:rFonts w:ascii="Times New Roman" w:hAnsi="Times New Roman"/>
                <w:sz w:val="20"/>
                <w:lang w:val="sr-Cyrl-CS"/>
              </w:rPr>
              <w:t>промене</w:t>
            </w:r>
          </w:p>
        </w:tc>
        <w:tc>
          <w:tcPr>
            <w:tcW w:w="2193" w:type="pct"/>
            <w:tcBorders>
              <w:top w:val="single" w:sz="4" w:space="0" w:color="auto"/>
              <w:left w:val="nil"/>
              <w:bottom w:val="single" w:sz="4" w:space="0" w:color="auto"/>
              <w:right w:val="single" w:sz="4" w:space="0" w:color="auto"/>
            </w:tcBorders>
            <w:shd w:val="clear" w:color="auto" w:fill="auto"/>
            <w:vAlign w:val="center"/>
          </w:tcPr>
          <w:p w14:paraId="6C70AAE5" w14:textId="5B4F38A9" w:rsidR="00250D1D" w:rsidRPr="005303F7" w:rsidRDefault="00555E31" w:rsidP="0029378D">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Образовање</w:t>
            </w:r>
            <w:r w:rsidR="00BC4F3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обука</w:t>
            </w:r>
            <w:r w:rsidR="00BC4F3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BC4F3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нове</w:t>
            </w:r>
            <w:r w:rsidR="00BC4F3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вештине</w:t>
            </w:r>
            <w:r w:rsidR="00BC4F3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w:t>
            </w:r>
            <w:r w:rsidR="00BC4F3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подизање</w:t>
            </w:r>
            <w:r w:rsidR="00BC4F3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свести</w:t>
            </w:r>
            <w:r w:rsidR="007B0A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w:t>
            </w:r>
            <w:r w:rsidR="007B0A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области</w:t>
            </w:r>
            <w:r w:rsidR="007B0A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климатских</w:t>
            </w:r>
            <w:r w:rsidR="007B0ABA"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промена</w:t>
            </w:r>
            <w:r w:rsidR="00250D1D" w:rsidRPr="005303F7">
              <w:rPr>
                <w:rFonts w:ascii="Times New Roman" w:hAnsi="Times New Roman"/>
                <w:color w:val="000000"/>
                <w:sz w:val="20"/>
                <w:lang w:val="sr-Cyrl-CS" w:eastAsia="pt-PT"/>
              </w:rPr>
              <w:t>.</w:t>
            </w:r>
          </w:p>
        </w:tc>
        <w:tc>
          <w:tcPr>
            <w:tcW w:w="1597" w:type="pct"/>
            <w:tcBorders>
              <w:top w:val="single" w:sz="4" w:space="0" w:color="auto"/>
              <w:left w:val="nil"/>
              <w:bottom w:val="single" w:sz="4" w:space="0" w:color="auto"/>
              <w:right w:val="single" w:sz="4" w:space="0" w:color="auto"/>
            </w:tcBorders>
            <w:shd w:val="clear" w:color="auto" w:fill="auto"/>
            <w:vAlign w:val="center"/>
          </w:tcPr>
          <w:p w14:paraId="395912B8" w14:textId="2CD6F738" w:rsidR="00250D1D" w:rsidRPr="005303F7" w:rsidRDefault="00555E31" w:rsidP="007B0304">
            <w:pPr>
              <w:tabs>
                <w:tab w:val="clear" w:pos="3825"/>
              </w:tabs>
              <w:overflowPunct/>
              <w:autoSpaceDE/>
              <w:autoSpaceDN/>
              <w:adjustRightInd/>
              <w:spacing w:before="0" w:after="0"/>
              <w:textAlignment w:val="auto"/>
              <w:rPr>
                <w:rFonts w:ascii="Times New Roman" w:hAnsi="Times New Roman"/>
                <w:color w:val="000000"/>
                <w:sz w:val="20"/>
                <w:lang w:val="sr-Cyrl-CS" w:eastAsia="pt-PT"/>
              </w:rPr>
            </w:pPr>
            <w:r w:rsidRPr="005303F7">
              <w:rPr>
                <w:rFonts w:ascii="Times New Roman" w:hAnsi="Times New Roman"/>
                <w:color w:val="000000"/>
                <w:sz w:val="20"/>
                <w:lang w:val="sr-Cyrl-CS" w:eastAsia="pt-PT"/>
              </w:rPr>
              <w:t>Универзитети</w:t>
            </w:r>
            <w:r w:rsidR="00BC4F3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школе</w:t>
            </w:r>
            <w:r w:rsidR="00BC4F3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центри</w:t>
            </w:r>
            <w:r w:rsidR="00BC4F3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за</w:t>
            </w:r>
            <w:r w:rsidR="00BC4F3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обуку</w:t>
            </w:r>
            <w:r w:rsidR="00BC4F3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одраслих</w:t>
            </w:r>
            <w:r w:rsidR="00BC4F3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компаније</w:t>
            </w:r>
            <w:r w:rsidR="00BC4F3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радници</w:t>
            </w:r>
            <w:r w:rsidR="00BC4F3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посебно</w:t>
            </w:r>
            <w:r w:rsidR="00BC4F3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у</w:t>
            </w:r>
            <w:r w:rsidR="00BC4F3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ланцу</w:t>
            </w:r>
            <w:r w:rsidR="00BC4F3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вредности</w:t>
            </w:r>
            <w:r w:rsidR="00BC4F3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сектора</w:t>
            </w:r>
            <w:r w:rsidR="00BC4F3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са</w:t>
            </w:r>
            <w:r w:rsidR="00BC4F3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интензивним</w:t>
            </w:r>
            <w:r w:rsidR="00BC4F36" w:rsidRPr="005303F7">
              <w:rPr>
                <w:rFonts w:ascii="Times New Roman" w:hAnsi="Times New Roman"/>
                <w:color w:val="000000"/>
                <w:sz w:val="20"/>
                <w:lang w:val="sr-Cyrl-CS" w:eastAsia="pt-PT"/>
              </w:rPr>
              <w:t xml:space="preserve"> </w:t>
            </w:r>
            <w:r w:rsidRPr="005303F7">
              <w:rPr>
                <w:rFonts w:ascii="Times New Roman" w:hAnsi="Times New Roman"/>
                <w:color w:val="000000"/>
                <w:sz w:val="20"/>
                <w:lang w:val="sr-Cyrl-CS" w:eastAsia="pt-PT"/>
              </w:rPr>
              <w:t>емисијама</w:t>
            </w:r>
          </w:p>
        </w:tc>
      </w:tr>
    </w:tbl>
    <w:p w14:paraId="00792852" w14:textId="5439D123" w:rsidR="00C67735" w:rsidRPr="005303F7" w:rsidRDefault="00BF65FC" w:rsidP="00D93231">
      <w:pPr>
        <w:pStyle w:val="Heading2"/>
        <w:numPr>
          <w:ilvl w:val="1"/>
          <w:numId w:val="40"/>
        </w:numPr>
        <w:tabs>
          <w:tab w:val="clear" w:pos="3825"/>
          <w:tab w:val="left" w:pos="1134"/>
        </w:tabs>
        <w:rPr>
          <w:rFonts w:ascii="Times New Roman" w:hAnsi="Times New Roman" w:cs="Times New Roman"/>
          <w:szCs w:val="22"/>
          <w:lang w:val="sr-Cyrl-CS"/>
        </w:rPr>
      </w:pPr>
      <w:bookmarkStart w:id="181" w:name="_Toc13162793"/>
      <w:bookmarkStart w:id="182" w:name="_Toc13162807"/>
      <w:bookmarkStart w:id="183" w:name="_Toc13162811"/>
      <w:bookmarkStart w:id="184" w:name="_Toc13162815"/>
      <w:bookmarkStart w:id="185" w:name="_Toc13162819"/>
      <w:bookmarkStart w:id="186" w:name="_Toc13162823"/>
      <w:bookmarkStart w:id="187" w:name="_Toc13162827"/>
      <w:bookmarkStart w:id="188" w:name="_Toc13162831"/>
      <w:bookmarkStart w:id="189" w:name="_Toc13162835"/>
      <w:bookmarkStart w:id="190" w:name="_Toc13162839"/>
      <w:bookmarkStart w:id="191" w:name="_Toc13162843"/>
      <w:bookmarkStart w:id="192" w:name="_Toc13162847"/>
      <w:bookmarkStart w:id="193" w:name="_Toc13162851"/>
      <w:bookmarkStart w:id="194" w:name="_Toc13162856"/>
      <w:bookmarkStart w:id="195" w:name="_Toc13162860"/>
      <w:bookmarkStart w:id="196" w:name="_Toc13162864"/>
      <w:bookmarkStart w:id="197" w:name="_Toc13162868"/>
      <w:bookmarkStart w:id="198" w:name="_Toc13162872"/>
      <w:bookmarkStart w:id="199" w:name="_Toc13162876"/>
      <w:bookmarkStart w:id="200" w:name="_Toc13162880"/>
      <w:bookmarkStart w:id="201" w:name="_Toc13162884"/>
      <w:bookmarkStart w:id="202" w:name="_Toc13162888"/>
      <w:bookmarkStart w:id="203" w:name="_Toc13162892"/>
      <w:bookmarkStart w:id="204" w:name="_Toc13162896"/>
      <w:bookmarkStart w:id="205" w:name="_Toc13162900"/>
      <w:bookmarkStart w:id="206" w:name="_Toc13162904"/>
      <w:bookmarkStart w:id="207" w:name="_Toc13162913"/>
      <w:bookmarkStart w:id="208" w:name="_Toc13162917"/>
      <w:bookmarkStart w:id="209" w:name="_Toc13162921"/>
      <w:bookmarkStart w:id="210" w:name="_Toc13162925"/>
      <w:bookmarkStart w:id="211" w:name="_Toc13162929"/>
      <w:bookmarkStart w:id="212" w:name="_Toc13162933"/>
      <w:bookmarkStart w:id="213" w:name="_Toc13162944"/>
      <w:bookmarkStart w:id="214" w:name="_Toc13162950"/>
      <w:bookmarkStart w:id="215" w:name="_Toc13162956"/>
      <w:bookmarkStart w:id="216" w:name="_Toc26686107"/>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5303F7">
        <w:rPr>
          <w:rFonts w:ascii="Times New Roman" w:hAnsi="Times New Roman" w:cs="Times New Roman"/>
          <w:szCs w:val="22"/>
          <w:lang w:val="sr-Cyrl-CS"/>
        </w:rPr>
        <w:t>Утицај</w:t>
      </w:r>
      <w:r w:rsidR="00031459"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мер</w:t>
      </w:r>
      <w:bookmarkEnd w:id="216"/>
      <w:r w:rsidRPr="005303F7">
        <w:rPr>
          <w:rFonts w:ascii="Times New Roman" w:hAnsi="Times New Roman" w:cs="Times New Roman"/>
          <w:szCs w:val="22"/>
          <w:lang w:val="sr-Cyrl-CS"/>
        </w:rPr>
        <w:t>а</w:t>
      </w:r>
    </w:p>
    <w:p w14:paraId="430C700F" w14:textId="2E9C11AE" w:rsidR="00C67735" w:rsidRPr="005303F7" w:rsidRDefault="00403D51" w:rsidP="00C67735">
      <w:pPr>
        <w:rPr>
          <w:rFonts w:ascii="Times New Roman" w:hAnsi="Times New Roman"/>
          <w:sz w:val="24"/>
          <w:lang w:val="sr-Cyrl-CS"/>
        </w:rPr>
      </w:pPr>
      <w:r w:rsidRPr="005303F7">
        <w:rPr>
          <w:rFonts w:ascii="Times New Roman" w:hAnsi="Times New Roman"/>
          <w:sz w:val="24"/>
          <w:lang w:val="sr-Cyrl-CS"/>
        </w:rPr>
        <w:t xml:space="preserve">         </w:t>
      </w:r>
      <w:r w:rsidR="002B1D3E" w:rsidRPr="005303F7">
        <w:rPr>
          <w:rFonts w:ascii="Times New Roman" w:hAnsi="Times New Roman"/>
          <w:sz w:val="24"/>
          <w:lang w:val="sr-Cyrl-CS"/>
        </w:rPr>
        <w:t xml:space="preserve">  </w:t>
      </w:r>
      <w:r w:rsidR="00BF65FC" w:rsidRPr="005303F7">
        <w:rPr>
          <w:rFonts w:ascii="Times New Roman" w:hAnsi="Times New Roman"/>
          <w:sz w:val="24"/>
          <w:lang w:val="sr-Cyrl-CS"/>
        </w:rPr>
        <w:t>Утицаји</w:t>
      </w:r>
      <w:r w:rsidR="00BF7E97" w:rsidRPr="005303F7">
        <w:rPr>
          <w:rFonts w:ascii="Times New Roman" w:hAnsi="Times New Roman"/>
          <w:sz w:val="24"/>
          <w:lang w:val="sr-Cyrl-CS"/>
        </w:rPr>
        <w:t xml:space="preserve"> </w:t>
      </w:r>
      <w:r w:rsidR="00BF65FC" w:rsidRPr="005303F7">
        <w:rPr>
          <w:rFonts w:ascii="Times New Roman" w:hAnsi="Times New Roman"/>
          <w:sz w:val="24"/>
          <w:lang w:val="sr-Cyrl-CS"/>
        </w:rPr>
        <w:t>мера</w:t>
      </w:r>
      <w:r w:rsidR="00BF7E97" w:rsidRPr="005303F7">
        <w:rPr>
          <w:rFonts w:ascii="Times New Roman" w:hAnsi="Times New Roman"/>
          <w:sz w:val="24"/>
          <w:lang w:val="sr-Cyrl-CS"/>
        </w:rPr>
        <w:t xml:space="preserve">, </w:t>
      </w:r>
      <w:r w:rsidR="00BF65FC" w:rsidRPr="005303F7">
        <w:rPr>
          <w:rFonts w:ascii="Times New Roman" w:hAnsi="Times New Roman"/>
          <w:sz w:val="24"/>
          <w:lang w:val="sr-Cyrl-CS"/>
        </w:rPr>
        <w:t>како</w:t>
      </w:r>
      <w:r w:rsidR="00BF7E97" w:rsidRPr="005303F7">
        <w:rPr>
          <w:rFonts w:ascii="Times New Roman" w:hAnsi="Times New Roman"/>
          <w:sz w:val="24"/>
          <w:lang w:val="sr-Cyrl-CS"/>
        </w:rPr>
        <w:t xml:space="preserve"> </w:t>
      </w:r>
      <w:r w:rsidR="00BF65FC" w:rsidRPr="005303F7">
        <w:rPr>
          <w:rFonts w:ascii="Times New Roman" w:hAnsi="Times New Roman"/>
          <w:sz w:val="24"/>
          <w:lang w:val="sr-Cyrl-CS"/>
        </w:rPr>
        <w:t>је</w:t>
      </w:r>
      <w:r w:rsidR="00BF7E97" w:rsidRPr="005303F7">
        <w:rPr>
          <w:rFonts w:ascii="Times New Roman" w:hAnsi="Times New Roman"/>
          <w:sz w:val="24"/>
          <w:lang w:val="sr-Cyrl-CS"/>
        </w:rPr>
        <w:t xml:space="preserve"> </w:t>
      </w:r>
      <w:r w:rsidR="00BF65FC" w:rsidRPr="005303F7">
        <w:rPr>
          <w:rFonts w:ascii="Times New Roman" w:hAnsi="Times New Roman"/>
          <w:sz w:val="24"/>
          <w:lang w:val="sr-Cyrl-CS"/>
        </w:rPr>
        <w:t>предвиђено</w:t>
      </w:r>
      <w:r w:rsidR="00BF7E97"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BF7E97" w:rsidRPr="005303F7">
        <w:rPr>
          <w:rFonts w:ascii="Times New Roman" w:hAnsi="Times New Roman"/>
          <w:sz w:val="24"/>
          <w:lang w:val="sr-Cyrl-CS"/>
        </w:rPr>
        <w:t xml:space="preserve"> </w:t>
      </w:r>
      <w:r w:rsidR="00BF65FC" w:rsidRPr="005303F7">
        <w:rPr>
          <w:rFonts w:ascii="Times New Roman" w:hAnsi="Times New Roman"/>
          <w:sz w:val="24"/>
          <w:lang w:val="sr-Cyrl-CS"/>
        </w:rPr>
        <w:t>сценарију</w:t>
      </w:r>
      <w:r w:rsidR="00C67735" w:rsidRPr="005303F7">
        <w:rPr>
          <w:rFonts w:ascii="Times New Roman" w:hAnsi="Times New Roman"/>
          <w:sz w:val="24"/>
          <w:lang w:val="sr-Cyrl-CS"/>
        </w:rPr>
        <w:t xml:space="preserve"> </w:t>
      </w:r>
      <w:r w:rsidR="00BF65FC" w:rsidRPr="005303F7">
        <w:rPr>
          <w:rFonts w:ascii="Times New Roman" w:hAnsi="Times New Roman"/>
          <w:sz w:val="24"/>
          <w:lang w:val="sr-Cyrl-CS"/>
        </w:rPr>
        <w:t>М</w:t>
      </w:r>
      <w:r w:rsidR="00C67735" w:rsidRPr="005303F7">
        <w:rPr>
          <w:rFonts w:ascii="Times New Roman" w:hAnsi="Times New Roman"/>
          <w:sz w:val="24"/>
          <w:lang w:val="sr-Cyrl-CS"/>
        </w:rPr>
        <w:t xml:space="preserve">2 </w:t>
      </w:r>
      <w:r w:rsidR="00BF65FC" w:rsidRPr="005303F7">
        <w:rPr>
          <w:rFonts w:ascii="Times New Roman" w:hAnsi="Times New Roman"/>
          <w:sz w:val="24"/>
          <w:lang w:val="sr-Cyrl-CS"/>
        </w:rPr>
        <w:t>до</w:t>
      </w:r>
      <w:r w:rsidR="00C67735" w:rsidRPr="005303F7">
        <w:rPr>
          <w:rFonts w:ascii="Times New Roman" w:hAnsi="Times New Roman"/>
          <w:sz w:val="24"/>
          <w:lang w:val="sr-Cyrl-CS"/>
        </w:rPr>
        <w:t xml:space="preserve"> 2030. </w:t>
      </w:r>
      <w:r w:rsidR="00BF65FC" w:rsidRPr="005303F7">
        <w:rPr>
          <w:rFonts w:ascii="Times New Roman" w:hAnsi="Times New Roman"/>
          <w:sz w:val="24"/>
          <w:lang w:val="sr-Cyrl-CS"/>
        </w:rPr>
        <w:t>године</w:t>
      </w:r>
      <w:r w:rsidR="00BF7E97"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BF7E97"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BF7E97" w:rsidRPr="005303F7">
        <w:rPr>
          <w:rFonts w:ascii="Times New Roman" w:hAnsi="Times New Roman"/>
          <w:sz w:val="24"/>
          <w:lang w:val="sr-Cyrl-CS"/>
        </w:rPr>
        <w:t xml:space="preserve"> </w:t>
      </w:r>
      <w:r w:rsidR="00BF65FC" w:rsidRPr="005303F7">
        <w:rPr>
          <w:rFonts w:ascii="Times New Roman" w:hAnsi="Times New Roman"/>
          <w:sz w:val="24"/>
          <w:lang w:val="sr-Cyrl-CS"/>
        </w:rPr>
        <w:t>опсегу</w:t>
      </w:r>
      <w:r w:rsidR="006A6E2F" w:rsidRPr="005303F7">
        <w:rPr>
          <w:rFonts w:ascii="Times New Roman" w:hAnsi="Times New Roman"/>
          <w:sz w:val="24"/>
          <w:lang w:val="sr-Cyrl-CS"/>
        </w:rPr>
        <w:t xml:space="preserve"> </w:t>
      </w:r>
      <w:r w:rsidR="00BF65FC" w:rsidRPr="005303F7">
        <w:rPr>
          <w:rFonts w:ascii="Times New Roman" w:hAnsi="Times New Roman"/>
          <w:sz w:val="24"/>
          <w:lang w:val="sr-Cyrl-CS"/>
        </w:rPr>
        <w:t>М</w:t>
      </w:r>
      <w:r w:rsidR="006A6E2F" w:rsidRPr="005303F7">
        <w:rPr>
          <w:rFonts w:ascii="Times New Roman" w:hAnsi="Times New Roman"/>
          <w:sz w:val="24"/>
          <w:lang w:val="sr-Cyrl-CS"/>
        </w:rPr>
        <w:t>2</w:t>
      </w:r>
      <w:r w:rsidR="008B0D4A" w:rsidRPr="005303F7">
        <w:rPr>
          <w:rFonts w:ascii="Times New Roman" w:hAnsi="Times New Roman"/>
          <w:sz w:val="24"/>
          <w:lang w:val="sr-Cyrl-CS"/>
        </w:rPr>
        <w:t xml:space="preserve"> </w:t>
      </w:r>
      <w:r w:rsidR="00BF65FC" w:rsidRPr="005303F7">
        <w:rPr>
          <w:rFonts w:ascii="Times New Roman" w:hAnsi="Times New Roman"/>
          <w:sz w:val="24"/>
          <w:lang w:val="sr-Cyrl-CS"/>
        </w:rPr>
        <w:t>до</w:t>
      </w:r>
      <w:r w:rsidR="008B0D4A" w:rsidRPr="005303F7">
        <w:rPr>
          <w:rFonts w:ascii="Times New Roman" w:hAnsi="Times New Roman"/>
          <w:sz w:val="24"/>
          <w:lang w:val="sr-Cyrl-CS"/>
        </w:rPr>
        <w:t xml:space="preserve"> </w:t>
      </w:r>
      <w:r w:rsidR="00BF65FC" w:rsidRPr="005303F7">
        <w:rPr>
          <w:rFonts w:ascii="Times New Roman" w:hAnsi="Times New Roman"/>
          <w:sz w:val="24"/>
          <w:lang w:val="sr-Cyrl-CS"/>
        </w:rPr>
        <w:t>М</w:t>
      </w:r>
      <w:r w:rsidR="008B0D4A" w:rsidRPr="005303F7">
        <w:rPr>
          <w:rFonts w:ascii="Times New Roman" w:hAnsi="Times New Roman"/>
          <w:sz w:val="24"/>
          <w:lang w:val="sr-Cyrl-CS"/>
        </w:rPr>
        <w:t>4</w:t>
      </w:r>
      <w:r w:rsidR="00BF7E97" w:rsidRPr="005303F7">
        <w:rPr>
          <w:rFonts w:ascii="Times New Roman" w:hAnsi="Times New Roman"/>
          <w:sz w:val="24"/>
          <w:lang w:val="sr-Cyrl-CS"/>
        </w:rPr>
        <w:t xml:space="preserve">, </w:t>
      </w:r>
      <w:r w:rsidR="00BF65FC" w:rsidRPr="005303F7">
        <w:rPr>
          <w:rFonts w:ascii="Times New Roman" w:hAnsi="Times New Roman"/>
          <w:sz w:val="24"/>
          <w:lang w:val="sr-Cyrl-CS"/>
        </w:rPr>
        <w:t>од</w:t>
      </w:r>
      <w:r w:rsidR="00C67735" w:rsidRPr="005303F7">
        <w:rPr>
          <w:rFonts w:ascii="Times New Roman" w:hAnsi="Times New Roman"/>
          <w:sz w:val="24"/>
          <w:lang w:val="sr-Cyrl-CS"/>
        </w:rPr>
        <w:t xml:space="preserve"> 2030</w:t>
      </w:r>
      <w:r w:rsidR="00BF7E97" w:rsidRPr="005303F7">
        <w:rPr>
          <w:rFonts w:ascii="Times New Roman" w:hAnsi="Times New Roman"/>
          <w:sz w:val="24"/>
          <w:lang w:val="sr-Cyrl-CS"/>
        </w:rPr>
        <w:t>.</w:t>
      </w:r>
      <w:r w:rsidR="00C67735" w:rsidRPr="005303F7">
        <w:rPr>
          <w:rFonts w:ascii="Times New Roman" w:hAnsi="Times New Roman"/>
          <w:sz w:val="24"/>
          <w:lang w:val="sr-Cyrl-CS"/>
        </w:rPr>
        <w:t xml:space="preserve"> </w:t>
      </w:r>
      <w:r w:rsidR="00BF65FC" w:rsidRPr="005303F7">
        <w:rPr>
          <w:rFonts w:ascii="Times New Roman" w:hAnsi="Times New Roman"/>
          <w:sz w:val="24"/>
          <w:lang w:val="sr-Cyrl-CS"/>
        </w:rPr>
        <w:t>до</w:t>
      </w:r>
      <w:r w:rsidR="00C67735" w:rsidRPr="005303F7">
        <w:rPr>
          <w:rFonts w:ascii="Times New Roman" w:hAnsi="Times New Roman"/>
          <w:sz w:val="24"/>
          <w:lang w:val="sr-Cyrl-CS"/>
        </w:rPr>
        <w:t xml:space="preserve"> 2050</w:t>
      </w:r>
      <w:r w:rsidR="008B0D4A" w:rsidRPr="005303F7">
        <w:rPr>
          <w:rFonts w:ascii="Times New Roman" w:hAnsi="Times New Roman"/>
          <w:sz w:val="24"/>
          <w:lang w:val="sr-Cyrl-CS"/>
        </w:rPr>
        <w:t>.</w:t>
      </w:r>
      <w:r w:rsidR="007A6ED6" w:rsidRPr="005303F7">
        <w:rPr>
          <w:rFonts w:ascii="Times New Roman" w:hAnsi="Times New Roman"/>
          <w:sz w:val="24"/>
          <w:lang w:val="sr-Cyrl-CS"/>
        </w:rPr>
        <w:t xml:space="preserve"> </w:t>
      </w:r>
      <w:r w:rsidR="00BF65FC" w:rsidRPr="005303F7">
        <w:rPr>
          <w:rFonts w:ascii="Times New Roman" w:hAnsi="Times New Roman"/>
          <w:sz w:val="24"/>
          <w:lang w:val="sr-Cyrl-CS"/>
        </w:rPr>
        <w:t>године</w:t>
      </w:r>
      <w:r w:rsidR="00BF7E97" w:rsidRPr="005303F7">
        <w:rPr>
          <w:rFonts w:ascii="Times New Roman" w:hAnsi="Times New Roman"/>
          <w:sz w:val="24"/>
          <w:lang w:val="sr-Cyrl-CS"/>
        </w:rPr>
        <w:t xml:space="preserve">, </w:t>
      </w:r>
      <w:r w:rsidR="00BF65FC" w:rsidRPr="005303F7">
        <w:rPr>
          <w:rFonts w:ascii="Times New Roman" w:hAnsi="Times New Roman"/>
          <w:sz w:val="24"/>
          <w:lang w:val="sr-Cyrl-CS"/>
        </w:rPr>
        <w:t>могли</w:t>
      </w:r>
      <w:r w:rsidR="00E442D9" w:rsidRPr="005303F7">
        <w:rPr>
          <w:rFonts w:ascii="Times New Roman" w:hAnsi="Times New Roman"/>
          <w:sz w:val="24"/>
          <w:lang w:val="sr-Cyrl-CS"/>
        </w:rPr>
        <w:t xml:space="preserve"> </w:t>
      </w:r>
      <w:r w:rsidR="00BF65FC" w:rsidRPr="005303F7">
        <w:rPr>
          <w:rFonts w:ascii="Times New Roman" w:hAnsi="Times New Roman"/>
          <w:sz w:val="24"/>
          <w:lang w:val="sr-Cyrl-CS"/>
        </w:rPr>
        <w:t>би</w:t>
      </w:r>
      <w:r w:rsidR="00E442D9"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E442D9" w:rsidRPr="005303F7">
        <w:rPr>
          <w:rFonts w:ascii="Times New Roman" w:hAnsi="Times New Roman"/>
          <w:sz w:val="24"/>
          <w:lang w:val="sr-Cyrl-CS"/>
        </w:rPr>
        <w:t xml:space="preserve"> </w:t>
      </w:r>
      <w:r w:rsidR="00BF65FC" w:rsidRPr="005303F7">
        <w:rPr>
          <w:rFonts w:ascii="Times New Roman" w:hAnsi="Times New Roman"/>
          <w:sz w:val="24"/>
          <w:lang w:val="sr-Cyrl-CS"/>
        </w:rPr>
        <w:t>представити</w:t>
      </w:r>
      <w:r w:rsidR="00E442D9" w:rsidRPr="005303F7">
        <w:rPr>
          <w:rFonts w:ascii="Times New Roman" w:hAnsi="Times New Roman"/>
          <w:sz w:val="24"/>
          <w:lang w:val="sr-Cyrl-CS"/>
        </w:rPr>
        <w:t xml:space="preserve"> </w:t>
      </w:r>
      <w:r w:rsidR="00BF65FC" w:rsidRPr="005303F7">
        <w:rPr>
          <w:rFonts w:ascii="Times New Roman" w:hAnsi="Times New Roman"/>
          <w:sz w:val="24"/>
          <w:lang w:val="sr-Cyrl-CS"/>
        </w:rPr>
        <w:t>као</w:t>
      </w:r>
      <w:r w:rsidR="007A6ED6" w:rsidRPr="005303F7">
        <w:rPr>
          <w:rFonts w:ascii="Times New Roman" w:hAnsi="Times New Roman"/>
          <w:sz w:val="24"/>
          <w:lang w:val="sr-Cyrl-CS"/>
        </w:rPr>
        <w:t>:</w:t>
      </w:r>
      <w:r w:rsidR="00415473" w:rsidRPr="005303F7">
        <w:rPr>
          <w:rFonts w:ascii="Times New Roman" w:hAnsi="Times New Roman"/>
          <w:sz w:val="24"/>
          <w:lang w:val="sr-Cyrl-CS"/>
        </w:rPr>
        <w:t xml:space="preserve"> </w:t>
      </w:r>
    </w:p>
    <w:p w14:paraId="69993D75" w14:textId="3E636EAD" w:rsidR="00C67735" w:rsidRPr="005303F7" w:rsidRDefault="00BF65FC" w:rsidP="00D93231">
      <w:pPr>
        <w:pStyle w:val="Heading2"/>
        <w:numPr>
          <w:ilvl w:val="2"/>
          <w:numId w:val="40"/>
        </w:numPr>
        <w:tabs>
          <w:tab w:val="clear" w:pos="3825"/>
          <w:tab w:val="left" w:pos="1134"/>
        </w:tabs>
        <w:spacing w:before="0" w:after="0"/>
        <w:rPr>
          <w:rFonts w:ascii="Times New Roman" w:hAnsi="Times New Roman" w:cs="Times New Roman"/>
          <w:szCs w:val="22"/>
          <w:lang w:val="sr-Cyrl-CS"/>
        </w:rPr>
      </w:pPr>
      <w:bookmarkStart w:id="217" w:name="_Toc26686108"/>
      <w:r w:rsidRPr="005303F7">
        <w:rPr>
          <w:rFonts w:ascii="Times New Roman" w:hAnsi="Times New Roman" w:cs="Times New Roman"/>
          <w:szCs w:val="22"/>
          <w:lang w:val="sr-Cyrl-CS"/>
        </w:rPr>
        <w:t>Социјални</w:t>
      </w:r>
      <w:r w:rsidR="00031459"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утицај</w:t>
      </w:r>
      <w:bookmarkEnd w:id="217"/>
      <w:r w:rsidRPr="005303F7">
        <w:rPr>
          <w:rFonts w:ascii="Times New Roman" w:hAnsi="Times New Roman" w:cs="Times New Roman"/>
          <w:szCs w:val="22"/>
          <w:lang w:val="sr-Cyrl-CS"/>
        </w:rPr>
        <w:t>и</w:t>
      </w:r>
    </w:p>
    <w:p w14:paraId="2FF8EF1C" w14:textId="44C7A0DF" w:rsidR="00110B3B" w:rsidRPr="005303F7" w:rsidRDefault="00403D51" w:rsidP="00110B3B">
      <w:pPr>
        <w:rPr>
          <w:rFonts w:ascii="Times New Roman" w:hAnsi="Times New Roman"/>
          <w:b/>
          <w:i/>
          <w:sz w:val="24"/>
          <w:lang w:val="sr-Cyrl-CS" w:eastAsia="en-US"/>
        </w:rPr>
      </w:pPr>
      <w:r w:rsidRPr="005303F7">
        <w:rPr>
          <w:rFonts w:ascii="Times New Roman" w:hAnsi="Times New Roman"/>
          <w:sz w:val="24"/>
          <w:lang w:val="sr-Cyrl-CS"/>
        </w:rPr>
        <w:t xml:space="preserve">         </w:t>
      </w:r>
      <w:r w:rsidR="002B1D3E" w:rsidRPr="005303F7">
        <w:rPr>
          <w:rFonts w:ascii="Times New Roman" w:hAnsi="Times New Roman"/>
          <w:sz w:val="24"/>
          <w:lang w:val="sr-Cyrl-CS"/>
        </w:rPr>
        <w:t xml:space="preserve">  </w:t>
      </w:r>
      <w:r w:rsidR="00BF65FC" w:rsidRPr="005303F7">
        <w:rPr>
          <w:rFonts w:ascii="Times New Roman" w:hAnsi="Times New Roman"/>
          <w:sz w:val="24"/>
          <w:lang w:val="sr-Cyrl-CS"/>
        </w:rPr>
        <w:t>Социјални</w:t>
      </w:r>
      <w:r w:rsidR="00031459" w:rsidRPr="005303F7">
        <w:rPr>
          <w:rFonts w:ascii="Times New Roman" w:hAnsi="Times New Roman"/>
          <w:sz w:val="24"/>
          <w:lang w:val="sr-Cyrl-CS"/>
        </w:rPr>
        <w:t xml:space="preserve"> </w:t>
      </w:r>
      <w:r w:rsidR="00BF65FC" w:rsidRPr="005303F7">
        <w:rPr>
          <w:rFonts w:ascii="Times New Roman" w:hAnsi="Times New Roman"/>
          <w:sz w:val="24"/>
          <w:lang w:val="sr-Cyrl-CS"/>
        </w:rPr>
        <w:t>утицаји</w:t>
      </w:r>
      <w:r w:rsidR="00031459"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031459" w:rsidRPr="005303F7">
        <w:rPr>
          <w:rFonts w:ascii="Times New Roman" w:hAnsi="Times New Roman"/>
          <w:sz w:val="24"/>
          <w:lang w:val="sr-Cyrl-CS"/>
        </w:rPr>
        <w:t xml:space="preserve"> </w:t>
      </w:r>
      <w:r w:rsidR="00BF65FC" w:rsidRPr="005303F7">
        <w:rPr>
          <w:rFonts w:ascii="Times New Roman" w:hAnsi="Times New Roman"/>
          <w:sz w:val="24"/>
          <w:lang w:val="sr-Cyrl-CS"/>
        </w:rPr>
        <w:t>односе</w:t>
      </w:r>
      <w:r w:rsidR="00031459"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031459" w:rsidRPr="005303F7">
        <w:rPr>
          <w:rFonts w:ascii="Times New Roman" w:hAnsi="Times New Roman"/>
          <w:sz w:val="24"/>
          <w:lang w:val="sr-Cyrl-CS"/>
        </w:rPr>
        <w:t>:</w:t>
      </w:r>
      <w:r w:rsidR="0091779E" w:rsidRPr="005303F7">
        <w:rPr>
          <w:rFonts w:ascii="Times New Roman" w:hAnsi="Times New Roman"/>
          <w:sz w:val="24"/>
          <w:lang w:val="sr-Cyrl-CS"/>
        </w:rPr>
        <w:t xml:space="preserve"> </w:t>
      </w:r>
    </w:p>
    <w:p w14:paraId="63AB1592" w14:textId="45253DF8" w:rsidR="00C67735" w:rsidRPr="005303F7" w:rsidRDefault="00BF65FC" w:rsidP="00D93231">
      <w:pPr>
        <w:pStyle w:val="ListParagraph"/>
        <w:numPr>
          <w:ilvl w:val="0"/>
          <w:numId w:val="38"/>
        </w:numPr>
        <w:rPr>
          <w:rFonts w:ascii="Times New Roman" w:hAnsi="Times New Roman" w:cs="Times New Roman"/>
          <w:b/>
          <w:i/>
          <w:sz w:val="24"/>
          <w:lang w:val="sr-Cyrl-CS" w:eastAsia="en-US"/>
        </w:rPr>
      </w:pPr>
      <w:r w:rsidRPr="005303F7">
        <w:rPr>
          <w:rFonts w:ascii="Times New Roman" w:hAnsi="Times New Roman" w:cs="Times New Roman"/>
          <w:b/>
          <w:i/>
          <w:sz w:val="24"/>
          <w:lang w:val="sr-Cyrl-CS" w:eastAsia="en-US"/>
        </w:rPr>
        <w:t>Запосленост</w:t>
      </w:r>
    </w:p>
    <w:p w14:paraId="3567720F" w14:textId="5546471E" w:rsidR="00C67735" w:rsidRPr="005303F7" w:rsidRDefault="00DA7CD2" w:rsidP="00FE004C">
      <w:pPr>
        <w:tabs>
          <w:tab w:val="clear" w:pos="3825"/>
          <w:tab w:val="left" w:pos="720"/>
        </w:tabs>
        <w:rPr>
          <w:rFonts w:ascii="Times New Roman" w:hAnsi="Times New Roman"/>
          <w:sz w:val="24"/>
          <w:lang w:val="sr-Cyrl-CS" w:eastAsia="en-US"/>
        </w:rPr>
      </w:pPr>
      <w:r w:rsidRPr="005303F7">
        <w:rPr>
          <w:rFonts w:ascii="Times New Roman" w:hAnsi="Times New Roman"/>
          <w:sz w:val="24"/>
          <w:lang w:val="sr-Cyrl-CS" w:eastAsia="en-US"/>
        </w:rPr>
        <w:tab/>
      </w:r>
      <w:r w:rsidR="005224FE" w:rsidRPr="005303F7">
        <w:rPr>
          <w:rFonts w:ascii="Times New Roman" w:hAnsi="Times New Roman"/>
          <w:sz w:val="24"/>
          <w:lang w:val="sr-Cyrl-CS" w:eastAsia="en-US"/>
        </w:rPr>
        <w:t>Запосленост</w:t>
      </w:r>
      <w:r w:rsidR="00D63AE9" w:rsidRPr="005303F7">
        <w:rPr>
          <w:rFonts w:ascii="Times New Roman" w:hAnsi="Times New Roman"/>
          <w:sz w:val="24"/>
          <w:lang w:val="sr-Cyrl-CS" w:eastAsia="en-US"/>
        </w:rPr>
        <w:t xml:space="preserve"> у основном сценарију (укључујући</w:t>
      </w:r>
      <w:r w:rsidR="005224FE" w:rsidRPr="005303F7">
        <w:rPr>
          <w:rFonts w:ascii="Times New Roman" w:hAnsi="Times New Roman"/>
          <w:sz w:val="24"/>
          <w:lang w:val="sr-Cyrl-CS" w:eastAsia="en-US"/>
        </w:rPr>
        <w:t xml:space="preserve"> </w:t>
      </w:r>
      <w:r w:rsidR="00D63AE9" w:rsidRPr="005303F7">
        <w:rPr>
          <w:rFonts w:ascii="Times New Roman" w:hAnsi="Times New Roman"/>
          <w:sz w:val="24"/>
          <w:lang w:val="sr-Cyrl-CS" w:eastAsia="en-US"/>
        </w:rPr>
        <w:t>б</w:t>
      </w:r>
      <w:r w:rsidR="00BF65FC" w:rsidRPr="005303F7">
        <w:rPr>
          <w:rFonts w:ascii="Times New Roman" w:hAnsi="Times New Roman"/>
          <w:sz w:val="24"/>
          <w:lang w:val="sr-Cyrl-CS" w:eastAsia="en-US"/>
        </w:rPr>
        <w:t>рој</w:t>
      </w:r>
      <w:r w:rsidR="00031459"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створених</w:t>
      </w:r>
      <w:r w:rsidR="00BB73D3"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и</w:t>
      </w:r>
      <w:r w:rsidR="00452A72" w:rsidRPr="005303F7">
        <w:rPr>
          <w:rFonts w:ascii="Times New Roman" w:hAnsi="Times New Roman"/>
          <w:sz w:val="24"/>
          <w:lang w:val="sr-Cyrl-CS" w:eastAsia="en-US"/>
        </w:rPr>
        <w:t xml:space="preserve"> </w:t>
      </w:r>
      <w:r w:rsidR="00D63AE9" w:rsidRPr="005303F7">
        <w:rPr>
          <w:rFonts w:ascii="Times New Roman" w:hAnsi="Times New Roman"/>
          <w:sz w:val="24"/>
          <w:lang w:val="sr-Cyrl-CS" w:eastAsia="en-US"/>
        </w:rPr>
        <w:t xml:space="preserve">изгубљених </w:t>
      </w:r>
      <w:r w:rsidR="00BF65FC" w:rsidRPr="005303F7">
        <w:rPr>
          <w:rFonts w:ascii="Times New Roman" w:hAnsi="Times New Roman"/>
          <w:sz w:val="24"/>
          <w:lang w:val="sr-Cyrl-CS" w:eastAsia="en-US"/>
        </w:rPr>
        <w:t>радних</w:t>
      </w:r>
      <w:r w:rsidR="00452A7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места</w:t>
      </w:r>
      <w:r w:rsidR="00C76AA1"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је</w:t>
      </w:r>
      <w:r w:rsidR="00C67735" w:rsidRPr="005303F7">
        <w:rPr>
          <w:rFonts w:ascii="Times New Roman" w:hAnsi="Times New Roman"/>
          <w:sz w:val="24"/>
          <w:lang w:val="sr-Cyrl-CS" w:eastAsia="en-US"/>
        </w:rPr>
        <w:t>: 2</w:t>
      </w:r>
      <w:r w:rsidR="00963ED5" w:rsidRPr="005303F7">
        <w:rPr>
          <w:rFonts w:ascii="Times New Roman" w:hAnsi="Times New Roman"/>
          <w:sz w:val="24"/>
          <w:lang w:val="sr-Cyrl-CS" w:eastAsia="en-US"/>
        </w:rPr>
        <w:t xml:space="preserve"> </w:t>
      </w:r>
      <w:r w:rsidR="00C67735" w:rsidRPr="005303F7">
        <w:rPr>
          <w:rFonts w:ascii="Times New Roman" w:hAnsi="Times New Roman"/>
          <w:sz w:val="24"/>
          <w:lang w:val="sr-Cyrl-CS" w:eastAsia="en-US"/>
        </w:rPr>
        <w:t>462</w:t>
      </w:r>
      <w:r w:rsidR="00D63AE9" w:rsidRPr="005303F7">
        <w:rPr>
          <w:rFonts w:ascii="Times New Roman" w:hAnsi="Times New Roman"/>
          <w:sz w:val="24"/>
          <w:lang w:val="sr-Cyrl-CS" w:eastAsia="en-US"/>
        </w:rPr>
        <w:t xml:space="preserve"> мил</w:t>
      </w:r>
      <w:r w:rsidR="00F80E11" w:rsidRPr="005303F7">
        <w:rPr>
          <w:rFonts w:ascii="Times New Roman" w:hAnsi="Times New Roman"/>
          <w:sz w:val="24"/>
          <w:lang w:val="sr-Cyrl-CS" w:eastAsia="en-US"/>
        </w:rPr>
        <w:t>иона</w:t>
      </w:r>
      <w:r w:rsidR="00C67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C67735" w:rsidRPr="005303F7">
        <w:rPr>
          <w:rFonts w:ascii="Times New Roman" w:hAnsi="Times New Roman"/>
          <w:sz w:val="24"/>
          <w:lang w:val="sr-Cyrl-CS" w:eastAsia="en-US"/>
        </w:rPr>
        <w:t xml:space="preserve"> 2020, 2</w:t>
      </w:r>
      <w:r w:rsidR="00963ED5" w:rsidRPr="005303F7">
        <w:rPr>
          <w:rFonts w:ascii="Times New Roman" w:hAnsi="Times New Roman"/>
          <w:sz w:val="24"/>
          <w:lang w:val="sr-Cyrl-CS" w:eastAsia="en-US"/>
        </w:rPr>
        <w:t xml:space="preserve"> </w:t>
      </w:r>
      <w:r w:rsidR="00C67735" w:rsidRPr="005303F7">
        <w:rPr>
          <w:rFonts w:ascii="Times New Roman" w:hAnsi="Times New Roman"/>
          <w:sz w:val="24"/>
          <w:lang w:val="sr-Cyrl-CS" w:eastAsia="en-US"/>
        </w:rPr>
        <w:t>473</w:t>
      </w:r>
      <w:r w:rsidR="00D63AE9" w:rsidRPr="005303F7">
        <w:rPr>
          <w:rFonts w:ascii="Times New Roman" w:hAnsi="Times New Roman"/>
          <w:sz w:val="24"/>
          <w:lang w:val="sr-Cyrl-CS" w:eastAsia="en-US"/>
        </w:rPr>
        <w:t xml:space="preserve"> мил</w:t>
      </w:r>
      <w:r w:rsidR="00786EDD" w:rsidRPr="005303F7">
        <w:rPr>
          <w:rFonts w:ascii="Times New Roman" w:hAnsi="Times New Roman"/>
          <w:sz w:val="24"/>
          <w:lang w:val="sr-Cyrl-CS" w:eastAsia="en-US"/>
        </w:rPr>
        <w:t>иона</w:t>
      </w:r>
      <w:r w:rsidR="00C67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C67735" w:rsidRPr="005303F7">
        <w:rPr>
          <w:rFonts w:ascii="Times New Roman" w:hAnsi="Times New Roman"/>
          <w:sz w:val="24"/>
          <w:lang w:val="sr-Cyrl-CS" w:eastAsia="en-US"/>
        </w:rPr>
        <w:t xml:space="preserve"> 2030</w:t>
      </w:r>
      <w:r w:rsidR="002906F1" w:rsidRPr="005303F7">
        <w:rPr>
          <w:rFonts w:ascii="Times New Roman" w:hAnsi="Times New Roman"/>
          <w:sz w:val="24"/>
          <w:lang w:val="sr-Cyrl-CS" w:eastAsia="en-US"/>
        </w:rPr>
        <w:t>.</w:t>
      </w:r>
      <w:r w:rsidR="00C67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и</w:t>
      </w:r>
      <w:r w:rsidR="00C67735" w:rsidRPr="005303F7">
        <w:rPr>
          <w:rFonts w:ascii="Times New Roman" w:hAnsi="Times New Roman"/>
          <w:sz w:val="24"/>
          <w:lang w:val="sr-Cyrl-CS" w:eastAsia="en-US"/>
        </w:rPr>
        <w:t xml:space="preserve"> 2</w:t>
      </w:r>
      <w:r w:rsidR="00963ED5" w:rsidRPr="005303F7">
        <w:rPr>
          <w:rFonts w:ascii="Times New Roman" w:hAnsi="Times New Roman"/>
          <w:sz w:val="24"/>
          <w:lang w:val="sr-Cyrl-CS" w:eastAsia="en-US"/>
        </w:rPr>
        <w:t xml:space="preserve"> </w:t>
      </w:r>
      <w:r w:rsidR="00C67735" w:rsidRPr="005303F7">
        <w:rPr>
          <w:rFonts w:ascii="Times New Roman" w:hAnsi="Times New Roman"/>
          <w:sz w:val="24"/>
          <w:lang w:val="sr-Cyrl-CS" w:eastAsia="en-US"/>
        </w:rPr>
        <w:t>438</w:t>
      </w:r>
      <w:r w:rsidR="00D63AE9" w:rsidRPr="005303F7">
        <w:rPr>
          <w:rFonts w:ascii="Times New Roman" w:hAnsi="Times New Roman"/>
          <w:sz w:val="24"/>
          <w:lang w:val="sr-Cyrl-CS" w:eastAsia="en-US"/>
        </w:rPr>
        <w:t xml:space="preserve"> </w:t>
      </w:r>
      <w:r w:rsidR="0039680D" w:rsidRPr="005303F7">
        <w:rPr>
          <w:rFonts w:ascii="Times New Roman" w:hAnsi="Times New Roman"/>
          <w:sz w:val="24"/>
          <w:lang w:val="sr-Cyrl-CS" w:eastAsia="en-US"/>
        </w:rPr>
        <w:t>милиона</w:t>
      </w:r>
      <w:r w:rsidR="00C67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C67735" w:rsidRPr="005303F7">
        <w:rPr>
          <w:rFonts w:ascii="Times New Roman" w:hAnsi="Times New Roman"/>
          <w:sz w:val="24"/>
          <w:lang w:val="sr-Cyrl-CS" w:eastAsia="en-US"/>
        </w:rPr>
        <w:t xml:space="preserve"> 2050</w:t>
      </w:r>
      <w:r w:rsidR="002906F1"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години</w:t>
      </w:r>
      <w:r w:rsidR="00DA013D" w:rsidRPr="005303F7">
        <w:rPr>
          <w:rFonts w:ascii="Times New Roman" w:hAnsi="Times New Roman"/>
          <w:sz w:val="24"/>
          <w:lang w:val="sr-Cyrl-CS" w:eastAsia="en-US"/>
        </w:rPr>
        <w:t xml:space="preserve"> </w:t>
      </w:r>
      <w:r w:rsidR="00963ED5" w:rsidRPr="005303F7">
        <w:rPr>
          <w:rFonts w:ascii="Times New Roman" w:hAnsi="Times New Roman"/>
          <w:sz w:val="24"/>
          <w:lang w:val="sr-Cyrl-CS" w:eastAsia="en-US"/>
        </w:rPr>
        <w:t>(</w:t>
      </w:r>
      <w:r w:rsidR="00C76AA1" w:rsidRPr="005303F7">
        <w:rPr>
          <w:rFonts w:ascii="Times New Roman" w:hAnsi="Times New Roman"/>
          <w:sz w:val="24"/>
          <w:lang w:val="sr-Cyrl-CS" w:eastAsia="en-US"/>
        </w:rPr>
        <w:fldChar w:fldCharType="begin"/>
      </w:r>
      <w:r w:rsidR="00C76AA1" w:rsidRPr="005303F7">
        <w:rPr>
          <w:rFonts w:ascii="Times New Roman" w:hAnsi="Times New Roman"/>
          <w:sz w:val="24"/>
          <w:lang w:val="sr-Cyrl-CS" w:eastAsia="en-US"/>
        </w:rPr>
        <w:instrText xml:space="preserve"> REF _Ref11771362 \h </w:instrText>
      </w:r>
      <w:r w:rsidR="00BA5590" w:rsidRPr="005303F7">
        <w:rPr>
          <w:rFonts w:ascii="Times New Roman" w:hAnsi="Times New Roman"/>
          <w:sz w:val="24"/>
          <w:lang w:val="sr-Cyrl-CS" w:eastAsia="en-US"/>
        </w:rPr>
        <w:instrText xml:space="preserve"> \* MERGEFORMAT </w:instrText>
      </w:r>
      <w:r w:rsidR="00C76AA1" w:rsidRPr="005303F7">
        <w:rPr>
          <w:rFonts w:ascii="Times New Roman" w:hAnsi="Times New Roman"/>
          <w:sz w:val="24"/>
          <w:lang w:val="sr-Cyrl-CS" w:eastAsia="en-US"/>
        </w:rPr>
      </w:r>
      <w:r w:rsidR="00C76AA1" w:rsidRPr="005303F7">
        <w:rPr>
          <w:rFonts w:ascii="Times New Roman" w:hAnsi="Times New Roman"/>
          <w:sz w:val="24"/>
          <w:lang w:val="sr-Cyrl-CS" w:eastAsia="en-US"/>
        </w:rPr>
        <w:fldChar w:fldCharType="separate"/>
      </w:r>
      <w:r w:rsidR="00DA2595" w:rsidRPr="005303F7">
        <w:rPr>
          <w:rFonts w:ascii="Times New Roman" w:hAnsi="Times New Roman"/>
          <w:sz w:val="24"/>
          <w:lang w:val="sr-Cyrl-CS"/>
        </w:rPr>
        <w:t xml:space="preserve">Табела </w:t>
      </w:r>
      <w:r w:rsidR="00DA2595" w:rsidRPr="005303F7">
        <w:rPr>
          <w:rFonts w:ascii="Times New Roman" w:hAnsi="Times New Roman"/>
          <w:noProof/>
          <w:sz w:val="24"/>
          <w:lang w:val="sr-Cyrl-CS"/>
        </w:rPr>
        <w:t>5</w:t>
      </w:r>
      <w:r w:rsidR="00C76AA1" w:rsidRPr="005303F7">
        <w:rPr>
          <w:rFonts w:ascii="Times New Roman" w:hAnsi="Times New Roman"/>
          <w:sz w:val="24"/>
          <w:lang w:val="sr-Cyrl-CS" w:eastAsia="en-US"/>
        </w:rPr>
        <w:fldChar w:fldCharType="end"/>
      </w:r>
      <w:r w:rsidR="00963ED5" w:rsidRPr="005303F7">
        <w:rPr>
          <w:rFonts w:ascii="Times New Roman" w:hAnsi="Times New Roman"/>
          <w:sz w:val="24"/>
          <w:lang w:val="sr-Cyrl-CS" w:eastAsia="en-US"/>
        </w:rPr>
        <w:t xml:space="preserve">). </w:t>
      </w:r>
    </w:p>
    <w:p w14:paraId="5C8F7221" w14:textId="3921D29F" w:rsidR="00C67735" w:rsidRPr="005303F7" w:rsidRDefault="00DA7CD2" w:rsidP="00C67735">
      <w:pPr>
        <w:rPr>
          <w:rFonts w:ascii="Times New Roman" w:hAnsi="Times New Roman"/>
          <w:sz w:val="24"/>
          <w:lang w:val="sr-Cyrl-CS" w:eastAsia="en-US"/>
        </w:rPr>
      </w:pPr>
      <w:r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Утицај</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примене</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мера</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је</w:t>
      </w:r>
      <w:r w:rsidR="008D0735" w:rsidRPr="005303F7">
        <w:rPr>
          <w:rFonts w:ascii="Times New Roman" w:hAnsi="Times New Roman"/>
          <w:sz w:val="24"/>
          <w:lang w:val="sr-Cyrl-CS" w:eastAsia="en-US"/>
        </w:rPr>
        <w:t xml:space="preserve"> </w:t>
      </w:r>
      <w:r w:rsidR="0035307E" w:rsidRPr="005303F7">
        <w:rPr>
          <w:rFonts w:ascii="Times New Roman" w:hAnsi="Times New Roman"/>
          <w:sz w:val="24"/>
          <w:lang w:val="sr-Cyrl-CS" w:eastAsia="en-US"/>
        </w:rPr>
        <w:t>ограничен</w:t>
      </w:r>
      <w:r w:rsidR="008D0735" w:rsidRPr="005303F7">
        <w:rPr>
          <w:rFonts w:ascii="Times New Roman" w:hAnsi="Times New Roman"/>
          <w:sz w:val="24"/>
          <w:lang w:val="sr-Cyrl-CS" w:eastAsia="en-US"/>
        </w:rPr>
        <w:t>.</w:t>
      </w:r>
      <w:r w:rsidR="00C67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8D6E7F" w:rsidRPr="005303F7">
        <w:rPr>
          <w:rFonts w:ascii="Times New Roman" w:hAnsi="Times New Roman"/>
          <w:sz w:val="24"/>
          <w:lang w:val="sr-Cyrl-CS" w:eastAsia="en-US"/>
        </w:rPr>
        <w:t xml:space="preserve"> 2030</w:t>
      </w:r>
      <w:r w:rsidR="00BA709B"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години</w:t>
      </w:r>
      <w:r w:rsidR="00BA709B"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се</w:t>
      </w:r>
      <w:r w:rsidR="00C67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очекује</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негативни</w:t>
      </w:r>
      <w:r w:rsidR="0087310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утицај</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од</w:t>
      </w:r>
      <w:r w:rsidR="00C67735" w:rsidRPr="005303F7">
        <w:rPr>
          <w:rFonts w:ascii="Times New Roman" w:hAnsi="Times New Roman"/>
          <w:sz w:val="24"/>
          <w:lang w:val="sr-Cyrl-CS" w:eastAsia="en-US"/>
        </w:rPr>
        <w:t xml:space="preserve"> 1.4% </w:t>
      </w:r>
      <w:r w:rsidR="00BF65FC" w:rsidRPr="005303F7">
        <w:rPr>
          <w:rFonts w:ascii="Times New Roman" w:hAnsi="Times New Roman"/>
          <w:sz w:val="24"/>
          <w:lang w:val="sr-Cyrl-CS" w:eastAsia="en-US"/>
        </w:rPr>
        <w:t>н</w:t>
      </w:r>
      <w:r w:rsidR="008D0735" w:rsidRPr="005303F7">
        <w:rPr>
          <w:rFonts w:ascii="Times New Roman" w:hAnsi="Times New Roman"/>
          <w:sz w:val="24"/>
          <w:lang w:val="sr-Cyrl-CS" w:eastAsia="en-US"/>
        </w:rPr>
        <w:t xml:space="preserve">а </w:t>
      </w:r>
      <w:r w:rsidR="00BF65FC" w:rsidRPr="005303F7">
        <w:rPr>
          <w:rFonts w:ascii="Times New Roman" w:hAnsi="Times New Roman"/>
          <w:sz w:val="24"/>
          <w:lang w:val="sr-Cyrl-CS" w:eastAsia="en-US"/>
        </w:rPr>
        <w:t>број</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нето</w:t>
      </w:r>
      <w:r w:rsidR="00BA709B"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радних</w:t>
      </w:r>
      <w:r w:rsidR="00BA709B"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места</w:t>
      </w:r>
      <w:r w:rsidR="00A246A8"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то</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значи</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да</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ће</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C67735" w:rsidRPr="005303F7">
        <w:rPr>
          <w:rFonts w:ascii="Times New Roman" w:hAnsi="Times New Roman"/>
          <w:sz w:val="24"/>
          <w:lang w:val="sr-Cyrl-CS" w:eastAsia="en-US"/>
        </w:rPr>
        <w:t xml:space="preserve"> 2030</w:t>
      </w:r>
      <w:r w:rsidR="008D0735" w:rsidRPr="005303F7">
        <w:rPr>
          <w:rFonts w:ascii="Times New Roman" w:hAnsi="Times New Roman"/>
          <w:sz w:val="24"/>
          <w:lang w:val="sr-Cyrl-CS" w:eastAsia="en-US"/>
        </w:rPr>
        <w:t>.</w:t>
      </w:r>
      <w:r w:rsidR="00A177D9" w:rsidRPr="005303F7">
        <w:rPr>
          <w:rFonts w:ascii="Times New Roman" w:hAnsi="Times New Roman"/>
          <w:sz w:val="24"/>
          <w:lang w:val="sr-Cyrl-CS" w:eastAsia="en-US"/>
        </w:rPr>
        <w:t xml:space="preserve"> години</w:t>
      </w:r>
      <w:r w:rsidR="00C67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српска</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економија</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произвести</w:t>
      </w:r>
      <w:r w:rsidR="00C67735" w:rsidRPr="005303F7">
        <w:rPr>
          <w:rFonts w:ascii="Times New Roman" w:hAnsi="Times New Roman"/>
          <w:sz w:val="24"/>
          <w:lang w:val="sr-Cyrl-CS" w:eastAsia="en-US"/>
        </w:rPr>
        <w:t xml:space="preserve"> 2</w:t>
      </w:r>
      <w:r w:rsidR="00FA21E7" w:rsidRPr="005303F7">
        <w:rPr>
          <w:rFonts w:ascii="Times New Roman" w:hAnsi="Times New Roman"/>
          <w:sz w:val="24"/>
          <w:lang w:val="sr-Cyrl-CS" w:eastAsia="en-US"/>
        </w:rPr>
        <w:t xml:space="preserve"> </w:t>
      </w:r>
      <w:r w:rsidR="00C67735" w:rsidRPr="005303F7">
        <w:rPr>
          <w:rFonts w:ascii="Times New Roman" w:hAnsi="Times New Roman"/>
          <w:sz w:val="24"/>
          <w:lang w:val="sr-Cyrl-CS" w:eastAsia="en-US"/>
        </w:rPr>
        <w:t xml:space="preserve">438 </w:t>
      </w:r>
      <w:r w:rsidR="0039680D" w:rsidRPr="005303F7">
        <w:rPr>
          <w:rFonts w:ascii="Times New Roman" w:hAnsi="Times New Roman"/>
          <w:sz w:val="24"/>
          <w:lang w:val="sr-Cyrl-CS" w:eastAsia="en-US"/>
        </w:rPr>
        <w:t>милиона</w:t>
      </w:r>
      <w:r w:rsidR="007D71A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нето</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радних</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места</w:t>
      </w:r>
      <w:r w:rsidR="00C67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поређењу</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са</w:t>
      </w:r>
      <w:r w:rsidR="00C67735" w:rsidRPr="005303F7">
        <w:rPr>
          <w:rFonts w:ascii="Times New Roman" w:hAnsi="Times New Roman"/>
          <w:sz w:val="24"/>
          <w:lang w:val="sr-Cyrl-CS" w:eastAsia="en-US"/>
        </w:rPr>
        <w:t xml:space="preserve"> 2</w:t>
      </w:r>
      <w:r w:rsidR="00FA21E7" w:rsidRPr="005303F7">
        <w:rPr>
          <w:rFonts w:ascii="Times New Roman" w:hAnsi="Times New Roman"/>
          <w:sz w:val="24"/>
          <w:lang w:val="sr-Cyrl-CS" w:eastAsia="en-US"/>
        </w:rPr>
        <w:t xml:space="preserve"> </w:t>
      </w:r>
      <w:r w:rsidR="00C67735" w:rsidRPr="005303F7">
        <w:rPr>
          <w:rFonts w:ascii="Times New Roman" w:hAnsi="Times New Roman"/>
          <w:sz w:val="24"/>
          <w:lang w:val="sr-Cyrl-CS" w:eastAsia="en-US"/>
        </w:rPr>
        <w:t>473</w:t>
      </w:r>
      <w:r w:rsidR="007D71AA" w:rsidRPr="005303F7">
        <w:rPr>
          <w:rFonts w:ascii="Times New Roman" w:hAnsi="Times New Roman"/>
          <w:sz w:val="24"/>
          <w:lang w:val="sr-Cyrl-CS" w:eastAsia="en-US"/>
        </w:rPr>
        <w:t xml:space="preserve"> </w:t>
      </w:r>
      <w:r w:rsidR="0039680D" w:rsidRPr="005303F7">
        <w:rPr>
          <w:rFonts w:ascii="Times New Roman" w:hAnsi="Times New Roman"/>
          <w:sz w:val="24"/>
          <w:lang w:val="sr-Cyrl-CS" w:eastAsia="en-US"/>
        </w:rPr>
        <w:t>милиона</w:t>
      </w:r>
      <w:r w:rsidR="00C67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C67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Б</w:t>
      </w:r>
      <w:r w:rsidR="00C413D4" w:rsidRPr="005303F7">
        <w:rPr>
          <w:rFonts w:ascii="Times New Roman" w:hAnsi="Times New Roman"/>
          <w:sz w:val="24"/>
          <w:lang w:val="sr-Cyrl-CS" w:eastAsia="en-US"/>
        </w:rPr>
        <w:t xml:space="preserve">2 </w:t>
      </w:r>
      <w:r w:rsidR="00BF65FC" w:rsidRPr="005303F7">
        <w:rPr>
          <w:rFonts w:ascii="Times New Roman" w:hAnsi="Times New Roman"/>
          <w:sz w:val="24"/>
          <w:lang w:val="sr-Cyrl-CS" w:eastAsia="en-US"/>
        </w:rPr>
        <w:t>основном</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сценарију</w:t>
      </w:r>
      <w:r w:rsidR="00C67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За</w:t>
      </w:r>
      <w:r w:rsidR="00C67735" w:rsidRPr="005303F7">
        <w:rPr>
          <w:rFonts w:ascii="Times New Roman" w:hAnsi="Times New Roman"/>
          <w:sz w:val="24"/>
          <w:lang w:val="sr-Cyrl-CS" w:eastAsia="en-US"/>
        </w:rPr>
        <w:t xml:space="preserve"> 2050</w:t>
      </w:r>
      <w:r w:rsidR="008D0735" w:rsidRPr="005303F7">
        <w:rPr>
          <w:rFonts w:ascii="Times New Roman" w:hAnsi="Times New Roman"/>
          <w:sz w:val="24"/>
          <w:lang w:val="sr-Cyrl-CS" w:eastAsia="en-US"/>
        </w:rPr>
        <w:t>.</w:t>
      </w:r>
      <w:r w:rsidR="00A93313"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годину</w:t>
      </w:r>
      <w:r w:rsidR="00C67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негативни</w:t>
      </w:r>
      <w:r w:rsidR="0087310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утицај</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на</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број</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нето</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креираних</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радних</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места</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је</w:t>
      </w:r>
      <w:r w:rsidR="00C67735" w:rsidRPr="005303F7">
        <w:rPr>
          <w:rFonts w:ascii="Times New Roman" w:hAnsi="Times New Roman"/>
          <w:sz w:val="24"/>
          <w:lang w:val="sr-Cyrl-CS" w:eastAsia="en-US"/>
        </w:rPr>
        <w:t xml:space="preserve"> 2% </w:t>
      </w:r>
      <w:r w:rsidR="00BF65FC" w:rsidRPr="005303F7">
        <w:rPr>
          <w:rFonts w:ascii="Times New Roman" w:hAnsi="Times New Roman"/>
          <w:sz w:val="24"/>
          <w:lang w:val="sr-Cyrl-CS" w:eastAsia="en-US"/>
        </w:rPr>
        <w:t>у</w:t>
      </w:r>
      <w:r w:rsidR="00C67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сценарију</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w:t>
      </w:r>
      <w:r w:rsidR="008D0735" w:rsidRPr="005303F7">
        <w:rPr>
          <w:rFonts w:ascii="Times New Roman" w:hAnsi="Times New Roman"/>
          <w:sz w:val="24"/>
          <w:lang w:val="sr-Cyrl-CS" w:eastAsia="en-US"/>
        </w:rPr>
        <w:t>2</w:t>
      </w:r>
      <w:r w:rsidR="00C67735" w:rsidRPr="005303F7">
        <w:rPr>
          <w:rFonts w:ascii="Times New Roman" w:hAnsi="Times New Roman"/>
          <w:sz w:val="24"/>
          <w:lang w:val="sr-Cyrl-CS" w:eastAsia="en-US"/>
        </w:rPr>
        <w:t xml:space="preserve">, 1.7% </w:t>
      </w:r>
      <w:r w:rsidR="00BF65FC" w:rsidRPr="005303F7">
        <w:rPr>
          <w:rFonts w:ascii="Times New Roman" w:hAnsi="Times New Roman"/>
          <w:sz w:val="24"/>
          <w:lang w:val="sr-Cyrl-CS" w:eastAsia="en-US"/>
        </w:rPr>
        <w:t>у</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сценарију</w:t>
      </w:r>
      <w:r w:rsidR="00C67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w:t>
      </w:r>
      <w:r w:rsidR="00C67735" w:rsidRPr="005303F7">
        <w:rPr>
          <w:rFonts w:ascii="Times New Roman" w:hAnsi="Times New Roman"/>
          <w:sz w:val="24"/>
          <w:lang w:val="sr-Cyrl-CS" w:eastAsia="en-US"/>
        </w:rPr>
        <w:t xml:space="preserve">3 </w:t>
      </w:r>
      <w:r w:rsidR="00BF65FC" w:rsidRPr="005303F7">
        <w:rPr>
          <w:rFonts w:ascii="Times New Roman" w:hAnsi="Times New Roman"/>
          <w:sz w:val="24"/>
          <w:lang w:val="sr-Cyrl-CS" w:eastAsia="en-US"/>
        </w:rPr>
        <w:t>и</w:t>
      </w:r>
      <w:r w:rsidR="00C67735" w:rsidRPr="005303F7">
        <w:rPr>
          <w:rFonts w:ascii="Times New Roman" w:hAnsi="Times New Roman"/>
          <w:sz w:val="24"/>
          <w:lang w:val="sr-Cyrl-CS" w:eastAsia="en-US"/>
        </w:rPr>
        <w:t xml:space="preserve"> 2.5% </w:t>
      </w:r>
      <w:r w:rsidR="00BF65FC" w:rsidRPr="005303F7">
        <w:rPr>
          <w:rFonts w:ascii="Times New Roman" w:hAnsi="Times New Roman"/>
          <w:sz w:val="24"/>
          <w:lang w:val="sr-Cyrl-CS" w:eastAsia="en-US"/>
        </w:rPr>
        <w:t>у</w:t>
      </w:r>
      <w:r w:rsidR="008D0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сценарију</w:t>
      </w:r>
      <w:r w:rsidR="00A93313"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w:t>
      </w:r>
      <w:r w:rsidR="008D0735" w:rsidRPr="005303F7">
        <w:rPr>
          <w:rFonts w:ascii="Times New Roman" w:hAnsi="Times New Roman"/>
          <w:sz w:val="24"/>
          <w:lang w:val="sr-Cyrl-CS" w:eastAsia="en-US"/>
        </w:rPr>
        <w:t>4</w:t>
      </w:r>
      <w:r w:rsidR="00C67735" w:rsidRPr="005303F7">
        <w:rPr>
          <w:rFonts w:ascii="Times New Roman" w:hAnsi="Times New Roman"/>
          <w:sz w:val="24"/>
          <w:lang w:val="sr-Cyrl-CS" w:eastAsia="en-US"/>
        </w:rPr>
        <w:t xml:space="preserve">. </w:t>
      </w:r>
    </w:p>
    <w:p w14:paraId="061A3D2D" w14:textId="5EE617E7" w:rsidR="00C67735" w:rsidRPr="005303F7" w:rsidRDefault="00DA7CD2" w:rsidP="00BB25C9">
      <w:pPr>
        <w:spacing w:before="240"/>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Међутим</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постоји</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могу</w:t>
      </w:r>
      <w:r w:rsidR="00016298" w:rsidRPr="005303F7">
        <w:rPr>
          <w:rFonts w:ascii="Times New Roman" w:hAnsi="Times New Roman"/>
          <w:sz w:val="24"/>
          <w:lang w:val="sr-Cyrl-CS"/>
        </w:rPr>
        <w:t>ћ</w:t>
      </w:r>
      <w:r w:rsidR="00BF65FC" w:rsidRPr="005303F7">
        <w:rPr>
          <w:rFonts w:ascii="Times New Roman" w:hAnsi="Times New Roman"/>
          <w:sz w:val="24"/>
          <w:lang w:val="sr-Cyrl-CS"/>
        </w:rPr>
        <w:t>ност</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чак</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да</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смање</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овак</w:t>
      </w:r>
      <w:r w:rsidR="00416E04" w:rsidRPr="005303F7">
        <w:rPr>
          <w:rFonts w:ascii="Times New Roman" w:hAnsi="Times New Roman"/>
          <w:sz w:val="24"/>
          <w:lang w:val="sr-Cyrl-CS"/>
        </w:rPr>
        <w:t>ви</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утицаји</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запосленост</w:t>
      </w:r>
      <w:r w:rsidR="00C67735" w:rsidRPr="005303F7">
        <w:rPr>
          <w:rStyle w:val="FootnoteReference"/>
          <w:rFonts w:ascii="Times New Roman" w:hAnsi="Times New Roman"/>
          <w:sz w:val="18"/>
          <w:szCs w:val="22"/>
          <w:lang w:val="sr-Cyrl-CS"/>
        </w:rPr>
        <w:footnoteReference w:id="45"/>
      </w:r>
      <w:r w:rsidR="00C67735" w:rsidRPr="005303F7">
        <w:rPr>
          <w:rFonts w:ascii="Times New Roman" w:hAnsi="Times New Roman"/>
          <w:sz w:val="24"/>
          <w:lang w:val="sr-Cyrl-CS"/>
        </w:rPr>
        <w:t xml:space="preserve">, </w:t>
      </w:r>
      <w:r w:rsidR="00BF65FC" w:rsidRPr="005303F7">
        <w:rPr>
          <w:rFonts w:ascii="Times New Roman" w:hAnsi="Times New Roman"/>
          <w:sz w:val="24"/>
          <w:lang w:val="sr-Cyrl-CS"/>
        </w:rPr>
        <w:t>ако</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инвестиције</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потребне</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спровођење</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ове</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стратегије</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финансирају</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путем</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кредита</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док</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приходи</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од</w:t>
      </w:r>
      <w:r w:rsidR="00831D70" w:rsidRPr="005303F7">
        <w:rPr>
          <w:rFonts w:ascii="Times New Roman" w:hAnsi="Times New Roman"/>
          <w:sz w:val="24"/>
          <w:lang w:val="sr-Cyrl-CS"/>
        </w:rPr>
        <w:t xml:space="preserve"> </w:t>
      </w:r>
      <w:r w:rsidR="00BF65FC" w:rsidRPr="005303F7">
        <w:rPr>
          <w:rFonts w:ascii="Times New Roman" w:hAnsi="Times New Roman"/>
          <w:sz w:val="24"/>
          <w:lang w:val="sr-Cyrl-CS"/>
        </w:rPr>
        <w:t>аукција</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из</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ЕТS</w:t>
      </w:r>
      <w:r w:rsidR="00831D70" w:rsidRPr="005303F7">
        <w:rPr>
          <w:rFonts w:ascii="Times New Roman" w:hAnsi="Times New Roman"/>
          <w:sz w:val="24"/>
          <w:lang w:val="sr-Cyrl-CS"/>
        </w:rPr>
        <w:t>-</w:t>
      </w:r>
      <w:r w:rsidR="00BF65FC" w:rsidRPr="005303F7">
        <w:rPr>
          <w:rFonts w:ascii="Times New Roman" w:hAnsi="Times New Roman"/>
          <w:sz w:val="24"/>
          <w:lang w:val="sr-Cyrl-CS"/>
        </w:rPr>
        <w:t>а</w:t>
      </w:r>
      <w:r w:rsidR="00A26747" w:rsidRPr="005303F7">
        <w:rPr>
          <w:rFonts w:ascii="Times New Roman" w:hAnsi="Times New Roman"/>
          <w:sz w:val="24"/>
          <w:lang w:val="sr-Cyrl-CS"/>
        </w:rPr>
        <w:t xml:space="preserve"> </w:t>
      </w:r>
      <w:r w:rsidR="00BB25C9" w:rsidRPr="005303F7">
        <w:rPr>
          <w:rFonts w:ascii="Times New Roman" w:hAnsi="Times New Roman"/>
          <w:sz w:val="24"/>
          <w:lang w:val="sr-Cyrl-CS"/>
        </w:rPr>
        <w:t xml:space="preserve">или других инструмената за одређивање цена угљеника </w:t>
      </w:r>
      <w:r w:rsidR="00BF65FC" w:rsidRPr="005303F7">
        <w:rPr>
          <w:rFonts w:ascii="Times New Roman" w:hAnsi="Times New Roman"/>
          <w:sz w:val="24"/>
          <w:lang w:val="sr-Cyrl-CS"/>
        </w:rPr>
        <w:t>користе</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подршку</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имплементацији</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мера</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борбу</w:t>
      </w:r>
      <w:r w:rsidR="00831D70" w:rsidRPr="005303F7">
        <w:rPr>
          <w:rFonts w:ascii="Times New Roman" w:hAnsi="Times New Roman"/>
          <w:sz w:val="24"/>
          <w:lang w:val="sr-Cyrl-CS"/>
        </w:rPr>
        <w:t xml:space="preserve"> </w:t>
      </w:r>
      <w:r w:rsidR="00BF65FC" w:rsidRPr="005303F7">
        <w:rPr>
          <w:rFonts w:ascii="Times New Roman" w:hAnsi="Times New Roman"/>
          <w:sz w:val="24"/>
          <w:lang w:val="sr-Cyrl-CS"/>
        </w:rPr>
        <w:t>против</w:t>
      </w:r>
      <w:r w:rsidR="00831D70" w:rsidRPr="005303F7">
        <w:rPr>
          <w:rFonts w:ascii="Times New Roman" w:hAnsi="Times New Roman"/>
          <w:sz w:val="24"/>
          <w:lang w:val="sr-Cyrl-CS"/>
        </w:rPr>
        <w:t xml:space="preserve"> </w:t>
      </w:r>
      <w:r w:rsidR="00BF65FC" w:rsidRPr="005303F7">
        <w:rPr>
          <w:rFonts w:ascii="Times New Roman" w:hAnsi="Times New Roman"/>
          <w:sz w:val="24"/>
          <w:lang w:val="sr-Cyrl-CS"/>
        </w:rPr>
        <w:t>климатских</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промена</w:t>
      </w:r>
      <w:r w:rsidR="00C67735" w:rsidRPr="005303F7">
        <w:rPr>
          <w:rFonts w:ascii="Times New Roman" w:hAnsi="Times New Roman"/>
          <w:sz w:val="24"/>
          <w:lang w:val="sr-Cyrl-CS"/>
        </w:rPr>
        <w:t xml:space="preserve"> (</w:t>
      </w:r>
      <w:r w:rsidR="00BB25C9" w:rsidRPr="005303F7">
        <w:rPr>
          <w:rFonts w:ascii="Times New Roman" w:hAnsi="Times New Roman"/>
          <w:sz w:val="24"/>
          <w:lang w:val="sr-Cyrl-CS"/>
        </w:rPr>
        <w:t xml:space="preserve">најмање </w:t>
      </w:r>
      <w:r w:rsidR="00C67735" w:rsidRPr="005303F7">
        <w:rPr>
          <w:rFonts w:ascii="Times New Roman" w:hAnsi="Times New Roman"/>
          <w:sz w:val="24"/>
          <w:lang w:val="sr-Cyrl-CS"/>
        </w:rPr>
        <w:t>50%)</w:t>
      </w:r>
      <w:r w:rsidR="00BB25C9" w:rsidRPr="005303F7">
        <w:rPr>
          <w:rFonts w:ascii="Times New Roman" w:hAnsi="Times New Roman"/>
          <w:sz w:val="24"/>
          <w:lang w:val="sr-Cyrl-CS"/>
        </w:rPr>
        <w:t xml:space="preserve"> и процесу декарбонизације</w:t>
      </w:r>
      <w:r w:rsidR="00C67735"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као</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директна</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помоћ</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сиромашнијим</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домаћинствима</w:t>
      </w:r>
      <w:r w:rsidR="00C81DD7" w:rsidRPr="005303F7">
        <w:rPr>
          <w:rStyle w:val="FootnoteReference"/>
          <w:rFonts w:ascii="Times New Roman" w:hAnsi="Times New Roman"/>
          <w:sz w:val="18"/>
          <w:lang w:val="sr-Cyrl-CS"/>
        </w:rPr>
        <w:footnoteReference w:id="46"/>
      </w:r>
      <w:r w:rsidR="00C67735" w:rsidRPr="005303F7">
        <w:rPr>
          <w:rFonts w:ascii="Times New Roman" w:hAnsi="Times New Roman"/>
          <w:sz w:val="24"/>
          <w:lang w:val="sr-Cyrl-CS"/>
        </w:rPr>
        <w:t xml:space="preserve"> )</w:t>
      </w:r>
      <w:r w:rsidR="00831D70" w:rsidRPr="005303F7">
        <w:rPr>
          <w:rFonts w:ascii="Times New Roman" w:hAnsi="Times New Roman"/>
          <w:sz w:val="24"/>
          <w:lang w:val="sr-Cyrl-CS"/>
        </w:rPr>
        <w:t>,</w:t>
      </w:r>
      <w:r w:rsidR="00C67735" w:rsidRPr="005303F7">
        <w:rPr>
          <w:rFonts w:ascii="Times New Roman" w:hAnsi="Times New Roman"/>
          <w:sz w:val="24"/>
          <w:lang w:val="sr-Cyrl-CS"/>
        </w:rPr>
        <w:t xml:space="preserve"> </w:t>
      </w:r>
      <w:r w:rsidR="00BF65FC" w:rsidRPr="005303F7">
        <w:rPr>
          <w:rFonts w:ascii="Times New Roman" w:hAnsi="Times New Roman"/>
          <w:sz w:val="24"/>
          <w:lang w:val="sr-Cyrl-CS"/>
        </w:rPr>
        <w:t>уместо</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да</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буду</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искоришћена</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смањење</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јавног</w:t>
      </w:r>
      <w:r w:rsidR="00A26747" w:rsidRPr="005303F7">
        <w:rPr>
          <w:rFonts w:ascii="Times New Roman" w:hAnsi="Times New Roman"/>
          <w:sz w:val="24"/>
          <w:lang w:val="sr-Cyrl-CS"/>
        </w:rPr>
        <w:t xml:space="preserve"> </w:t>
      </w:r>
      <w:r w:rsidR="00BF65FC" w:rsidRPr="005303F7">
        <w:rPr>
          <w:rFonts w:ascii="Times New Roman" w:hAnsi="Times New Roman"/>
          <w:sz w:val="24"/>
          <w:lang w:val="sr-Cyrl-CS"/>
        </w:rPr>
        <w:t>дуга</w:t>
      </w:r>
      <w:r w:rsidR="00C9008A" w:rsidRPr="005303F7">
        <w:rPr>
          <w:rFonts w:ascii="Times New Roman" w:hAnsi="Times New Roman"/>
          <w:sz w:val="24"/>
          <w:lang w:val="sr-Cyrl-CS"/>
        </w:rPr>
        <w:t xml:space="preserve"> (</w:t>
      </w:r>
      <w:r w:rsidR="00BF65FC" w:rsidRPr="005303F7">
        <w:rPr>
          <w:rFonts w:ascii="Times New Roman" w:hAnsi="Times New Roman"/>
          <w:sz w:val="24"/>
          <w:lang w:val="sr-Cyrl-CS"/>
        </w:rPr>
        <w:t>Табела</w:t>
      </w:r>
      <w:r w:rsidR="00C9008A" w:rsidRPr="005303F7">
        <w:rPr>
          <w:rFonts w:ascii="Times New Roman" w:hAnsi="Times New Roman"/>
          <w:sz w:val="24"/>
          <w:lang w:val="sr-Cyrl-CS"/>
        </w:rPr>
        <w:t xml:space="preserve"> 5), </w:t>
      </w:r>
      <w:r w:rsidR="00BF65FC" w:rsidRPr="005303F7">
        <w:rPr>
          <w:rFonts w:ascii="Times New Roman" w:hAnsi="Times New Roman"/>
          <w:sz w:val="24"/>
          <w:lang w:val="sr-Cyrl-CS"/>
        </w:rPr>
        <w:t>а</w:t>
      </w:r>
      <w:r w:rsidR="00C67735"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Табела</w:t>
      </w:r>
      <w:r w:rsidR="00B13A06" w:rsidRPr="005303F7">
        <w:rPr>
          <w:rFonts w:ascii="Times New Roman" w:hAnsi="Times New Roman"/>
          <w:sz w:val="24"/>
          <w:szCs w:val="22"/>
          <w:lang w:val="sr-Cyrl-CS"/>
        </w:rPr>
        <w:t xml:space="preserve"> 8 </w:t>
      </w:r>
      <w:r w:rsidR="00BF65FC" w:rsidRPr="005303F7">
        <w:rPr>
          <w:rFonts w:ascii="Times New Roman" w:hAnsi="Times New Roman"/>
          <w:sz w:val="24"/>
          <w:lang w:val="sr-Cyrl-CS"/>
        </w:rPr>
        <w:t>приказује</w:t>
      </w:r>
      <w:r w:rsidR="00677FF6" w:rsidRPr="005303F7">
        <w:rPr>
          <w:rFonts w:ascii="Times New Roman" w:hAnsi="Times New Roman"/>
          <w:sz w:val="24"/>
          <w:lang w:val="sr-Cyrl-CS"/>
        </w:rPr>
        <w:t xml:space="preserve"> </w:t>
      </w:r>
      <w:r w:rsidR="00BF65FC" w:rsidRPr="005303F7">
        <w:rPr>
          <w:rFonts w:ascii="Times New Roman" w:hAnsi="Times New Roman"/>
          <w:sz w:val="24"/>
          <w:lang w:val="sr-Cyrl-CS"/>
        </w:rPr>
        <w:t>утицај</w:t>
      </w:r>
      <w:r w:rsidR="00677FF6"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677FF6" w:rsidRPr="005303F7">
        <w:rPr>
          <w:rFonts w:ascii="Times New Roman" w:hAnsi="Times New Roman"/>
          <w:sz w:val="24"/>
          <w:lang w:val="sr-Cyrl-CS"/>
        </w:rPr>
        <w:t xml:space="preserve"> </w:t>
      </w:r>
      <w:r w:rsidR="00BF65FC" w:rsidRPr="005303F7">
        <w:rPr>
          <w:rFonts w:ascii="Times New Roman" w:hAnsi="Times New Roman"/>
          <w:sz w:val="24"/>
          <w:lang w:val="sr-Cyrl-CS"/>
        </w:rPr>
        <w:t>БДП</w:t>
      </w:r>
      <w:r w:rsidR="00677FF6"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677FF6" w:rsidRPr="005303F7">
        <w:rPr>
          <w:rFonts w:ascii="Times New Roman" w:hAnsi="Times New Roman"/>
          <w:sz w:val="24"/>
          <w:lang w:val="sr-Cyrl-CS"/>
        </w:rPr>
        <w:t xml:space="preserve"> </w:t>
      </w:r>
      <w:r w:rsidR="00BF65FC" w:rsidRPr="005303F7">
        <w:rPr>
          <w:rFonts w:ascii="Times New Roman" w:hAnsi="Times New Roman"/>
          <w:sz w:val="24"/>
          <w:lang w:val="sr-Cyrl-CS"/>
        </w:rPr>
        <w:t>том</w:t>
      </w:r>
      <w:r w:rsidR="00677FF6" w:rsidRPr="005303F7">
        <w:rPr>
          <w:rFonts w:ascii="Times New Roman" w:hAnsi="Times New Roman"/>
          <w:sz w:val="24"/>
          <w:lang w:val="sr-Cyrl-CS"/>
        </w:rPr>
        <w:t xml:space="preserve"> </w:t>
      </w:r>
      <w:r w:rsidR="00BF65FC" w:rsidRPr="005303F7">
        <w:rPr>
          <w:rFonts w:ascii="Times New Roman" w:hAnsi="Times New Roman"/>
          <w:sz w:val="24"/>
          <w:lang w:val="sr-Cyrl-CS"/>
        </w:rPr>
        <w:t>случају</w:t>
      </w:r>
      <w:r w:rsidR="00C81DD7" w:rsidRPr="005303F7">
        <w:rPr>
          <w:rStyle w:val="FootnoteReference"/>
          <w:rFonts w:ascii="Times New Roman" w:hAnsi="Times New Roman"/>
          <w:sz w:val="18"/>
          <w:lang w:val="sr-Cyrl-CS"/>
        </w:rPr>
        <w:footnoteReference w:id="47"/>
      </w:r>
      <w:r w:rsidR="00C67735" w:rsidRPr="005303F7">
        <w:rPr>
          <w:rFonts w:ascii="Times New Roman" w:hAnsi="Times New Roman"/>
          <w:sz w:val="24"/>
          <w:lang w:val="sr-Cyrl-CS"/>
        </w:rPr>
        <w:t>.</w:t>
      </w:r>
    </w:p>
    <w:p w14:paraId="37A98B04" w14:textId="0FC9DBC0" w:rsidR="00C67735" w:rsidRPr="005303F7" w:rsidRDefault="00BF65FC" w:rsidP="00614618">
      <w:pPr>
        <w:keepNext/>
        <w:spacing w:after="60"/>
        <w:rPr>
          <w:rFonts w:ascii="Times New Roman" w:hAnsi="Times New Roman"/>
          <w:b/>
          <w:bCs/>
          <w:i/>
          <w:iCs/>
          <w:sz w:val="20"/>
          <w:szCs w:val="18"/>
          <w:lang w:val="sr-Cyrl-CS"/>
        </w:rPr>
      </w:pPr>
      <w:bookmarkStart w:id="218" w:name="_Ref13073923"/>
      <w:bookmarkStart w:id="219" w:name="_Ref11771362"/>
      <w:bookmarkStart w:id="220" w:name="_Toc13132540"/>
      <w:bookmarkStart w:id="221" w:name="_Toc26450877"/>
      <w:r w:rsidRPr="005303F7">
        <w:rPr>
          <w:rFonts w:ascii="Times New Roman" w:hAnsi="Times New Roman"/>
          <w:b/>
          <w:bCs/>
          <w:i/>
          <w:iCs/>
          <w:sz w:val="20"/>
          <w:szCs w:val="18"/>
          <w:lang w:val="sr-Cyrl-CS"/>
        </w:rPr>
        <w:lastRenderedPageBreak/>
        <w:t>Табела</w:t>
      </w:r>
      <w:r w:rsidR="00D35E3C" w:rsidRPr="005303F7">
        <w:rPr>
          <w:rFonts w:ascii="Times New Roman" w:hAnsi="Times New Roman"/>
          <w:b/>
          <w:bCs/>
          <w:i/>
          <w:iCs/>
          <w:sz w:val="20"/>
          <w:szCs w:val="18"/>
          <w:lang w:val="sr-Cyrl-CS"/>
        </w:rPr>
        <w:t xml:space="preserve"> </w:t>
      </w:r>
      <w:r w:rsidR="00D35E3C" w:rsidRPr="005303F7">
        <w:rPr>
          <w:rFonts w:ascii="Times New Roman" w:hAnsi="Times New Roman"/>
          <w:b/>
          <w:bCs/>
          <w:i/>
          <w:iCs/>
          <w:sz w:val="20"/>
          <w:szCs w:val="18"/>
          <w:lang w:val="sr-Cyrl-CS"/>
        </w:rPr>
        <w:fldChar w:fldCharType="begin"/>
      </w:r>
      <w:r w:rsidR="00D35E3C" w:rsidRPr="005303F7">
        <w:rPr>
          <w:rFonts w:ascii="Times New Roman" w:hAnsi="Times New Roman"/>
          <w:b/>
          <w:bCs/>
          <w:i/>
          <w:iCs/>
          <w:sz w:val="20"/>
          <w:szCs w:val="18"/>
          <w:lang w:val="sr-Cyrl-CS"/>
        </w:rPr>
        <w:instrText xml:space="preserve"> SEQ Table \* ARABIC </w:instrText>
      </w:r>
      <w:r w:rsidR="00D35E3C" w:rsidRPr="005303F7">
        <w:rPr>
          <w:rFonts w:ascii="Times New Roman" w:hAnsi="Times New Roman"/>
          <w:b/>
          <w:bCs/>
          <w:i/>
          <w:iCs/>
          <w:sz w:val="20"/>
          <w:szCs w:val="18"/>
          <w:lang w:val="sr-Cyrl-CS"/>
        </w:rPr>
        <w:fldChar w:fldCharType="separate"/>
      </w:r>
      <w:r w:rsidR="00DA2595" w:rsidRPr="005303F7">
        <w:rPr>
          <w:rFonts w:ascii="Times New Roman" w:hAnsi="Times New Roman"/>
          <w:b/>
          <w:bCs/>
          <w:i/>
          <w:iCs/>
          <w:noProof/>
          <w:sz w:val="20"/>
          <w:szCs w:val="18"/>
          <w:lang w:val="sr-Cyrl-CS"/>
        </w:rPr>
        <w:t>5</w:t>
      </w:r>
      <w:r w:rsidR="00D35E3C" w:rsidRPr="005303F7">
        <w:rPr>
          <w:rFonts w:ascii="Times New Roman" w:hAnsi="Times New Roman"/>
          <w:b/>
          <w:bCs/>
          <w:i/>
          <w:iCs/>
          <w:sz w:val="20"/>
          <w:szCs w:val="18"/>
          <w:lang w:val="sr-Cyrl-CS"/>
        </w:rPr>
        <w:fldChar w:fldCharType="end"/>
      </w:r>
      <w:bookmarkEnd w:id="218"/>
      <w:bookmarkEnd w:id="219"/>
      <w:r w:rsidR="00C67735"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Утицај</w:t>
      </w:r>
      <w:r w:rsidR="00391331"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на</w:t>
      </w:r>
      <w:r w:rsidR="00391331"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запосленост</w:t>
      </w:r>
      <w:r w:rsidR="00391331" w:rsidRPr="005303F7">
        <w:rPr>
          <w:rFonts w:ascii="Times New Roman" w:hAnsi="Times New Roman"/>
          <w:b/>
          <w:bCs/>
          <w:i/>
          <w:iCs/>
          <w:sz w:val="20"/>
          <w:szCs w:val="18"/>
          <w:vertAlign w:val="superscript"/>
          <w:lang w:val="sr-Cyrl-CS"/>
        </w:rPr>
        <w:t xml:space="preserve"> </w:t>
      </w:r>
      <w:r w:rsidR="00C67735" w:rsidRPr="005303F7">
        <w:rPr>
          <w:rFonts w:ascii="Times New Roman" w:hAnsi="Times New Roman"/>
          <w:b/>
          <w:bCs/>
          <w:i/>
          <w:iCs/>
          <w:sz w:val="20"/>
          <w:szCs w:val="18"/>
          <w:vertAlign w:val="superscript"/>
          <w:lang w:val="sr-Cyrl-CS"/>
        </w:rPr>
        <w:footnoteReference w:id="48"/>
      </w:r>
      <w:bookmarkEnd w:id="220"/>
      <w:bookmarkEnd w:id="221"/>
    </w:p>
    <w:tbl>
      <w:tblPr>
        <w:tblStyle w:val="TableGrid"/>
        <w:tblW w:w="5000" w:type="pct"/>
        <w:tblLook w:val="04A0" w:firstRow="1" w:lastRow="0" w:firstColumn="1" w:lastColumn="0" w:noHBand="0" w:noVBand="1"/>
      </w:tblPr>
      <w:tblGrid>
        <w:gridCol w:w="2263"/>
        <w:gridCol w:w="1423"/>
        <w:gridCol w:w="1842"/>
        <w:gridCol w:w="1842"/>
        <w:gridCol w:w="1842"/>
      </w:tblGrid>
      <w:tr w:rsidR="00C67735" w:rsidRPr="005303F7" w14:paraId="3574FF17" w14:textId="549961D4" w:rsidTr="007F21EA">
        <w:trPr>
          <w:trHeight w:val="20"/>
          <w:tblHeader/>
        </w:trPr>
        <w:tc>
          <w:tcPr>
            <w:tcW w:w="122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E46DD9C" w14:textId="0367F97D"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p>
        </w:tc>
        <w:tc>
          <w:tcPr>
            <w:tcW w:w="3772" w:type="pct"/>
            <w:gridSpan w:val="4"/>
            <w:tcBorders>
              <w:left w:val="single" w:sz="4" w:space="0" w:color="auto"/>
            </w:tcBorders>
            <w:shd w:val="clear" w:color="auto" w:fill="D9D9D9" w:themeFill="background1" w:themeFillShade="D9"/>
            <w:vAlign w:val="center"/>
          </w:tcPr>
          <w:p w14:paraId="7FB09C9C" w14:textId="64124511" w:rsidR="00C67735"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Утицај</w:t>
            </w:r>
            <w:r w:rsidR="00391331"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на</w:t>
            </w:r>
            <w:r w:rsidR="00391331"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запосленост</w:t>
            </w:r>
            <w:r w:rsidR="00C67735" w:rsidRPr="005303F7">
              <w:rPr>
                <w:rFonts w:ascii="Times New Roman" w:hAnsi="Times New Roman"/>
                <w:b/>
                <w:bCs/>
                <w:sz w:val="20"/>
                <w:lang w:val="sr-Cyrl-CS" w:eastAsia="pt-PT"/>
              </w:rPr>
              <w:t xml:space="preserve"> (%)</w:t>
            </w:r>
          </w:p>
        </w:tc>
      </w:tr>
      <w:tr w:rsidR="00C67735" w:rsidRPr="005303F7" w14:paraId="6EDCBA5E" w14:textId="18EBD868" w:rsidTr="007F21EA">
        <w:trPr>
          <w:trHeight w:val="20"/>
          <w:tblHeader/>
        </w:trPr>
        <w:tc>
          <w:tcPr>
            <w:tcW w:w="1228"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646AD6EA" w14:textId="1B4AE29A"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p>
        </w:tc>
        <w:tc>
          <w:tcPr>
            <w:tcW w:w="772" w:type="pct"/>
            <w:tcBorders>
              <w:left w:val="single" w:sz="4" w:space="0" w:color="auto"/>
            </w:tcBorders>
            <w:shd w:val="clear" w:color="auto" w:fill="D9D9D9" w:themeFill="background1" w:themeFillShade="D9"/>
            <w:vAlign w:val="center"/>
          </w:tcPr>
          <w:p w14:paraId="71C3CCBC" w14:textId="22E3E698"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2020</w:t>
            </w:r>
          </w:p>
        </w:tc>
        <w:tc>
          <w:tcPr>
            <w:tcW w:w="1000" w:type="pct"/>
            <w:shd w:val="clear" w:color="auto" w:fill="D9D9D9" w:themeFill="background1" w:themeFillShade="D9"/>
            <w:vAlign w:val="center"/>
          </w:tcPr>
          <w:p w14:paraId="7F92408E" w14:textId="1C1214FC"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2025</w:t>
            </w:r>
          </w:p>
        </w:tc>
        <w:tc>
          <w:tcPr>
            <w:tcW w:w="1000" w:type="pct"/>
            <w:shd w:val="clear" w:color="auto" w:fill="D9D9D9" w:themeFill="background1" w:themeFillShade="D9"/>
            <w:vAlign w:val="center"/>
          </w:tcPr>
          <w:p w14:paraId="28C375F5" w14:textId="7CBBD120"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2030</w:t>
            </w:r>
          </w:p>
        </w:tc>
        <w:tc>
          <w:tcPr>
            <w:tcW w:w="1000" w:type="pct"/>
            <w:shd w:val="clear" w:color="auto" w:fill="D9D9D9" w:themeFill="background1" w:themeFillShade="D9"/>
            <w:vAlign w:val="center"/>
          </w:tcPr>
          <w:p w14:paraId="6D9100E8" w14:textId="4C52A0B3"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2050</w:t>
            </w:r>
          </w:p>
        </w:tc>
      </w:tr>
      <w:tr w:rsidR="00C67735" w:rsidRPr="005303F7" w14:paraId="62255ABE" w14:textId="3DB8B675" w:rsidTr="007F21EA">
        <w:trPr>
          <w:trHeight w:val="20"/>
        </w:trPr>
        <w:tc>
          <w:tcPr>
            <w:tcW w:w="1228" w:type="pct"/>
            <w:tcBorders>
              <w:top w:val="single" w:sz="4" w:space="0" w:color="auto"/>
            </w:tcBorders>
            <w:shd w:val="clear" w:color="auto" w:fill="D9D9D9" w:themeFill="background1" w:themeFillShade="D9"/>
            <w:vAlign w:val="center"/>
          </w:tcPr>
          <w:p w14:paraId="24E68C2E" w14:textId="3A9AB1B7" w:rsidR="00C67735" w:rsidRPr="005303F7" w:rsidRDefault="00BF65FC" w:rsidP="007D71AA">
            <w:pPr>
              <w:tabs>
                <w:tab w:val="clear" w:pos="3825"/>
              </w:tabs>
              <w:overflowPunct/>
              <w:autoSpaceDE/>
              <w:autoSpaceDN/>
              <w:adjustRightInd/>
              <w:spacing w:before="40" w:after="40"/>
              <w:jc w:val="center"/>
              <w:textAlignment w:val="auto"/>
              <w:rPr>
                <w:rFonts w:ascii="Times New Roman" w:hAnsi="Times New Roman"/>
                <w:b/>
                <w:bCs/>
                <w:color w:val="000000"/>
                <w:sz w:val="20"/>
                <w:lang w:val="sr-Cyrl-CS"/>
              </w:rPr>
            </w:pPr>
            <w:r w:rsidRPr="005303F7">
              <w:rPr>
                <w:rFonts w:ascii="Times New Roman" w:hAnsi="Times New Roman"/>
                <w:b/>
                <w:bCs/>
                <w:color w:val="000000"/>
                <w:sz w:val="20"/>
                <w:lang w:val="sr-Cyrl-CS"/>
              </w:rPr>
              <w:t>Б</w:t>
            </w:r>
            <w:r w:rsidR="00C67735" w:rsidRPr="005303F7">
              <w:rPr>
                <w:rFonts w:ascii="Times New Roman" w:hAnsi="Times New Roman"/>
                <w:b/>
                <w:bCs/>
                <w:color w:val="000000"/>
                <w:sz w:val="20"/>
                <w:lang w:val="sr-Cyrl-CS"/>
              </w:rPr>
              <w:t>2 (</w:t>
            </w:r>
            <w:r w:rsidR="007D71AA" w:rsidRPr="005303F7">
              <w:rPr>
                <w:rFonts w:ascii="Times New Roman" w:hAnsi="Times New Roman"/>
                <w:b/>
                <w:bCs/>
                <w:color w:val="000000"/>
                <w:sz w:val="20"/>
                <w:lang w:val="sr-Cyrl-CS"/>
              </w:rPr>
              <w:t>000</w:t>
            </w:r>
            <w:r w:rsidR="00757C0C" w:rsidRPr="005303F7">
              <w:rPr>
                <w:rFonts w:ascii="Times New Roman" w:hAnsi="Times New Roman"/>
                <w:b/>
                <w:bCs/>
                <w:color w:val="000000"/>
                <w:sz w:val="20"/>
                <w:lang w:val="sr-Cyrl-CS"/>
              </w:rPr>
              <w:t xml:space="preserve"> </w:t>
            </w:r>
            <w:r w:rsidRPr="005303F7">
              <w:rPr>
                <w:rFonts w:ascii="Times New Roman" w:hAnsi="Times New Roman"/>
                <w:b/>
                <w:bCs/>
                <w:color w:val="000000"/>
                <w:sz w:val="20"/>
                <w:lang w:val="sr-Cyrl-CS"/>
              </w:rPr>
              <w:t>радн</w:t>
            </w:r>
            <w:r w:rsidR="00EC1D15" w:rsidRPr="005303F7">
              <w:rPr>
                <w:rFonts w:ascii="Times New Roman" w:hAnsi="Times New Roman"/>
                <w:b/>
                <w:bCs/>
                <w:color w:val="000000"/>
                <w:sz w:val="20"/>
                <w:lang w:val="sr-Cyrl-CS"/>
              </w:rPr>
              <w:t>их</w:t>
            </w:r>
            <w:r w:rsidR="00757C0C" w:rsidRPr="005303F7">
              <w:rPr>
                <w:rFonts w:ascii="Times New Roman" w:hAnsi="Times New Roman"/>
                <w:b/>
                <w:bCs/>
                <w:color w:val="000000"/>
                <w:sz w:val="20"/>
                <w:lang w:val="sr-Cyrl-CS"/>
              </w:rPr>
              <w:t xml:space="preserve"> </w:t>
            </w:r>
            <w:r w:rsidRPr="005303F7">
              <w:rPr>
                <w:rFonts w:ascii="Times New Roman" w:hAnsi="Times New Roman"/>
                <w:b/>
                <w:bCs/>
                <w:color w:val="000000"/>
                <w:sz w:val="20"/>
                <w:lang w:val="sr-Cyrl-CS"/>
              </w:rPr>
              <w:t>места</w:t>
            </w:r>
            <w:r w:rsidR="00C67735" w:rsidRPr="005303F7">
              <w:rPr>
                <w:rFonts w:ascii="Times New Roman" w:hAnsi="Times New Roman"/>
                <w:b/>
                <w:bCs/>
                <w:color w:val="000000"/>
                <w:sz w:val="20"/>
                <w:lang w:val="sr-Cyrl-CS"/>
              </w:rPr>
              <w:t>)</w:t>
            </w:r>
          </w:p>
        </w:tc>
        <w:tc>
          <w:tcPr>
            <w:tcW w:w="772" w:type="pct"/>
            <w:vAlign w:val="center"/>
          </w:tcPr>
          <w:p w14:paraId="3B9C8712" w14:textId="2FC570C5"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2</w:t>
            </w:r>
            <w:r w:rsidR="00CE0ECC"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462</w:t>
            </w:r>
          </w:p>
        </w:tc>
        <w:tc>
          <w:tcPr>
            <w:tcW w:w="1000" w:type="pct"/>
            <w:vAlign w:val="center"/>
          </w:tcPr>
          <w:p w14:paraId="7EF68684" w14:textId="0C5F8036"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2</w:t>
            </w:r>
            <w:r w:rsidR="00CE0ECC"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468</w:t>
            </w:r>
          </w:p>
        </w:tc>
        <w:tc>
          <w:tcPr>
            <w:tcW w:w="1000" w:type="pct"/>
            <w:vAlign w:val="center"/>
          </w:tcPr>
          <w:p w14:paraId="52937302" w14:textId="2626D31E"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2</w:t>
            </w:r>
            <w:r w:rsidR="00CE0ECC"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473</w:t>
            </w:r>
          </w:p>
        </w:tc>
        <w:tc>
          <w:tcPr>
            <w:tcW w:w="1000" w:type="pct"/>
            <w:vAlign w:val="center"/>
          </w:tcPr>
          <w:p w14:paraId="7DAFF3B5" w14:textId="2CB52E29"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2</w:t>
            </w:r>
            <w:r w:rsidR="00CE0ECC"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483</w:t>
            </w:r>
          </w:p>
        </w:tc>
      </w:tr>
      <w:tr w:rsidR="00C67735" w:rsidRPr="005303F7" w14:paraId="0033CD00" w14:textId="0A4471E8" w:rsidTr="007F21EA">
        <w:trPr>
          <w:trHeight w:val="20"/>
        </w:trPr>
        <w:tc>
          <w:tcPr>
            <w:tcW w:w="1228" w:type="pct"/>
            <w:shd w:val="clear" w:color="auto" w:fill="D9D9D9" w:themeFill="background1" w:themeFillShade="D9"/>
            <w:vAlign w:val="center"/>
          </w:tcPr>
          <w:p w14:paraId="4E170BC1" w14:textId="59A29CBE" w:rsidR="00C67735"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color w:val="000000"/>
                <w:sz w:val="20"/>
                <w:lang w:val="sr-Cyrl-CS"/>
              </w:rPr>
            </w:pPr>
            <w:r w:rsidRPr="005303F7">
              <w:rPr>
                <w:rFonts w:ascii="Times New Roman" w:hAnsi="Times New Roman"/>
                <w:b/>
                <w:bCs/>
                <w:color w:val="000000"/>
                <w:sz w:val="20"/>
                <w:lang w:val="sr-Cyrl-CS"/>
              </w:rPr>
              <w:t>М</w:t>
            </w:r>
            <w:r w:rsidR="00C67735" w:rsidRPr="005303F7">
              <w:rPr>
                <w:rFonts w:ascii="Times New Roman" w:hAnsi="Times New Roman"/>
                <w:b/>
                <w:bCs/>
                <w:color w:val="000000"/>
                <w:sz w:val="20"/>
                <w:lang w:val="sr-Cyrl-CS"/>
              </w:rPr>
              <w:t>2 (%)</w:t>
            </w:r>
          </w:p>
        </w:tc>
        <w:tc>
          <w:tcPr>
            <w:tcW w:w="772" w:type="pct"/>
            <w:vAlign w:val="center"/>
          </w:tcPr>
          <w:p w14:paraId="652AD80F" w14:textId="5BA097E4" w:rsidR="00C67735" w:rsidRPr="005303F7" w:rsidRDefault="00C67735" w:rsidP="0064274B">
            <w:pPr>
              <w:tabs>
                <w:tab w:val="clear" w:pos="3825"/>
              </w:tabs>
              <w:overflowPunct/>
              <w:autoSpaceDE/>
              <w:autoSpaceDN/>
              <w:adjustRightInd/>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0,0</w:t>
            </w:r>
            <w:r w:rsidR="003B42CB" w:rsidRPr="005303F7">
              <w:rPr>
                <w:rFonts w:ascii="Times New Roman" w:hAnsi="Times New Roman"/>
                <w:color w:val="000000"/>
                <w:sz w:val="20"/>
                <w:lang w:val="sr-Cyrl-CS"/>
              </w:rPr>
              <w:t>%</w:t>
            </w:r>
          </w:p>
        </w:tc>
        <w:tc>
          <w:tcPr>
            <w:tcW w:w="1000" w:type="pct"/>
            <w:vAlign w:val="center"/>
          </w:tcPr>
          <w:p w14:paraId="37AF9556" w14:textId="3AEFDA93" w:rsidR="00C67735" w:rsidRPr="005303F7" w:rsidRDefault="00C67735" w:rsidP="004F1660">
            <w:pPr>
              <w:tabs>
                <w:tab w:val="clear" w:pos="3825"/>
              </w:tabs>
              <w:overflowPunct/>
              <w:autoSpaceDE/>
              <w:autoSpaceDN/>
              <w:adjustRightInd/>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 xml:space="preserve">-1,3 </w:t>
            </w:r>
          </w:p>
        </w:tc>
        <w:tc>
          <w:tcPr>
            <w:tcW w:w="1000" w:type="pct"/>
            <w:vAlign w:val="center"/>
          </w:tcPr>
          <w:p w14:paraId="6600CE92" w14:textId="25D9319A" w:rsidR="00C67735" w:rsidRPr="005303F7" w:rsidRDefault="00C67735">
            <w:pPr>
              <w:tabs>
                <w:tab w:val="clear" w:pos="3825"/>
              </w:tabs>
              <w:overflowPunct/>
              <w:autoSpaceDE/>
              <w:autoSpaceDN/>
              <w:adjustRightInd/>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-1,4 [0,84%]</w:t>
            </w:r>
          </w:p>
        </w:tc>
        <w:tc>
          <w:tcPr>
            <w:tcW w:w="1000" w:type="pct"/>
            <w:vAlign w:val="center"/>
          </w:tcPr>
          <w:p w14:paraId="48019812" w14:textId="0BACDA04" w:rsidR="00C67735" w:rsidRPr="005303F7" w:rsidRDefault="00C67735">
            <w:pPr>
              <w:tabs>
                <w:tab w:val="clear" w:pos="3825"/>
              </w:tabs>
              <w:overflowPunct/>
              <w:autoSpaceDE/>
              <w:autoSpaceDN/>
              <w:adjustRightInd/>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-2,0 [0,93%]</w:t>
            </w:r>
          </w:p>
        </w:tc>
      </w:tr>
      <w:tr w:rsidR="00C67735" w:rsidRPr="005303F7" w14:paraId="56637E7C" w14:textId="57AA8093" w:rsidTr="007F21EA">
        <w:trPr>
          <w:trHeight w:val="20"/>
        </w:trPr>
        <w:tc>
          <w:tcPr>
            <w:tcW w:w="1228" w:type="pct"/>
            <w:shd w:val="clear" w:color="auto" w:fill="D9D9D9" w:themeFill="background1" w:themeFillShade="D9"/>
            <w:vAlign w:val="center"/>
          </w:tcPr>
          <w:p w14:paraId="5E4C2009" w14:textId="4E640528" w:rsidR="00C67735"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color w:val="000000"/>
                <w:sz w:val="20"/>
                <w:lang w:val="sr-Cyrl-CS"/>
              </w:rPr>
            </w:pPr>
            <w:r w:rsidRPr="005303F7">
              <w:rPr>
                <w:rFonts w:ascii="Times New Roman" w:hAnsi="Times New Roman"/>
                <w:b/>
                <w:bCs/>
                <w:color w:val="000000"/>
                <w:sz w:val="20"/>
                <w:lang w:val="sr-Cyrl-CS"/>
              </w:rPr>
              <w:t>М</w:t>
            </w:r>
            <w:r w:rsidR="00C67735" w:rsidRPr="005303F7">
              <w:rPr>
                <w:rFonts w:ascii="Times New Roman" w:hAnsi="Times New Roman"/>
                <w:b/>
                <w:bCs/>
                <w:color w:val="000000"/>
                <w:sz w:val="20"/>
                <w:lang w:val="sr-Cyrl-CS"/>
              </w:rPr>
              <w:t>3 (%)</w:t>
            </w:r>
          </w:p>
        </w:tc>
        <w:tc>
          <w:tcPr>
            <w:tcW w:w="772" w:type="pct"/>
            <w:vAlign w:val="center"/>
          </w:tcPr>
          <w:p w14:paraId="2975EB77" w14:textId="6B72CCB5"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w:t>
            </w:r>
          </w:p>
        </w:tc>
        <w:tc>
          <w:tcPr>
            <w:tcW w:w="1000" w:type="pct"/>
            <w:vAlign w:val="center"/>
          </w:tcPr>
          <w:p w14:paraId="2BD6EF33" w14:textId="2E243EA8"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w:t>
            </w:r>
          </w:p>
        </w:tc>
        <w:tc>
          <w:tcPr>
            <w:tcW w:w="1000" w:type="pct"/>
            <w:vAlign w:val="center"/>
          </w:tcPr>
          <w:p w14:paraId="6FA34F7E" w14:textId="3F847318"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w:t>
            </w:r>
          </w:p>
        </w:tc>
        <w:tc>
          <w:tcPr>
            <w:tcW w:w="1000" w:type="pct"/>
            <w:vAlign w:val="center"/>
          </w:tcPr>
          <w:p w14:paraId="672D780D" w14:textId="73E2FDD9"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-1,7 [0,8</w:t>
            </w:r>
            <w:r w:rsidR="00D8697A" w:rsidRPr="005303F7">
              <w:rPr>
                <w:rFonts w:ascii="Times New Roman" w:hAnsi="Times New Roman"/>
                <w:color w:val="000000"/>
                <w:sz w:val="20"/>
                <w:lang w:val="sr-Cyrl-CS"/>
              </w:rPr>
              <w:t>0</w:t>
            </w:r>
            <w:r w:rsidRPr="005303F7">
              <w:rPr>
                <w:rFonts w:ascii="Times New Roman" w:hAnsi="Times New Roman"/>
                <w:color w:val="000000"/>
                <w:sz w:val="20"/>
                <w:lang w:val="sr-Cyrl-CS"/>
              </w:rPr>
              <w:t>%]</w:t>
            </w:r>
          </w:p>
        </w:tc>
      </w:tr>
      <w:tr w:rsidR="00C67735" w:rsidRPr="005303F7" w14:paraId="12A563AF" w14:textId="74F5BA37" w:rsidTr="007F21EA">
        <w:trPr>
          <w:trHeight w:val="20"/>
        </w:trPr>
        <w:tc>
          <w:tcPr>
            <w:tcW w:w="1228" w:type="pct"/>
            <w:shd w:val="clear" w:color="auto" w:fill="D9D9D9" w:themeFill="background1" w:themeFillShade="D9"/>
            <w:vAlign w:val="center"/>
          </w:tcPr>
          <w:p w14:paraId="41F84D3D" w14:textId="6E26AB17" w:rsidR="00C67735"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color w:val="000000"/>
                <w:sz w:val="20"/>
                <w:lang w:val="sr-Cyrl-CS"/>
              </w:rPr>
            </w:pPr>
            <w:r w:rsidRPr="005303F7">
              <w:rPr>
                <w:rFonts w:ascii="Times New Roman" w:hAnsi="Times New Roman"/>
                <w:b/>
                <w:bCs/>
                <w:color w:val="000000"/>
                <w:sz w:val="20"/>
                <w:lang w:val="sr-Cyrl-CS"/>
              </w:rPr>
              <w:t>М</w:t>
            </w:r>
            <w:r w:rsidR="00C67735" w:rsidRPr="005303F7">
              <w:rPr>
                <w:rFonts w:ascii="Times New Roman" w:hAnsi="Times New Roman"/>
                <w:b/>
                <w:bCs/>
                <w:color w:val="000000"/>
                <w:sz w:val="20"/>
                <w:lang w:val="sr-Cyrl-CS"/>
              </w:rPr>
              <w:t>4 (%)</w:t>
            </w:r>
          </w:p>
        </w:tc>
        <w:tc>
          <w:tcPr>
            <w:tcW w:w="772" w:type="pct"/>
            <w:vAlign w:val="center"/>
          </w:tcPr>
          <w:p w14:paraId="6DB7F01A" w14:textId="5B77A2D2"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w:t>
            </w:r>
          </w:p>
        </w:tc>
        <w:tc>
          <w:tcPr>
            <w:tcW w:w="1000" w:type="pct"/>
            <w:vAlign w:val="center"/>
          </w:tcPr>
          <w:p w14:paraId="44831892" w14:textId="17AE3BA4"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w:t>
            </w:r>
          </w:p>
        </w:tc>
        <w:tc>
          <w:tcPr>
            <w:tcW w:w="1000" w:type="pct"/>
            <w:vAlign w:val="center"/>
          </w:tcPr>
          <w:p w14:paraId="74526E14" w14:textId="1232C4E5"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w:t>
            </w:r>
          </w:p>
        </w:tc>
        <w:tc>
          <w:tcPr>
            <w:tcW w:w="1000" w:type="pct"/>
            <w:vAlign w:val="center"/>
          </w:tcPr>
          <w:p w14:paraId="1955FBB1" w14:textId="5F80DDFF" w:rsidR="00C67735" w:rsidRPr="005303F7" w:rsidRDefault="00C67735" w:rsidP="0064274B">
            <w:pPr>
              <w:tabs>
                <w:tab w:val="clear" w:pos="3825"/>
              </w:tabs>
              <w:overflowPunct/>
              <w:autoSpaceDE/>
              <w:autoSpaceDN/>
              <w:adjustRightInd/>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-2,5 [0,93%]</w:t>
            </w:r>
          </w:p>
        </w:tc>
      </w:tr>
    </w:tbl>
    <w:p w14:paraId="685853D4" w14:textId="1A844E5A" w:rsidR="004A0A4C" w:rsidRPr="005303F7" w:rsidRDefault="00DA7CD2" w:rsidP="00C67735">
      <w:pPr>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Највеће</w:t>
      </w:r>
      <w:r w:rsidR="005537E8" w:rsidRPr="005303F7">
        <w:rPr>
          <w:rFonts w:ascii="Times New Roman" w:hAnsi="Times New Roman"/>
          <w:sz w:val="24"/>
          <w:lang w:val="sr-Cyrl-CS"/>
        </w:rPr>
        <w:t xml:space="preserve"> </w:t>
      </w:r>
      <w:r w:rsidR="00BF65FC" w:rsidRPr="005303F7">
        <w:rPr>
          <w:rFonts w:ascii="Times New Roman" w:hAnsi="Times New Roman"/>
          <w:sz w:val="24"/>
          <w:lang w:val="sr-Cyrl-CS"/>
        </w:rPr>
        <w:t>трансформације</w:t>
      </w:r>
      <w:r w:rsidR="005537E8"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5537E8" w:rsidRPr="005303F7">
        <w:rPr>
          <w:rFonts w:ascii="Times New Roman" w:hAnsi="Times New Roman"/>
          <w:sz w:val="24"/>
          <w:lang w:val="sr-Cyrl-CS"/>
        </w:rPr>
        <w:t xml:space="preserve"> </w:t>
      </w:r>
      <w:r w:rsidR="00BF65FC" w:rsidRPr="005303F7">
        <w:rPr>
          <w:rFonts w:ascii="Times New Roman" w:hAnsi="Times New Roman"/>
          <w:sz w:val="24"/>
          <w:lang w:val="sr-Cyrl-CS"/>
        </w:rPr>
        <w:t>могу</w:t>
      </w:r>
      <w:r w:rsidR="005537E8" w:rsidRPr="005303F7">
        <w:rPr>
          <w:rFonts w:ascii="Times New Roman" w:hAnsi="Times New Roman"/>
          <w:sz w:val="24"/>
          <w:lang w:val="sr-Cyrl-CS"/>
        </w:rPr>
        <w:t xml:space="preserve"> </w:t>
      </w:r>
      <w:r w:rsidR="00BF65FC" w:rsidRPr="005303F7">
        <w:rPr>
          <w:rFonts w:ascii="Times New Roman" w:hAnsi="Times New Roman"/>
          <w:sz w:val="24"/>
          <w:lang w:val="sr-Cyrl-CS"/>
        </w:rPr>
        <w:t>очекивати</w:t>
      </w:r>
      <w:r w:rsidR="005537E8"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5537E8" w:rsidRPr="005303F7">
        <w:rPr>
          <w:rFonts w:ascii="Times New Roman" w:hAnsi="Times New Roman"/>
          <w:sz w:val="24"/>
          <w:lang w:val="sr-Cyrl-CS"/>
        </w:rPr>
        <w:t xml:space="preserve"> „</w:t>
      </w:r>
      <w:r w:rsidR="00BF65FC" w:rsidRPr="005303F7">
        <w:rPr>
          <w:rFonts w:ascii="Times New Roman" w:hAnsi="Times New Roman"/>
          <w:sz w:val="24"/>
          <w:lang w:val="sr-Cyrl-CS"/>
        </w:rPr>
        <w:t>Рударству</w:t>
      </w:r>
      <w:r w:rsidR="005537E8"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5537E8" w:rsidRPr="005303F7">
        <w:rPr>
          <w:rFonts w:ascii="Times New Roman" w:hAnsi="Times New Roman"/>
          <w:sz w:val="24"/>
          <w:lang w:val="sr-Cyrl-CS"/>
        </w:rPr>
        <w:t xml:space="preserve"> </w:t>
      </w:r>
      <w:r w:rsidR="00BF65FC" w:rsidRPr="005303F7">
        <w:rPr>
          <w:rFonts w:ascii="Times New Roman" w:hAnsi="Times New Roman"/>
          <w:sz w:val="24"/>
          <w:lang w:val="sr-Cyrl-CS"/>
        </w:rPr>
        <w:t>вађењу</w:t>
      </w:r>
      <w:r w:rsidR="005537E8" w:rsidRPr="005303F7">
        <w:rPr>
          <w:rFonts w:ascii="Times New Roman" w:hAnsi="Times New Roman"/>
          <w:sz w:val="24"/>
          <w:lang w:val="sr-Cyrl-CS"/>
        </w:rPr>
        <w:t xml:space="preserve"> </w:t>
      </w:r>
      <w:r w:rsidR="00BF65FC" w:rsidRPr="005303F7">
        <w:rPr>
          <w:rFonts w:ascii="Times New Roman" w:hAnsi="Times New Roman"/>
          <w:sz w:val="24"/>
          <w:lang w:val="sr-Cyrl-CS"/>
        </w:rPr>
        <w:t>руде</w:t>
      </w:r>
      <w:r w:rsidR="005537E8"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5537E8" w:rsidRPr="005303F7">
        <w:rPr>
          <w:rFonts w:ascii="Times New Roman" w:hAnsi="Times New Roman"/>
          <w:sz w:val="24"/>
          <w:lang w:val="sr-Cyrl-CS"/>
        </w:rPr>
        <w:t xml:space="preserve"> </w:t>
      </w:r>
      <w:r w:rsidR="00BF65FC" w:rsidRPr="005303F7">
        <w:rPr>
          <w:rFonts w:ascii="Times New Roman" w:hAnsi="Times New Roman"/>
          <w:sz w:val="24"/>
          <w:lang w:val="sr-Cyrl-CS"/>
        </w:rPr>
        <w:t>камена</w:t>
      </w:r>
      <w:r w:rsidR="0035174D" w:rsidRPr="005303F7">
        <w:rPr>
          <w:rFonts w:ascii="Times New Roman" w:hAnsi="Times New Roman"/>
          <w:sz w:val="24"/>
          <w:lang w:val="sr-Cyrl-CS"/>
        </w:rPr>
        <w:t>”</w:t>
      </w:r>
      <w:r w:rsidR="005537E8"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5537E8" w:rsidRPr="005303F7">
        <w:rPr>
          <w:rFonts w:ascii="Times New Roman" w:hAnsi="Times New Roman"/>
          <w:sz w:val="24"/>
          <w:lang w:val="sr-Cyrl-CS"/>
        </w:rPr>
        <w:t xml:space="preserve"> „</w:t>
      </w:r>
      <w:r w:rsidR="00BF65FC" w:rsidRPr="005303F7">
        <w:rPr>
          <w:rFonts w:ascii="Times New Roman" w:hAnsi="Times New Roman"/>
          <w:sz w:val="24"/>
          <w:lang w:val="sr-Cyrl-CS"/>
        </w:rPr>
        <w:t>Снабдевању</w:t>
      </w:r>
      <w:r w:rsidR="005537E8" w:rsidRPr="005303F7">
        <w:rPr>
          <w:rFonts w:ascii="Times New Roman" w:hAnsi="Times New Roman"/>
          <w:sz w:val="24"/>
          <w:lang w:val="sr-Cyrl-CS"/>
        </w:rPr>
        <w:t xml:space="preserve"> </w:t>
      </w:r>
      <w:r w:rsidR="00BF65FC" w:rsidRPr="005303F7">
        <w:rPr>
          <w:rFonts w:ascii="Times New Roman" w:hAnsi="Times New Roman"/>
          <w:sz w:val="24"/>
          <w:lang w:val="sr-Cyrl-CS"/>
        </w:rPr>
        <w:t>електричном</w:t>
      </w:r>
      <w:r w:rsidR="005537E8" w:rsidRPr="005303F7">
        <w:rPr>
          <w:rFonts w:ascii="Times New Roman" w:hAnsi="Times New Roman"/>
          <w:sz w:val="24"/>
          <w:lang w:val="sr-Cyrl-CS"/>
        </w:rPr>
        <w:t xml:space="preserve"> </w:t>
      </w:r>
      <w:r w:rsidR="00BF65FC" w:rsidRPr="005303F7">
        <w:rPr>
          <w:rFonts w:ascii="Times New Roman" w:hAnsi="Times New Roman"/>
          <w:sz w:val="24"/>
          <w:lang w:val="sr-Cyrl-CS"/>
        </w:rPr>
        <w:t>енергијом</w:t>
      </w:r>
      <w:r w:rsidR="005537E8" w:rsidRPr="005303F7">
        <w:rPr>
          <w:rFonts w:ascii="Times New Roman" w:hAnsi="Times New Roman"/>
          <w:sz w:val="24"/>
          <w:lang w:val="sr-Cyrl-CS"/>
        </w:rPr>
        <w:t xml:space="preserve">, </w:t>
      </w:r>
      <w:r w:rsidR="00BF65FC" w:rsidRPr="005303F7">
        <w:rPr>
          <w:rFonts w:ascii="Times New Roman" w:hAnsi="Times New Roman"/>
          <w:sz w:val="24"/>
          <w:lang w:val="sr-Cyrl-CS"/>
        </w:rPr>
        <w:t>гасом</w:t>
      </w:r>
      <w:r w:rsidR="005537E8"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5537E8" w:rsidRPr="005303F7">
        <w:rPr>
          <w:rFonts w:ascii="Times New Roman" w:hAnsi="Times New Roman"/>
          <w:sz w:val="24"/>
          <w:lang w:val="sr-Cyrl-CS"/>
        </w:rPr>
        <w:t xml:space="preserve"> </w:t>
      </w:r>
      <w:r w:rsidR="00BF65FC" w:rsidRPr="005303F7">
        <w:rPr>
          <w:rFonts w:ascii="Times New Roman" w:hAnsi="Times New Roman"/>
          <w:sz w:val="24"/>
          <w:lang w:val="sr-Cyrl-CS"/>
        </w:rPr>
        <w:t>паром</w:t>
      </w:r>
      <w:r w:rsidR="0035174D" w:rsidRPr="005303F7">
        <w:rPr>
          <w:rFonts w:ascii="Times New Roman" w:hAnsi="Times New Roman"/>
          <w:sz w:val="24"/>
          <w:lang w:val="sr-Cyrl-CS"/>
        </w:rPr>
        <w:t>”</w:t>
      </w:r>
      <w:r w:rsidR="00C67735" w:rsidRPr="005303F7">
        <w:rPr>
          <w:rStyle w:val="FootnoteReference"/>
          <w:rFonts w:ascii="Times New Roman" w:hAnsi="Times New Roman"/>
          <w:sz w:val="18"/>
          <w:lang w:val="sr-Cyrl-CS"/>
        </w:rPr>
        <w:footnoteReference w:id="49"/>
      </w:r>
      <w:r w:rsidR="00C67735" w:rsidRPr="005303F7">
        <w:rPr>
          <w:rFonts w:ascii="Times New Roman" w:hAnsi="Times New Roman"/>
          <w:sz w:val="24"/>
          <w:lang w:val="sr-Cyrl-CS"/>
        </w:rPr>
        <w:t xml:space="preserve">, </w:t>
      </w:r>
      <w:r w:rsidR="00BF65FC" w:rsidRPr="005303F7">
        <w:rPr>
          <w:rFonts w:ascii="Times New Roman" w:hAnsi="Times New Roman"/>
          <w:sz w:val="24"/>
          <w:lang w:val="sr-Cyrl-CS"/>
        </w:rPr>
        <w:t>где</w:t>
      </w:r>
      <w:r w:rsidR="005537E8"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5537E8" w:rsidRPr="005303F7">
        <w:rPr>
          <w:rFonts w:ascii="Times New Roman" w:hAnsi="Times New Roman"/>
          <w:sz w:val="24"/>
          <w:lang w:val="sr-Cyrl-CS"/>
        </w:rPr>
        <w:t xml:space="preserve"> </w:t>
      </w:r>
      <w:r w:rsidR="00BF65FC" w:rsidRPr="005303F7">
        <w:rPr>
          <w:rFonts w:ascii="Times New Roman" w:hAnsi="Times New Roman"/>
          <w:sz w:val="24"/>
          <w:lang w:val="sr-Cyrl-CS"/>
        </w:rPr>
        <w:t>очекује</w:t>
      </w:r>
      <w:r w:rsidR="005537E8" w:rsidRPr="005303F7">
        <w:rPr>
          <w:rFonts w:ascii="Times New Roman" w:hAnsi="Times New Roman"/>
          <w:sz w:val="24"/>
          <w:lang w:val="sr-Cyrl-CS"/>
        </w:rPr>
        <w:t xml:space="preserve"> </w:t>
      </w:r>
      <w:r w:rsidR="00BF65FC" w:rsidRPr="005303F7">
        <w:rPr>
          <w:rFonts w:ascii="Times New Roman" w:hAnsi="Times New Roman"/>
          <w:sz w:val="24"/>
          <w:lang w:val="sr-Cyrl-CS"/>
        </w:rPr>
        <w:t>гашење</w:t>
      </w:r>
      <w:r w:rsidR="005537E8" w:rsidRPr="005303F7">
        <w:rPr>
          <w:rFonts w:ascii="Times New Roman" w:hAnsi="Times New Roman"/>
          <w:sz w:val="24"/>
          <w:lang w:val="sr-Cyrl-CS"/>
        </w:rPr>
        <w:t xml:space="preserve"> </w:t>
      </w:r>
      <w:r w:rsidR="00BF65FC" w:rsidRPr="005303F7">
        <w:rPr>
          <w:rFonts w:ascii="Times New Roman" w:hAnsi="Times New Roman"/>
          <w:sz w:val="24"/>
          <w:lang w:val="sr-Cyrl-CS"/>
        </w:rPr>
        <w:t>радних</w:t>
      </w:r>
      <w:r w:rsidR="005537E8" w:rsidRPr="005303F7">
        <w:rPr>
          <w:rFonts w:ascii="Times New Roman" w:hAnsi="Times New Roman"/>
          <w:sz w:val="24"/>
          <w:lang w:val="sr-Cyrl-CS"/>
        </w:rPr>
        <w:t xml:space="preserve"> </w:t>
      </w:r>
      <w:r w:rsidR="00BF65FC" w:rsidRPr="005303F7">
        <w:rPr>
          <w:rFonts w:ascii="Times New Roman" w:hAnsi="Times New Roman"/>
          <w:sz w:val="24"/>
          <w:lang w:val="sr-Cyrl-CS"/>
        </w:rPr>
        <w:t>места</w:t>
      </w:r>
      <w:r w:rsidR="00C67735" w:rsidRPr="005303F7">
        <w:rPr>
          <w:rStyle w:val="FootnoteReference"/>
          <w:rFonts w:ascii="Times New Roman" w:hAnsi="Times New Roman"/>
          <w:sz w:val="18"/>
          <w:lang w:val="sr-Cyrl-CS"/>
        </w:rPr>
        <w:footnoteReference w:id="50"/>
      </w:r>
      <w:r w:rsidR="00C67735" w:rsidRPr="005303F7">
        <w:rPr>
          <w:rFonts w:ascii="Times New Roman" w:hAnsi="Times New Roman"/>
          <w:sz w:val="24"/>
          <w:lang w:val="sr-Cyrl-CS"/>
        </w:rPr>
        <w:t xml:space="preserve">. </w:t>
      </w:r>
      <w:r w:rsidR="00BF65FC" w:rsidRPr="005303F7">
        <w:rPr>
          <w:rFonts w:ascii="Times New Roman" w:hAnsi="Times New Roman"/>
          <w:sz w:val="24"/>
          <w:lang w:val="sr-Cyrl-CS"/>
        </w:rPr>
        <w:t>С</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друге</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стране</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очекује</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значајан</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раст</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радних</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места</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секторима</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Пољопривреда</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шумарство</w:t>
      </w:r>
      <w:r w:rsidR="0035174D" w:rsidRPr="005303F7">
        <w:rPr>
          <w:rFonts w:ascii="Times New Roman" w:hAnsi="Times New Roman"/>
          <w:sz w:val="24"/>
          <w:lang w:val="sr-Cyrl-CS"/>
        </w:rPr>
        <w:t>”</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посебно</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секторима</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шумарства</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сродних</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сектора</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пример</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дрвени</w:t>
      </w:r>
      <w:r w:rsidR="0024097A" w:rsidRPr="005303F7">
        <w:rPr>
          <w:rFonts w:ascii="Times New Roman" w:hAnsi="Times New Roman"/>
          <w:sz w:val="24"/>
          <w:lang w:val="sr-Cyrl-CS"/>
        </w:rPr>
        <w:t xml:space="preserve"> </w:t>
      </w:r>
      <w:r w:rsidR="00BF65FC" w:rsidRPr="005303F7">
        <w:rPr>
          <w:rFonts w:ascii="Times New Roman" w:hAnsi="Times New Roman"/>
          <w:sz w:val="24"/>
          <w:lang w:val="sr-Cyrl-CS"/>
        </w:rPr>
        <w:t>производи</w:t>
      </w:r>
      <w:r w:rsidR="0024097A" w:rsidRPr="005303F7">
        <w:rPr>
          <w:rFonts w:ascii="Times New Roman" w:hAnsi="Times New Roman"/>
          <w:sz w:val="24"/>
          <w:lang w:val="sr-Cyrl-CS"/>
        </w:rPr>
        <w:t>)</w:t>
      </w:r>
      <w:r w:rsidR="00C67735" w:rsidRPr="005303F7">
        <w:rPr>
          <w:rStyle w:val="FootnoteReference"/>
          <w:rFonts w:ascii="Times New Roman" w:hAnsi="Times New Roman"/>
          <w:sz w:val="18"/>
          <w:lang w:val="sr-Cyrl-CS"/>
        </w:rPr>
        <w:footnoteReference w:id="51"/>
      </w:r>
      <w:r w:rsidR="00C67735" w:rsidRPr="005303F7">
        <w:rPr>
          <w:rFonts w:ascii="Times New Roman" w:hAnsi="Times New Roman"/>
          <w:sz w:val="24"/>
          <w:lang w:val="sr-Cyrl-CS"/>
        </w:rPr>
        <w:t xml:space="preserve">. </w:t>
      </w:r>
    </w:p>
    <w:p w14:paraId="2B3BBFFD" w14:textId="46077A78" w:rsidR="00264F84" w:rsidRPr="005303F7" w:rsidRDefault="00DA7CD2" w:rsidP="00C67735">
      <w:pPr>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том</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смислу</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могу</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очекивати</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негативни</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утицаји</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запосленост</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секторима</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којима</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доминирају</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велике</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компаније</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а</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позитивни</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секторима</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са</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микро</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малим</w:t>
      </w:r>
      <w:r w:rsidR="00264F84" w:rsidRPr="005303F7">
        <w:rPr>
          <w:rFonts w:ascii="Times New Roman" w:hAnsi="Times New Roman"/>
          <w:sz w:val="24"/>
          <w:lang w:val="sr-Cyrl-CS"/>
        </w:rPr>
        <w:t xml:space="preserve"> </w:t>
      </w:r>
      <w:r w:rsidR="00BF65FC" w:rsidRPr="005303F7">
        <w:rPr>
          <w:rFonts w:ascii="Times New Roman" w:hAnsi="Times New Roman"/>
          <w:sz w:val="24"/>
          <w:lang w:val="sr-Cyrl-CS"/>
        </w:rPr>
        <w:t>предузећима</w:t>
      </w:r>
      <w:r w:rsidR="00264F84" w:rsidRPr="005303F7">
        <w:rPr>
          <w:rFonts w:ascii="Times New Roman" w:hAnsi="Times New Roman"/>
          <w:sz w:val="24"/>
          <w:lang w:val="sr-Cyrl-CS"/>
        </w:rPr>
        <w:t>.</w:t>
      </w:r>
    </w:p>
    <w:p w14:paraId="5CD39B8E" w14:textId="4A3085FD" w:rsidR="00C67735" w:rsidRPr="005303F7" w:rsidRDefault="00DA7CD2" w:rsidP="00C67735">
      <w:pPr>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Осим</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тога</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две</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мере</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примена</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ЕТS</w:t>
      </w:r>
      <w:r w:rsidR="006838A1" w:rsidRPr="005303F7">
        <w:rPr>
          <w:rFonts w:ascii="Times New Roman" w:hAnsi="Times New Roman"/>
          <w:sz w:val="24"/>
          <w:lang w:val="sr-Cyrl-CS"/>
        </w:rPr>
        <w:t>-</w:t>
      </w:r>
      <w:r w:rsidR="00BF65FC" w:rsidRPr="005303F7">
        <w:rPr>
          <w:rFonts w:ascii="Times New Roman" w:hAnsi="Times New Roman"/>
          <w:sz w:val="24"/>
          <w:lang w:val="sr-Cyrl-CS"/>
        </w:rPr>
        <w:t>а</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пошумљавања</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могу</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сматрати</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мерама</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које</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имају</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посебан</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утицај</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мушкарце</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јер</w:t>
      </w:r>
      <w:r w:rsidR="006838A1" w:rsidRPr="005303F7">
        <w:rPr>
          <w:rFonts w:ascii="Times New Roman" w:hAnsi="Times New Roman"/>
          <w:sz w:val="24"/>
          <w:lang w:val="sr-Cyrl-CS"/>
        </w:rPr>
        <w:t xml:space="preserve"> </w:t>
      </w:r>
      <w:r w:rsidR="00016298" w:rsidRPr="005303F7">
        <w:rPr>
          <w:rFonts w:ascii="Times New Roman" w:hAnsi="Times New Roman"/>
          <w:sz w:val="24"/>
          <w:lang w:val="sr-Cyrl-CS"/>
        </w:rPr>
        <w:t>ћ</w:t>
      </w:r>
      <w:r w:rsidR="00BF65FC" w:rsidRPr="005303F7">
        <w:rPr>
          <w:rFonts w:ascii="Times New Roman" w:hAnsi="Times New Roman"/>
          <w:sz w:val="24"/>
          <w:lang w:val="sr-Cyrl-CS"/>
        </w:rPr>
        <w:t>е</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прва</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смањити</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број</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радних</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места</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рударском</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сектору</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а</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друга</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повећати</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сектор</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шумарства</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сродне</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секторе</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који</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су</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традиционално</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сектори</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који</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запошљавају</w:t>
      </w:r>
      <w:r w:rsidR="006838A1" w:rsidRPr="005303F7">
        <w:rPr>
          <w:rFonts w:ascii="Times New Roman" w:hAnsi="Times New Roman"/>
          <w:sz w:val="24"/>
          <w:lang w:val="sr-Cyrl-CS"/>
        </w:rPr>
        <w:t xml:space="preserve"> </w:t>
      </w:r>
      <w:r w:rsidR="00BF65FC" w:rsidRPr="005303F7">
        <w:rPr>
          <w:rFonts w:ascii="Times New Roman" w:hAnsi="Times New Roman"/>
          <w:sz w:val="24"/>
          <w:lang w:val="sr-Cyrl-CS"/>
        </w:rPr>
        <w:t>мушкарце</w:t>
      </w:r>
      <w:r w:rsidR="006838A1" w:rsidRPr="005303F7">
        <w:rPr>
          <w:rFonts w:ascii="Times New Roman" w:hAnsi="Times New Roman"/>
          <w:sz w:val="24"/>
          <w:lang w:val="sr-Cyrl-CS"/>
        </w:rPr>
        <w:t>.</w:t>
      </w:r>
      <w:r w:rsidR="00002575" w:rsidRPr="005303F7">
        <w:rPr>
          <w:rFonts w:ascii="Times New Roman" w:hAnsi="Times New Roman"/>
          <w:sz w:val="24"/>
          <w:lang w:val="sr-Cyrl-CS"/>
        </w:rPr>
        <w:t xml:space="preserve"> </w:t>
      </w:r>
    </w:p>
    <w:p w14:paraId="483094F1" w14:textId="093FB35A" w:rsidR="00C67735" w:rsidRPr="005303F7" w:rsidRDefault="00BF65FC" w:rsidP="00D93231">
      <w:pPr>
        <w:pStyle w:val="ListParagraph"/>
        <w:numPr>
          <w:ilvl w:val="0"/>
          <w:numId w:val="38"/>
        </w:numPr>
        <w:spacing w:after="240"/>
        <w:rPr>
          <w:rFonts w:ascii="Times New Roman" w:hAnsi="Times New Roman" w:cs="Times New Roman"/>
          <w:b/>
          <w:i/>
          <w:sz w:val="24"/>
          <w:lang w:val="sr-Cyrl-CS"/>
        </w:rPr>
      </w:pPr>
      <w:r w:rsidRPr="005303F7">
        <w:rPr>
          <w:rFonts w:ascii="Times New Roman" w:hAnsi="Times New Roman" w:cs="Times New Roman"/>
          <w:b/>
          <w:i/>
          <w:sz w:val="24"/>
          <w:lang w:val="sr-Cyrl-CS" w:eastAsia="en-US"/>
        </w:rPr>
        <w:t>Удео</w:t>
      </w:r>
      <w:r w:rsidR="00894342" w:rsidRPr="005303F7">
        <w:rPr>
          <w:rFonts w:ascii="Times New Roman" w:hAnsi="Times New Roman" w:cs="Times New Roman"/>
          <w:b/>
          <w:i/>
          <w:sz w:val="24"/>
          <w:lang w:val="sr-Cyrl-CS" w:eastAsia="en-US"/>
        </w:rPr>
        <w:t xml:space="preserve"> </w:t>
      </w:r>
      <w:r w:rsidRPr="005303F7">
        <w:rPr>
          <w:rFonts w:ascii="Times New Roman" w:hAnsi="Times New Roman" w:cs="Times New Roman"/>
          <w:b/>
          <w:i/>
          <w:sz w:val="24"/>
          <w:lang w:val="sr-Cyrl-CS" w:eastAsia="en-US"/>
        </w:rPr>
        <w:t>трошкова</w:t>
      </w:r>
      <w:r w:rsidR="00894342" w:rsidRPr="005303F7">
        <w:rPr>
          <w:rFonts w:ascii="Times New Roman" w:hAnsi="Times New Roman" w:cs="Times New Roman"/>
          <w:b/>
          <w:i/>
          <w:sz w:val="24"/>
          <w:lang w:val="sr-Cyrl-CS" w:eastAsia="en-US"/>
        </w:rPr>
        <w:t xml:space="preserve"> </w:t>
      </w:r>
      <w:r w:rsidRPr="005303F7">
        <w:rPr>
          <w:rFonts w:ascii="Times New Roman" w:hAnsi="Times New Roman" w:cs="Times New Roman"/>
          <w:b/>
          <w:i/>
          <w:sz w:val="24"/>
          <w:lang w:val="sr-Cyrl-CS" w:eastAsia="en-US"/>
        </w:rPr>
        <w:t>за</w:t>
      </w:r>
      <w:r w:rsidR="00894342" w:rsidRPr="005303F7">
        <w:rPr>
          <w:rFonts w:ascii="Times New Roman" w:hAnsi="Times New Roman" w:cs="Times New Roman"/>
          <w:b/>
          <w:i/>
          <w:sz w:val="24"/>
          <w:lang w:val="sr-Cyrl-CS" w:eastAsia="en-US"/>
        </w:rPr>
        <w:t xml:space="preserve"> </w:t>
      </w:r>
      <w:r w:rsidRPr="005303F7">
        <w:rPr>
          <w:rFonts w:ascii="Times New Roman" w:hAnsi="Times New Roman" w:cs="Times New Roman"/>
          <w:b/>
          <w:i/>
          <w:sz w:val="24"/>
          <w:lang w:val="sr-Cyrl-CS" w:eastAsia="en-US"/>
        </w:rPr>
        <w:t>енергију</w:t>
      </w:r>
      <w:r w:rsidR="00894342" w:rsidRPr="005303F7">
        <w:rPr>
          <w:rFonts w:ascii="Times New Roman" w:hAnsi="Times New Roman" w:cs="Times New Roman"/>
          <w:b/>
          <w:i/>
          <w:sz w:val="24"/>
          <w:lang w:val="sr-Cyrl-CS" w:eastAsia="en-US"/>
        </w:rPr>
        <w:t xml:space="preserve"> </w:t>
      </w:r>
      <w:r w:rsidRPr="005303F7">
        <w:rPr>
          <w:rFonts w:ascii="Times New Roman" w:hAnsi="Times New Roman" w:cs="Times New Roman"/>
          <w:b/>
          <w:i/>
          <w:sz w:val="24"/>
          <w:lang w:val="sr-Cyrl-CS" w:eastAsia="en-US"/>
        </w:rPr>
        <w:t>у</w:t>
      </w:r>
      <w:r w:rsidR="00894342" w:rsidRPr="005303F7">
        <w:rPr>
          <w:rFonts w:ascii="Times New Roman" w:hAnsi="Times New Roman" w:cs="Times New Roman"/>
          <w:b/>
          <w:i/>
          <w:sz w:val="24"/>
          <w:lang w:val="sr-Cyrl-CS" w:eastAsia="en-US"/>
        </w:rPr>
        <w:t xml:space="preserve"> </w:t>
      </w:r>
      <w:r w:rsidRPr="005303F7">
        <w:rPr>
          <w:rFonts w:ascii="Times New Roman" w:hAnsi="Times New Roman" w:cs="Times New Roman"/>
          <w:b/>
          <w:i/>
          <w:sz w:val="24"/>
          <w:lang w:val="sr-Cyrl-CS" w:eastAsia="en-US"/>
        </w:rPr>
        <w:t>расходима</w:t>
      </w:r>
      <w:r w:rsidR="00894342" w:rsidRPr="005303F7">
        <w:rPr>
          <w:rFonts w:ascii="Times New Roman" w:hAnsi="Times New Roman" w:cs="Times New Roman"/>
          <w:b/>
          <w:i/>
          <w:sz w:val="24"/>
          <w:lang w:val="sr-Cyrl-CS" w:eastAsia="en-US"/>
        </w:rPr>
        <w:t xml:space="preserve"> </w:t>
      </w:r>
      <w:r w:rsidRPr="005303F7">
        <w:rPr>
          <w:rFonts w:ascii="Times New Roman" w:hAnsi="Times New Roman" w:cs="Times New Roman"/>
          <w:b/>
          <w:i/>
          <w:sz w:val="24"/>
          <w:lang w:val="sr-Cyrl-CS" w:eastAsia="en-US"/>
        </w:rPr>
        <w:t>домаћинства</w:t>
      </w:r>
    </w:p>
    <w:p w14:paraId="7027D171" w14:textId="3364DF3E" w:rsidR="007D71AA" w:rsidRPr="005303F7" w:rsidRDefault="00DA7CD2" w:rsidP="00496237">
      <w:pPr>
        <w:tabs>
          <w:tab w:val="clear" w:pos="3825"/>
        </w:tabs>
        <w:overflowPunct/>
        <w:autoSpaceDE/>
        <w:autoSpaceDN/>
        <w:adjustRightInd/>
        <w:spacing w:before="0" w:after="0"/>
        <w:textAlignment w:val="auto"/>
        <w:rPr>
          <w:rFonts w:ascii="Times New Roman" w:hAnsi="Times New Roman"/>
          <w:sz w:val="24"/>
          <w:lang w:val="sr-Cyrl-CS"/>
        </w:rPr>
      </w:pPr>
      <w:r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Удео</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трошкова</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за</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енергију</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расходима</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дома</w:t>
      </w:r>
      <w:r w:rsidR="00016298" w:rsidRPr="005303F7">
        <w:rPr>
          <w:rFonts w:ascii="Times New Roman" w:hAnsi="Times New Roman"/>
          <w:sz w:val="24"/>
          <w:lang w:val="sr-Cyrl-CS" w:eastAsia="en-US"/>
        </w:rPr>
        <w:t>ћ</w:t>
      </w:r>
      <w:r w:rsidR="00BF65FC" w:rsidRPr="005303F7">
        <w:rPr>
          <w:rFonts w:ascii="Times New Roman" w:hAnsi="Times New Roman"/>
          <w:sz w:val="24"/>
          <w:lang w:val="sr-Cyrl-CS" w:eastAsia="en-US"/>
        </w:rPr>
        <w:t>инстава</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незнатно</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варира</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од</w:t>
      </w:r>
      <w:r w:rsidR="00076682" w:rsidRPr="005303F7">
        <w:rPr>
          <w:rFonts w:ascii="Times New Roman" w:hAnsi="Times New Roman"/>
          <w:sz w:val="24"/>
          <w:lang w:val="sr-Cyrl-CS" w:eastAsia="en-US"/>
        </w:rPr>
        <w:t xml:space="preserve"> 18% </w:t>
      </w:r>
      <w:r w:rsidR="00BF65FC" w:rsidRPr="005303F7">
        <w:rPr>
          <w:rFonts w:ascii="Times New Roman" w:hAnsi="Times New Roman"/>
          <w:sz w:val="24"/>
          <w:lang w:val="sr-Cyrl-CS" w:eastAsia="en-US"/>
        </w:rPr>
        <w:t>у</w:t>
      </w:r>
      <w:r w:rsidR="00076682" w:rsidRPr="005303F7">
        <w:rPr>
          <w:rFonts w:ascii="Times New Roman" w:hAnsi="Times New Roman"/>
          <w:sz w:val="24"/>
          <w:lang w:val="sr-Cyrl-CS" w:eastAsia="en-US"/>
        </w:rPr>
        <w:t xml:space="preserve"> 2020. </w:t>
      </w:r>
      <w:r w:rsidR="00BF65FC" w:rsidRPr="005303F7">
        <w:rPr>
          <w:rFonts w:ascii="Times New Roman" w:hAnsi="Times New Roman"/>
          <w:sz w:val="24"/>
          <w:lang w:val="sr-Cyrl-CS" w:eastAsia="en-US"/>
        </w:rPr>
        <w:t>години</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до</w:t>
      </w:r>
      <w:r w:rsidR="00076682" w:rsidRPr="005303F7">
        <w:rPr>
          <w:rFonts w:ascii="Times New Roman" w:hAnsi="Times New Roman"/>
          <w:sz w:val="24"/>
          <w:lang w:val="sr-Cyrl-CS" w:eastAsia="en-US"/>
        </w:rPr>
        <w:t xml:space="preserve"> 15% 2050. </w:t>
      </w:r>
      <w:r w:rsidR="00BF65FC" w:rsidRPr="005303F7">
        <w:rPr>
          <w:rFonts w:ascii="Times New Roman" w:hAnsi="Times New Roman"/>
          <w:sz w:val="24"/>
          <w:lang w:val="sr-Cyrl-CS" w:eastAsia="en-US"/>
        </w:rPr>
        <w:t>години</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Б</w:t>
      </w:r>
      <w:r w:rsidR="00076682" w:rsidRPr="005303F7">
        <w:rPr>
          <w:rFonts w:ascii="Times New Roman" w:hAnsi="Times New Roman"/>
          <w:sz w:val="24"/>
          <w:lang w:val="sr-Cyrl-CS" w:eastAsia="en-US"/>
        </w:rPr>
        <w:t xml:space="preserve">2 </w:t>
      </w:r>
      <w:r w:rsidR="00BF65FC" w:rsidRPr="005303F7">
        <w:rPr>
          <w:rFonts w:ascii="Times New Roman" w:hAnsi="Times New Roman"/>
          <w:sz w:val="24"/>
          <w:lang w:val="sr-Cyrl-CS" w:eastAsia="en-US"/>
        </w:rPr>
        <w:t>основном</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сценарију</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Спровођење</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мера</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из</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Стратегије</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би</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значило</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пове</w:t>
      </w:r>
      <w:r w:rsidR="00016298" w:rsidRPr="005303F7">
        <w:rPr>
          <w:rFonts w:ascii="Times New Roman" w:hAnsi="Times New Roman"/>
          <w:sz w:val="24"/>
          <w:lang w:val="sr-Cyrl-CS" w:eastAsia="en-US"/>
        </w:rPr>
        <w:t>ћ</w:t>
      </w:r>
      <w:r w:rsidR="00BF65FC" w:rsidRPr="005303F7">
        <w:rPr>
          <w:rFonts w:ascii="Times New Roman" w:hAnsi="Times New Roman"/>
          <w:sz w:val="24"/>
          <w:lang w:val="sr-Cyrl-CS" w:eastAsia="en-US"/>
        </w:rPr>
        <w:t>ање</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удела</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трошкова</w:t>
      </w:r>
      <w:r w:rsidR="00C9008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на</w:t>
      </w:r>
      <w:r w:rsidR="00076682" w:rsidRPr="005303F7">
        <w:rPr>
          <w:rFonts w:ascii="Times New Roman" w:hAnsi="Times New Roman"/>
          <w:sz w:val="24"/>
          <w:lang w:val="sr-Cyrl-CS" w:eastAsia="en-US"/>
        </w:rPr>
        <w:t xml:space="preserve"> 19,1% </w:t>
      </w:r>
      <w:r w:rsidR="00BF65FC" w:rsidRPr="005303F7">
        <w:rPr>
          <w:rFonts w:ascii="Times New Roman" w:hAnsi="Times New Roman"/>
          <w:sz w:val="24"/>
          <w:lang w:val="sr-Cyrl-CS" w:eastAsia="en-US"/>
        </w:rPr>
        <w:t>у</w:t>
      </w:r>
      <w:r w:rsidR="00076682" w:rsidRPr="005303F7">
        <w:rPr>
          <w:rFonts w:ascii="Times New Roman" w:hAnsi="Times New Roman"/>
          <w:sz w:val="24"/>
          <w:lang w:val="sr-Cyrl-CS" w:eastAsia="en-US"/>
        </w:rPr>
        <w:t xml:space="preserve"> 2030. </w:t>
      </w:r>
      <w:r w:rsidR="00BF65FC" w:rsidRPr="005303F7">
        <w:rPr>
          <w:rFonts w:ascii="Times New Roman" w:hAnsi="Times New Roman"/>
          <w:sz w:val="24"/>
          <w:lang w:val="sr-Cyrl-CS" w:eastAsia="en-US"/>
        </w:rPr>
        <w:t>години</w:t>
      </w:r>
      <w:r w:rsidR="00626B51"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До</w:t>
      </w:r>
      <w:r w:rsidR="00076682" w:rsidRPr="005303F7">
        <w:rPr>
          <w:rFonts w:ascii="Times New Roman" w:hAnsi="Times New Roman"/>
          <w:sz w:val="24"/>
          <w:lang w:val="sr-Cyrl-CS" w:eastAsia="en-US"/>
        </w:rPr>
        <w:t xml:space="preserve"> 2050</w:t>
      </w:r>
      <w:r w:rsidR="00626B51"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године</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пројектовано</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је</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повећање</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удела</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трошкова</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за</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енергију</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потрошњи</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дома</w:t>
      </w:r>
      <w:r w:rsidR="00016298" w:rsidRPr="005303F7">
        <w:rPr>
          <w:rFonts w:ascii="Times New Roman" w:hAnsi="Times New Roman"/>
          <w:sz w:val="24"/>
          <w:lang w:val="sr-Cyrl-CS" w:eastAsia="en-US"/>
        </w:rPr>
        <w:t>ћ</w:t>
      </w:r>
      <w:r w:rsidR="00BF65FC" w:rsidRPr="005303F7">
        <w:rPr>
          <w:rFonts w:ascii="Times New Roman" w:hAnsi="Times New Roman"/>
          <w:sz w:val="24"/>
          <w:lang w:val="sr-Cyrl-CS" w:eastAsia="en-US"/>
        </w:rPr>
        <w:t>инстава</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односу</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на</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исту</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годину</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B97F6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основном</w:t>
      </w:r>
      <w:r w:rsidR="00B97F6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сценарију</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за</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додатних</w:t>
      </w:r>
      <w:r w:rsidR="00076682" w:rsidRPr="005303F7">
        <w:rPr>
          <w:rFonts w:ascii="Times New Roman" w:hAnsi="Times New Roman"/>
          <w:sz w:val="24"/>
          <w:lang w:val="sr-Cyrl-CS" w:eastAsia="en-US"/>
        </w:rPr>
        <w:t xml:space="preserve"> 2,7% (</w:t>
      </w:r>
      <w:r w:rsidR="00BF65FC" w:rsidRPr="005303F7">
        <w:rPr>
          <w:rFonts w:ascii="Times New Roman" w:hAnsi="Times New Roman"/>
          <w:sz w:val="24"/>
          <w:lang w:val="sr-Cyrl-CS" w:eastAsia="en-US"/>
        </w:rPr>
        <w:t>на</w:t>
      </w:r>
      <w:r w:rsidR="00076682" w:rsidRPr="005303F7">
        <w:rPr>
          <w:rFonts w:ascii="Times New Roman" w:hAnsi="Times New Roman"/>
          <w:sz w:val="24"/>
          <w:lang w:val="sr-Cyrl-CS" w:eastAsia="en-US"/>
        </w:rPr>
        <w:t xml:space="preserve"> 17,7%) </w:t>
      </w:r>
      <w:r w:rsidR="00BF65FC" w:rsidRPr="005303F7">
        <w:rPr>
          <w:rFonts w:ascii="Times New Roman" w:hAnsi="Times New Roman"/>
          <w:sz w:val="24"/>
          <w:lang w:val="sr-Cyrl-CS" w:eastAsia="en-US"/>
        </w:rPr>
        <w:t>у</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сценарију</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w:t>
      </w:r>
      <w:r w:rsidR="00076682" w:rsidRPr="005303F7">
        <w:rPr>
          <w:rFonts w:ascii="Times New Roman" w:hAnsi="Times New Roman"/>
          <w:sz w:val="24"/>
          <w:lang w:val="sr-Cyrl-CS" w:eastAsia="en-US"/>
        </w:rPr>
        <w:t xml:space="preserve">2, 2,8% </w:t>
      </w:r>
      <w:r w:rsidR="00BF65FC" w:rsidRPr="005303F7">
        <w:rPr>
          <w:rFonts w:ascii="Times New Roman" w:hAnsi="Times New Roman"/>
          <w:sz w:val="24"/>
          <w:lang w:val="sr-Cyrl-CS" w:eastAsia="en-US"/>
        </w:rPr>
        <w:t>у</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w:t>
      </w:r>
      <w:r w:rsidR="00076682" w:rsidRPr="005303F7">
        <w:rPr>
          <w:rFonts w:ascii="Times New Roman" w:hAnsi="Times New Roman"/>
          <w:sz w:val="24"/>
          <w:lang w:val="sr-Cyrl-CS" w:eastAsia="en-US"/>
        </w:rPr>
        <w:t>3 (</w:t>
      </w:r>
      <w:r w:rsidR="00BF65FC" w:rsidRPr="005303F7">
        <w:rPr>
          <w:rFonts w:ascii="Times New Roman" w:hAnsi="Times New Roman"/>
          <w:sz w:val="24"/>
          <w:lang w:val="sr-Cyrl-CS" w:eastAsia="en-US"/>
        </w:rPr>
        <w:t>на</w:t>
      </w:r>
      <w:r w:rsidR="00076682" w:rsidRPr="005303F7">
        <w:rPr>
          <w:rFonts w:ascii="Times New Roman" w:hAnsi="Times New Roman"/>
          <w:sz w:val="24"/>
          <w:lang w:val="sr-Cyrl-CS" w:eastAsia="en-US"/>
        </w:rPr>
        <w:t xml:space="preserve"> 17,8%) </w:t>
      </w:r>
      <w:r w:rsidR="00BF65FC" w:rsidRPr="005303F7">
        <w:rPr>
          <w:rFonts w:ascii="Times New Roman" w:hAnsi="Times New Roman"/>
          <w:sz w:val="24"/>
          <w:lang w:val="sr-Cyrl-CS" w:eastAsia="en-US"/>
        </w:rPr>
        <w:t>и</w:t>
      </w:r>
      <w:r w:rsidR="00076682" w:rsidRPr="005303F7">
        <w:rPr>
          <w:rFonts w:ascii="Times New Roman" w:hAnsi="Times New Roman"/>
          <w:sz w:val="24"/>
          <w:lang w:val="sr-Cyrl-CS" w:eastAsia="en-US"/>
        </w:rPr>
        <w:t xml:space="preserve"> 5,3% (</w:t>
      </w:r>
      <w:r w:rsidR="00BF65FC" w:rsidRPr="005303F7">
        <w:rPr>
          <w:rFonts w:ascii="Times New Roman" w:hAnsi="Times New Roman"/>
          <w:sz w:val="24"/>
          <w:lang w:val="sr-Cyrl-CS" w:eastAsia="en-US"/>
        </w:rPr>
        <w:t>на</w:t>
      </w:r>
      <w:r w:rsidR="00076682" w:rsidRPr="005303F7">
        <w:rPr>
          <w:rFonts w:ascii="Times New Roman" w:hAnsi="Times New Roman"/>
          <w:sz w:val="24"/>
          <w:lang w:val="sr-Cyrl-CS" w:eastAsia="en-US"/>
        </w:rPr>
        <w:t xml:space="preserve"> 20,3%) </w:t>
      </w:r>
      <w:r w:rsidR="00BF65FC" w:rsidRPr="005303F7">
        <w:rPr>
          <w:rFonts w:ascii="Times New Roman" w:hAnsi="Times New Roman"/>
          <w:sz w:val="24"/>
          <w:lang w:val="sr-Cyrl-CS" w:eastAsia="en-US"/>
        </w:rPr>
        <w:t>у</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сценарију</w:t>
      </w:r>
      <w:r w:rsidR="0007668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w:t>
      </w:r>
      <w:r w:rsidR="00076682" w:rsidRPr="005303F7">
        <w:rPr>
          <w:rFonts w:ascii="Times New Roman" w:hAnsi="Times New Roman"/>
          <w:sz w:val="24"/>
          <w:lang w:val="sr-Cyrl-CS" w:eastAsia="en-US"/>
        </w:rPr>
        <w:t>4.</w:t>
      </w:r>
      <w:r w:rsidR="008C2DCB" w:rsidRPr="005303F7">
        <w:rPr>
          <w:rFonts w:ascii="Times New Roman" w:hAnsi="Times New Roman"/>
          <w:sz w:val="24"/>
          <w:lang w:val="sr-Cyrl-CS" w:eastAsia="en-US"/>
        </w:rPr>
        <w:t xml:space="preserve"> </w:t>
      </w:r>
      <w:r w:rsidR="00BF65FC" w:rsidRPr="005303F7">
        <w:rPr>
          <w:rFonts w:ascii="Times New Roman" w:hAnsi="Times New Roman"/>
          <w:sz w:val="24"/>
          <w:lang w:val="sr-Cyrl-CS"/>
        </w:rPr>
        <w:t>Овај</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пораст</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цена</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енергије</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повезан</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је</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са</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интернализацијом</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трошкова</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који</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су</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вези</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са</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емисијама</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угљен</w:t>
      </w:r>
      <w:r w:rsidR="004F0CCE" w:rsidRPr="005303F7">
        <w:rPr>
          <w:rFonts w:ascii="Times New Roman" w:hAnsi="Times New Roman"/>
          <w:sz w:val="24"/>
          <w:lang w:val="sr-Cyrl-CS"/>
        </w:rPr>
        <w:t>-</w:t>
      </w:r>
      <w:r w:rsidR="00BF65FC" w:rsidRPr="005303F7">
        <w:rPr>
          <w:rFonts w:ascii="Times New Roman" w:hAnsi="Times New Roman"/>
          <w:sz w:val="24"/>
          <w:lang w:val="sr-Cyrl-CS"/>
        </w:rPr>
        <w:t>диоксида</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инвестицијама</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нискоугљеничне</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технологије</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као</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део</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цене</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енергије</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коју</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плаћају</w:t>
      </w:r>
      <w:r w:rsidR="004F0CCE" w:rsidRPr="005303F7">
        <w:rPr>
          <w:rFonts w:ascii="Times New Roman" w:hAnsi="Times New Roman"/>
          <w:sz w:val="24"/>
          <w:lang w:val="sr-Cyrl-CS"/>
        </w:rPr>
        <w:t xml:space="preserve"> </w:t>
      </w:r>
      <w:r w:rsidR="00BF65FC" w:rsidRPr="005303F7">
        <w:rPr>
          <w:rFonts w:ascii="Times New Roman" w:hAnsi="Times New Roman"/>
          <w:sz w:val="24"/>
          <w:lang w:val="sr-Cyrl-CS"/>
        </w:rPr>
        <w:t>домаћинства</w:t>
      </w:r>
      <w:r w:rsidR="005C2DF8" w:rsidRPr="005303F7">
        <w:rPr>
          <w:rFonts w:ascii="Times New Roman" w:hAnsi="Times New Roman"/>
          <w:sz w:val="24"/>
          <w:lang w:val="sr-Cyrl-CS"/>
        </w:rPr>
        <w:t xml:space="preserve">. </w:t>
      </w:r>
    </w:p>
    <w:p w14:paraId="73BEB027" w14:textId="77777777" w:rsidR="007D71AA" w:rsidRPr="005303F7" w:rsidRDefault="007D71AA" w:rsidP="00496237">
      <w:pPr>
        <w:tabs>
          <w:tab w:val="clear" w:pos="3825"/>
        </w:tabs>
        <w:overflowPunct/>
        <w:autoSpaceDE/>
        <w:autoSpaceDN/>
        <w:adjustRightInd/>
        <w:spacing w:before="0" w:after="0"/>
        <w:textAlignment w:val="auto"/>
        <w:rPr>
          <w:rFonts w:ascii="Times New Roman" w:hAnsi="Times New Roman"/>
          <w:sz w:val="24"/>
          <w:lang w:val="sr-Cyrl-CS"/>
        </w:rPr>
      </w:pPr>
    </w:p>
    <w:p w14:paraId="08961820" w14:textId="424409E5" w:rsidR="00D8697A" w:rsidRPr="005303F7" w:rsidRDefault="00DA7CD2" w:rsidP="00496237">
      <w:pPr>
        <w:tabs>
          <w:tab w:val="clear" w:pos="3825"/>
        </w:tabs>
        <w:overflowPunct/>
        <w:autoSpaceDE/>
        <w:autoSpaceDN/>
        <w:adjustRightInd/>
        <w:spacing w:before="0" w:after="0"/>
        <w:textAlignment w:val="auto"/>
        <w:rPr>
          <w:rFonts w:ascii="Times New Roman" w:hAnsi="Times New Roman"/>
          <w:sz w:val="24"/>
          <w:lang w:val="sr-Cyrl-CS" w:eastAsia="en-US"/>
        </w:rPr>
      </w:pPr>
      <w:r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сваком</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случају</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поређење</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удела</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трошкова</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за</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енергију</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домаћинствима</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D8697A" w:rsidRPr="005303F7">
        <w:rPr>
          <w:rFonts w:ascii="Times New Roman" w:hAnsi="Times New Roman"/>
          <w:sz w:val="24"/>
          <w:lang w:val="sr-Cyrl-CS" w:eastAsia="en-US"/>
        </w:rPr>
        <w:t xml:space="preserve"> 2050.</w:t>
      </w:r>
      <w:r w:rsidR="00016298"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години</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трошковима</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D8697A" w:rsidRPr="005303F7">
        <w:rPr>
          <w:rFonts w:ascii="Times New Roman" w:hAnsi="Times New Roman"/>
          <w:sz w:val="24"/>
          <w:lang w:val="sr-Cyrl-CS" w:eastAsia="en-US"/>
        </w:rPr>
        <w:t xml:space="preserve"> 2020</w:t>
      </w:r>
      <w:r w:rsidR="000E68E2" w:rsidRPr="005303F7">
        <w:rPr>
          <w:rFonts w:ascii="Times New Roman" w:hAnsi="Times New Roman"/>
          <w:sz w:val="24"/>
          <w:lang w:val="sr-Cyrl-CS" w:eastAsia="en-US"/>
        </w:rPr>
        <w:t>.</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години</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Б</w:t>
      </w:r>
      <w:r w:rsidR="00D8697A" w:rsidRPr="005303F7">
        <w:rPr>
          <w:rFonts w:ascii="Times New Roman" w:hAnsi="Times New Roman"/>
          <w:sz w:val="24"/>
          <w:lang w:val="sr-Cyrl-CS" w:eastAsia="en-US"/>
        </w:rPr>
        <w:t xml:space="preserve">2) </w:t>
      </w:r>
      <w:r w:rsidR="00BF65FC" w:rsidRPr="005303F7">
        <w:rPr>
          <w:rFonts w:ascii="Times New Roman" w:hAnsi="Times New Roman"/>
          <w:sz w:val="24"/>
          <w:lang w:val="sr-Cyrl-CS" w:eastAsia="en-US"/>
        </w:rPr>
        <w:t>показује</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да</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ће</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удео</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да</w:t>
      </w:r>
      <w:r w:rsidR="006B73B3"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падне</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за</w:t>
      </w:r>
      <w:r w:rsidR="00D8697A" w:rsidRPr="005303F7">
        <w:rPr>
          <w:rFonts w:ascii="Times New Roman" w:hAnsi="Times New Roman"/>
          <w:sz w:val="24"/>
          <w:lang w:val="sr-Cyrl-CS" w:eastAsia="en-US"/>
        </w:rPr>
        <w:t xml:space="preserve"> 0,2</w:t>
      </w:r>
      <w:r w:rsidR="007D71AA" w:rsidRPr="005303F7">
        <w:rPr>
          <w:rFonts w:ascii="Times New Roman" w:hAnsi="Times New Roman"/>
          <w:sz w:val="24"/>
          <w:lang w:val="sr-Cyrl-CS" w:eastAsia="en-US"/>
        </w:rPr>
        <w:t>%</w:t>
      </w:r>
      <w:r w:rsidR="00D8697A" w:rsidRPr="005303F7">
        <w:rPr>
          <w:rFonts w:ascii="Times New Roman" w:hAnsi="Times New Roman"/>
          <w:sz w:val="24"/>
          <w:lang w:val="sr-Cyrl-CS" w:eastAsia="en-US"/>
        </w:rPr>
        <w:t xml:space="preserve">-0,3% </w:t>
      </w:r>
      <w:r w:rsidR="00BF65FC" w:rsidRPr="005303F7">
        <w:rPr>
          <w:rFonts w:ascii="Times New Roman" w:hAnsi="Times New Roman"/>
          <w:sz w:val="24"/>
          <w:lang w:val="sr-Cyrl-CS" w:eastAsia="en-US"/>
        </w:rPr>
        <w:t>са</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применом</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w:t>
      </w:r>
      <w:r w:rsidR="00D8697A" w:rsidRPr="005303F7">
        <w:rPr>
          <w:rFonts w:ascii="Times New Roman" w:hAnsi="Times New Roman"/>
          <w:sz w:val="24"/>
          <w:lang w:val="sr-Cyrl-CS" w:eastAsia="en-US"/>
        </w:rPr>
        <w:t xml:space="preserve">2 </w:t>
      </w:r>
      <w:r w:rsidR="00BF65FC" w:rsidRPr="005303F7">
        <w:rPr>
          <w:rFonts w:ascii="Times New Roman" w:hAnsi="Times New Roman"/>
          <w:sz w:val="24"/>
          <w:lang w:val="sr-Cyrl-CS" w:eastAsia="en-US"/>
        </w:rPr>
        <w:t>и</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w:t>
      </w:r>
      <w:r w:rsidR="00D8697A" w:rsidRPr="005303F7">
        <w:rPr>
          <w:rFonts w:ascii="Times New Roman" w:hAnsi="Times New Roman"/>
          <w:sz w:val="24"/>
          <w:lang w:val="sr-Cyrl-CS" w:eastAsia="en-US"/>
        </w:rPr>
        <w:t xml:space="preserve">3, </w:t>
      </w:r>
      <w:r w:rsidR="00BF65FC" w:rsidRPr="005303F7">
        <w:rPr>
          <w:rFonts w:ascii="Times New Roman" w:hAnsi="Times New Roman"/>
          <w:sz w:val="24"/>
          <w:lang w:val="sr-Cyrl-CS" w:eastAsia="en-US"/>
        </w:rPr>
        <w:t>односно</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порасти</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за</w:t>
      </w:r>
      <w:r w:rsidR="00D8697A" w:rsidRPr="005303F7">
        <w:rPr>
          <w:rFonts w:ascii="Times New Roman" w:hAnsi="Times New Roman"/>
          <w:sz w:val="24"/>
          <w:lang w:val="sr-Cyrl-CS" w:eastAsia="en-US"/>
        </w:rPr>
        <w:t xml:space="preserve"> 2,</w:t>
      </w:r>
      <w:r w:rsidR="007D71AA" w:rsidRPr="005303F7">
        <w:rPr>
          <w:rFonts w:ascii="Times New Roman" w:hAnsi="Times New Roman"/>
          <w:sz w:val="24"/>
          <w:lang w:val="sr-Cyrl-CS" w:eastAsia="en-US"/>
        </w:rPr>
        <w:t>3</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D8697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w:t>
      </w:r>
      <w:r w:rsidR="00D8697A" w:rsidRPr="005303F7">
        <w:rPr>
          <w:rFonts w:ascii="Times New Roman" w:hAnsi="Times New Roman"/>
          <w:sz w:val="24"/>
          <w:lang w:val="sr-Cyrl-CS" w:eastAsia="en-US"/>
        </w:rPr>
        <w:t xml:space="preserve">4 </w:t>
      </w:r>
      <w:r w:rsidR="00BF65FC" w:rsidRPr="005303F7">
        <w:rPr>
          <w:rFonts w:ascii="Times New Roman" w:hAnsi="Times New Roman"/>
          <w:sz w:val="24"/>
          <w:lang w:val="sr-Cyrl-CS" w:eastAsia="en-US"/>
        </w:rPr>
        <w:t>сценарију</w:t>
      </w:r>
      <w:r w:rsidR="000E68E2" w:rsidRPr="005303F7">
        <w:rPr>
          <w:rFonts w:ascii="Times New Roman" w:hAnsi="Times New Roman"/>
          <w:sz w:val="24"/>
          <w:lang w:val="sr-Cyrl-CS" w:eastAsia="en-US"/>
        </w:rPr>
        <w:t>.</w:t>
      </w:r>
    </w:p>
    <w:p w14:paraId="45CE1754" w14:textId="5D45C866" w:rsidR="00C67735" w:rsidRPr="005303F7" w:rsidRDefault="00BF65FC" w:rsidP="00C91A4C">
      <w:pPr>
        <w:spacing w:after="60"/>
        <w:rPr>
          <w:rFonts w:ascii="Times New Roman" w:hAnsi="Times New Roman"/>
          <w:b/>
          <w:bCs/>
          <w:i/>
          <w:iCs/>
          <w:sz w:val="20"/>
          <w:szCs w:val="18"/>
          <w:lang w:val="sr-Cyrl-CS"/>
        </w:rPr>
      </w:pPr>
      <w:bookmarkStart w:id="222" w:name="_Toc13132541"/>
      <w:bookmarkStart w:id="223" w:name="_Toc26450878"/>
      <w:r w:rsidRPr="005303F7">
        <w:rPr>
          <w:rFonts w:ascii="Times New Roman" w:hAnsi="Times New Roman"/>
          <w:b/>
          <w:bCs/>
          <w:i/>
          <w:iCs/>
          <w:sz w:val="20"/>
          <w:szCs w:val="18"/>
          <w:lang w:val="sr-Cyrl-CS"/>
        </w:rPr>
        <w:t>Табела</w:t>
      </w:r>
      <w:r w:rsidR="0017411B" w:rsidRPr="005303F7">
        <w:rPr>
          <w:rFonts w:ascii="Times New Roman" w:hAnsi="Times New Roman"/>
          <w:b/>
          <w:bCs/>
          <w:i/>
          <w:iCs/>
          <w:sz w:val="20"/>
          <w:szCs w:val="18"/>
          <w:lang w:val="sr-Cyrl-CS"/>
        </w:rPr>
        <w:t xml:space="preserve"> </w:t>
      </w:r>
      <w:r w:rsidR="00D35E3C" w:rsidRPr="005303F7">
        <w:rPr>
          <w:rFonts w:ascii="Times New Roman" w:hAnsi="Times New Roman"/>
          <w:b/>
          <w:bCs/>
          <w:i/>
          <w:iCs/>
          <w:sz w:val="20"/>
          <w:szCs w:val="18"/>
          <w:lang w:val="sr-Cyrl-CS"/>
        </w:rPr>
        <w:fldChar w:fldCharType="begin"/>
      </w:r>
      <w:r w:rsidR="00D35E3C" w:rsidRPr="005303F7">
        <w:rPr>
          <w:rFonts w:ascii="Times New Roman" w:hAnsi="Times New Roman"/>
          <w:b/>
          <w:bCs/>
          <w:i/>
          <w:iCs/>
          <w:sz w:val="20"/>
          <w:szCs w:val="18"/>
          <w:lang w:val="sr-Cyrl-CS"/>
        </w:rPr>
        <w:instrText xml:space="preserve"> SEQ Table \* ARABIC </w:instrText>
      </w:r>
      <w:r w:rsidR="00D35E3C" w:rsidRPr="005303F7">
        <w:rPr>
          <w:rFonts w:ascii="Times New Roman" w:hAnsi="Times New Roman"/>
          <w:b/>
          <w:bCs/>
          <w:i/>
          <w:iCs/>
          <w:sz w:val="20"/>
          <w:szCs w:val="18"/>
          <w:lang w:val="sr-Cyrl-CS"/>
        </w:rPr>
        <w:fldChar w:fldCharType="separate"/>
      </w:r>
      <w:r w:rsidR="00DA2595" w:rsidRPr="005303F7">
        <w:rPr>
          <w:rFonts w:ascii="Times New Roman" w:hAnsi="Times New Roman"/>
          <w:b/>
          <w:bCs/>
          <w:i/>
          <w:iCs/>
          <w:noProof/>
          <w:sz w:val="20"/>
          <w:szCs w:val="18"/>
          <w:lang w:val="sr-Cyrl-CS"/>
        </w:rPr>
        <w:t>6</w:t>
      </w:r>
      <w:r w:rsidR="00D35E3C" w:rsidRPr="005303F7">
        <w:rPr>
          <w:rFonts w:ascii="Times New Roman" w:hAnsi="Times New Roman"/>
          <w:b/>
          <w:bCs/>
          <w:i/>
          <w:iCs/>
          <w:sz w:val="20"/>
          <w:szCs w:val="18"/>
          <w:lang w:val="sr-Cyrl-CS"/>
        </w:rPr>
        <w:fldChar w:fldCharType="end"/>
      </w:r>
      <w:r w:rsidR="00C67735" w:rsidRPr="005303F7">
        <w:rPr>
          <w:rFonts w:ascii="Times New Roman" w:hAnsi="Times New Roman"/>
          <w:b/>
          <w:bCs/>
          <w:i/>
          <w:iCs/>
          <w:sz w:val="20"/>
          <w:szCs w:val="18"/>
          <w:lang w:val="sr-Cyrl-CS"/>
        </w:rPr>
        <w:t xml:space="preserve">: </w:t>
      </w:r>
      <w:bookmarkEnd w:id="222"/>
      <w:r w:rsidRPr="005303F7">
        <w:rPr>
          <w:rFonts w:ascii="Times New Roman" w:hAnsi="Times New Roman"/>
          <w:b/>
          <w:bCs/>
          <w:i/>
          <w:iCs/>
          <w:sz w:val="20"/>
          <w:szCs w:val="18"/>
          <w:lang w:val="sr-Cyrl-CS"/>
        </w:rPr>
        <w:t>Удео</w:t>
      </w:r>
      <w:r w:rsidR="00FF6C4E"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трошкова</w:t>
      </w:r>
      <w:r w:rsidR="00FF6C4E"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за</w:t>
      </w:r>
      <w:r w:rsidR="00FF6C4E"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енергију</w:t>
      </w:r>
      <w:r w:rsidR="00FF6C4E"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у</w:t>
      </w:r>
      <w:r w:rsidR="00FF6C4E"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расходима</w:t>
      </w:r>
      <w:r w:rsidR="00FF6C4E"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домаћинств</w:t>
      </w:r>
      <w:bookmarkEnd w:id="223"/>
      <w:r w:rsidRPr="005303F7">
        <w:rPr>
          <w:rFonts w:ascii="Times New Roman" w:hAnsi="Times New Roman"/>
          <w:b/>
          <w:bCs/>
          <w:i/>
          <w:iCs/>
          <w:sz w:val="20"/>
          <w:szCs w:val="18"/>
          <w:lang w:val="sr-Cyrl-CS"/>
        </w:rPr>
        <w:t>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4A0" w:firstRow="1" w:lastRow="0" w:firstColumn="1" w:lastColumn="0" w:noHBand="0" w:noVBand="1"/>
      </w:tblPr>
      <w:tblGrid>
        <w:gridCol w:w="2307"/>
        <w:gridCol w:w="1726"/>
        <w:gridCol w:w="1728"/>
        <w:gridCol w:w="1728"/>
        <w:gridCol w:w="1723"/>
      </w:tblGrid>
      <w:tr w:rsidR="00C67735" w:rsidRPr="005303F7" w14:paraId="5D8431F6" w14:textId="4760BCFD" w:rsidTr="007F21EA">
        <w:trPr>
          <w:trHeight w:val="467"/>
        </w:trPr>
        <w:tc>
          <w:tcPr>
            <w:tcW w:w="1252" w:type="pct"/>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14:paraId="0E61CA3C" w14:textId="12730E04" w:rsidR="00C67735" w:rsidRPr="005303F7" w:rsidRDefault="00C67735" w:rsidP="0047133D">
            <w:pPr>
              <w:tabs>
                <w:tab w:val="clear" w:pos="3825"/>
              </w:tabs>
              <w:overflowPunct/>
              <w:autoSpaceDE/>
              <w:autoSpaceDN/>
              <w:adjustRightInd/>
              <w:spacing w:before="0" w:after="0"/>
              <w:jc w:val="left"/>
              <w:textAlignment w:val="auto"/>
              <w:rPr>
                <w:rFonts w:ascii="Times New Roman" w:hAnsi="Times New Roman"/>
                <w:sz w:val="20"/>
                <w:lang w:val="sr-Cyrl-CS" w:eastAsia="pt-PT"/>
              </w:rPr>
            </w:pPr>
          </w:p>
        </w:tc>
        <w:tc>
          <w:tcPr>
            <w:tcW w:w="3748" w:type="pct"/>
            <w:gridSpan w:val="4"/>
            <w:tcBorders>
              <w:left w:val="single" w:sz="4" w:space="0" w:color="auto"/>
            </w:tcBorders>
            <w:shd w:val="clear" w:color="auto" w:fill="D9D9D9" w:themeFill="background1" w:themeFillShade="D9"/>
            <w:vAlign w:val="center"/>
            <w:hideMark/>
          </w:tcPr>
          <w:p w14:paraId="589815AB" w14:textId="692BBFE7" w:rsidR="00C67735" w:rsidRPr="005303F7" w:rsidRDefault="00BF65FC" w:rsidP="0047133D">
            <w:pPr>
              <w:tabs>
                <w:tab w:val="clear" w:pos="3825"/>
              </w:tabs>
              <w:overflowPunct/>
              <w:autoSpaceDE/>
              <w:autoSpaceDN/>
              <w:adjustRightInd/>
              <w:spacing w:before="0" w:after="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Удео</w:t>
            </w:r>
            <w:r w:rsidR="00FF6C4E"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трошкова</w:t>
            </w:r>
            <w:r w:rsidR="00FF6C4E"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за</w:t>
            </w:r>
            <w:r w:rsidR="00FF6C4E"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енергију</w:t>
            </w:r>
            <w:r w:rsidR="00FF6C4E"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у</w:t>
            </w:r>
            <w:r w:rsidR="00FF6C4E"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расходима</w:t>
            </w:r>
            <w:r w:rsidR="00FF6C4E"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домаћинства</w:t>
            </w:r>
          </w:p>
        </w:tc>
      </w:tr>
      <w:tr w:rsidR="00C67735" w:rsidRPr="005303F7" w14:paraId="359863BB" w14:textId="43B1F001" w:rsidTr="005877B5">
        <w:trPr>
          <w:trHeight w:val="20"/>
        </w:trPr>
        <w:tc>
          <w:tcPr>
            <w:tcW w:w="1252"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37D9956" w14:textId="653F0389"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p>
        </w:tc>
        <w:tc>
          <w:tcPr>
            <w:tcW w:w="937" w:type="pct"/>
            <w:tcBorders>
              <w:left w:val="single" w:sz="4" w:space="0" w:color="auto"/>
            </w:tcBorders>
            <w:shd w:val="clear" w:color="auto" w:fill="D9D9D9" w:themeFill="background1" w:themeFillShade="D9"/>
            <w:vAlign w:val="center"/>
            <w:hideMark/>
          </w:tcPr>
          <w:p w14:paraId="74705274" w14:textId="3719FF5B"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2020</w:t>
            </w:r>
            <w:r w:rsidR="00FF6C4E" w:rsidRPr="005303F7">
              <w:rPr>
                <w:rFonts w:ascii="Times New Roman" w:hAnsi="Times New Roman"/>
                <w:b/>
                <w:bCs/>
                <w:sz w:val="20"/>
                <w:lang w:val="sr-Cyrl-CS" w:eastAsia="pt-PT"/>
              </w:rPr>
              <w:t>.</w:t>
            </w:r>
          </w:p>
        </w:tc>
        <w:tc>
          <w:tcPr>
            <w:tcW w:w="938" w:type="pct"/>
            <w:shd w:val="clear" w:color="auto" w:fill="D9D9D9" w:themeFill="background1" w:themeFillShade="D9"/>
            <w:vAlign w:val="center"/>
            <w:hideMark/>
          </w:tcPr>
          <w:p w14:paraId="141820A8" w14:textId="7B661495"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2025</w:t>
            </w:r>
            <w:r w:rsidR="00FF6C4E" w:rsidRPr="005303F7">
              <w:rPr>
                <w:rFonts w:ascii="Times New Roman" w:hAnsi="Times New Roman"/>
                <w:b/>
                <w:bCs/>
                <w:sz w:val="20"/>
                <w:lang w:val="sr-Cyrl-CS" w:eastAsia="pt-PT"/>
              </w:rPr>
              <w:t>.</w:t>
            </w:r>
          </w:p>
        </w:tc>
        <w:tc>
          <w:tcPr>
            <w:tcW w:w="938" w:type="pct"/>
            <w:shd w:val="clear" w:color="auto" w:fill="D9D9D9" w:themeFill="background1" w:themeFillShade="D9"/>
            <w:vAlign w:val="center"/>
            <w:hideMark/>
          </w:tcPr>
          <w:p w14:paraId="7CA991E3" w14:textId="16307FC2"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2030</w:t>
            </w:r>
            <w:r w:rsidR="00FF6C4E" w:rsidRPr="005303F7">
              <w:rPr>
                <w:rFonts w:ascii="Times New Roman" w:hAnsi="Times New Roman"/>
                <w:b/>
                <w:bCs/>
                <w:sz w:val="20"/>
                <w:lang w:val="sr-Cyrl-CS" w:eastAsia="pt-PT"/>
              </w:rPr>
              <w:t>.</w:t>
            </w:r>
          </w:p>
        </w:tc>
        <w:tc>
          <w:tcPr>
            <w:tcW w:w="935" w:type="pct"/>
            <w:shd w:val="clear" w:color="auto" w:fill="D9D9D9" w:themeFill="background1" w:themeFillShade="D9"/>
            <w:vAlign w:val="center"/>
            <w:hideMark/>
          </w:tcPr>
          <w:p w14:paraId="104EAEE6" w14:textId="5DA1F10B"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2050</w:t>
            </w:r>
            <w:r w:rsidR="00FF6C4E" w:rsidRPr="005303F7">
              <w:rPr>
                <w:rFonts w:ascii="Times New Roman" w:hAnsi="Times New Roman"/>
                <w:b/>
                <w:bCs/>
                <w:sz w:val="20"/>
                <w:lang w:val="sr-Cyrl-CS" w:eastAsia="pt-PT"/>
              </w:rPr>
              <w:t>.</w:t>
            </w:r>
          </w:p>
        </w:tc>
      </w:tr>
      <w:tr w:rsidR="00C67735" w:rsidRPr="005303F7" w14:paraId="4E9E0796" w14:textId="3133D389" w:rsidTr="005877B5">
        <w:trPr>
          <w:trHeight w:val="20"/>
        </w:trPr>
        <w:tc>
          <w:tcPr>
            <w:tcW w:w="1252" w:type="pct"/>
            <w:tcBorders>
              <w:top w:val="single" w:sz="4" w:space="0" w:color="auto"/>
            </w:tcBorders>
            <w:shd w:val="clear" w:color="auto" w:fill="D9D9D9" w:themeFill="background1" w:themeFillShade="D9"/>
            <w:vAlign w:val="center"/>
            <w:hideMark/>
          </w:tcPr>
          <w:p w14:paraId="3236BCEC" w14:textId="4E6DDF67" w:rsidR="00C67735"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lastRenderedPageBreak/>
              <w:t>Б</w:t>
            </w:r>
            <w:r w:rsidR="00C67735" w:rsidRPr="005303F7">
              <w:rPr>
                <w:rFonts w:ascii="Times New Roman" w:hAnsi="Times New Roman"/>
                <w:b/>
                <w:bCs/>
                <w:sz w:val="20"/>
                <w:lang w:val="sr-Cyrl-CS" w:eastAsia="pt-PT"/>
              </w:rPr>
              <w:t>2(%)</w:t>
            </w:r>
          </w:p>
        </w:tc>
        <w:tc>
          <w:tcPr>
            <w:tcW w:w="937" w:type="pct"/>
            <w:shd w:val="clear" w:color="auto" w:fill="auto"/>
            <w:vAlign w:val="center"/>
            <w:hideMark/>
          </w:tcPr>
          <w:p w14:paraId="78FA8837" w14:textId="051A919E"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sz w:val="20"/>
                <w:lang w:val="sr-Cyrl-CS" w:eastAsia="pt-PT"/>
              </w:rPr>
              <w:t>18</w:t>
            </w:r>
            <w:r w:rsidR="007D71AA" w:rsidRPr="005303F7">
              <w:rPr>
                <w:rFonts w:ascii="Times New Roman" w:hAnsi="Times New Roman"/>
                <w:sz w:val="20"/>
                <w:lang w:val="sr-Cyrl-CS" w:eastAsia="pt-PT"/>
              </w:rPr>
              <w:t>%</w:t>
            </w:r>
          </w:p>
        </w:tc>
        <w:tc>
          <w:tcPr>
            <w:tcW w:w="938" w:type="pct"/>
            <w:shd w:val="clear" w:color="auto" w:fill="auto"/>
            <w:vAlign w:val="center"/>
            <w:hideMark/>
          </w:tcPr>
          <w:p w14:paraId="3E48A80E" w14:textId="48895CC0"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sz w:val="20"/>
                <w:lang w:val="sr-Cyrl-CS" w:eastAsia="pt-PT"/>
              </w:rPr>
              <w:t>19</w:t>
            </w:r>
            <w:r w:rsidR="007D71AA" w:rsidRPr="005303F7">
              <w:rPr>
                <w:rFonts w:ascii="Times New Roman" w:hAnsi="Times New Roman"/>
                <w:sz w:val="20"/>
                <w:lang w:val="sr-Cyrl-CS" w:eastAsia="pt-PT"/>
              </w:rPr>
              <w:t>%</w:t>
            </w:r>
          </w:p>
        </w:tc>
        <w:tc>
          <w:tcPr>
            <w:tcW w:w="938" w:type="pct"/>
            <w:shd w:val="clear" w:color="auto" w:fill="auto"/>
            <w:vAlign w:val="center"/>
            <w:hideMark/>
          </w:tcPr>
          <w:p w14:paraId="04640784" w14:textId="6D261F32"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sz w:val="20"/>
                <w:lang w:val="sr-Cyrl-CS" w:eastAsia="pt-PT"/>
              </w:rPr>
              <w:t>18</w:t>
            </w:r>
            <w:r w:rsidR="007D71AA" w:rsidRPr="005303F7">
              <w:rPr>
                <w:rFonts w:ascii="Times New Roman" w:hAnsi="Times New Roman"/>
                <w:sz w:val="20"/>
                <w:lang w:val="sr-Cyrl-CS" w:eastAsia="pt-PT"/>
              </w:rPr>
              <w:t>%</w:t>
            </w:r>
          </w:p>
        </w:tc>
        <w:tc>
          <w:tcPr>
            <w:tcW w:w="935" w:type="pct"/>
            <w:shd w:val="clear" w:color="auto" w:fill="auto"/>
            <w:vAlign w:val="center"/>
            <w:hideMark/>
          </w:tcPr>
          <w:p w14:paraId="0C81120C" w14:textId="75466A53"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sz w:val="20"/>
                <w:lang w:val="sr-Cyrl-CS" w:eastAsia="pt-PT"/>
              </w:rPr>
              <w:t>15</w:t>
            </w:r>
            <w:r w:rsidR="007D71AA" w:rsidRPr="005303F7">
              <w:rPr>
                <w:rFonts w:ascii="Times New Roman" w:hAnsi="Times New Roman"/>
                <w:sz w:val="20"/>
                <w:lang w:val="sr-Cyrl-CS" w:eastAsia="pt-PT"/>
              </w:rPr>
              <w:t>%</w:t>
            </w:r>
          </w:p>
        </w:tc>
      </w:tr>
      <w:tr w:rsidR="00C67735" w:rsidRPr="005303F7" w14:paraId="78FF5982" w14:textId="74AA37E2" w:rsidTr="005877B5">
        <w:trPr>
          <w:trHeight w:val="20"/>
        </w:trPr>
        <w:tc>
          <w:tcPr>
            <w:tcW w:w="1252" w:type="pct"/>
            <w:shd w:val="clear" w:color="auto" w:fill="D9D9D9" w:themeFill="background1" w:themeFillShade="D9"/>
            <w:vAlign w:val="center"/>
            <w:hideMark/>
          </w:tcPr>
          <w:p w14:paraId="1F95EC4C" w14:textId="0378E910" w:rsidR="00C67735"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color w:val="000000"/>
                <w:sz w:val="20"/>
                <w:lang w:val="sr-Cyrl-CS"/>
              </w:rPr>
              <w:t>М</w:t>
            </w:r>
            <w:r w:rsidR="00C67735" w:rsidRPr="005303F7">
              <w:rPr>
                <w:rFonts w:ascii="Times New Roman" w:hAnsi="Times New Roman"/>
                <w:b/>
                <w:bCs/>
                <w:color w:val="000000"/>
                <w:sz w:val="20"/>
                <w:lang w:val="sr-Cyrl-CS"/>
              </w:rPr>
              <w:t>2 (</w:t>
            </w:r>
            <w:r w:rsidRPr="005303F7">
              <w:rPr>
                <w:rFonts w:ascii="Times New Roman" w:hAnsi="Times New Roman"/>
                <w:b/>
                <w:bCs/>
                <w:color w:val="000000"/>
                <w:sz w:val="20"/>
                <w:lang w:val="sr-Cyrl-CS"/>
              </w:rPr>
              <w:t>у</w:t>
            </w:r>
            <w:r w:rsidR="00217813" w:rsidRPr="005303F7">
              <w:rPr>
                <w:rFonts w:ascii="Times New Roman" w:hAnsi="Times New Roman"/>
                <w:b/>
                <w:bCs/>
                <w:color w:val="000000"/>
                <w:sz w:val="20"/>
                <w:lang w:val="sr-Cyrl-CS"/>
              </w:rPr>
              <w:t xml:space="preserve"> </w:t>
            </w:r>
            <w:r w:rsidRPr="005303F7">
              <w:rPr>
                <w:rFonts w:ascii="Times New Roman" w:hAnsi="Times New Roman"/>
                <w:b/>
                <w:bCs/>
                <w:color w:val="000000"/>
                <w:sz w:val="20"/>
                <w:lang w:val="sr-Cyrl-CS"/>
              </w:rPr>
              <w:t>односу</w:t>
            </w:r>
            <w:r w:rsidR="00217813" w:rsidRPr="005303F7">
              <w:rPr>
                <w:rFonts w:ascii="Times New Roman" w:hAnsi="Times New Roman"/>
                <w:b/>
                <w:bCs/>
                <w:color w:val="000000"/>
                <w:sz w:val="20"/>
                <w:lang w:val="sr-Cyrl-CS"/>
              </w:rPr>
              <w:t xml:space="preserve"> </w:t>
            </w:r>
            <w:r w:rsidRPr="005303F7">
              <w:rPr>
                <w:rFonts w:ascii="Times New Roman" w:hAnsi="Times New Roman"/>
                <w:b/>
                <w:bCs/>
                <w:color w:val="000000"/>
                <w:sz w:val="20"/>
                <w:lang w:val="sr-Cyrl-CS"/>
              </w:rPr>
              <w:t>на</w:t>
            </w:r>
            <w:r w:rsidR="00C67735" w:rsidRPr="005303F7">
              <w:rPr>
                <w:rFonts w:ascii="Times New Roman" w:hAnsi="Times New Roman"/>
                <w:b/>
                <w:bCs/>
                <w:color w:val="000000"/>
                <w:sz w:val="20"/>
                <w:lang w:val="sr-Cyrl-CS"/>
              </w:rPr>
              <w:t xml:space="preserve"> </w:t>
            </w:r>
            <w:r w:rsidRPr="005303F7">
              <w:rPr>
                <w:rFonts w:ascii="Times New Roman" w:hAnsi="Times New Roman"/>
                <w:b/>
                <w:bCs/>
                <w:color w:val="000000"/>
                <w:sz w:val="20"/>
                <w:lang w:val="sr-Cyrl-CS"/>
              </w:rPr>
              <w:t>Б</w:t>
            </w:r>
            <w:r w:rsidR="00C67735" w:rsidRPr="005303F7">
              <w:rPr>
                <w:rFonts w:ascii="Times New Roman" w:hAnsi="Times New Roman"/>
                <w:b/>
                <w:bCs/>
                <w:color w:val="000000"/>
                <w:sz w:val="20"/>
                <w:lang w:val="sr-Cyrl-CS"/>
              </w:rPr>
              <w:t>2)</w:t>
            </w:r>
          </w:p>
        </w:tc>
        <w:tc>
          <w:tcPr>
            <w:tcW w:w="937" w:type="pct"/>
            <w:shd w:val="clear" w:color="auto" w:fill="auto"/>
            <w:vAlign w:val="center"/>
            <w:hideMark/>
          </w:tcPr>
          <w:p w14:paraId="5596DB2D" w14:textId="15222E09" w:rsidR="00C67735" w:rsidRPr="005303F7" w:rsidRDefault="00472782">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color w:val="000000"/>
                <w:sz w:val="20"/>
                <w:lang w:val="sr-Cyrl-CS"/>
              </w:rPr>
              <w:t>18,</w:t>
            </w:r>
            <w:r w:rsidR="003B42CB" w:rsidRPr="005303F7">
              <w:rPr>
                <w:rFonts w:ascii="Times New Roman" w:hAnsi="Times New Roman"/>
                <w:color w:val="000000"/>
                <w:sz w:val="20"/>
                <w:lang w:val="sr-Cyrl-CS"/>
              </w:rPr>
              <w:t>3</w:t>
            </w:r>
            <w:r w:rsidRPr="005303F7">
              <w:rPr>
                <w:rFonts w:ascii="Times New Roman" w:hAnsi="Times New Roman"/>
                <w:color w:val="000000"/>
                <w:sz w:val="20"/>
                <w:lang w:val="sr-Cyrl-CS"/>
              </w:rPr>
              <w:t>%</w:t>
            </w:r>
          </w:p>
        </w:tc>
        <w:tc>
          <w:tcPr>
            <w:tcW w:w="938" w:type="pct"/>
            <w:shd w:val="clear" w:color="auto" w:fill="auto"/>
            <w:vAlign w:val="center"/>
            <w:hideMark/>
          </w:tcPr>
          <w:p w14:paraId="176336B3" w14:textId="70835EB6" w:rsidR="00C67735" w:rsidRPr="005303F7" w:rsidRDefault="00472782">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color w:val="000000"/>
                <w:sz w:val="20"/>
                <w:lang w:val="sr-Cyrl-CS"/>
              </w:rPr>
              <w:t>19,8%</w:t>
            </w:r>
          </w:p>
        </w:tc>
        <w:tc>
          <w:tcPr>
            <w:tcW w:w="938" w:type="pct"/>
            <w:shd w:val="clear" w:color="auto" w:fill="auto"/>
            <w:vAlign w:val="center"/>
            <w:hideMark/>
          </w:tcPr>
          <w:p w14:paraId="54363357" w14:textId="1954B154" w:rsidR="00C67735" w:rsidRPr="005303F7" w:rsidRDefault="00472782">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color w:val="000000"/>
                <w:sz w:val="20"/>
                <w:lang w:val="sr-Cyrl-CS"/>
              </w:rPr>
              <w:t>19,1%</w:t>
            </w:r>
            <w:r w:rsidR="003B42CB" w:rsidRPr="005303F7">
              <w:rPr>
                <w:rFonts w:ascii="Times New Roman" w:hAnsi="Times New Roman"/>
                <w:color w:val="000000"/>
                <w:sz w:val="20"/>
                <w:lang w:val="sr-Cyrl-CS"/>
              </w:rPr>
              <w:t xml:space="preserve"> (+1,1%)</w:t>
            </w:r>
          </w:p>
        </w:tc>
        <w:tc>
          <w:tcPr>
            <w:tcW w:w="935" w:type="pct"/>
            <w:shd w:val="clear" w:color="auto" w:fill="auto"/>
            <w:vAlign w:val="center"/>
            <w:hideMark/>
          </w:tcPr>
          <w:p w14:paraId="3E5C60EE" w14:textId="32F2E7EE" w:rsidR="00C67735" w:rsidRPr="005303F7" w:rsidRDefault="00472782"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color w:val="000000"/>
                <w:sz w:val="20"/>
                <w:lang w:val="sr-Cyrl-CS"/>
              </w:rPr>
              <w:t>17,7% (</w:t>
            </w:r>
            <w:r w:rsidR="004C2BCD" w:rsidRPr="005303F7">
              <w:rPr>
                <w:rFonts w:ascii="Times New Roman" w:hAnsi="Times New Roman"/>
                <w:color w:val="000000"/>
                <w:sz w:val="20"/>
                <w:lang w:val="sr-Cyrl-CS"/>
              </w:rPr>
              <w:t>+</w:t>
            </w:r>
            <w:r w:rsidR="00C67735" w:rsidRPr="005303F7">
              <w:rPr>
                <w:rFonts w:ascii="Times New Roman" w:hAnsi="Times New Roman"/>
                <w:color w:val="000000"/>
                <w:sz w:val="20"/>
                <w:lang w:val="sr-Cyrl-CS"/>
              </w:rPr>
              <w:t>2,7</w:t>
            </w:r>
            <w:r w:rsidR="002D4DC1" w:rsidRPr="005303F7">
              <w:rPr>
                <w:rFonts w:ascii="Times New Roman" w:hAnsi="Times New Roman"/>
                <w:color w:val="000000"/>
                <w:sz w:val="20"/>
                <w:lang w:val="sr-Cyrl-CS"/>
              </w:rPr>
              <w:t>%</w:t>
            </w:r>
            <w:r w:rsidRPr="005303F7">
              <w:rPr>
                <w:rFonts w:ascii="Times New Roman" w:hAnsi="Times New Roman"/>
                <w:color w:val="000000"/>
                <w:sz w:val="20"/>
                <w:lang w:val="sr-Cyrl-CS"/>
              </w:rPr>
              <w:t>)</w:t>
            </w:r>
          </w:p>
        </w:tc>
      </w:tr>
      <w:tr w:rsidR="00C67735" w:rsidRPr="005303F7" w14:paraId="4B254C77" w14:textId="78530A7F" w:rsidTr="005877B5">
        <w:trPr>
          <w:trHeight w:val="20"/>
        </w:trPr>
        <w:tc>
          <w:tcPr>
            <w:tcW w:w="1252" w:type="pct"/>
            <w:shd w:val="clear" w:color="auto" w:fill="D9D9D9" w:themeFill="background1" w:themeFillShade="D9"/>
            <w:vAlign w:val="center"/>
          </w:tcPr>
          <w:p w14:paraId="7719C244" w14:textId="76E9F09F" w:rsidR="00C67735"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color w:val="000000"/>
                <w:sz w:val="20"/>
                <w:lang w:val="sr-Cyrl-CS"/>
              </w:rPr>
              <w:t>М</w:t>
            </w:r>
            <w:r w:rsidR="00C67735" w:rsidRPr="005303F7">
              <w:rPr>
                <w:rFonts w:ascii="Times New Roman" w:hAnsi="Times New Roman"/>
                <w:b/>
                <w:bCs/>
                <w:color w:val="000000"/>
                <w:sz w:val="20"/>
                <w:lang w:val="sr-Cyrl-CS"/>
              </w:rPr>
              <w:t>3 (</w:t>
            </w:r>
            <w:r w:rsidRPr="005303F7">
              <w:rPr>
                <w:rFonts w:ascii="Times New Roman" w:hAnsi="Times New Roman"/>
                <w:b/>
                <w:bCs/>
                <w:color w:val="000000"/>
                <w:sz w:val="20"/>
                <w:lang w:val="sr-Cyrl-CS"/>
              </w:rPr>
              <w:t>у</w:t>
            </w:r>
            <w:r w:rsidR="00217813" w:rsidRPr="005303F7">
              <w:rPr>
                <w:rFonts w:ascii="Times New Roman" w:hAnsi="Times New Roman"/>
                <w:b/>
                <w:bCs/>
                <w:color w:val="000000"/>
                <w:sz w:val="20"/>
                <w:lang w:val="sr-Cyrl-CS"/>
              </w:rPr>
              <w:t xml:space="preserve"> </w:t>
            </w:r>
            <w:r w:rsidRPr="005303F7">
              <w:rPr>
                <w:rFonts w:ascii="Times New Roman" w:hAnsi="Times New Roman"/>
                <w:b/>
                <w:bCs/>
                <w:color w:val="000000"/>
                <w:sz w:val="20"/>
                <w:lang w:val="sr-Cyrl-CS"/>
              </w:rPr>
              <w:t>односу</w:t>
            </w:r>
            <w:r w:rsidR="00217813" w:rsidRPr="005303F7">
              <w:rPr>
                <w:rFonts w:ascii="Times New Roman" w:hAnsi="Times New Roman"/>
                <w:b/>
                <w:bCs/>
                <w:color w:val="000000"/>
                <w:sz w:val="20"/>
                <w:lang w:val="sr-Cyrl-CS"/>
              </w:rPr>
              <w:t xml:space="preserve"> </w:t>
            </w:r>
            <w:r w:rsidRPr="005303F7">
              <w:rPr>
                <w:rFonts w:ascii="Times New Roman" w:hAnsi="Times New Roman"/>
                <w:b/>
                <w:bCs/>
                <w:color w:val="000000"/>
                <w:sz w:val="20"/>
                <w:lang w:val="sr-Cyrl-CS"/>
              </w:rPr>
              <w:t>на</w:t>
            </w:r>
            <w:r w:rsidR="00217813" w:rsidRPr="005303F7">
              <w:rPr>
                <w:rFonts w:ascii="Times New Roman" w:hAnsi="Times New Roman"/>
                <w:b/>
                <w:bCs/>
                <w:color w:val="000000"/>
                <w:sz w:val="20"/>
                <w:lang w:val="sr-Cyrl-CS"/>
              </w:rPr>
              <w:t xml:space="preserve"> </w:t>
            </w:r>
            <w:r w:rsidRPr="005303F7">
              <w:rPr>
                <w:rFonts w:ascii="Times New Roman" w:hAnsi="Times New Roman"/>
                <w:b/>
                <w:bCs/>
                <w:color w:val="000000"/>
                <w:sz w:val="20"/>
                <w:lang w:val="sr-Cyrl-CS"/>
              </w:rPr>
              <w:t>Б</w:t>
            </w:r>
            <w:r w:rsidR="00C67735" w:rsidRPr="005303F7">
              <w:rPr>
                <w:rFonts w:ascii="Times New Roman" w:hAnsi="Times New Roman"/>
                <w:b/>
                <w:bCs/>
                <w:color w:val="000000"/>
                <w:sz w:val="20"/>
                <w:lang w:val="sr-Cyrl-CS"/>
              </w:rPr>
              <w:t>2)</w:t>
            </w:r>
          </w:p>
        </w:tc>
        <w:tc>
          <w:tcPr>
            <w:tcW w:w="937" w:type="pct"/>
            <w:shd w:val="clear" w:color="auto" w:fill="auto"/>
            <w:vAlign w:val="center"/>
          </w:tcPr>
          <w:p w14:paraId="323E963A" w14:textId="1DC8B867"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color w:val="000000"/>
                <w:sz w:val="20"/>
                <w:lang w:val="sr-Cyrl-CS"/>
              </w:rPr>
              <w:t>-</w:t>
            </w:r>
          </w:p>
        </w:tc>
        <w:tc>
          <w:tcPr>
            <w:tcW w:w="938" w:type="pct"/>
            <w:shd w:val="clear" w:color="auto" w:fill="auto"/>
            <w:vAlign w:val="center"/>
          </w:tcPr>
          <w:p w14:paraId="2615FBB9" w14:textId="7F846B16"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color w:val="000000"/>
                <w:sz w:val="20"/>
                <w:lang w:val="sr-Cyrl-CS"/>
              </w:rPr>
              <w:t>-</w:t>
            </w:r>
          </w:p>
        </w:tc>
        <w:tc>
          <w:tcPr>
            <w:tcW w:w="938" w:type="pct"/>
            <w:shd w:val="clear" w:color="auto" w:fill="auto"/>
            <w:vAlign w:val="center"/>
          </w:tcPr>
          <w:p w14:paraId="3466BB14" w14:textId="13EB3B92"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color w:val="000000"/>
                <w:sz w:val="20"/>
                <w:lang w:val="sr-Cyrl-CS"/>
              </w:rPr>
              <w:t>-</w:t>
            </w:r>
          </w:p>
        </w:tc>
        <w:tc>
          <w:tcPr>
            <w:tcW w:w="935" w:type="pct"/>
            <w:shd w:val="clear" w:color="auto" w:fill="auto"/>
            <w:vAlign w:val="center"/>
          </w:tcPr>
          <w:p w14:paraId="6423C40E" w14:textId="3CAB04A4" w:rsidR="00C67735" w:rsidRPr="005303F7" w:rsidRDefault="00472782"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color w:val="000000"/>
                <w:sz w:val="20"/>
                <w:lang w:val="sr-Cyrl-CS"/>
              </w:rPr>
              <w:t>17,8% (</w:t>
            </w:r>
            <w:r w:rsidR="004C2BCD" w:rsidRPr="005303F7">
              <w:rPr>
                <w:rFonts w:ascii="Times New Roman" w:hAnsi="Times New Roman"/>
                <w:color w:val="000000"/>
                <w:sz w:val="20"/>
                <w:lang w:val="sr-Cyrl-CS"/>
              </w:rPr>
              <w:t>+</w:t>
            </w:r>
            <w:r w:rsidR="00C67735" w:rsidRPr="005303F7">
              <w:rPr>
                <w:rFonts w:ascii="Times New Roman" w:hAnsi="Times New Roman"/>
                <w:color w:val="000000"/>
                <w:sz w:val="20"/>
                <w:lang w:val="sr-Cyrl-CS"/>
              </w:rPr>
              <w:t>2,8</w:t>
            </w:r>
            <w:r w:rsidR="002D4DC1" w:rsidRPr="005303F7">
              <w:rPr>
                <w:rFonts w:ascii="Times New Roman" w:hAnsi="Times New Roman"/>
                <w:color w:val="000000"/>
                <w:sz w:val="20"/>
                <w:lang w:val="sr-Cyrl-CS"/>
              </w:rPr>
              <w:t>%</w:t>
            </w:r>
            <w:r w:rsidRPr="005303F7">
              <w:rPr>
                <w:rFonts w:ascii="Times New Roman" w:hAnsi="Times New Roman"/>
                <w:color w:val="000000"/>
                <w:sz w:val="20"/>
                <w:lang w:val="sr-Cyrl-CS"/>
              </w:rPr>
              <w:t>)</w:t>
            </w:r>
          </w:p>
        </w:tc>
      </w:tr>
      <w:tr w:rsidR="00C67735" w:rsidRPr="005303F7" w14:paraId="2D6FD2FF" w14:textId="74555A9C" w:rsidTr="005877B5">
        <w:trPr>
          <w:trHeight w:val="20"/>
        </w:trPr>
        <w:tc>
          <w:tcPr>
            <w:tcW w:w="1252" w:type="pct"/>
            <w:shd w:val="clear" w:color="auto" w:fill="D9D9D9" w:themeFill="background1" w:themeFillShade="D9"/>
            <w:vAlign w:val="center"/>
          </w:tcPr>
          <w:p w14:paraId="70F342F9" w14:textId="3428C05D" w:rsidR="00C67735"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color w:val="000000"/>
                <w:sz w:val="20"/>
                <w:lang w:val="sr-Cyrl-CS"/>
              </w:rPr>
              <w:t>М</w:t>
            </w:r>
            <w:r w:rsidR="00C67735" w:rsidRPr="005303F7">
              <w:rPr>
                <w:rFonts w:ascii="Times New Roman" w:hAnsi="Times New Roman"/>
                <w:b/>
                <w:bCs/>
                <w:color w:val="000000"/>
                <w:sz w:val="20"/>
                <w:lang w:val="sr-Cyrl-CS"/>
              </w:rPr>
              <w:t>4 (</w:t>
            </w:r>
            <w:r w:rsidRPr="005303F7">
              <w:rPr>
                <w:rFonts w:ascii="Times New Roman" w:hAnsi="Times New Roman"/>
                <w:b/>
                <w:bCs/>
                <w:color w:val="000000"/>
                <w:sz w:val="20"/>
                <w:lang w:val="sr-Cyrl-CS"/>
              </w:rPr>
              <w:t>у</w:t>
            </w:r>
            <w:r w:rsidR="00217813" w:rsidRPr="005303F7">
              <w:rPr>
                <w:rFonts w:ascii="Times New Roman" w:hAnsi="Times New Roman"/>
                <w:b/>
                <w:bCs/>
                <w:color w:val="000000"/>
                <w:sz w:val="20"/>
                <w:lang w:val="sr-Cyrl-CS"/>
              </w:rPr>
              <w:t xml:space="preserve"> </w:t>
            </w:r>
            <w:r w:rsidRPr="005303F7">
              <w:rPr>
                <w:rFonts w:ascii="Times New Roman" w:hAnsi="Times New Roman"/>
                <w:b/>
                <w:bCs/>
                <w:color w:val="000000"/>
                <w:sz w:val="20"/>
                <w:lang w:val="sr-Cyrl-CS"/>
              </w:rPr>
              <w:t>односу</w:t>
            </w:r>
            <w:r w:rsidR="00217813" w:rsidRPr="005303F7">
              <w:rPr>
                <w:rFonts w:ascii="Times New Roman" w:hAnsi="Times New Roman"/>
                <w:b/>
                <w:bCs/>
                <w:color w:val="000000"/>
                <w:sz w:val="20"/>
                <w:lang w:val="sr-Cyrl-CS"/>
              </w:rPr>
              <w:t xml:space="preserve"> </w:t>
            </w:r>
            <w:r w:rsidRPr="005303F7">
              <w:rPr>
                <w:rFonts w:ascii="Times New Roman" w:hAnsi="Times New Roman"/>
                <w:b/>
                <w:bCs/>
                <w:color w:val="000000"/>
                <w:sz w:val="20"/>
                <w:lang w:val="sr-Cyrl-CS"/>
              </w:rPr>
              <w:t>на</w:t>
            </w:r>
            <w:r w:rsidR="00217813" w:rsidRPr="005303F7">
              <w:rPr>
                <w:rFonts w:ascii="Times New Roman" w:hAnsi="Times New Roman"/>
                <w:b/>
                <w:bCs/>
                <w:color w:val="000000"/>
                <w:sz w:val="20"/>
                <w:lang w:val="sr-Cyrl-CS"/>
              </w:rPr>
              <w:t xml:space="preserve"> </w:t>
            </w:r>
            <w:r w:rsidRPr="005303F7">
              <w:rPr>
                <w:rFonts w:ascii="Times New Roman" w:hAnsi="Times New Roman"/>
                <w:b/>
                <w:bCs/>
                <w:color w:val="000000"/>
                <w:sz w:val="20"/>
                <w:lang w:val="sr-Cyrl-CS"/>
              </w:rPr>
              <w:t>Б</w:t>
            </w:r>
            <w:r w:rsidR="00C67735" w:rsidRPr="005303F7">
              <w:rPr>
                <w:rFonts w:ascii="Times New Roman" w:hAnsi="Times New Roman"/>
                <w:b/>
                <w:bCs/>
                <w:color w:val="000000"/>
                <w:sz w:val="20"/>
                <w:lang w:val="sr-Cyrl-CS"/>
              </w:rPr>
              <w:t>2)</w:t>
            </w:r>
          </w:p>
        </w:tc>
        <w:tc>
          <w:tcPr>
            <w:tcW w:w="937" w:type="pct"/>
            <w:shd w:val="clear" w:color="auto" w:fill="auto"/>
            <w:vAlign w:val="center"/>
          </w:tcPr>
          <w:p w14:paraId="3F5D512E" w14:textId="177F48CA"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color w:val="000000"/>
                <w:sz w:val="20"/>
                <w:lang w:val="sr-Cyrl-CS"/>
              </w:rPr>
              <w:t>-</w:t>
            </w:r>
          </w:p>
        </w:tc>
        <w:tc>
          <w:tcPr>
            <w:tcW w:w="938" w:type="pct"/>
            <w:shd w:val="clear" w:color="auto" w:fill="auto"/>
            <w:vAlign w:val="center"/>
          </w:tcPr>
          <w:p w14:paraId="7A001BF6" w14:textId="7FCAF168"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color w:val="000000"/>
                <w:sz w:val="20"/>
                <w:lang w:val="sr-Cyrl-CS"/>
              </w:rPr>
              <w:t>-</w:t>
            </w:r>
          </w:p>
        </w:tc>
        <w:tc>
          <w:tcPr>
            <w:tcW w:w="938" w:type="pct"/>
            <w:shd w:val="clear" w:color="auto" w:fill="auto"/>
            <w:vAlign w:val="center"/>
          </w:tcPr>
          <w:p w14:paraId="713DACCB" w14:textId="2B6455D1"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color w:val="000000"/>
                <w:sz w:val="20"/>
                <w:lang w:val="sr-Cyrl-CS"/>
              </w:rPr>
              <w:t>-</w:t>
            </w:r>
          </w:p>
        </w:tc>
        <w:tc>
          <w:tcPr>
            <w:tcW w:w="935" w:type="pct"/>
            <w:shd w:val="clear" w:color="auto" w:fill="auto"/>
            <w:vAlign w:val="center"/>
          </w:tcPr>
          <w:p w14:paraId="661ACE79" w14:textId="69AED30F" w:rsidR="00C67735" w:rsidRPr="005303F7" w:rsidRDefault="00472782"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color w:val="000000"/>
                <w:sz w:val="20"/>
                <w:lang w:val="sr-Cyrl-CS"/>
              </w:rPr>
              <w:t>20,3% (</w:t>
            </w:r>
            <w:r w:rsidR="004C2BCD" w:rsidRPr="005303F7">
              <w:rPr>
                <w:rFonts w:ascii="Times New Roman" w:hAnsi="Times New Roman"/>
                <w:color w:val="000000"/>
                <w:sz w:val="20"/>
                <w:lang w:val="sr-Cyrl-CS"/>
              </w:rPr>
              <w:t>+</w:t>
            </w:r>
            <w:r w:rsidR="00C67735" w:rsidRPr="005303F7">
              <w:rPr>
                <w:rFonts w:ascii="Times New Roman" w:hAnsi="Times New Roman"/>
                <w:color w:val="000000"/>
                <w:sz w:val="20"/>
                <w:lang w:val="sr-Cyrl-CS"/>
              </w:rPr>
              <w:t>5,3</w:t>
            </w:r>
            <w:r w:rsidR="002D4DC1" w:rsidRPr="005303F7">
              <w:rPr>
                <w:rFonts w:ascii="Times New Roman" w:hAnsi="Times New Roman"/>
                <w:color w:val="000000"/>
                <w:sz w:val="20"/>
                <w:lang w:val="sr-Cyrl-CS"/>
              </w:rPr>
              <w:t>%</w:t>
            </w:r>
            <w:r w:rsidRPr="005303F7">
              <w:rPr>
                <w:rFonts w:ascii="Times New Roman" w:hAnsi="Times New Roman"/>
                <w:color w:val="000000"/>
                <w:sz w:val="20"/>
                <w:lang w:val="sr-Cyrl-CS"/>
              </w:rPr>
              <w:t>)</w:t>
            </w:r>
          </w:p>
        </w:tc>
      </w:tr>
    </w:tbl>
    <w:p w14:paraId="35FE4EB7" w14:textId="59E12810" w:rsidR="00C67735" w:rsidRPr="005303F7" w:rsidRDefault="00DA7CD2" w:rsidP="00EB7852">
      <w:pPr>
        <w:rPr>
          <w:rFonts w:ascii="Times New Roman" w:hAnsi="Times New Roman"/>
          <w:sz w:val="24"/>
          <w:lang w:val="sr-Cyrl-CS" w:eastAsia="en-US"/>
        </w:rPr>
      </w:pPr>
      <w:r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Ако</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претпостави</w:t>
      </w:r>
      <w:r w:rsidR="00C67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да</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жене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имају</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одређену</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улогу</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коришћењу</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енергије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дома</w:t>
      </w:r>
      <w:r w:rsidR="00016298" w:rsidRPr="005303F7">
        <w:rPr>
          <w:rFonts w:ascii="Times New Roman" w:hAnsi="Times New Roman"/>
          <w:sz w:val="24"/>
          <w:lang w:val="sr-Cyrl-CS" w:eastAsia="en-US"/>
        </w:rPr>
        <w:t>ћ</w:t>
      </w:r>
      <w:r w:rsidR="00BF65FC" w:rsidRPr="005303F7">
        <w:rPr>
          <w:rFonts w:ascii="Times New Roman" w:hAnsi="Times New Roman"/>
          <w:sz w:val="24"/>
          <w:lang w:val="sr-Cyrl-CS" w:eastAsia="en-US"/>
        </w:rPr>
        <w:t>инству</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осветљење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грејање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кување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чиш</w:t>
      </w:r>
      <w:r w:rsidR="00016298" w:rsidRPr="005303F7">
        <w:rPr>
          <w:rFonts w:ascii="Times New Roman" w:hAnsi="Times New Roman"/>
          <w:sz w:val="24"/>
          <w:lang w:val="sr-Cyrl-CS" w:eastAsia="en-US"/>
        </w:rPr>
        <w:t>ћ</w:t>
      </w:r>
      <w:r w:rsidR="00BF65FC" w:rsidRPr="005303F7">
        <w:rPr>
          <w:rFonts w:ascii="Times New Roman" w:hAnsi="Times New Roman"/>
          <w:sz w:val="24"/>
          <w:lang w:val="sr-Cyrl-CS" w:eastAsia="en-US"/>
        </w:rPr>
        <w:t>ење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пеглање</w:t>
      </w:r>
      <w:r w:rsidR="005877B5" w:rsidRPr="005303F7">
        <w:rPr>
          <w:rFonts w:ascii="Times New Roman" w:hAnsi="Times New Roman"/>
          <w:sz w:val="24"/>
          <w:lang w:val="sr-Cyrl-CS" w:eastAsia="en-US"/>
        </w:rPr>
        <w:t>)</w:t>
      </w:r>
      <w:r w:rsidR="00EB050F" w:rsidRPr="005303F7">
        <w:rPr>
          <w:rStyle w:val="FootnoteReference"/>
          <w:rFonts w:ascii="Times New Roman" w:hAnsi="Times New Roman"/>
          <w:sz w:val="18"/>
          <w:lang w:val="sr-Cyrl-CS" w:eastAsia="en-US"/>
        </w:rPr>
        <w:footnoteReference w:id="52"/>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мере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које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утичу</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на</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цену</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и</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потрошњу</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енергије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утицаће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на</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жене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више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него</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на</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мушкарце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Те</w:t>
      </w:r>
      <w:r w:rsidR="00192D5D"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претпостављене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мере</w:t>
      </w:r>
      <w:r w:rsidR="001C71B7" w:rsidRPr="005303F7">
        <w:rPr>
          <w:rFonts w:ascii="Times New Roman" w:hAnsi="Times New Roman"/>
          <w:sz w:val="24"/>
          <w:lang w:val="sr-Cyrl-CS" w:eastAsia="en-US"/>
        </w:rPr>
        <w:t>,</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које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подразумевају</w:t>
      </w:r>
      <w:r w:rsidR="00192D5D"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пове</w:t>
      </w:r>
      <w:r w:rsidR="00016298" w:rsidRPr="005303F7">
        <w:rPr>
          <w:rFonts w:ascii="Times New Roman" w:hAnsi="Times New Roman"/>
          <w:sz w:val="24"/>
          <w:lang w:val="sr-Cyrl-CS" w:eastAsia="en-US"/>
        </w:rPr>
        <w:t>ћ</w:t>
      </w:r>
      <w:r w:rsidR="00BF65FC" w:rsidRPr="005303F7">
        <w:rPr>
          <w:rFonts w:ascii="Times New Roman" w:hAnsi="Times New Roman"/>
          <w:sz w:val="24"/>
          <w:lang w:val="sr-Cyrl-CS" w:eastAsia="en-US"/>
        </w:rPr>
        <w:t>ање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цене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енергије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као</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што</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је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примена</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ЕТS</w:t>
      </w:r>
      <w:r w:rsidR="005877B5" w:rsidRPr="005303F7">
        <w:rPr>
          <w:rFonts w:ascii="Times New Roman" w:hAnsi="Times New Roman"/>
          <w:sz w:val="24"/>
          <w:lang w:val="sr-Cyrl-CS" w:eastAsia="en-US"/>
        </w:rPr>
        <w:t>-</w:t>
      </w:r>
      <w:r w:rsidR="00BF65FC" w:rsidRPr="005303F7">
        <w:rPr>
          <w:rFonts w:ascii="Times New Roman" w:hAnsi="Times New Roman"/>
          <w:sz w:val="24"/>
          <w:lang w:val="sr-Cyrl-CS" w:eastAsia="en-US"/>
        </w:rPr>
        <w:t>а</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или</w:t>
      </w:r>
      <w:r w:rsidR="005877B5" w:rsidRPr="005303F7">
        <w:rPr>
          <w:rFonts w:ascii="Times New Roman" w:hAnsi="Times New Roman"/>
          <w:sz w:val="24"/>
          <w:lang w:val="sr-Cyrl-CS" w:eastAsia="en-US"/>
        </w:rPr>
        <w:t xml:space="preserve"> </w:t>
      </w:r>
      <w:r w:rsidR="000E68E2" w:rsidRPr="005303F7">
        <w:rPr>
          <w:rFonts w:ascii="Times New Roman" w:hAnsi="Times New Roman"/>
          <w:sz w:val="24"/>
          <w:lang w:val="sr-Cyrl-CS" w:eastAsia="en-US"/>
        </w:rPr>
        <w:t>увођење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обновљивих</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извора</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енергије</w:t>
      </w:r>
      <w:r w:rsidR="005877B5" w:rsidRPr="005303F7">
        <w:rPr>
          <w:rFonts w:ascii="Times New Roman" w:hAnsi="Times New Roman"/>
          <w:sz w:val="24"/>
          <w:lang w:val="sr-Cyrl-CS" w:eastAsia="en-US"/>
        </w:rPr>
        <w:t>)</w:t>
      </w:r>
      <w:r w:rsidR="001C71B7" w:rsidRPr="005303F7">
        <w:rPr>
          <w:rFonts w:ascii="Times New Roman" w:hAnsi="Times New Roman"/>
          <w:sz w:val="24"/>
          <w:lang w:val="sr-Cyrl-CS" w:eastAsia="en-US"/>
        </w:rPr>
        <w:t>,</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имају</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негативан</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утицај</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на</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жене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док</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мере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које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смањују</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потрошњу</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енергије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попут</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побољшања</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ефикасности</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електричних</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уређаја</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за</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дома</w:t>
      </w:r>
      <w:r w:rsidR="00016298" w:rsidRPr="005303F7">
        <w:rPr>
          <w:rFonts w:ascii="Times New Roman" w:hAnsi="Times New Roman"/>
          <w:sz w:val="24"/>
          <w:lang w:val="sr-Cyrl-CS" w:eastAsia="en-US"/>
        </w:rPr>
        <w:t>ћ</w:t>
      </w:r>
      <w:r w:rsidR="00BF65FC" w:rsidRPr="005303F7">
        <w:rPr>
          <w:rFonts w:ascii="Times New Roman" w:hAnsi="Times New Roman"/>
          <w:sz w:val="24"/>
          <w:lang w:val="sr-Cyrl-CS" w:eastAsia="en-US"/>
        </w:rPr>
        <w:t>инства</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и</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инфраструктуре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за</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грејање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и</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хлађење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дома</w:t>
      </w:r>
      <w:r w:rsidR="00016298" w:rsidRPr="005303F7">
        <w:rPr>
          <w:rFonts w:ascii="Times New Roman" w:hAnsi="Times New Roman"/>
          <w:sz w:val="24"/>
          <w:lang w:val="sr-Cyrl-CS" w:eastAsia="en-US"/>
        </w:rPr>
        <w:t>ћ</w:t>
      </w:r>
      <w:r w:rsidR="00BF65FC" w:rsidRPr="005303F7">
        <w:rPr>
          <w:rFonts w:ascii="Times New Roman" w:hAnsi="Times New Roman"/>
          <w:sz w:val="24"/>
          <w:lang w:val="sr-Cyrl-CS" w:eastAsia="en-US"/>
        </w:rPr>
        <w:t>инстава</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имају</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позитиван</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утицај</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На</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исти</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начин</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мере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које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односе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на</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употребу</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биомасе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као</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извора</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енергије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дома</w:t>
      </w:r>
      <w:r w:rsidR="00016298" w:rsidRPr="005303F7">
        <w:rPr>
          <w:rFonts w:ascii="Times New Roman" w:hAnsi="Times New Roman"/>
          <w:sz w:val="24"/>
          <w:lang w:val="sr-Cyrl-CS" w:eastAsia="en-US"/>
        </w:rPr>
        <w:t>ћ</w:t>
      </w:r>
      <w:r w:rsidR="00BF65FC" w:rsidRPr="005303F7">
        <w:rPr>
          <w:rFonts w:ascii="Times New Roman" w:hAnsi="Times New Roman"/>
          <w:sz w:val="24"/>
          <w:lang w:val="sr-Cyrl-CS" w:eastAsia="en-US"/>
        </w:rPr>
        <w:t>инству</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односно</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за</w:t>
      </w:r>
      <w:r w:rsidR="001C71B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кување</w:t>
      </w:r>
      <w:r w:rsidR="001C71B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и</w:t>
      </w:r>
      <w:r w:rsidR="001C71B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грејање</w:t>
      </w:r>
      <w:r w:rsidR="001C71B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попут</w:t>
      </w:r>
      <w:r w:rsidR="001C71B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промовисања</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правилне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употребе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дрва</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могу</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позитивно</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утицати</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на</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жене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Међутим</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повећање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цене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енергије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највише</w:t>
      </w:r>
      <w:r w:rsidR="005877B5" w:rsidRPr="005303F7">
        <w:rPr>
          <w:rFonts w:ascii="Times New Roman" w:hAnsi="Times New Roman"/>
          <w:sz w:val="24"/>
          <w:lang w:val="sr-Cyrl-CS" w:eastAsia="en-US"/>
        </w:rPr>
        <w:t xml:space="preserve"> </w:t>
      </w:r>
      <w:r w:rsidR="00016298" w:rsidRPr="005303F7">
        <w:rPr>
          <w:rFonts w:ascii="Times New Roman" w:hAnsi="Times New Roman"/>
          <w:sz w:val="24"/>
          <w:lang w:val="sr-Cyrl-CS" w:eastAsia="en-US"/>
        </w:rPr>
        <w:t>ћ</w:t>
      </w:r>
      <w:r w:rsidR="00BF65FC" w:rsidRPr="005303F7">
        <w:rPr>
          <w:rFonts w:ascii="Times New Roman" w:hAnsi="Times New Roman"/>
          <w:sz w:val="24"/>
          <w:lang w:val="sr-Cyrl-CS" w:eastAsia="en-US"/>
        </w:rPr>
        <w:t>е</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утицати</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на</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најсиромашнију</w:t>
      </w:r>
      <w:r w:rsidR="005877B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популацију</w:t>
      </w:r>
      <w:r w:rsidR="005877B5" w:rsidRPr="005303F7">
        <w:rPr>
          <w:rFonts w:ascii="Times New Roman" w:hAnsi="Times New Roman"/>
          <w:sz w:val="24"/>
          <w:lang w:val="sr-Cyrl-CS" w:eastAsia="en-US"/>
        </w:rPr>
        <w:t>.</w:t>
      </w:r>
    </w:p>
    <w:p w14:paraId="781E804B" w14:textId="1DF05767" w:rsidR="00C67735" w:rsidRPr="005303F7" w:rsidRDefault="00BF65FC" w:rsidP="00D93231">
      <w:pPr>
        <w:pStyle w:val="Heading2"/>
        <w:numPr>
          <w:ilvl w:val="2"/>
          <w:numId w:val="40"/>
        </w:numPr>
        <w:tabs>
          <w:tab w:val="clear" w:pos="3825"/>
          <w:tab w:val="left" w:pos="1134"/>
        </w:tabs>
        <w:ind w:left="1434" w:hanging="1077"/>
        <w:rPr>
          <w:rFonts w:ascii="Times New Roman" w:hAnsi="Times New Roman" w:cs="Times New Roman"/>
          <w:szCs w:val="22"/>
          <w:lang w:val="sr-Cyrl-CS"/>
        </w:rPr>
      </w:pPr>
      <w:bookmarkStart w:id="224" w:name="_Toc12858066"/>
      <w:bookmarkStart w:id="225" w:name="_Toc12880397"/>
      <w:bookmarkStart w:id="226" w:name="_Toc13088743"/>
      <w:bookmarkStart w:id="227" w:name="_Toc13089688"/>
      <w:bookmarkStart w:id="228" w:name="_Toc12858067"/>
      <w:bookmarkStart w:id="229" w:name="_Toc12880398"/>
      <w:bookmarkStart w:id="230" w:name="_Toc13088744"/>
      <w:bookmarkStart w:id="231" w:name="_Toc13089689"/>
      <w:bookmarkStart w:id="232" w:name="_Toc12858068"/>
      <w:bookmarkStart w:id="233" w:name="_Toc12880399"/>
      <w:bookmarkStart w:id="234" w:name="_Toc13088745"/>
      <w:bookmarkStart w:id="235" w:name="_Toc13089690"/>
      <w:bookmarkStart w:id="236" w:name="_Toc12858069"/>
      <w:bookmarkStart w:id="237" w:name="_Toc12880400"/>
      <w:bookmarkStart w:id="238" w:name="_Toc13088746"/>
      <w:bookmarkStart w:id="239" w:name="_Toc13089691"/>
      <w:bookmarkStart w:id="240" w:name="_Toc12858070"/>
      <w:bookmarkStart w:id="241" w:name="_Toc12880401"/>
      <w:bookmarkStart w:id="242" w:name="_Toc13088747"/>
      <w:bookmarkStart w:id="243" w:name="_Toc13089692"/>
      <w:bookmarkStart w:id="244" w:name="_Toc12858071"/>
      <w:bookmarkStart w:id="245" w:name="_Toc12880402"/>
      <w:bookmarkStart w:id="246" w:name="_Toc13088748"/>
      <w:bookmarkStart w:id="247" w:name="_Toc13089693"/>
      <w:bookmarkStart w:id="248" w:name="_Toc12858072"/>
      <w:bookmarkStart w:id="249" w:name="_Toc12880403"/>
      <w:bookmarkStart w:id="250" w:name="_Toc13088749"/>
      <w:bookmarkStart w:id="251" w:name="_Toc13089694"/>
      <w:bookmarkStart w:id="252" w:name="_Toc12858073"/>
      <w:bookmarkStart w:id="253" w:name="_Toc12880404"/>
      <w:bookmarkStart w:id="254" w:name="_Toc13088750"/>
      <w:bookmarkStart w:id="255" w:name="_Toc13089695"/>
      <w:bookmarkStart w:id="256" w:name="_Toc11672722"/>
      <w:bookmarkStart w:id="257" w:name="_Toc26686109"/>
      <w:bookmarkStart w:id="258" w:name="_Ref26738485"/>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5303F7">
        <w:rPr>
          <w:rFonts w:ascii="Times New Roman" w:hAnsi="Times New Roman" w:cs="Times New Roman"/>
          <w:szCs w:val="22"/>
          <w:lang w:val="sr-Cyrl-CS"/>
        </w:rPr>
        <w:t>Економски</w:t>
      </w:r>
      <w:r w:rsidR="008F49CE"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утицај</w:t>
      </w:r>
      <w:bookmarkEnd w:id="257"/>
      <w:bookmarkEnd w:id="258"/>
      <w:r w:rsidRPr="005303F7">
        <w:rPr>
          <w:rFonts w:ascii="Times New Roman" w:hAnsi="Times New Roman" w:cs="Times New Roman"/>
          <w:szCs w:val="22"/>
          <w:lang w:val="sr-Cyrl-CS"/>
        </w:rPr>
        <w:t>и</w:t>
      </w:r>
    </w:p>
    <w:p w14:paraId="76FF2D5D" w14:textId="1DF76D35" w:rsidR="00C67735" w:rsidRPr="005303F7" w:rsidRDefault="00DA7CD2" w:rsidP="00703619">
      <w:pPr>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Економски</w:t>
      </w:r>
      <w:r w:rsidR="008F49CE" w:rsidRPr="005303F7">
        <w:rPr>
          <w:rFonts w:ascii="Times New Roman" w:hAnsi="Times New Roman"/>
          <w:sz w:val="24"/>
          <w:lang w:val="sr-Cyrl-CS"/>
        </w:rPr>
        <w:t xml:space="preserve"> </w:t>
      </w:r>
      <w:r w:rsidR="00BF65FC" w:rsidRPr="005303F7">
        <w:rPr>
          <w:rFonts w:ascii="Times New Roman" w:hAnsi="Times New Roman"/>
          <w:sz w:val="24"/>
          <w:lang w:val="sr-Cyrl-CS"/>
        </w:rPr>
        <w:t>утицаји</w:t>
      </w:r>
      <w:r w:rsidR="008F49CE" w:rsidRPr="005303F7">
        <w:rPr>
          <w:rFonts w:ascii="Times New Roman" w:hAnsi="Times New Roman"/>
          <w:sz w:val="24"/>
          <w:lang w:val="sr-Cyrl-CS"/>
        </w:rPr>
        <w:t xml:space="preserve"> </w:t>
      </w:r>
      <w:r w:rsidR="00BF65FC" w:rsidRPr="005303F7">
        <w:rPr>
          <w:rFonts w:ascii="Times New Roman" w:hAnsi="Times New Roman"/>
          <w:sz w:val="24"/>
          <w:lang w:val="sr-Cyrl-CS"/>
        </w:rPr>
        <w:t>мера</w:t>
      </w:r>
      <w:r w:rsidR="008F49CE" w:rsidRPr="005303F7">
        <w:rPr>
          <w:rFonts w:ascii="Times New Roman" w:hAnsi="Times New Roman"/>
          <w:sz w:val="24"/>
          <w:lang w:val="sr-Cyrl-CS"/>
        </w:rPr>
        <w:t xml:space="preserve"> </w:t>
      </w:r>
      <w:r w:rsidR="00BF65FC" w:rsidRPr="005303F7">
        <w:rPr>
          <w:rFonts w:ascii="Times New Roman" w:hAnsi="Times New Roman"/>
          <w:sz w:val="24"/>
          <w:lang w:val="sr-Cyrl-CS"/>
        </w:rPr>
        <w:t>ублажавања</w:t>
      </w:r>
      <w:r w:rsidR="008F49CE" w:rsidRPr="005303F7">
        <w:rPr>
          <w:rFonts w:ascii="Times New Roman" w:hAnsi="Times New Roman"/>
          <w:sz w:val="24"/>
          <w:lang w:val="sr-Cyrl-CS"/>
        </w:rPr>
        <w:t xml:space="preserve"> </w:t>
      </w:r>
      <w:r w:rsidR="00BF65FC" w:rsidRPr="005303F7">
        <w:rPr>
          <w:rFonts w:ascii="Times New Roman" w:hAnsi="Times New Roman"/>
          <w:sz w:val="24"/>
          <w:lang w:val="sr-Cyrl-CS"/>
        </w:rPr>
        <w:t>могу</w:t>
      </w:r>
      <w:r w:rsidR="008F49CE"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8F49CE" w:rsidRPr="005303F7">
        <w:rPr>
          <w:rFonts w:ascii="Times New Roman" w:hAnsi="Times New Roman"/>
          <w:sz w:val="24"/>
          <w:lang w:val="sr-Cyrl-CS"/>
        </w:rPr>
        <w:t xml:space="preserve"> </w:t>
      </w:r>
      <w:r w:rsidR="00BF65FC" w:rsidRPr="005303F7">
        <w:rPr>
          <w:rFonts w:ascii="Times New Roman" w:hAnsi="Times New Roman"/>
          <w:sz w:val="24"/>
          <w:lang w:val="sr-Cyrl-CS"/>
        </w:rPr>
        <w:t>представити</w:t>
      </w:r>
      <w:r w:rsidR="008F49CE" w:rsidRPr="005303F7">
        <w:rPr>
          <w:rFonts w:ascii="Times New Roman" w:hAnsi="Times New Roman"/>
          <w:sz w:val="24"/>
          <w:lang w:val="sr-Cyrl-CS"/>
        </w:rPr>
        <w:t xml:space="preserve"> </w:t>
      </w:r>
      <w:r w:rsidR="00BF65FC" w:rsidRPr="005303F7">
        <w:rPr>
          <w:rFonts w:ascii="Times New Roman" w:hAnsi="Times New Roman"/>
          <w:sz w:val="24"/>
          <w:lang w:val="sr-Cyrl-CS"/>
        </w:rPr>
        <w:t>кроз</w:t>
      </w:r>
      <w:r w:rsidR="008F49CE" w:rsidRPr="005303F7">
        <w:rPr>
          <w:rFonts w:ascii="Times New Roman" w:hAnsi="Times New Roman"/>
          <w:sz w:val="24"/>
          <w:lang w:val="sr-Cyrl-CS"/>
        </w:rPr>
        <w:t xml:space="preserve"> </w:t>
      </w:r>
      <w:r w:rsidR="00BF65FC" w:rsidRPr="005303F7">
        <w:rPr>
          <w:rFonts w:ascii="Times New Roman" w:hAnsi="Times New Roman"/>
          <w:sz w:val="24"/>
          <w:lang w:val="sr-Cyrl-CS"/>
        </w:rPr>
        <w:t>утицаје</w:t>
      </w:r>
      <w:r w:rsidR="008F49CE"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C35B4E" w:rsidRPr="005303F7">
        <w:rPr>
          <w:rFonts w:ascii="Times New Roman" w:hAnsi="Times New Roman"/>
          <w:sz w:val="24"/>
          <w:lang w:val="sr-Cyrl-CS"/>
        </w:rPr>
        <w:t xml:space="preserve">: </w:t>
      </w:r>
    </w:p>
    <w:p w14:paraId="58D525FC" w14:textId="60BEA27E" w:rsidR="00C67735" w:rsidRPr="005303F7" w:rsidRDefault="00C35B4E" w:rsidP="00C67735">
      <w:pPr>
        <w:spacing w:after="240"/>
        <w:rPr>
          <w:rFonts w:ascii="Times New Roman" w:hAnsi="Times New Roman"/>
          <w:b/>
          <w:i/>
          <w:sz w:val="24"/>
          <w:lang w:val="sr-Cyrl-CS" w:eastAsia="en-US"/>
        </w:rPr>
      </w:pPr>
      <w:r w:rsidRPr="005303F7">
        <w:rPr>
          <w:rFonts w:ascii="Times New Roman" w:hAnsi="Times New Roman"/>
          <w:b/>
          <w:i/>
          <w:sz w:val="24"/>
          <w:lang w:val="sr-Cyrl-CS" w:eastAsia="en-US"/>
        </w:rPr>
        <w:t>1)</w:t>
      </w:r>
      <w:r w:rsidR="00C67735" w:rsidRPr="005303F7">
        <w:rPr>
          <w:rFonts w:ascii="Times New Roman" w:hAnsi="Times New Roman"/>
          <w:b/>
          <w:i/>
          <w:sz w:val="24"/>
          <w:lang w:val="sr-Cyrl-CS" w:eastAsia="en-US"/>
        </w:rPr>
        <w:t xml:space="preserve"> </w:t>
      </w:r>
      <w:r w:rsidR="00BF65FC" w:rsidRPr="005303F7">
        <w:rPr>
          <w:rFonts w:ascii="Times New Roman" w:hAnsi="Times New Roman"/>
          <w:b/>
          <w:i/>
          <w:sz w:val="24"/>
          <w:lang w:val="sr-Cyrl-CS" w:eastAsia="en-US"/>
        </w:rPr>
        <w:t>БДП</w:t>
      </w:r>
    </w:p>
    <w:p w14:paraId="02EB9B84" w14:textId="4FF06110" w:rsidR="008F49CE" w:rsidRPr="005303F7" w:rsidRDefault="00DA7CD2" w:rsidP="00353B06">
      <w:pPr>
        <w:pStyle w:val="Caption"/>
        <w:tabs>
          <w:tab w:val="clear" w:pos="1701"/>
          <w:tab w:val="left" w:pos="0"/>
        </w:tabs>
        <w:spacing w:after="0"/>
        <w:ind w:left="0" w:firstLine="0"/>
        <w:rPr>
          <w:rFonts w:ascii="Times New Roman" w:hAnsi="Times New Roman"/>
          <w:b w:val="0"/>
          <w:bCs w:val="0"/>
          <w:sz w:val="24"/>
          <w:lang w:val="sr-Cyrl-CS" w:eastAsia="en-US"/>
        </w:rPr>
      </w:pPr>
      <w:bookmarkStart w:id="259" w:name="_Ref21576004"/>
      <w:r w:rsidRPr="005303F7">
        <w:rPr>
          <w:rFonts w:ascii="Times New Roman" w:hAnsi="Times New Roman"/>
          <w:b w:val="0"/>
          <w:bCs w:val="0"/>
          <w:sz w:val="24"/>
          <w:lang w:val="sr-Cyrl-CS" w:eastAsia="en-US"/>
        </w:rPr>
        <w:t xml:space="preserve">            </w:t>
      </w:r>
      <w:r w:rsidR="00BF65FC" w:rsidRPr="005303F7">
        <w:rPr>
          <w:rFonts w:ascii="Times New Roman" w:hAnsi="Times New Roman"/>
          <w:b w:val="0"/>
          <w:bCs w:val="0"/>
          <w:sz w:val="24"/>
          <w:lang w:val="sr-Cyrl-CS" w:eastAsia="en-US"/>
        </w:rPr>
        <w:t>Спровођење</w:t>
      </w:r>
      <w:r w:rsidR="008F49CE" w:rsidRPr="005303F7">
        <w:rPr>
          <w:rFonts w:ascii="Times New Roman" w:hAnsi="Times New Roman"/>
          <w:b w:val="0"/>
          <w:bCs w:val="0"/>
          <w:sz w:val="24"/>
          <w:lang w:val="sr-Cyrl-CS" w:eastAsia="en-US"/>
        </w:rPr>
        <w:t xml:space="preserve"> </w:t>
      </w:r>
      <w:r w:rsidR="00BF65FC" w:rsidRPr="005303F7">
        <w:rPr>
          <w:rFonts w:ascii="Times New Roman" w:hAnsi="Times New Roman"/>
          <w:b w:val="0"/>
          <w:bCs w:val="0"/>
          <w:sz w:val="24"/>
          <w:lang w:val="sr-Cyrl-CS" w:eastAsia="en-US"/>
        </w:rPr>
        <w:t>мера</w:t>
      </w:r>
      <w:r w:rsidR="008F49CE" w:rsidRPr="005303F7">
        <w:rPr>
          <w:rFonts w:ascii="Times New Roman" w:hAnsi="Times New Roman"/>
          <w:b w:val="0"/>
          <w:bCs w:val="0"/>
          <w:sz w:val="24"/>
          <w:lang w:val="sr-Cyrl-CS" w:eastAsia="en-US"/>
        </w:rPr>
        <w:t xml:space="preserve"> </w:t>
      </w:r>
      <w:r w:rsidR="00BF65FC" w:rsidRPr="005303F7">
        <w:rPr>
          <w:rFonts w:ascii="Times New Roman" w:hAnsi="Times New Roman"/>
          <w:b w:val="0"/>
          <w:bCs w:val="0"/>
          <w:sz w:val="24"/>
          <w:lang w:val="sr-Cyrl-CS" w:eastAsia="en-US"/>
        </w:rPr>
        <w:t>има</w:t>
      </w:r>
      <w:r w:rsidR="008F49CE" w:rsidRPr="005303F7">
        <w:rPr>
          <w:rFonts w:ascii="Times New Roman" w:hAnsi="Times New Roman"/>
          <w:b w:val="0"/>
          <w:bCs w:val="0"/>
          <w:sz w:val="24"/>
          <w:lang w:val="sr-Cyrl-CS" w:eastAsia="en-US"/>
        </w:rPr>
        <w:t xml:space="preserve"> </w:t>
      </w:r>
      <w:r w:rsidR="00BF65FC" w:rsidRPr="005303F7">
        <w:rPr>
          <w:rFonts w:ascii="Times New Roman" w:hAnsi="Times New Roman"/>
          <w:b w:val="0"/>
          <w:bCs w:val="0"/>
          <w:sz w:val="24"/>
          <w:lang w:val="sr-Cyrl-CS" w:eastAsia="en-US"/>
        </w:rPr>
        <w:t>процентуално</w:t>
      </w:r>
      <w:r w:rsidR="00544B94" w:rsidRPr="005303F7">
        <w:rPr>
          <w:rFonts w:ascii="Times New Roman" w:hAnsi="Times New Roman"/>
          <w:b w:val="0"/>
          <w:bCs w:val="0"/>
          <w:sz w:val="24"/>
          <w:lang w:val="sr-Cyrl-CS" w:eastAsia="en-US"/>
        </w:rPr>
        <w:t xml:space="preserve"> </w:t>
      </w:r>
      <w:r w:rsidR="00890DF0" w:rsidRPr="005303F7">
        <w:rPr>
          <w:rFonts w:ascii="Times New Roman" w:hAnsi="Times New Roman"/>
          <w:b w:val="0"/>
          <w:bCs w:val="0"/>
          <w:sz w:val="24"/>
          <w:lang w:val="sr-Cyrl-CS" w:eastAsia="en-US"/>
        </w:rPr>
        <w:t xml:space="preserve"> </w:t>
      </w:r>
      <w:r w:rsidR="00BF65FC" w:rsidRPr="005303F7">
        <w:rPr>
          <w:rFonts w:ascii="Times New Roman" w:hAnsi="Times New Roman"/>
          <w:b w:val="0"/>
          <w:bCs w:val="0"/>
          <w:sz w:val="24"/>
          <w:lang w:val="sr-Cyrl-CS" w:eastAsia="en-US"/>
        </w:rPr>
        <w:t>мали</w:t>
      </w:r>
      <w:r w:rsidR="008F49CE" w:rsidRPr="005303F7">
        <w:rPr>
          <w:rFonts w:ascii="Times New Roman" w:hAnsi="Times New Roman"/>
          <w:b w:val="0"/>
          <w:bCs w:val="0"/>
          <w:sz w:val="24"/>
          <w:lang w:val="sr-Cyrl-CS" w:eastAsia="en-US"/>
        </w:rPr>
        <w:t xml:space="preserve"> </w:t>
      </w:r>
      <w:r w:rsidR="00BF65FC" w:rsidRPr="005303F7">
        <w:rPr>
          <w:rFonts w:ascii="Times New Roman" w:hAnsi="Times New Roman"/>
          <w:b w:val="0"/>
          <w:bCs w:val="0"/>
          <w:sz w:val="24"/>
          <w:lang w:val="sr-Cyrl-CS" w:eastAsia="en-US"/>
        </w:rPr>
        <w:t>утицај</w:t>
      </w:r>
      <w:r w:rsidR="00890DF0" w:rsidRPr="005303F7">
        <w:rPr>
          <w:rFonts w:ascii="Times New Roman" w:hAnsi="Times New Roman"/>
          <w:b w:val="0"/>
          <w:bCs w:val="0"/>
          <w:sz w:val="24"/>
          <w:lang w:val="sr-Cyrl-CS" w:eastAsia="en-US"/>
        </w:rPr>
        <w:t xml:space="preserve"> </w:t>
      </w:r>
      <w:r w:rsidR="008F49CE" w:rsidRPr="005303F7">
        <w:rPr>
          <w:rFonts w:ascii="Times New Roman" w:hAnsi="Times New Roman"/>
          <w:b w:val="0"/>
          <w:bCs w:val="0"/>
          <w:sz w:val="24"/>
          <w:lang w:val="sr-Cyrl-CS" w:eastAsia="en-US"/>
        </w:rPr>
        <w:t xml:space="preserve"> </w:t>
      </w:r>
      <w:r w:rsidR="00BF65FC" w:rsidRPr="005303F7">
        <w:rPr>
          <w:rFonts w:ascii="Times New Roman" w:hAnsi="Times New Roman"/>
          <w:b w:val="0"/>
          <w:bCs w:val="0"/>
          <w:sz w:val="24"/>
          <w:lang w:val="sr-Cyrl-CS" w:eastAsia="en-US"/>
        </w:rPr>
        <w:t>на</w:t>
      </w:r>
      <w:r w:rsidR="008F49CE" w:rsidRPr="005303F7">
        <w:rPr>
          <w:rFonts w:ascii="Times New Roman" w:hAnsi="Times New Roman"/>
          <w:b w:val="0"/>
          <w:bCs w:val="0"/>
          <w:sz w:val="24"/>
          <w:lang w:val="sr-Cyrl-CS" w:eastAsia="en-US"/>
        </w:rPr>
        <w:t xml:space="preserve"> </w:t>
      </w:r>
      <w:r w:rsidR="00BF65FC" w:rsidRPr="005303F7">
        <w:rPr>
          <w:rFonts w:ascii="Times New Roman" w:hAnsi="Times New Roman"/>
          <w:b w:val="0"/>
          <w:bCs w:val="0"/>
          <w:sz w:val="24"/>
          <w:lang w:val="sr-Cyrl-CS" w:eastAsia="en-US"/>
        </w:rPr>
        <w:t>дугорочне</w:t>
      </w:r>
      <w:r w:rsidR="008F49CE" w:rsidRPr="005303F7">
        <w:rPr>
          <w:rFonts w:ascii="Times New Roman" w:hAnsi="Times New Roman"/>
          <w:b w:val="0"/>
          <w:bCs w:val="0"/>
          <w:sz w:val="24"/>
          <w:lang w:val="sr-Cyrl-CS" w:eastAsia="en-US"/>
        </w:rPr>
        <w:t xml:space="preserve"> </w:t>
      </w:r>
      <w:r w:rsidR="00BF65FC" w:rsidRPr="005303F7">
        <w:rPr>
          <w:rFonts w:ascii="Times New Roman" w:hAnsi="Times New Roman"/>
          <w:b w:val="0"/>
          <w:bCs w:val="0"/>
          <w:sz w:val="24"/>
          <w:lang w:val="sr-Cyrl-CS" w:eastAsia="en-US"/>
        </w:rPr>
        <w:t>стопе</w:t>
      </w:r>
      <w:r w:rsidR="008F49CE" w:rsidRPr="005303F7">
        <w:rPr>
          <w:rFonts w:ascii="Times New Roman" w:hAnsi="Times New Roman"/>
          <w:b w:val="0"/>
          <w:bCs w:val="0"/>
          <w:sz w:val="24"/>
          <w:lang w:val="sr-Cyrl-CS" w:eastAsia="en-US"/>
        </w:rPr>
        <w:t xml:space="preserve"> </w:t>
      </w:r>
      <w:r w:rsidR="00BF65FC" w:rsidRPr="005303F7">
        <w:rPr>
          <w:rFonts w:ascii="Times New Roman" w:hAnsi="Times New Roman"/>
          <w:b w:val="0"/>
          <w:bCs w:val="0"/>
          <w:sz w:val="24"/>
          <w:lang w:val="sr-Cyrl-CS" w:eastAsia="en-US"/>
        </w:rPr>
        <w:t>раста</w:t>
      </w:r>
      <w:r w:rsidR="008F49CE" w:rsidRPr="005303F7">
        <w:rPr>
          <w:rFonts w:ascii="Times New Roman" w:hAnsi="Times New Roman"/>
          <w:b w:val="0"/>
          <w:bCs w:val="0"/>
          <w:sz w:val="24"/>
          <w:lang w:val="sr-Cyrl-CS" w:eastAsia="en-US"/>
        </w:rPr>
        <w:t xml:space="preserve"> </w:t>
      </w:r>
      <w:r w:rsidR="00BF65FC" w:rsidRPr="005303F7">
        <w:rPr>
          <w:rFonts w:ascii="Times New Roman" w:hAnsi="Times New Roman"/>
          <w:b w:val="0"/>
          <w:bCs w:val="0"/>
          <w:sz w:val="24"/>
          <w:lang w:val="sr-Cyrl-CS" w:eastAsia="en-US"/>
        </w:rPr>
        <w:t>БДП</w:t>
      </w:r>
      <w:r w:rsidR="008F49CE" w:rsidRPr="005303F7">
        <w:rPr>
          <w:rFonts w:ascii="Times New Roman" w:hAnsi="Times New Roman"/>
          <w:b w:val="0"/>
          <w:bCs w:val="0"/>
          <w:sz w:val="24"/>
          <w:lang w:val="sr-Cyrl-CS" w:eastAsia="en-US"/>
        </w:rPr>
        <w:t>-</w:t>
      </w:r>
      <w:r w:rsidR="00BF65FC" w:rsidRPr="005303F7">
        <w:rPr>
          <w:rFonts w:ascii="Times New Roman" w:hAnsi="Times New Roman"/>
          <w:b w:val="0"/>
          <w:bCs w:val="0"/>
          <w:sz w:val="24"/>
          <w:lang w:val="sr-Cyrl-CS" w:eastAsia="en-US"/>
        </w:rPr>
        <w:t>а</w:t>
      </w:r>
      <w:r w:rsidR="008F49CE" w:rsidRPr="005303F7">
        <w:rPr>
          <w:rFonts w:ascii="Times New Roman" w:hAnsi="Times New Roman"/>
          <w:b w:val="0"/>
          <w:bCs w:val="0"/>
          <w:sz w:val="24"/>
          <w:lang w:val="sr-Cyrl-CS" w:eastAsia="en-US"/>
        </w:rPr>
        <w:t xml:space="preserve"> </w:t>
      </w:r>
      <w:r w:rsidR="00BF65FC" w:rsidRPr="005303F7">
        <w:rPr>
          <w:rFonts w:ascii="Times New Roman" w:hAnsi="Times New Roman"/>
          <w:b w:val="0"/>
          <w:bCs w:val="0"/>
          <w:sz w:val="24"/>
          <w:lang w:val="sr-Cyrl-CS" w:eastAsia="en-US"/>
        </w:rPr>
        <w:t>у</w:t>
      </w:r>
      <w:r w:rsidR="008F49CE" w:rsidRPr="005303F7">
        <w:rPr>
          <w:rFonts w:ascii="Times New Roman" w:hAnsi="Times New Roman"/>
          <w:b w:val="0"/>
          <w:bCs w:val="0"/>
          <w:sz w:val="24"/>
          <w:lang w:val="sr-Cyrl-CS" w:eastAsia="en-US"/>
        </w:rPr>
        <w:t xml:space="preserve"> </w:t>
      </w:r>
      <w:r w:rsidR="00D73AAB" w:rsidRPr="005303F7">
        <w:rPr>
          <w:rFonts w:ascii="Times New Roman" w:hAnsi="Times New Roman"/>
          <w:b w:val="0"/>
          <w:bCs w:val="0"/>
          <w:sz w:val="24"/>
          <w:lang w:val="sr-Cyrl-CS" w:eastAsia="en-US"/>
        </w:rPr>
        <w:t>Републици Србији</w:t>
      </w:r>
      <w:r w:rsidR="008F49CE" w:rsidRPr="005303F7">
        <w:rPr>
          <w:rFonts w:ascii="Times New Roman" w:hAnsi="Times New Roman"/>
          <w:b w:val="0"/>
          <w:bCs w:val="0"/>
          <w:sz w:val="24"/>
          <w:lang w:val="sr-Cyrl-CS" w:eastAsia="en-US"/>
        </w:rPr>
        <w:t>.</w:t>
      </w:r>
    </w:p>
    <w:p w14:paraId="0726FF68" w14:textId="6A00D768" w:rsidR="000D1ABC" w:rsidRPr="005303F7" w:rsidRDefault="00BF65FC" w:rsidP="00C91A4C">
      <w:pPr>
        <w:spacing w:after="60"/>
        <w:rPr>
          <w:rFonts w:ascii="Times New Roman" w:hAnsi="Times New Roman"/>
          <w:b/>
          <w:bCs/>
          <w:i/>
          <w:iCs/>
          <w:sz w:val="20"/>
          <w:szCs w:val="18"/>
          <w:lang w:val="sr-Cyrl-CS"/>
        </w:rPr>
      </w:pPr>
      <w:bookmarkStart w:id="260" w:name="_Toc26450879"/>
      <w:r w:rsidRPr="005303F7">
        <w:rPr>
          <w:rFonts w:ascii="Times New Roman" w:hAnsi="Times New Roman"/>
          <w:b/>
          <w:bCs/>
          <w:i/>
          <w:iCs/>
          <w:sz w:val="20"/>
          <w:szCs w:val="18"/>
          <w:lang w:val="sr-Cyrl-CS"/>
        </w:rPr>
        <w:t>Табела</w:t>
      </w:r>
      <w:r w:rsidR="008F49CE" w:rsidRPr="005303F7">
        <w:rPr>
          <w:rFonts w:ascii="Times New Roman" w:hAnsi="Times New Roman"/>
          <w:b/>
          <w:bCs/>
          <w:i/>
          <w:iCs/>
          <w:sz w:val="20"/>
          <w:szCs w:val="18"/>
          <w:lang w:val="sr-Cyrl-CS"/>
        </w:rPr>
        <w:t xml:space="preserve"> </w:t>
      </w:r>
      <w:r w:rsidR="00D35E3C" w:rsidRPr="005303F7">
        <w:rPr>
          <w:rFonts w:ascii="Times New Roman" w:hAnsi="Times New Roman"/>
          <w:b/>
          <w:bCs/>
          <w:i/>
          <w:iCs/>
          <w:sz w:val="20"/>
          <w:szCs w:val="18"/>
          <w:lang w:val="sr-Cyrl-CS"/>
        </w:rPr>
        <w:fldChar w:fldCharType="begin"/>
      </w:r>
      <w:r w:rsidR="00D35E3C" w:rsidRPr="005303F7">
        <w:rPr>
          <w:rFonts w:ascii="Times New Roman" w:hAnsi="Times New Roman"/>
          <w:b/>
          <w:bCs/>
          <w:i/>
          <w:iCs/>
          <w:sz w:val="20"/>
          <w:szCs w:val="18"/>
          <w:lang w:val="sr-Cyrl-CS"/>
        </w:rPr>
        <w:instrText xml:space="preserve"> SEQ Table \* ARABIC </w:instrText>
      </w:r>
      <w:r w:rsidR="00D35E3C" w:rsidRPr="005303F7">
        <w:rPr>
          <w:rFonts w:ascii="Times New Roman" w:hAnsi="Times New Roman"/>
          <w:b/>
          <w:bCs/>
          <w:i/>
          <w:iCs/>
          <w:sz w:val="20"/>
          <w:szCs w:val="18"/>
          <w:lang w:val="sr-Cyrl-CS"/>
        </w:rPr>
        <w:fldChar w:fldCharType="separate"/>
      </w:r>
      <w:r w:rsidR="00DA2595" w:rsidRPr="005303F7">
        <w:rPr>
          <w:rFonts w:ascii="Times New Roman" w:hAnsi="Times New Roman"/>
          <w:b/>
          <w:bCs/>
          <w:i/>
          <w:iCs/>
          <w:noProof/>
          <w:sz w:val="20"/>
          <w:szCs w:val="18"/>
          <w:lang w:val="sr-Cyrl-CS"/>
        </w:rPr>
        <w:t>7</w:t>
      </w:r>
      <w:r w:rsidR="00D35E3C" w:rsidRPr="005303F7">
        <w:rPr>
          <w:rFonts w:ascii="Times New Roman" w:hAnsi="Times New Roman"/>
          <w:b/>
          <w:bCs/>
          <w:i/>
          <w:iCs/>
          <w:sz w:val="20"/>
          <w:szCs w:val="18"/>
          <w:lang w:val="sr-Cyrl-CS"/>
        </w:rPr>
        <w:fldChar w:fldCharType="end"/>
      </w:r>
      <w:bookmarkEnd w:id="259"/>
      <w:r w:rsidR="00D35E3C"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Просечна</w:t>
      </w:r>
      <w:r w:rsidR="008F49CE"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годишња</w:t>
      </w:r>
      <w:r w:rsidR="008F49CE"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стопа</w:t>
      </w:r>
      <w:r w:rsidR="008F49CE"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раста</w:t>
      </w:r>
      <w:r w:rsidR="008F49CE"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БДП</w:t>
      </w:r>
      <w:r w:rsidR="008F49CE" w:rsidRPr="005303F7">
        <w:rPr>
          <w:rFonts w:ascii="Times New Roman" w:hAnsi="Times New Roman"/>
          <w:b/>
          <w:bCs/>
          <w:i/>
          <w:iCs/>
          <w:sz w:val="20"/>
          <w:szCs w:val="18"/>
          <w:lang w:val="sr-Cyrl-CS"/>
        </w:rPr>
        <w:t>-</w:t>
      </w:r>
      <w:r w:rsidRPr="005303F7">
        <w:rPr>
          <w:rFonts w:ascii="Times New Roman" w:hAnsi="Times New Roman"/>
          <w:b/>
          <w:bCs/>
          <w:i/>
          <w:iCs/>
          <w:sz w:val="20"/>
          <w:szCs w:val="18"/>
          <w:lang w:val="sr-Cyrl-CS"/>
        </w:rPr>
        <w:t>а</w:t>
      </w:r>
      <w:r w:rsidR="008F49CE"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у</w:t>
      </w:r>
      <w:r w:rsidR="008F49CE"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периоду</w:t>
      </w:r>
      <w:r w:rsidR="008F49CE"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од</w:t>
      </w:r>
      <w:r w:rsidR="008F49CE" w:rsidRPr="005303F7">
        <w:rPr>
          <w:rFonts w:ascii="Times New Roman" w:hAnsi="Times New Roman"/>
          <w:b/>
          <w:bCs/>
          <w:i/>
          <w:iCs/>
          <w:sz w:val="20"/>
          <w:szCs w:val="18"/>
          <w:lang w:val="sr-Cyrl-CS"/>
        </w:rPr>
        <w:t xml:space="preserve"> </w:t>
      </w:r>
      <w:r w:rsidR="000D1ABC" w:rsidRPr="005303F7">
        <w:rPr>
          <w:rFonts w:ascii="Times New Roman" w:hAnsi="Times New Roman"/>
          <w:b/>
          <w:bCs/>
          <w:i/>
          <w:iCs/>
          <w:sz w:val="20"/>
          <w:szCs w:val="18"/>
          <w:lang w:val="sr-Cyrl-CS"/>
        </w:rPr>
        <w:t>2020-2050</w:t>
      </w:r>
      <w:r w:rsidR="008F49CE"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годин</w:t>
      </w:r>
      <w:bookmarkEnd w:id="260"/>
      <w:r w:rsidRPr="005303F7">
        <w:rPr>
          <w:rFonts w:ascii="Times New Roman" w:hAnsi="Times New Roman"/>
          <w:b/>
          <w:bCs/>
          <w:i/>
          <w:iCs/>
          <w:sz w:val="20"/>
          <w:szCs w:val="18"/>
          <w:lang w:val="sr-Cyrl-CS"/>
        </w:rPr>
        <w:t>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4A0" w:firstRow="1" w:lastRow="0" w:firstColumn="1" w:lastColumn="0" w:noHBand="0" w:noVBand="1"/>
      </w:tblPr>
      <w:tblGrid>
        <w:gridCol w:w="2307"/>
        <w:gridCol w:w="1726"/>
        <w:gridCol w:w="1728"/>
        <w:gridCol w:w="1728"/>
        <w:gridCol w:w="1723"/>
      </w:tblGrid>
      <w:tr w:rsidR="00BF65FC" w:rsidRPr="005303F7" w14:paraId="143AA781" w14:textId="5ECBE25C" w:rsidTr="00CD7D87">
        <w:trPr>
          <w:trHeight w:val="20"/>
        </w:trPr>
        <w:tc>
          <w:tcPr>
            <w:tcW w:w="1252" w:type="pct"/>
            <w:shd w:val="clear" w:color="auto" w:fill="D9D9D9" w:themeFill="background1" w:themeFillShade="D9"/>
            <w:noWrap/>
            <w:vAlign w:val="bottom"/>
            <w:hideMark/>
          </w:tcPr>
          <w:p w14:paraId="7E20F5C5" w14:textId="75114437" w:rsidR="000D1ABC" w:rsidRPr="005303F7" w:rsidRDefault="000D1ABC"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p>
        </w:tc>
        <w:tc>
          <w:tcPr>
            <w:tcW w:w="937" w:type="pct"/>
            <w:shd w:val="clear" w:color="auto" w:fill="D9D9D9" w:themeFill="background1" w:themeFillShade="D9"/>
            <w:vAlign w:val="center"/>
            <w:hideMark/>
          </w:tcPr>
          <w:p w14:paraId="51818139" w14:textId="018B6B50" w:rsidR="000D1ABC"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Б</w:t>
            </w:r>
            <w:r w:rsidR="000D1ABC" w:rsidRPr="005303F7">
              <w:rPr>
                <w:rFonts w:ascii="Times New Roman" w:hAnsi="Times New Roman"/>
                <w:b/>
                <w:bCs/>
                <w:sz w:val="20"/>
                <w:lang w:val="sr-Cyrl-CS" w:eastAsia="pt-PT"/>
              </w:rPr>
              <w:t>2</w:t>
            </w:r>
          </w:p>
        </w:tc>
        <w:tc>
          <w:tcPr>
            <w:tcW w:w="938" w:type="pct"/>
            <w:shd w:val="clear" w:color="auto" w:fill="D9D9D9" w:themeFill="background1" w:themeFillShade="D9"/>
            <w:vAlign w:val="center"/>
            <w:hideMark/>
          </w:tcPr>
          <w:p w14:paraId="70474EE1" w14:textId="5CA09BE6" w:rsidR="000D1ABC"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М</w:t>
            </w:r>
            <w:r w:rsidR="000D1ABC" w:rsidRPr="005303F7">
              <w:rPr>
                <w:rFonts w:ascii="Times New Roman" w:hAnsi="Times New Roman"/>
                <w:b/>
                <w:bCs/>
                <w:sz w:val="20"/>
                <w:lang w:val="sr-Cyrl-CS" w:eastAsia="pt-PT"/>
              </w:rPr>
              <w:t>2</w:t>
            </w:r>
          </w:p>
        </w:tc>
        <w:tc>
          <w:tcPr>
            <w:tcW w:w="938" w:type="pct"/>
            <w:shd w:val="clear" w:color="auto" w:fill="D9D9D9" w:themeFill="background1" w:themeFillShade="D9"/>
          </w:tcPr>
          <w:p w14:paraId="7AAA1282" w14:textId="1889BD78" w:rsidR="000D1ABC"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М</w:t>
            </w:r>
            <w:r w:rsidR="000D1ABC" w:rsidRPr="005303F7">
              <w:rPr>
                <w:rFonts w:ascii="Times New Roman" w:hAnsi="Times New Roman"/>
                <w:b/>
                <w:bCs/>
                <w:sz w:val="20"/>
                <w:lang w:val="sr-Cyrl-CS" w:eastAsia="pt-PT"/>
              </w:rPr>
              <w:t>3</w:t>
            </w:r>
          </w:p>
        </w:tc>
        <w:tc>
          <w:tcPr>
            <w:tcW w:w="936" w:type="pct"/>
            <w:shd w:val="clear" w:color="auto" w:fill="D9D9D9" w:themeFill="background1" w:themeFillShade="D9"/>
          </w:tcPr>
          <w:p w14:paraId="69950055" w14:textId="77366DA5" w:rsidR="000D1ABC"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М</w:t>
            </w:r>
            <w:r w:rsidR="000D1ABC" w:rsidRPr="005303F7">
              <w:rPr>
                <w:rFonts w:ascii="Times New Roman" w:hAnsi="Times New Roman"/>
                <w:b/>
                <w:bCs/>
                <w:sz w:val="20"/>
                <w:lang w:val="sr-Cyrl-CS" w:eastAsia="pt-PT"/>
              </w:rPr>
              <w:t>4</w:t>
            </w:r>
          </w:p>
        </w:tc>
      </w:tr>
      <w:tr w:rsidR="00BF65FC" w:rsidRPr="005303F7" w14:paraId="6333DB2F" w14:textId="5D58A101" w:rsidTr="00CD7D87">
        <w:trPr>
          <w:trHeight w:val="313"/>
        </w:trPr>
        <w:tc>
          <w:tcPr>
            <w:tcW w:w="1252" w:type="pct"/>
            <w:shd w:val="clear" w:color="auto" w:fill="D9D9D9" w:themeFill="background1" w:themeFillShade="D9"/>
            <w:vAlign w:val="center"/>
            <w:hideMark/>
          </w:tcPr>
          <w:p w14:paraId="2938C58C" w14:textId="7E1956F6" w:rsidR="000D1ABC" w:rsidRPr="005303F7" w:rsidRDefault="00BF65FC"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sz w:val="20"/>
                <w:lang w:val="sr-Cyrl-CS" w:eastAsia="pt-PT"/>
              </w:rPr>
              <w:t>БДП</w:t>
            </w:r>
          </w:p>
        </w:tc>
        <w:tc>
          <w:tcPr>
            <w:tcW w:w="937" w:type="pct"/>
            <w:shd w:val="clear" w:color="auto" w:fill="auto"/>
            <w:vAlign w:val="center"/>
            <w:hideMark/>
          </w:tcPr>
          <w:p w14:paraId="01FF62DB" w14:textId="4E14EED6" w:rsidR="000D1ABC" w:rsidRPr="005303F7" w:rsidRDefault="000D1ABC"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sz w:val="20"/>
                <w:lang w:val="sr-Cyrl-CS"/>
              </w:rPr>
              <w:t>3,77%</w:t>
            </w:r>
          </w:p>
        </w:tc>
        <w:tc>
          <w:tcPr>
            <w:tcW w:w="938" w:type="pct"/>
            <w:shd w:val="clear" w:color="auto" w:fill="auto"/>
            <w:vAlign w:val="center"/>
            <w:hideMark/>
          </w:tcPr>
          <w:p w14:paraId="3D801A9D" w14:textId="7C66C12C" w:rsidR="000D1ABC" w:rsidRPr="005303F7" w:rsidRDefault="000D1ABC"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sz w:val="20"/>
                <w:lang w:val="sr-Cyrl-CS"/>
              </w:rPr>
              <w:t>3,68%</w:t>
            </w:r>
          </w:p>
        </w:tc>
        <w:tc>
          <w:tcPr>
            <w:tcW w:w="938" w:type="pct"/>
            <w:vAlign w:val="center"/>
          </w:tcPr>
          <w:p w14:paraId="7689D592" w14:textId="3F6F8827" w:rsidR="000D1ABC" w:rsidRPr="005303F7" w:rsidRDefault="000D1ABC" w:rsidP="007F21EA">
            <w:pPr>
              <w:tabs>
                <w:tab w:val="clear" w:pos="3825"/>
              </w:tabs>
              <w:overflowPunct/>
              <w:autoSpaceDE/>
              <w:autoSpaceDN/>
              <w:adjustRightInd/>
              <w:spacing w:before="40" w:after="40"/>
              <w:jc w:val="center"/>
              <w:textAlignment w:val="auto"/>
              <w:rPr>
                <w:rFonts w:ascii="Times New Roman" w:hAnsi="Times New Roman"/>
                <w:sz w:val="20"/>
                <w:lang w:val="sr-Cyrl-CS"/>
              </w:rPr>
            </w:pPr>
            <w:r w:rsidRPr="005303F7">
              <w:rPr>
                <w:rFonts w:ascii="Times New Roman" w:hAnsi="Times New Roman"/>
                <w:sz w:val="20"/>
                <w:lang w:val="sr-Cyrl-CS"/>
              </w:rPr>
              <w:t>3,68%</w:t>
            </w:r>
          </w:p>
        </w:tc>
        <w:tc>
          <w:tcPr>
            <w:tcW w:w="936" w:type="pct"/>
            <w:vAlign w:val="center"/>
          </w:tcPr>
          <w:p w14:paraId="20D33F65" w14:textId="54911828" w:rsidR="000D1ABC" w:rsidRPr="005303F7" w:rsidRDefault="000D1ABC" w:rsidP="007F21EA">
            <w:pPr>
              <w:tabs>
                <w:tab w:val="clear" w:pos="3825"/>
              </w:tabs>
              <w:overflowPunct/>
              <w:autoSpaceDE/>
              <w:autoSpaceDN/>
              <w:adjustRightInd/>
              <w:spacing w:before="40" w:after="40"/>
              <w:jc w:val="center"/>
              <w:textAlignment w:val="auto"/>
              <w:rPr>
                <w:rFonts w:ascii="Times New Roman" w:hAnsi="Times New Roman"/>
                <w:sz w:val="20"/>
                <w:lang w:val="sr-Cyrl-CS"/>
              </w:rPr>
            </w:pPr>
            <w:r w:rsidRPr="005303F7">
              <w:rPr>
                <w:rFonts w:ascii="Times New Roman" w:hAnsi="Times New Roman"/>
                <w:sz w:val="20"/>
                <w:lang w:val="sr-Cyrl-CS"/>
              </w:rPr>
              <w:t>3,64%</w:t>
            </w:r>
          </w:p>
        </w:tc>
      </w:tr>
    </w:tbl>
    <w:p w14:paraId="4618169D" w14:textId="66804159" w:rsidR="00626878" w:rsidRPr="005303F7" w:rsidRDefault="00DA7CD2" w:rsidP="00614618">
      <w:pPr>
        <w:spacing w:after="60"/>
        <w:rPr>
          <w:rFonts w:ascii="Times New Roman" w:hAnsi="Times New Roman"/>
          <w:b/>
          <w:bCs/>
          <w:i/>
          <w:iCs/>
          <w:sz w:val="20"/>
          <w:szCs w:val="18"/>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Табела</w:t>
      </w:r>
      <w:r w:rsidR="00DF4371" w:rsidRPr="005303F7">
        <w:rPr>
          <w:rFonts w:ascii="Times New Roman" w:hAnsi="Times New Roman"/>
          <w:sz w:val="24"/>
          <w:lang w:val="sr-Cyrl-CS"/>
        </w:rPr>
        <w:t xml:space="preserve"> 8 </w:t>
      </w:r>
      <w:r w:rsidR="00BF65FC" w:rsidRPr="005303F7">
        <w:rPr>
          <w:rFonts w:ascii="Times New Roman" w:hAnsi="Times New Roman"/>
          <w:sz w:val="24"/>
          <w:lang w:val="sr-Cyrl-CS"/>
        </w:rPr>
        <w:t>обухвата</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пројектовани</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утицај</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примене</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мера</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укључених</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ову</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стратегију</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БДП</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поређењу</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са</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БДП</w:t>
      </w:r>
      <w:r w:rsidR="0097411D" w:rsidRPr="005303F7">
        <w:rPr>
          <w:rFonts w:ascii="Times New Roman" w:hAnsi="Times New Roman"/>
          <w:sz w:val="24"/>
          <w:lang w:val="sr-Cyrl-CS"/>
        </w:rPr>
        <w:t>-</w:t>
      </w:r>
      <w:r w:rsidR="00BF65FC" w:rsidRPr="005303F7">
        <w:rPr>
          <w:rFonts w:ascii="Times New Roman" w:hAnsi="Times New Roman"/>
          <w:sz w:val="24"/>
          <w:lang w:val="sr-Cyrl-CS"/>
        </w:rPr>
        <w:t>ом</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сценарију</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Б</w:t>
      </w:r>
      <w:r w:rsidR="0097411D" w:rsidRPr="005303F7">
        <w:rPr>
          <w:rFonts w:ascii="Times New Roman" w:hAnsi="Times New Roman"/>
          <w:sz w:val="24"/>
          <w:lang w:val="sr-Cyrl-CS"/>
        </w:rPr>
        <w:t xml:space="preserve">2. </w:t>
      </w:r>
      <w:r w:rsidR="00BF65FC" w:rsidRPr="005303F7">
        <w:rPr>
          <w:rFonts w:ascii="Times New Roman" w:hAnsi="Times New Roman"/>
          <w:sz w:val="24"/>
          <w:lang w:val="sr-Cyrl-CS"/>
        </w:rPr>
        <w:t>Утицај</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БДП</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је</w:t>
      </w:r>
      <w:r w:rsidR="0097411D" w:rsidRPr="005303F7">
        <w:rPr>
          <w:rFonts w:ascii="Times New Roman" w:hAnsi="Times New Roman"/>
          <w:sz w:val="24"/>
          <w:lang w:val="sr-Cyrl-CS"/>
        </w:rPr>
        <w:t xml:space="preserve"> -1,4%</w:t>
      </w:r>
      <w:r w:rsidR="00C9008A"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C9008A" w:rsidRPr="005303F7">
        <w:rPr>
          <w:rFonts w:ascii="Times New Roman" w:hAnsi="Times New Roman"/>
          <w:sz w:val="24"/>
          <w:lang w:val="sr-Cyrl-CS"/>
        </w:rPr>
        <w:t xml:space="preserve"> </w:t>
      </w:r>
      <w:r w:rsidR="00BF65FC" w:rsidRPr="005303F7">
        <w:rPr>
          <w:rFonts w:ascii="Times New Roman" w:hAnsi="Times New Roman"/>
          <w:sz w:val="24"/>
          <w:lang w:val="sr-Cyrl-CS"/>
        </w:rPr>
        <w:t>М</w:t>
      </w:r>
      <w:r w:rsidR="00C9008A" w:rsidRPr="005303F7">
        <w:rPr>
          <w:rFonts w:ascii="Times New Roman" w:hAnsi="Times New Roman"/>
          <w:sz w:val="24"/>
          <w:lang w:val="sr-Cyrl-CS"/>
        </w:rPr>
        <w:t>2</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до</w:t>
      </w:r>
      <w:r w:rsidR="0097411D" w:rsidRPr="005303F7">
        <w:rPr>
          <w:rFonts w:ascii="Times New Roman" w:hAnsi="Times New Roman"/>
          <w:sz w:val="24"/>
          <w:lang w:val="sr-Cyrl-CS"/>
        </w:rPr>
        <w:t xml:space="preserve"> 2030. </w:t>
      </w:r>
      <w:r w:rsidR="00BF65FC" w:rsidRPr="005303F7">
        <w:rPr>
          <w:rFonts w:ascii="Times New Roman" w:hAnsi="Times New Roman"/>
          <w:sz w:val="24"/>
          <w:lang w:val="sr-Cyrl-CS"/>
        </w:rPr>
        <w:t>као</w:t>
      </w:r>
      <w:r w:rsidR="00C9008A"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97411D" w:rsidRPr="005303F7">
        <w:rPr>
          <w:rFonts w:ascii="Times New Roman" w:hAnsi="Times New Roman"/>
          <w:sz w:val="24"/>
          <w:lang w:val="sr-Cyrl-CS"/>
        </w:rPr>
        <w:t xml:space="preserve"> -2,7% </w:t>
      </w:r>
      <w:r w:rsidR="00BF65FC" w:rsidRPr="005303F7">
        <w:rPr>
          <w:rFonts w:ascii="Times New Roman" w:hAnsi="Times New Roman"/>
          <w:sz w:val="24"/>
          <w:lang w:val="sr-Cyrl-CS"/>
        </w:rPr>
        <w:t>у</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М</w:t>
      </w:r>
      <w:r w:rsidR="0097411D" w:rsidRPr="005303F7">
        <w:rPr>
          <w:rFonts w:ascii="Times New Roman" w:hAnsi="Times New Roman"/>
          <w:sz w:val="24"/>
          <w:lang w:val="sr-Cyrl-CS"/>
        </w:rPr>
        <w:t>2</w:t>
      </w:r>
      <w:r w:rsidR="00C9008A" w:rsidRPr="005303F7">
        <w:rPr>
          <w:rFonts w:ascii="Times New Roman" w:hAnsi="Times New Roman"/>
          <w:sz w:val="24"/>
          <w:lang w:val="sr-Cyrl-CS"/>
        </w:rPr>
        <w:t>,</w:t>
      </w:r>
      <w:r w:rsidR="0097411D" w:rsidRPr="005303F7">
        <w:rPr>
          <w:rFonts w:ascii="Times New Roman" w:hAnsi="Times New Roman"/>
          <w:sz w:val="24"/>
          <w:lang w:val="sr-Cyrl-CS"/>
        </w:rPr>
        <w:t xml:space="preserve"> -2,6% </w:t>
      </w:r>
      <w:r w:rsidR="00BF65FC" w:rsidRPr="005303F7">
        <w:rPr>
          <w:rFonts w:ascii="Times New Roman" w:hAnsi="Times New Roman"/>
          <w:sz w:val="24"/>
          <w:lang w:val="sr-Cyrl-CS"/>
        </w:rPr>
        <w:t>у</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М</w:t>
      </w:r>
      <w:r w:rsidR="0097411D" w:rsidRPr="005303F7">
        <w:rPr>
          <w:rFonts w:ascii="Times New Roman" w:hAnsi="Times New Roman"/>
          <w:sz w:val="24"/>
          <w:lang w:val="sr-Cyrl-CS"/>
        </w:rPr>
        <w:t xml:space="preserve">3 </w:t>
      </w:r>
      <w:r w:rsidR="00BF65FC" w:rsidRPr="005303F7">
        <w:rPr>
          <w:rFonts w:ascii="Times New Roman" w:hAnsi="Times New Roman"/>
          <w:sz w:val="24"/>
          <w:lang w:val="sr-Cyrl-CS"/>
        </w:rPr>
        <w:t>и</w:t>
      </w:r>
      <w:r w:rsidR="0097411D" w:rsidRPr="005303F7">
        <w:rPr>
          <w:rFonts w:ascii="Times New Roman" w:hAnsi="Times New Roman"/>
          <w:sz w:val="24"/>
          <w:lang w:val="sr-Cyrl-CS"/>
        </w:rPr>
        <w:t xml:space="preserve"> -3,8% </w:t>
      </w:r>
      <w:r w:rsidR="00BF65FC" w:rsidRPr="005303F7">
        <w:rPr>
          <w:rFonts w:ascii="Times New Roman" w:hAnsi="Times New Roman"/>
          <w:sz w:val="24"/>
          <w:lang w:val="sr-Cyrl-CS"/>
        </w:rPr>
        <w:t>у</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М</w:t>
      </w:r>
      <w:r w:rsidR="0097411D" w:rsidRPr="005303F7">
        <w:rPr>
          <w:rFonts w:ascii="Times New Roman" w:hAnsi="Times New Roman"/>
          <w:sz w:val="24"/>
          <w:lang w:val="sr-Cyrl-CS"/>
        </w:rPr>
        <w:t>4</w:t>
      </w:r>
      <w:r w:rsidR="00C9008A" w:rsidRPr="005303F7">
        <w:rPr>
          <w:rFonts w:ascii="Times New Roman" w:hAnsi="Times New Roman"/>
          <w:sz w:val="24"/>
          <w:lang w:val="sr-Cyrl-CS"/>
        </w:rPr>
        <w:t xml:space="preserve"> </w:t>
      </w:r>
      <w:r w:rsidR="00BF65FC" w:rsidRPr="005303F7">
        <w:rPr>
          <w:rFonts w:ascii="Times New Roman" w:hAnsi="Times New Roman"/>
          <w:sz w:val="24"/>
          <w:lang w:val="sr-Cyrl-CS"/>
        </w:rPr>
        <w:t>до</w:t>
      </w:r>
      <w:r w:rsidR="00C9008A" w:rsidRPr="005303F7">
        <w:rPr>
          <w:rFonts w:ascii="Times New Roman" w:hAnsi="Times New Roman"/>
          <w:sz w:val="24"/>
          <w:lang w:val="sr-Cyrl-CS"/>
        </w:rPr>
        <w:t xml:space="preserve"> 2050</w:t>
      </w:r>
      <w:r w:rsidR="000F54BF" w:rsidRPr="005303F7">
        <w:rPr>
          <w:rFonts w:ascii="Times New Roman" w:hAnsi="Times New Roman"/>
          <w:sz w:val="24"/>
          <w:lang w:val="sr-Cyrl-CS"/>
        </w:rPr>
        <w:t>.</w:t>
      </w:r>
      <w:r w:rsidR="00415473"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поређењу</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са</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Б</w:t>
      </w:r>
      <w:r w:rsidR="0097411D" w:rsidRPr="005303F7">
        <w:rPr>
          <w:rFonts w:ascii="Times New Roman" w:hAnsi="Times New Roman"/>
          <w:sz w:val="24"/>
          <w:lang w:val="sr-Cyrl-CS"/>
        </w:rPr>
        <w:t xml:space="preserve">2. </w:t>
      </w:r>
      <w:r w:rsidR="00BF65FC" w:rsidRPr="005303F7">
        <w:rPr>
          <w:rFonts w:ascii="Times New Roman" w:hAnsi="Times New Roman"/>
          <w:sz w:val="24"/>
          <w:lang w:val="sr-Cyrl-CS"/>
        </w:rPr>
        <w:t>Подаци</w:t>
      </w:r>
      <w:r w:rsidR="00F23580" w:rsidRPr="005303F7">
        <w:rPr>
          <w:rFonts w:ascii="Times New Roman" w:hAnsi="Times New Roman"/>
          <w:sz w:val="24"/>
          <w:lang w:val="sr-Cyrl-CS"/>
        </w:rPr>
        <w:t xml:space="preserve">, </w:t>
      </w:r>
      <w:r w:rsidR="00BF65FC" w:rsidRPr="005303F7">
        <w:rPr>
          <w:rFonts w:ascii="Times New Roman" w:hAnsi="Times New Roman"/>
          <w:sz w:val="24"/>
          <w:lang w:val="sr-Cyrl-CS"/>
        </w:rPr>
        <w:t>наведени</w:t>
      </w:r>
      <w:r w:rsidR="00F23580"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угластим</w:t>
      </w:r>
      <w:r w:rsidR="00094ABC" w:rsidRPr="005303F7">
        <w:rPr>
          <w:rFonts w:ascii="Times New Roman" w:hAnsi="Times New Roman"/>
          <w:sz w:val="24"/>
          <w:lang w:val="sr-Cyrl-CS"/>
        </w:rPr>
        <w:t xml:space="preserve"> </w:t>
      </w:r>
      <w:r w:rsidR="00BF65FC" w:rsidRPr="005303F7">
        <w:rPr>
          <w:rFonts w:ascii="Times New Roman" w:hAnsi="Times New Roman"/>
          <w:sz w:val="24"/>
          <w:lang w:val="sr-Cyrl-CS"/>
        </w:rPr>
        <w:t>заградама</w:t>
      </w:r>
      <w:r w:rsidR="00F23580" w:rsidRPr="005303F7">
        <w:rPr>
          <w:rFonts w:ascii="Times New Roman" w:hAnsi="Times New Roman"/>
          <w:sz w:val="24"/>
          <w:lang w:val="sr-Cyrl-CS"/>
        </w:rPr>
        <w:t xml:space="preserve"> „[ ]’’</w:t>
      </w:r>
      <w:r w:rsidR="00415473"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Табели</w:t>
      </w:r>
      <w:r w:rsidR="00DF4371" w:rsidRPr="005303F7">
        <w:rPr>
          <w:rFonts w:ascii="Times New Roman" w:hAnsi="Times New Roman"/>
          <w:sz w:val="24"/>
          <w:lang w:val="sr-Cyrl-CS"/>
        </w:rPr>
        <w:t xml:space="preserve"> 8</w:t>
      </w:r>
      <w:r w:rsidR="00D71B4E" w:rsidRPr="005303F7">
        <w:rPr>
          <w:rFonts w:ascii="Times New Roman" w:hAnsi="Times New Roman"/>
          <w:sz w:val="24"/>
          <w:lang w:val="sr-Cyrl-CS"/>
        </w:rPr>
        <w:t xml:space="preserve"> </w:t>
      </w:r>
      <w:r w:rsidR="00BF65FC" w:rsidRPr="005303F7">
        <w:rPr>
          <w:rFonts w:ascii="Times New Roman" w:hAnsi="Times New Roman"/>
          <w:sz w:val="24"/>
          <w:lang w:val="sr-Cyrl-CS"/>
        </w:rPr>
        <w:t>одражавају</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утицај</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БДП</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случају</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употребе</w:t>
      </w:r>
      <w:r w:rsidR="00F85F87" w:rsidRPr="005303F7">
        <w:rPr>
          <w:rFonts w:ascii="Times New Roman" w:hAnsi="Times New Roman"/>
          <w:sz w:val="24"/>
          <w:lang w:val="sr-Cyrl-CS"/>
        </w:rPr>
        <w:t xml:space="preserve"> </w:t>
      </w:r>
      <w:r w:rsidR="00BF65FC" w:rsidRPr="005303F7">
        <w:rPr>
          <w:rFonts w:ascii="Times New Roman" w:hAnsi="Times New Roman"/>
          <w:sz w:val="24"/>
          <w:lang w:val="sr-Cyrl-CS"/>
        </w:rPr>
        <w:t>прихода</w:t>
      </w:r>
      <w:r w:rsidR="00F85F87" w:rsidRPr="005303F7">
        <w:rPr>
          <w:rFonts w:ascii="Times New Roman" w:hAnsi="Times New Roman"/>
          <w:sz w:val="24"/>
          <w:lang w:val="sr-Cyrl-CS"/>
        </w:rPr>
        <w:t xml:space="preserve"> </w:t>
      </w:r>
      <w:r w:rsidR="00BF65FC" w:rsidRPr="005303F7">
        <w:rPr>
          <w:rFonts w:ascii="Times New Roman" w:hAnsi="Times New Roman"/>
          <w:sz w:val="24"/>
          <w:lang w:val="sr-Cyrl-CS"/>
        </w:rPr>
        <w:t>од</w:t>
      </w:r>
      <w:r w:rsidR="00F85F87" w:rsidRPr="005303F7">
        <w:rPr>
          <w:rFonts w:ascii="Times New Roman" w:hAnsi="Times New Roman"/>
          <w:sz w:val="24"/>
          <w:lang w:val="sr-Cyrl-CS"/>
        </w:rPr>
        <w:t xml:space="preserve"> </w:t>
      </w:r>
      <w:r w:rsidR="00BF65FC" w:rsidRPr="005303F7">
        <w:rPr>
          <w:rFonts w:ascii="Times New Roman" w:hAnsi="Times New Roman"/>
          <w:sz w:val="24"/>
          <w:lang w:val="sr-Cyrl-CS"/>
        </w:rPr>
        <w:t>ЕТS</w:t>
      </w:r>
      <w:r w:rsidR="00F85F87" w:rsidRPr="005303F7">
        <w:rPr>
          <w:rFonts w:ascii="Times New Roman" w:hAnsi="Times New Roman"/>
          <w:sz w:val="24"/>
          <w:lang w:val="sr-Cyrl-CS"/>
        </w:rPr>
        <w:t>-</w:t>
      </w:r>
      <w:r w:rsidR="00BF65FC" w:rsidRPr="005303F7">
        <w:rPr>
          <w:rFonts w:ascii="Times New Roman" w:hAnsi="Times New Roman"/>
          <w:sz w:val="24"/>
          <w:lang w:val="sr-Cyrl-CS"/>
        </w:rPr>
        <w:t>а</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коришћења</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зајмова</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97411D" w:rsidRPr="005303F7">
        <w:rPr>
          <w:rFonts w:ascii="Times New Roman" w:hAnsi="Times New Roman"/>
          <w:sz w:val="24"/>
          <w:lang w:val="sr-Cyrl-CS"/>
        </w:rPr>
        <w:t xml:space="preserve"> </w:t>
      </w:r>
      <w:r w:rsidR="00BF65FC" w:rsidRPr="005303F7">
        <w:rPr>
          <w:rFonts w:ascii="Times New Roman" w:hAnsi="Times New Roman"/>
          <w:sz w:val="24"/>
          <w:lang w:val="sr-Cyrl-CS"/>
        </w:rPr>
        <w:t>инвестиције</w:t>
      </w:r>
      <w:r w:rsidR="0097411D" w:rsidRPr="005303F7">
        <w:rPr>
          <w:rFonts w:ascii="Times New Roman" w:hAnsi="Times New Roman"/>
          <w:sz w:val="24"/>
          <w:lang w:val="sr-Cyrl-CS"/>
        </w:rPr>
        <w:t>.</w:t>
      </w:r>
      <w:bookmarkStart w:id="261" w:name="_Ref21575856"/>
      <w:bookmarkStart w:id="262" w:name="_Toc26450880"/>
    </w:p>
    <w:p w14:paraId="78A0ADF9" w14:textId="11B1EE81" w:rsidR="00822D61" w:rsidRPr="005303F7" w:rsidRDefault="00BF65FC" w:rsidP="00614618">
      <w:pPr>
        <w:spacing w:after="60"/>
        <w:rPr>
          <w:rFonts w:ascii="Times New Roman" w:hAnsi="Times New Roman"/>
          <w:b/>
          <w:bCs/>
          <w:i/>
          <w:iCs/>
          <w:sz w:val="20"/>
          <w:szCs w:val="18"/>
          <w:lang w:val="sr-Cyrl-CS"/>
        </w:rPr>
      </w:pPr>
      <w:r w:rsidRPr="005303F7">
        <w:rPr>
          <w:rFonts w:ascii="Times New Roman" w:hAnsi="Times New Roman"/>
          <w:b/>
          <w:bCs/>
          <w:i/>
          <w:iCs/>
          <w:sz w:val="20"/>
          <w:szCs w:val="18"/>
          <w:lang w:val="sr-Cyrl-CS"/>
        </w:rPr>
        <w:t>Табела</w:t>
      </w:r>
      <w:r w:rsidR="00D35E3C" w:rsidRPr="005303F7">
        <w:rPr>
          <w:rFonts w:ascii="Times New Roman" w:hAnsi="Times New Roman"/>
          <w:b/>
          <w:bCs/>
          <w:i/>
          <w:iCs/>
          <w:sz w:val="20"/>
          <w:szCs w:val="18"/>
          <w:lang w:val="sr-Cyrl-CS"/>
        </w:rPr>
        <w:t xml:space="preserve"> </w:t>
      </w:r>
      <w:r w:rsidR="00D35E3C" w:rsidRPr="005303F7">
        <w:rPr>
          <w:rFonts w:ascii="Times New Roman" w:hAnsi="Times New Roman"/>
          <w:b/>
          <w:bCs/>
          <w:i/>
          <w:iCs/>
          <w:sz w:val="20"/>
          <w:szCs w:val="18"/>
          <w:lang w:val="sr-Cyrl-CS"/>
        </w:rPr>
        <w:fldChar w:fldCharType="begin"/>
      </w:r>
      <w:r w:rsidR="00D35E3C" w:rsidRPr="005303F7">
        <w:rPr>
          <w:rFonts w:ascii="Times New Roman" w:hAnsi="Times New Roman"/>
          <w:b/>
          <w:bCs/>
          <w:i/>
          <w:iCs/>
          <w:sz w:val="20"/>
          <w:szCs w:val="18"/>
          <w:lang w:val="sr-Cyrl-CS"/>
        </w:rPr>
        <w:instrText xml:space="preserve"> SEQ Table \* ARABIC </w:instrText>
      </w:r>
      <w:r w:rsidR="00D35E3C" w:rsidRPr="005303F7">
        <w:rPr>
          <w:rFonts w:ascii="Times New Roman" w:hAnsi="Times New Roman"/>
          <w:b/>
          <w:bCs/>
          <w:i/>
          <w:iCs/>
          <w:sz w:val="20"/>
          <w:szCs w:val="18"/>
          <w:lang w:val="sr-Cyrl-CS"/>
        </w:rPr>
        <w:fldChar w:fldCharType="separate"/>
      </w:r>
      <w:r w:rsidR="00DA2595" w:rsidRPr="005303F7">
        <w:rPr>
          <w:rFonts w:ascii="Times New Roman" w:hAnsi="Times New Roman"/>
          <w:b/>
          <w:bCs/>
          <w:i/>
          <w:iCs/>
          <w:noProof/>
          <w:sz w:val="20"/>
          <w:szCs w:val="18"/>
          <w:lang w:val="sr-Cyrl-CS"/>
        </w:rPr>
        <w:t>8</w:t>
      </w:r>
      <w:r w:rsidR="00D35E3C" w:rsidRPr="005303F7">
        <w:rPr>
          <w:rFonts w:ascii="Times New Roman" w:hAnsi="Times New Roman"/>
          <w:b/>
          <w:bCs/>
          <w:i/>
          <w:iCs/>
          <w:sz w:val="20"/>
          <w:szCs w:val="18"/>
          <w:lang w:val="sr-Cyrl-CS"/>
        </w:rPr>
        <w:fldChar w:fldCharType="end"/>
      </w:r>
      <w:bookmarkEnd w:id="261"/>
      <w:r w:rsidR="00D35E3C"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Утицаји</w:t>
      </w:r>
      <w:r w:rsidR="002F6E62"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на</w:t>
      </w:r>
      <w:r w:rsidR="002F6E62"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БДП</w:t>
      </w:r>
      <w:r w:rsidR="002F6E62"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у</w:t>
      </w:r>
      <w:r w:rsidR="002F6E62"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поређењу</w:t>
      </w:r>
      <w:r w:rsidR="002F6E62"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са</w:t>
      </w:r>
      <w:r w:rsidR="002F6E62"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основним</w:t>
      </w:r>
      <w:r w:rsidR="002F6E62"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Б</w:t>
      </w:r>
      <w:r w:rsidR="002F6E62" w:rsidRPr="005303F7">
        <w:rPr>
          <w:rFonts w:ascii="Times New Roman" w:hAnsi="Times New Roman"/>
          <w:b/>
          <w:bCs/>
          <w:i/>
          <w:iCs/>
          <w:sz w:val="20"/>
          <w:szCs w:val="18"/>
          <w:lang w:val="sr-Cyrl-CS"/>
        </w:rPr>
        <w:t xml:space="preserve">2 </w:t>
      </w:r>
      <w:r w:rsidRPr="005303F7">
        <w:rPr>
          <w:rFonts w:ascii="Times New Roman" w:hAnsi="Times New Roman"/>
          <w:b/>
          <w:bCs/>
          <w:i/>
          <w:iCs/>
          <w:sz w:val="20"/>
          <w:szCs w:val="18"/>
          <w:lang w:val="sr-Cyrl-CS"/>
        </w:rPr>
        <w:t>сценарио</w:t>
      </w:r>
      <w:bookmarkEnd w:id="262"/>
      <w:r w:rsidRPr="005303F7">
        <w:rPr>
          <w:rFonts w:ascii="Times New Roman" w:hAnsi="Times New Roman"/>
          <w:b/>
          <w:bCs/>
          <w:i/>
          <w:iCs/>
          <w:sz w:val="20"/>
          <w:szCs w:val="18"/>
          <w:lang w:val="sr-Cyrl-CS"/>
        </w:rPr>
        <w:t>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7"/>
        <w:gridCol w:w="1726"/>
        <w:gridCol w:w="1728"/>
        <w:gridCol w:w="1728"/>
        <w:gridCol w:w="1723"/>
      </w:tblGrid>
      <w:tr w:rsidR="00822D61" w:rsidRPr="005303F7" w14:paraId="54985F47" w14:textId="7FEE1F6B" w:rsidTr="00B332BD">
        <w:trPr>
          <w:trHeight w:val="20"/>
        </w:trPr>
        <w:tc>
          <w:tcPr>
            <w:tcW w:w="125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26A54CC" w14:textId="466D6AF3" w:rsidR="00822D61" w:rsidRPr="005303F7" w:rsidRDefault="00822D61"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p>
        </w:tc>
        <w:tc>
          <w:tcPr>
            <w:tcW w:w="937" w:type="pct"/>
            <w:tcBorders>
              <w:left w:val="single" w:sz="4" w:space="0" w:color="auto"/>
            </w:tcBorders>
            <w:shd w:val="clear" w:color="auto" w:fill="D9D9D9" w:themeFill="background1" w:themeFillShade="D9"/>
            <w:vAlign w:val="center"/>
            <w:hideMark/>
          </w:tcPr>
          <w:p w14:paraId="2443FB90" w14:textId="0EE2CD81" w:rsidR="00822D61" w:rsidRPr="005303F7" w:rsidRDefault="00822D61"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2020</w:t>
            </w:r>
            <w:r w:rsidR="0064001A" w:rsidRPr="005303F7">
              <w:rPr>
                <w:rFonts w:ascii="Times New Roman" w:hAnsi="Times New Roman"/>
                <w:b/>
                <w:bCs/>
                <w:sz w:val="20"/>
                <w:lang w:val="sr-Cyrl-CS" w:eastAsia="pt-PT"/>
              </w:rPr>
              <w:t>.</w:t>
            </w:r>
          </w:p>
        </w:tc>
        <w:tc>
          <w:tcPr>
            <w:tcW w:w="938" w:type="pct"/>
            <w:shd w:val="clear" w:color="auto" w:fill="D9D9D9" w:themeFill="background1" w:themeFillShade="D9"/>
            <w:vAlign w:val="center"/>
            <w:hideMark/>
          </w:tcPr>
          <w:p w14:paraId="5F169AE7" w14:textId="2DF282FE" w:rsidR="00822D61" w:rsidRPr="005303F7" w:rsidRDefault="00822D61"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2025</w:t>
            </w:r>
            <w:r w:rsidR="0064001A" w:rsidRPr="005303F7">
              <w:rPr>
                <w:rFonts w:ascii="Times New Roman" w:hAnsi="Times New Roman"/>
                <w:b/>
                <w:bCs/>
                <w:sz w:val="20"/>
                <w:lang w:val="sr-Cyrl-CS" w:eastAsia="pt-PT"/>
              </w:rPr>
              <w:t>.</w:t>
            </w:r>
          </w:p>
        </w:tc>
        <w:tc>
          <w:tcPr>
            <w:tcW w:w="938" w:type="pct"/>
            <w:shd w:val="clear" w:color="auto" w:fill="D9D9D9" w:themeFill="background1" w:themeFillShade="D9"/>
            <w:vAlign w:val="center"/>
            <w:hideMark/>
          </w:tcPr>
          <w:p w14:paraId="014176B9" w14:textId="4B9803CD" w:rsidR="00822D61" w:rsidRPr="005303F7" w:rsidRDefault="00822D61"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2030</w:t>
            </w:r>
            <w:r w:rsidR="0064001A" w:rsidRPr="005303F7">
              <w:rPr>
                <w:rFonts w:ascii="Times New Roman" w:hAnsi="Times New Roman"/>
                <w:b/>
                <w:bCs/>
                <w:sz w:val="20"/>
                <w:lang w:val="sr-Cyrl-CS" w:eastAsia="pt-PT"/>
              </w:rPr>
              <w:t>.</w:t>
            </w:r>
          </w:p>
        </w:tc>
        <w:tc>
          <w:tcPr>
            <w:tcW w:w="935" w:type="pct"/>
            <w:shd w:val="clear" w:color="auto" w:fill="D9D9D9" w:themeFill="background1" w:themeFillShade="D9"/>
            <w:vAlign w:val="center"/>
            <w:hideMark/>
          </w:tcPr>
          <w:p w14:paraId="477452C6" w14:textId="21D69E00" w:rsidR="00822D61" w:rsidRPr="005303F7" w:rsidRDefault="00822D61"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2050</w:t>
            </w:r>
            <w:r w:rsidR="0064001A" w:rsidRPr="005303F7">
              <w:rPr>
                <w:rFonts w:ascii="Times New Roman" w:hAnsi="Times New Roman"/>
                <w:b/>
                <w:bCs/>
                <w:sz w:val="20"/>
                <w:lang w:val="sr-Cyrl-CS" w:eastAsia="pt-PT"/>
              </w:rPr>
              <w:t>.</w:t>
            </w:r>
          </w:p>
        </w:tc>
      </w:tr>
      <w:tr w:rsidR="00822D61" w:rsidRPr="005303F7" w14:paraId="6B0D8F58" w14:textId="19DD55D4" w:rsidTr="00B332BD">
        <w:trPr>
          <w:trHeight w:val="20"/>
        </w:trPr>
        <w:tc>
          <w:tcPr>
            <w:tcW w:w="1252" w:type="pct"/>
            <w:shd w:val="clear" w:color="auto" w:fill="D9D9D9" w:themeFill="background1" w:themeFillShade="D9"/>
            <w:vAlign w:val="center"/>
            <w:hideMark/>
          </w:tcPr>
          <w:p w14:paraId="748C1AEE" w14:textId="7C9371DB" w:rsidR="00822D61"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М</w:t>
            </w:r>
            <w:r w:rsidR="00822D61" w:rsidRPr="005303F7">
              <w:rPr>
                <w:rFonts w:ascii="Times New Roman" w:hAnsi="Times New Roman"/>
                <w:b/>
                <w:bCs/>
                <w:sz w:val="20"/>
                <w:lang w:val="sr-Cyrl-CS" w:eastAsia="pt-PT"/>
              </w:rPr>
              <w:t>2</w:t>
            </w:r>
          </w:p>
        </w:tc>
        <w:tc>
          <w:tcPr>
            <w:tcW w:w="937" w:type="pct"/>
            <w:shd w:val="clear" w:color="auto" w:fill="auto"/>
            <w:vAlign w:val="center"/>
            <w:hideMark/>
          </w:tcPr>
          <w:p w14:paraId="3DF20B21" w14:textId="027A342F" w:rsidR="003B42CB" w:rsidRPr="005303F7" w:rsidRDefault="00822D61">
            <w:pPr>
              <w:tabs>
                <w:tab w:val="clear" w:pos="3825"/>
              </w:tabs>
              <w:overflowPunct/>
              <w:autoSpaceDE/>
              <w:autoSpaceDN/>
              <w:adjustRightInd/>
              <w:spacing w:before="40" w:after="40"/>
              <w:jc w:val="center"/>
              <w:textAlignment w:val="auto"/>
              <w:rPr>
                <w:rFonts w:ascii="Times New Roman" w:hAnsi="Times New Roman"/>
                <w:sz w:val="20"/>
                <w:lang w:val="sr-Cyrl-CS"/>
              </w:rPr>
            </w:pPr>
            <w:r w:rsidRPr="005303F7">
              <w:rPr>
                <w:rFonts w:ascii="Times New Roman" w:hAnsi="Times New Roman"/>
                <w:sz w:val="20"/>
                <w:lang w:val="sr-Cyrl-CS"/>
              </w:rPr>
              <w:t>0,0 %</w:t>
            </w:r>
          </w:p>
        </w:tc>
        <w:tc>
          <w:tcPr>
            <w:tcW w:w="938" w:type="pct"/>
            <w:shd w:val="clear" w:color="auto" w:fill="auto"/>
            <w:vAlign w:val="center"/>
            <w:hideMark/>
          </w:tcPr>
          <w:p w14:paraId="09A1D5C5" w14:textId="05000D4B" w:rsidR="00822D61" w:rsidRPr="005303F7" w:rsidRDefault="00822D61">
            <w:pPr>
              <w:tabs>
                <w:tab w:val="clear" w:pos="3825"/>
              </w:tabs>
              <w:overflowPunct/>
              <w:autoSpaceDE/>
              <w:autoSpaceDN/>
              <w:adjustRightInd/>
              <w:spacing w:before="40" w:after="40"/>
              <w:jc w:val="center"/>
              <w:textAlignment w:val="auto"/>
              <w:rPr>
                <w:rFonts w:ascii="Times New Roman" w:hAnsi="Times New Roman"/>
                <w:sz w:val="20"/>
                <w:lang w:val="sr-Cyrl-CS"/>
              </w:rPr>
            </w:pPr>
            <w:r w:rsidRPr="005303F7">
              <w:rPr>
                <w:rFonts w:ascii="Times New Roman" w:hAnsi="Times New Roman"/>
                <w:sz w:val="20"/>
                <w:lang w:val="sr-Cyrl-CS"/>
              </w:rPr>
              <w:t xml:space="preserve"> -1,0% </w:t>
            </w:r>
          </w:p>
        </w:tc>
        <w:tc>
          <w:tcPr>
            <w:tcW w:w="938" w:type="pct"/>
            <w:shd w:val="clear" w:color="auto" w:fill="auto"/>
            <w:vAlign w:val="center"/>
            <w:hideMark/>
          </w:tcPr>
          <w:p w14:paraId="2092A5CF" w14:textId="55B765C2" w:rsidR="00822D61" w:rsidRPr="005303F7" w:rsidRDefault="00822D61" w:rsidP="007F21EA">
            <w:pPr>
              <w:tabs>
                <w:tab w:val="clear" w:pos="3825"/>
              </w:tabs>
              <w:overflowPunct/>
              <w:autoSpaceDE/>
              <w:autoSpaceDN/>
              <w:adjustRightInd/>
              <w:spacing w:before="40" w:after="40"/>
              <w:jc w:val="center"/>
              <w:textAlignment w:val="auto"/>
              <w:rPr>
                <w:rFonts w:ascii="Times New Roman" w:hAnsi="Times New Roman"/>
                <w:sz w:val="20"/>
                <w:lang w:val="sr-Cyrl-CS"/>
              </w:rPr>
            </w:pPr>
            <w:r w:rsidRPr="005303F7">
              <w:rPr>
                <w:rFonts w:ascii="Times New Roman" w:hAnsi="Times New Roman"/>
                <w:sz w:val="20"/>
                <w:lang w:val="sr-Cyrl-CS"/>
              </w:rPr>
              <w:t xml:space="preserve"> -1,4% [</w:t>
            </w:r>
            <w:r w:rsidR="001635A2" w:rsidRPr="005303F7">
              <w:rPr>
                <w:rFonts w:ascii="Times New Roman" w:hAnsi="Times New Roman"/>
                <w:sz w:val="20"/>
                <w:lang w:val="sr-Cyrl-CS"/>
              </w:rPr>
              <w:t>-</w:t>
            </w:r>
            <w:r w:rsidRPr="005303F7">
              <w:rPr>
                <w:rFonts w:ascii="Times New Roman" w:hAnsi="Times New Roman"/>
                <w:sz w:val="20"/>
                <w:lang w:val="sr-Cyrl-CS"/>
              </w:rPr>
              <w:t>0,</w:t>
            </w:r>
            <w:r w:rsidR="001635A2" w:rsidRPr="005303F7">
              <w:rPr>
                <w:rFonts w:ascii="Times New Roman" w:hAnsi="Times New Roman"/>
                <w:sz w:val="20"/>
                <w:lang w:val="sr-Cyrl-CS"/>
              </w:rPr>
              <w:t>12</w:t>
            </w:r>
            <w:r w:rsidRPr="005303F7">
              <w:rPr>
                <w:rFonts w:ascii="Times New Roman" w:hAnsi="Times New Roman"/>
                <w:sz w:val="20"/>
                <w:lang w:val="sr-Cyrl-CS"/>
              </w:rPr>
              <w:t>%]</w:t>
            </w:r>
          </w:p>
        </w:tc>
        <w:tc>
          <w:tcPr>
            <w:tcW w:w="935" w:type="pct"/>
            <w:shd w:val="clear" w:color="auto" w:fill="auto"/>
            <w:vAlign w:val="center"/>
            <w:hideMark/>
          </w:tcPr>
          <w:p w14:paraId="34EFB55D" w14:textId="77C79525" w:rsidR="00822D61" w:rsidRPr="005303F7" w:rsidRDefault="00822D61" w:rsidP="007F21EA">
            <w:pPr>
              <w:tabs>
                <w:tab w:val="clear" w:pos="3825"/>
              </w:tabs>
              <w:overflowPunct/>
              <w:autoSpaceDE/>
              <w:autoSpaceDN/>
              <w:adjustRightInd/>
              <w:spacing w:before="40" w:after="40"/>
              <w:jc w:val="center"/>
              <w:textAlignment w:val="auto"/>
              <w:rPr>
                <w:rFonts w:ascii="Times New Roman" w:hAnsi="Times New Roman"/>
                <w:sz w:val="20"/>
                <w:lang w:val="sr-Cyrl-CS"/>
              </w:rPr>
            </w:pPr>
            <w:r w:rsidRPr="005303F7">
              <w:rPr>
                <w:rFonts w:ascii="Times New Roman" w:hAnsi="Times New Roman"/>
                <w:sz w:val="20"/>
                <w:lang w:val="sr-Cyrl-CS"/>
              </w:rPr>
              <w:t xml:space="preserve"> -2,7% [</w:t>
            </w:r>
            <w:r w:rsidR="001635A2" w:rsidRPr="005303F7">
              <w:rPr>
                <w:rFonts w:ascii="Times New Roman" w:hAnsi="Times New Roman"/>
                <w:sz w:val="20"/>
                <w:lang w:val="sr-Cyrl-CS"/>
              </w:rPr>
              <w:t>-</w:t>
            </w:r>
            <w:r w:rsidRPr="005303F7">
              <w:rPr>
                <w:rFonts w:ascii="Times New Roman" w:hAnsi="Times New Roman"/>
                <w:sz w:val="20"/>
                <w:lang w:val="sr-Cyrl-CS"/>
              </w:rPr>
              <w:t>0,</w:t>
            </w:r>
            <w:r w:rsidR="001635A2" w:rsidRPr="005303F7">
              <w:rPr>
                <w:rFonts w:ascii="Times New Roman" w:hAnsi="Times New Roman"/>
                <w:sz w:val="20"/>
                <w:lang w:val="sr-Cyrl-CS"/>
              </w:rPr>
              <w:t>76</w:t>
            </w:r>
            <w:r w:rsidRPr="005303F7">
              <w:rPr>
                <w:rFonts w:ascii="Times New Roman" w:hAnsi="Times New Roman"/>
                <w:sz w:val="20"/>
                <w:lang w:val="sr-Cyrl-CS"/>
              </w:rPr>
              <w:t>%]</w:t>
            </w:r>
          </w:p>
        </w:tc>
      </w:tr>
      <w:tr w:rsidR="00822D61" w:rsidRPr="005303F7" w14:paraId="3514AF68" w14:textId="4E36D625" w:rsidTr="00B332BD">
        <w:trPr>
          <w:trHeight w:val="20"/>
        </w:trPr>
        <w:tc>
          <w:tcPr>
            <w:tcW w:w="1252" w:type="pct"/>
            <w:shd w:val="clear" w:color="auto" w:fill="D9D9D9" w:themeFill="background1" w:themeFillShade="D9"/>
            <w:vAlign w:val="center"/>
          </w:tcPr>
          <w:p w14:paraId="024105A7" w14:textId="3F83C6C9" w:rsidR="00822D61"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М</w:t>
            </w:r>
            <w:r w:rsidR="00822D61" w:rsidRPr="005303F7">
              <w:rPr>
                <w:rFonts w:ascii="Times New Roman" w:hAnsi="Times New Roman"/>
                <w:b/>
                <w:bCs/>
                <w:sz w:val="20"/>
                <w:lang w:val="sr-Cyrl-CS" w:eastAsia="pt-PT"/>
              </w:rPr>
              <w:t>3</w:t>
            </w:r>
          </w:p>
        </w:tc>
        <w:tc>
          <w:tcPr>
            <w:tcW w:w="937" w:type="pct"/>
            <w:shd w:val="clear" w:color="auto" w:fill="auto"/>
            <w:vAlign w:val="center"/>
          </w:tcPr>
          <w:p w14:paraId="138293B0" w14:textId="38186BFF" w:rsidR="00822D61" w:rsidRPr="005303F7" w:rsidRDefault="00822D61" w:rsidP="007F21EA">
            <w:pPr>
              <w:tabs>
                <w:tab w:val="clear" w:pos="3825"/>
              </w:tabs>
              <w:overflowPunct/>
              <w:autoSpaceDE/>
              <w:autoSpaceDN/>
              <w:adjustRightInd/>
              <w:spacing w:before="40" w:after="40"/>
              <w:jc w:val="center"/>
              <w:textAlignment w:val="auto"/>
              <w:rPr>
                <w:rFonts w:ascii="Times New Roman" w:hAnsi="Times New Roman"/>
                <w:sz w:val="20"/>
                <w:lang w:val="sr-Cyrl-CS"/>
              </w:rPr>
            </w:pPr>
            <w:r w:rsidRPr="005303F7">
              <w:rPr>
                <w:rFonts w:ascii="Times New Roman" w:hAnsi="Times New Roman"/>
                <w:sz w:val="20"/>
                <w:lang w:val="sr-Cyrl-CS"/>
              </w:rPr>
              <w:t>-</w:t>
            </w:r>
          </w:p>
        </w:tc>
        <w:tc>
          <w:tcPr>
            <w:tcW w:w="938" w:type="pct"/>
            <w:shd w:val="clear" w:color="auto" w:fill="auto"/>
            <w:vAlign w:val="center"/>
          </w:tcPr>
          <w:p w14:paraId="13688D60" w14:textId="1BF3D6C0" w:rsidR="00822D61" w:rsidRPr="005303F7" w:rsidRDefault="00822D61" w:rsidP="007F21EA">
            <w:pPr>
              <w:tabs>
                <w:tab w:val="clear" w:pos="3825"/>
              </w:tabs>
              <w:overflowPunct/>
              <w:autoSpaceDE/>
              <w:autoSpaceDN/>
              <w:adjustRightInd/>
              <w:spacing w:before="40" w:after="40"/>
              <w:jc w:val="center"/>
              <w:textAlignment w:val="auto"/>
              <w:rPr>
                <w:rFonts w:ascii="Times New Roman" w:hAnsi="Times New Roman"/>
                <w:sz w:val="20"/>
                <w:lang w:val="sr-Cyrl-CS"/>
              </w:rPr>
            </w:pPr>
            <w:r w:rsidRPr="005303F7">
              <w:rPr>
                <w:rFonts w:ascii="Times New Roman" w:hAnsi="Times New Roman"/>
                <w:sz w:val="20"/>
                <w:lang w:val="sr-Cyrl-CS"/>
              </w:rPr>
              <w:t>-</w:t>
            </w:r>
          </w:p>
        </w:tc>
        <w:tc>
          <w:tcPr>
            <w:tcW w:w="938" w:type="pct"/>
            <w:shd w:val="clear" w:color="auto" w:fill="auto"/>
            <w:vAlign w:val="center"/>
          </w:tcPr>
          <w:p w14:paraId="2D045C77" w14:textId="748257AB" w:rsidR="00822D61" w:rsidRPr="005303F7" w:rsidRDefault="00822D61" w:rsidP="007F21EA">
            <w:pPr>
              <w:tabs>
                <w:tab w:val="clear" w:pos="3825"/>
              </w:tabs>
              <w:overflowPunct/>
              <w:autoSpaceDE/>
              <w:autoSpaceDN/>
              <w:adjustRightInd/>
              <w:spacing w:before="40" w:after="40"/>
              <w:jc w:val="center"/>
              <w:textAlignment w:val="auto"/>
              <w:rPr>
                <w:rFonts w:ascii="Times New Roman" w:hAnsi="Times New Roman"/>
                <w:sz w:val="20"/>
                <w:lang w:val="sr-Cyrl-CS"/>
              </w:rPr>
            </w:pPr>
            <w:r w:rsidRPr="005303F7">
              <w:rPr>
                <w:rFonts w:ascii="Times New Roman" w:hAnsi="Times New Roman"/>
                <w:sz w:val="20"/>
                <w:lang w:val="sr-Cyrl-CS"/>
              </w:rPr>
              <w:t>-</w:t>
            </w:r>
          </w:p>
        </w:tc>
        <w:tc>
          <w:tcPr>
            <w:tcW w:w="935" w:type="pct"/>
            <w:shd w:val="clear" w:color="auto" w:fill="auto"/>
            <w:vAlign w:val="center"/>
          </w:tcPr>
          <w:p w14:paraId="1B5C0ABD" w14:textId="007C7331" w:rsidR="00822D61" w:rsidRPr="005303F7" w:rsidRDefault="00822D61" w:rsidP="007F21EA">
            <w:pPr>
              <w:tabs>
                <w:tab w:val="clear" w:pos="3825"/>
              </w:tabs>
              <w:overflowPunct/>
              <w:autoSpaceDE/>
              <w:autoSpaceDN/>
              <w:adjustRightInd/>
              <w:spacing w:before="40" w:after="40"/>
              <w:jc w:val="center"/>
              <w:textAlignment w:val="auto"/>
              <w:rPr>
                <w:rFonts w:ascii="Times New Roman" w:hAnsi="Times New Roman"/>
                <w:sz w:val="20"/>
                <w:lang w:val="sr-Cyrl-CS"/>
              </w:rPr>
            </w:pPr>
            <w:r w:rsidRPr="005303F7">
              <w:rPr>
                <w:rFonts w:ascii="Times New Roman" w:hAnsi="Times New Roman"/>
                <w:sz w:val="20"/>
                <w:lang w:val="sr-Cyrl-CS"/>
              </w:rPr>
              <w:t>-2,6% [</w:t>
            </w:r>
            <w:r w:rsidR="00583480" w:rsidRPr="005303F7">
              <w:rPr>
                <w:rFonts w:ascii="Times New Roman" w:hAnsi="Times New Roman"/>
                <w:sz w:val="20"/>
                <w:lang w:val="sr-Cyrl-CS"/>
              </w:rPr>
              <w:t>-</w:t>
            </w:r>
            <w:r w:rsidRPr="005303F7">
              <w:rPr>
                <w:rFonts w:ascii="Times New Roman" w:hAnsi="Times New Roman"/>
                <w:sz w:val="20"/>
                <w:lang w:val="sr-Cyrl-CS"/>
              </w:rPr>
              <w:t>0,</w:t>
            </w:r>
            <w:r w:rsidR="001635A2" w:rsidRPr="005303F7">
              <w:rPr>
                <w:rFonts w:ascii="Times New Roman" w:hAnsi="Times New Roman"/>
                <w:sz w:val="20"/>
                <w:lang w:val="sr-Cyrl-CS"/>
              </w:rPr>
              <w:t>93</w:t>
            </w:r>
            <w:r w:rsidRPr="005303F7">
              <w:rPr>
                <w:rFonts w:ascii="Times New Roman" w:hAnsi="Times New Roman"/>
                <w:sz w:val="20"/>
                <w:lang w:val="sr-Cyrl-CS"/>
              </w:rPr>
              <w:t>%]</w:t>
            </w:r>
          </w:p>
        </w:tc>
      </w:tr>
      <w:tr w:rsidR="00822D61" w:rsidRPr="005303F7" w14:paraId="0B1E12CC" w14:textId="7BE7DEA9" w:rsidTr="00B332BD">
        <w:trPr>
          <w:trHeight w:val="20"/>
        </w:trPr>
        <w:tc>
          <w:tcPr>
            <w:tcW w:w="1252" w:type="pct"/>
            <w:shd w:val="clear" w:color="auto" w:fill="D9D9D9" w:themeFill="background1" w:themeFillShade="D9"/>
            <w:vAlign w:val="center"/>
          </w:tcPr>
          <w:p w14:paraId="7599EBD7" w14:textId="3D6DD9F9" w:rsidR="00822D61"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М</w:t>
            </w:r>
            <w:r w:rsidR="00822D61" w:rsidRPr="005303F7">
              <w:rPr>
                <w:rFonts w:ascii="Times New Roman" w:hAnsi="Times New Roman"/>
                <w:b/>
                <w:bCs/>
                <w:sz w:val="20"/>
                <w:lang w:val="sr-Cyrl-CS" w:eastAsia="pt-PT"/>
              </w:rPr>
              <w:t>4</w:t>
            </w:r>
          </w:p>
        </w:tc>
        <w:tc>
          <w:tcPr>
            <w:tcW w:w="937" w:type="pct"/>
            <w:shd w:val="clear" w:color="auto" w:fill="auto"/>
            <w:vAlign w:val="center"/>
          </w:tcPr>
          <w:p w14:paraId="2CF986C0" w14:textId="3B6E6BB7" w:rsidR="00822D61" w:rsidRPr="005303F7" w:rsidRDefault="00822D61" w:rsidP="007F21EA">
            <w:pPr>
              <w:tabs>
                <w:tab w:val="clear" w:pos="3825"/>
              </w:tabs>
              <w:overflowPunct/>
              <w:autoSpaceDE/>
              <w:autoSpaceDN/>
              <w:adjustRightInd/>
              <w:spacing w:before="40" w:after="40"/>
              <w:jc w:val="center"/>
              <w:textAlignment w:val="auto"/>
              <w:rPr>
                <w:rFonts w:ascii="Times New Roman" w:hAnsi="Times New Roman"/>
                <w:sz w:val="20"/>
                <w:lang w:val="sr-Cyrl-CS"/>
              </w:rPr>
            </w:pPr>
            <w:r w:rsidRPr="005303F7">
              <w:rPr>
                <w:rFonts w:ascii="Times New Roman" w:hAnsi="Times New Roman"/>
                <w:sz w:val="20"/>
                <w:lang w:val="sr-Cyrl-CS"/>
              </w:rPr>
              <w:t>-</w:t>
            </w:r>
          </w:p>
        </w:tc>
        <w:tc>
          <w:tcPr>
            <w:tcW w:w="938" w:type="pct"/>
            <w:shd w:val="clear" w:color="auto" w:fill="auto"/>
            <w:vAlign w:val="center"/>
          </w:tcPr>
          <w:p w14:paraId="7BB34019" w14:textId="16272865" w:rsidR="00822D61" w:rsidRPr="005303F7" w:rsidRDefault="00822D61" w:rsidP="007F21EA">
            <w:pPr>
              <w:tabs>
                <w:tab w:val="clear" w:pos="3825"/>
              </w:tabs>
              <w:overflowPunct/>
              <w:autoSpaceDE/>
              <w:autoSpaceDN/>
              <w:adjustRightInd/>
              <w:spacing w:before="40" w:after="40"/>
              <w:jc w:val="center"/>
              <w:textAlignment w:val="auto"/>
              <w:rPr>
                <w:rFonts w:ascii="Times New Roman" w:hAnsi="Times New Roman"/>
                <w:sz w:val="20"/>
                <w:lang w:val="sr-Cyrl-CS"/>
              </w:rPr>
            </w:pPr>
            <w:r w:rsidRPr="005303F7">
              <w:rPr>
                <w:rFonts w:ascii="Times New Roman" w:hAnsi="Times New Roman"/>
                <w:sz w:val="20"/>
                <w:lang w:val="sr-Cyrl-CS"/>
              </w:rPr>
              <w:t>-</w:t>
            </w:r>
          </w:p>
        </w:tc>
        <w:tc>
          <w:tcPr>
            <w:tcW w:w="938" w:type="pct"/>
            <w:shd w:val="clear" w:color="auto" w:fill="auto"/>
            <w:vAlign w:val="center"/>
          </w:tcPr>
          <w:p w14:paraId="26AF02CF" w14:textId="77456728" w:rsidR="00822D61" w:rsidRPr="005303F7" w:rsidRDefault="00822D61" w:rsidP="007F21EA">
            <w:pPr>
              <w:tabs>
                <w:tab w:val="clear" w:pos="3825"/>
              </w:tabs>
              <w:overflowPunct/>
              <w:autoSpaceDE/>
              <w:autoSpaceDN/>
              <w:adjustRightInd/>
              <w:spacing w:before="40" w:after="40"/>
              <w:jc w:val="center"/>
              <w:textAlignment w:val="auto"/>
              <w:rPr>
                <w:rFonts w:ascii="Times New Roman" w:hAnsi="Times New Roman"/>
                <w:sz w:val="20"/>
                <w:lang w:val="sr-Cyrl-CS"/>
              </w:rPr>
            </w:pPr>
            <w:r w:rsidRPr="005303F7">
              <w:rPr>
                <w:rFonts w:ascii="Times New Roman" w:hAnsi="Times New Roman"/>
                <w:sz w:val="20"/>
                <w:lang w:val="sr-Cyrl-CS"/>
              </w:rPr>
              <w:t>-</w:t>
            </w:r>
          </w:p>
        </w:tc>
        <w:tc>
          <w:tcPr>
            <w:tcW w:w="935" w:type="pct"/>
            <w:shd w:val="clear" w:color="auto" w:fill="auto"/>
            <w:vAlign w:val="center"/>
          </w:tcPr>
          <w:p w14:paraId="230B7F44" w14:textId="5CA65043" w:rsidR="00822D61" w:rsidRPr="005303F7" w:rsidRDefault="00822D61" w:rsidP="007F21EA">
            <w:pPr>
              <w:tabs>
                <w:tab w:val="clear" w:pos="3825"/>
              </w:tabs>
              <w:overflowPunct/>
              <w:autoSpaceDE/>
              <w:autoSpaceDN/>
              <w:adjustRightInd/>
              <w:spacing w:before="40" w:after="40"/>
              <w:jc w:val="center"/>
              <w:textAlignment w:val="auto"/>
              <w:rPr>
                <w:rFonts w:ascii="Times New Roman" w:hAnsi="Times New Roman"/>
                <w:sz w:val="20"/>
                <w:lang w:val="sr-Cyrl-CS"/>
              </w:rPr>
            </w:pPr>
            <w:r w:rsidRPr="005303F7">
              <w:rPr>
                <w:rFonts w:ascii="Times New Roman" w:hAnsi="Times New Roman"/>
                <w:sz w:val="20"/>
                <w:lang w:val="sr-Cyrl-CS"/>
              </w:rPr>
              <w:t>-3,8% [-</w:t>
            </w:r>
            <w:r w:rsidR="004D12E5" w:rsidRPr="005303F7">
              <w:rPr>
                <w:rFonts w:ascii="Times New Roman" w:hAnsi="Times New Roman"/>
                <w:sz w:val="20"/>
                <w:lang w:val="sr-Cyrl-CS"/>
              </w:rPr>
              <w:t>1</w:t>
            </w:r>
            <w:r w:rsidRPr="005303F7">
              <w:rPr>
                <w:rFonts w:ascii="Times New Roman" w:hAnsi="Times New Roman"/>
                <w:sz w:val="20"/>
                <w:lang w:val="sr-Cyrl-CS"/>
              </w:rPr>
              <w:t>,</w:t>
            </w:r>
            <w:r w:rsidR="004D12E5" w:rsidRPr="005303F7">
              <w:rPr>
                <w:rFonts w:ascii="Times New Roman" w:hAnsi="Times New Roman"/>
                <w:sz w:val="20"/>
                <w:lang w:val="sr-Cyrl-CS"/>
              </w:rPr>
              <w:t>5</w:t>
            </w:r>
            <w:r w:rsidR="001635A2" w:rsidRPr="005303F7">
              <w:rPr>
                <w:rFonts w:ascii="Times New Roman" w:hAnsi="Times New Roman"/>
                <w:sz w:val="20"/>
                <w:lang w:val="sr-Cyrl-CS"/>
              </w:rPr>
              <w:t>5</w:t>
            </w:r>
            <w:r w:rsidRPr="005303F7">
              <w:rPr>
                <w:rFonts w:ascii="Times New Roman" w:hAnsi="Times New Roman"/>
                <w:sz w:val="20"/>
                <w:lang w:val="sr-Cyrl-CS"/>
              </w:rPr>
              <w:t>%]</w:t>
            </w:r>
          </w:p>
        </w:tc>
      </w:tr>
    </w:tbl>
    <w:p w14:paraId="3B234443" w14:textId="77777777" w:rsidR="00696A71" w:rsidRPr="005303F7" w:rsidRDefault="00696A71" w:rsidP="00614618">
      <w:pPr>
        <w:rPr>
          <w:rFonts w:ascii="Times New Roman" w:hAnsi="Times New Roman"/>
          <w:sz w:val="24"/>
          <w:lang w:val="sr-Cyrl-CS"/>
        </w:rPr>
      </w:pPr>
    </w:p>
    <w:p w14:paraId="632A634D" w14:textId="43017752" w:rsidR="007928A1" w:rsidRPr="005303F7" w:rsidRDefault="00DA7CD2" w:rsidP="00614618">
      <w:pPr>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То</w:t>
      </w:r>
      <w:r w:rsidR="00B55FC9" w:rsidRPr="005303F7">
        <w:rPr>
          <w:rFonts w:ascii="Times New Roman" w:hAnsi="Times New Roman"/>
          <w:sz w:val="24"/>
          <w:lang w:val="sr-Cyrl-CS"/>
        </w:rPr>
        <w:t xml:space="preserve"> </w:t>
      </w:r>
      <w:r w:rsidR="00BF65FC" w:rsidRPr="005303F7">
        <w:rPr>
          <w:rFonts w:ascii="Times New Roman" w:hAnsi="Times New Roman"/>
          <w:sz w:val="24"/>
          <w:lang w:val="sr-Cyrl-CS"/>
        </w:rPr>
        <w:t>значи</w:t>
      </w:r>
      <w:r w:rsidR="00B55FC9" w:rsidRPr="005303F7">
        <w:rPr>
          <w:rFonts w:ascii="Times New Roman" w:hAnsi="Times New Roman"/>
          <w:sz w:val="24"/>
          <w:lang w:val="sr-Cyrl-CS"/>
        </w:rPr>
        <w:t xml:space="preserve"> </w:t>
      </w:r>
      <w:r w:rsidR="00BF65FC" w:rsidRPr="005303F7">
        <w:rPr>
          <w:rFonts w:ascii="Times New Roman" w:hAnsi="Times New Roman"/>
          <w:sz w:val="24"/>
          <w:lang w:val="sr-Cyrl-CS"/>
        </w:rPr>
        <w:t>да</w:t>
      </w:r>
      <w:r w:rsidR="00B55FC9" w:rsidRPr="005303F7">
        <w:rPr>
          <w:rFonts w:ascii="Times New Roman" w:hAnsi="Times New Roman"/>
          <w:sz w:val="24"/>
          <w:lang w:val="sr-Cyrl-CS"/>
        </w:rPr>
        <w:t xml:space="preserve"> </w:t>
      </w:r>
      <w:r w:rsidR="00016298" w:rsidRPr="005303F7">
        <w:rPr>
          <w:rFonts w:ascii="Times New Roman" w:hAnsi="Times New Roman"/>
          <w:sz w:val="24"/>
          <w:lang w:val="sr-Cyrl-CS"/>
        </w:rPr>
        <w:t>ћ</w:t>
      </w:r>
      <w:r w:rsidR="00BF65FC" w:rsidRPr="005303F7">
        <w:rPr>
          <w:rFonts w:ascii="Times New Roman" w:hAnsi="Times New Roman"/>
          <w:sz w:val="24"/>
          <w:lang w:val="sr-Cyrl-CS"/>
        </w:rPr>
        <w:t>е</w:t>
      </w:r>
      <w:r w:rsidR="00B55FC9" w:rsidRPr="005303F7">
        <w:rPr>
          <w:rFonts w:ascii="Times New Roman" w:hAnsi="Times New Roman"/>
          <w:sz w:val="24"/>
          <w:lang w:val="sr-Cyrl-CS"/>
        </w:rPr>
        <w:t xml:space="preserve"> </w:t>
      </w:r>
      <w:r w:rsidR="00BF65FC" w:rsidRPr="005303F7">
        <w:rPr>
          <w:rFonts w:ascii="Times New Roman" w:hAnsi="Times New Roman"/>
          <w:sz w:val="24"/>
          <w:lang w:val="sr-Cyrl-CS"/>
        </w:rPr>
        <w:t>БДП</w:t>
      </w:r>
      <w:r w:rsidR="00B55FC9" w:rsidRPr="005303F7">
        <w:rPr>
          <w:rFonts w:ascii="Times New Roman" w:hAnsi="Times New Roman"/>
          <w:sz w:val="24"/>
          <w:lang w:val="sr-Cyrl-CS"/>
        </w:rPr>
        <w:t xml:space="preserve"> </w:t>
      </w:r>
      <w:r w:rsidR="00BF65FC" w:rsidRPr="005303F7">
        <w:rPr>
          <w:rFonts w:ascii="Times New Roman" w:hAnsi="Times New Roman"/>
          <w:sz w:val="24"/>
          <w:lang w:val="sr-Cyrl-CS"/>
        </w:rPr>
        <w:t>наставити</w:t>
      </w:r>
      <w:r w:rsidR="00B55FC9" w:rsidRPr="005303F7">
        <w:rPr>
          <w:rFonts w:ascii="Times New Roman" w:hAnsi="Times New Roman"/>
          <w:sz w:val="24"/>
          <w:lang w:val="sr-Cyrl-CS"/>
        </w:rPr>
        <w:t xml:space="preserve"> </w:t>
      </w:r>
      <w:r w:rsidR="00BF65FC" w:rsidRPr="005303F7">
        <w:rPr>
          <w:rFonts w:ascii="Times New Roman" w:hAnsi="Times New Roman"/>
          <w:sz w:val="24"/>
          <w:lang w:val="sr-Cyrl-CS"/>
        </w:rPr>
        <w:t>да</w:t>
      </w:r>
      <w:r w:rsidR="00B55FC9" w:rsidRPr="005303F7">
        <w:rPr>
          <w:rFonts w:ascii="Times New Roman" w:hAnsi="Times New Roman"/>
          <w:sz w:val="24"/>
          <w:lang w:val="sr-Cyrl-CS"/>
        </w:rPr>
        <w:t xml:space="preserve"> </w:t>
      </w:r>
      <w:r w:rsidR="00BF65FC" w:rsidRPr="005303F7">
        <w:rPr>
          <w:rFonts w:ascii="Times New Roman" w:hAnsi="Times New Roman"/>
          <w:sz w:val="24"/>
          <w:lang w:val="sr-Cyrl-CS"/>
        </w:rPr>
        <w:t>расте</w:t>
      </w:r>
      <w:r w:rsidR="00B55FC9" w:rsidRPr="005303F7">
        <w:rPr>
          <w:rFonts w:ascii="Times New Roman" w:hAnsi="Times New Roman"/>
          <w:sz w:val="24"/>
          <w:lang w:val="sr-Cyrl-CS"/>
        </w:rPr>
        <w:t xml:space="preserve"> </w:t>
      </w:r>
      <w:r w:rsidR="00BF65FC" w:rsidRPr="005303F7">
        <w:rPr>
          <w:rFonts w:ascii="Times New Roman" w:hAnsi="Times New Roman"/>
          <w:sz w:val="24"/>
          <w:lang w:val="sr-Cyrl-CS"/>
        </w:rPr>
        <w:t>према</w:t>
      </w:r>
      <w:r w:rsidR="00B55FC9" w:rsidRPr="005303F7">
        <w:rPr>
          <w:rFonts w:ascii="Times New Roman" w:hAnsi="Times New Roman"/>
          <w:sz w:val="24"/>
          <w:lang w:val="sr-Cyrl-CS"/>
        </w:rPr>
        <w:t xml:space="preserve"> </w:t>
      </w:r>
      <w:r w:rsidR="00BF65FC" w:rsidRPr="005303F7">
        <w:rPr>
          <w:rFonts w:ascii="Times New Roman" w:hAnsi="Times New Roman"/>
          <w:sz w:val="24"/>
          <w:lang w:val="sr-Cyrl-CS"/>
        </w:rPr>
        <w:t>свим</w:t>
      </w:r>
      <w:r w:rsidR="00B55FC9" w:rsidRPr="005303F7">
        <w:rPr>
          <w:rFonts w:ascii="Times New Roman" w:hAnsi="Times New Roman"/>
          <w:sz w:val="24"/>
          <w:lang w:val="sr-Cyrl-CS"/>
        </w:rPr>
        <w:t xml:space="preserve"> </w:t>
      </w:r>
      <w:r w:rsidR="00BF65FC" w:rsidRPr="005303F7">
        <w:rPr>
          <w:rFonts w:ascii="Times New Roman" w:hAnsi="Times New Roman"/>
          <w:sz w:val="24"/>
          <w:lang w:val="sr-Cyrl-CS"/>
        </w:rPr>
        <w:t>сценаријима</w:t>
      </w:r>
      <w:r w:rsidR="006B127E" w:rsidRPr="005303F7">
        <w:rPr>
          <w:rFonts w:ascii="Times New Roman" w:hAnsi="Times New Roman"/>
          <w:sz w:val="24"/>
          <w:lang w:val="sr-Cyrl-CS"/>
        </w:rPr>
        <w:t xml:space="preserve">, </w:t>
      </w:r>
      <w:r w:rsidR="00BF65FC" w:rsidRPr="005303F7">
        <w:rPr>
          <w:rFonts w:ascii="Times New Roman" w:hAnsi="Times New Roman"/>
          <w:sz w:val="24"/>
          <w:lang w:val="sr-Cyrl-CS"/>
        </w:rPr>
        <w:t>али</w:t>
      </w:r>
      <w:r w:rsidR="00B55FC9" w:rsidRPr="005303F7">
        <w:rPr>
          <w:rFonts w:ascii="Times New Roman" w:hAnsi="Times New Roman"/>
          <w:sz w:val="24"/>
          <w:lang w:val="sr-Cyrl-CS"/>
        </w:rPr>
        <w:t xml:space="preserve"> </w:t>
      </w:r>
      <w:r w:rsidR="00BF65FC" w:rsidRPr="005303F7">
        <w:rPr>
          <w:rFonts w:ascii="Times New Roman" w:hAnsi="Times New Roman"/>
          <w:sz w:val="24"/>
          <w:lang w:val="sr-Cyrl-CS"/>
        </w:rPr>
        <w:t>нешто</w:t>
      </w:r>
      <w:r w:rsidR="00B55FC9" w:rsidRPr="005303F7">
        <w:rPr>
          <w:rFonts w:ascii="Times New Roman" w:hAnsi="Times New Roman"/>
          <w:sz w:val="24"/>
          <w:lang w:val="sr-Cyrl-CS"/>
        </w:rPr>
        <w:t xml:space="preserve"> </w:t>
      </w:r>
      <w:r w:rsidR="00BF65FC" w:rsidRPr="005303F7">
        <w:rPr>
          <w:rFonts w:ascii="Times New Roman" w:hAnsi="Times New Roman"/>
          <w:sz w:val="24"/>
          <w:lang w:val="sr-Cyrl-CS"/>
        </w:rPr>
        <w:t>спорије</w:t>
      </w:r>
      <w:r w:rsidR="00B55FC9" w:rsidRPr="005303F7">
        <w:rPr>
          <w:rFonts w:ascii="Times New Roman" w:hAnsi="Times New Roman"/>
          <w:sz w:val="24"/>
          <w:lang w:val="sr-Cyrl-CS"/>
        </w:rPr>
        <w:t xml:space="preserve"> </w:t>
      </w:r>
      <w:r w:rsidR="00BF65FC" w:rsidRPr="005303F7">
        <w:rPr>
          <w:rFonts w:ascii="Times New Roman" w:hAnsi="Times New Roman"/>
          <w:sz w:val="24"/>
          <w:lang w:val="sr-Cyrl-CS"/>
        </w:rPr>
        <w:t>него</w:t>
      </w:r>
      <w:r w:rsidR="00B55FC9"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B55FC9" w:rsidRPr="005303F7">
        <w:rPr>
          <w:rFonts w:ascii="Times New Roman" w:hAnsi="Times New Roman"/>
          <w:sz w:val="24"/>
          <w:lang w:val="sr-Cyrl-CS"/>
        </w:rPr>
        <w:t xml:space="preserve"> </w:t>
      </w:r>
      <w:r w:rsidR="00BF65FC" w:rsidRPr="005303F7">
        <w:rPr>
          <w:rFonts w:ascii="Times New Roman" w:hAnsi="Times New Roman"/>
          <w:sz w:val="24"/>
          <w:lang w:val="sr-Cyrl-CS"/>
        </w:rPr>
        <w:t>Б</w:t>
      </w:r>
      <w:r w:rsidR="00B55FC9" w:rsidRPr="005303F7">
        <w:rPr>
          <w:rFonts w:ascii="Times New Roman" w:hAnsi="Times New Roman"/>
          <w:sz w:val="24"/>
          <w:lang w:val="sr-Cyrl-CS"/>
        </w:rPr>
        <w:t>2</w:t>
      </w:r>
      <w:r w:rsidR="00415473" w:rsidRPr="005303F7">
        <w:rPr>
          <w:rFonts w:ascii="Times New Roman" w:hAnsi="Times New Roman"/>
          <w:sz w:val="24"/>
          <w:lang w:val="sr-Cyrl-CS"/>
        </w:rPr>
        <w:t xml:space="preserve"> </w:t>
      </w:r>
      <w:r w:rsidR="00D0598F" w:rsidRPr="005303F7">
        <w:rPr>
          <w:rFonts w:ascii="Times New Roman" w:hAnsi="Times New Roman"/>
          <w:sz w:val="24"/>
          <w:szCs w:val="22"/>
          <w:lang w:val="sr-Cyrl-CS"/>
        </w:rPr>
        <w:t>(</w:t>
      </w:r>
      <w:r w:rsidR="00BF65FC" w:rsidRPr="005303F7">
        <w:rPr>
          <w:rFonts w:ascii="Times New Roman" w:hAnsi="Times New Roman"/>
          <w:sz w:val="24"/>
          <w:szCs w:val="22"/>
          <w:lang w:val="sr-Cyrl-CS"/>
        </w:rPr>
        <w:t>дато</w:t>
      </w:r>
      <w:r w:rsidR="00B55FC9"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у</w:t>
      </w:r>
      <w:r w:rsidR="00DF4371"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Табели</w:t>
      </w:r>
      <w:r w:rsidR="00DF4371" w:rsidRPr="005303F7">
        <w:rPr>
          <w:rFonts w:ascii="Times New Roman" w:hAnsi="Times New Roman"/>
          <w:sz w:val="24"/>
          <w:szCs w:val="22"/>
          <w:lang w:val="sr-Cyrl-CS"/>
        </w:rPr>
        <w:t xml:space="preserve"> 7</w:t>
      </w:r>
      <w:r w:rsidR="00D0598F" w:rsidRPr="005303F7">
        <w:rPr>
          <w:rFonts w:ascii="Times New Roman" w:hAnsi="Times New Roman"/>
          <w:sz w:val="24"/>
          <w:lang w:val="sr-Cyrl-CS"/>
        </w:rPr>
        <w:t>)</w:t>
      </w:r>
      <w:r w:rsidR="00E51BC2" w:rsidRPr="005303F7">
        <w:rPr>
          <w:rFonts w:ascii="Times New Roman" w:hAnsi="Times New Roman"/>
          <w:sz w:val="24"/>
          <w:lang w:val="sr-Cyrl-CS"/>
        </w:rPr>
        <w:t>.</w:t>
      </w:r>
      <w:r w:rsidR="00DF4371" w:rsidRPr="005303F7">
        <w:rPr>
          <w:rFonts w:ascii="Times New Roman" w:hAnsi="Times New Roman"/>
          <w:sz w:val="24"/>
          <w:lang w:val="sr-Cyrl-CS"/>
        </w:rPr>
        <w:t xml:space="preserve"> </w:t>
      </w:r>
      <w:r w:rsidR="00BF65FC" w:rsidRPr="005303F7">
        <w:rPr>
          <w:rFonts w:ascii="Times New Roman" w:hAnsi="Times New Roman"/>
          <w:sz w:val="24"/>
          <w:lang w:val="sr-Cyrl-CS"/>
        </w:rPr>
        <w:t>Ако</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претпостави</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да</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ће</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улагања</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спроводити</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кроз</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кредите</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lastRenderedPageBreak/>
        <w:t>и</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коришћење</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прихода</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од</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аукције</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ЕТS</w:t>
      </w:r>
      <w:r w:rsidR="00AD0339" w:rsidRPr="005303F7">
        <w:rPr>
          <w:rFonts w:ascii="Times New Roman" w:hAnsi="Times New Roman"/>
          <w:sz w:val="24"/>
          <w:lang w:val="sr-Cyrl-CS"/>
        </w:rPr>
        <w:t>-</w:t>
      </w:r>
      <w:r w:rsidR="00BF65FC" w:rsidRPr="005303F7">
        <w:rPr>
          <w:rFonts w:ascii="Times New Roman" w:hAnsi="Times New Roman"/>
          <w:sz w:val="24"/>
          <w:lang w:val="sr-Cyrl-CS"/>
        </w:rPr>
        <w:t>а</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као</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што</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је</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претходно</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речено</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утицаји</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БДП</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би</w:t>
      </w:r>
      <w:r w:rsidR="00016298" w:rsidRPr="005303F7">
        <w:rPr>
          <w:rFonts w:ascii="Times New Roman" w:hAnsi="Times New Roman"/>
          <w:sz w:val="24"/>
          <w:lang w:val="sr-Cyrl-CS"/>
        </w:rPr>
        <w:t>ћ</w:t>
      </w:r>
      <w:r w:rsidR="00BF65FC" w:rsidRPr="005303F7">
        <w:rPr>
          <w:rFonts w:ascii="Times New Roman" w:hAnsi="Times New Roman"/>
          <w:sz w:val="24"/>
          <w:lang w:val="sr-Cyrl-CS"/>
        </w:rPr>
        <w:t>е</w:t>
      </w:r>
      <w:r w:rsidR="00AD0339" w:rsidRPr="005303F7">
        <w:rPr>
          <w:rFonts w:ascii="Times New Roman" w:hAnsi="Times New Roman"/>
          <w:sz w:val="24"/>
          <w:lang w:val="sr-Cyrl-CS"/>
        </w:rPr>
        <w:t xml:space="preserve"> </w:t>
      </w:r>
      <w:r w:rsidR="00BF65FC" w:rsidRPr="005303F7">
        <w:rPr>
          <w:rFonts w:ascii="Times New Roman" w:hAnsi="Times New Roman"/>
          <w:sz w:val="24"/>
          <w:lang w:val="sr-Cyrl-CS"/>
        </w:rPr>
        <w:t>знатно</w:t>
      </w:r>
      <w:r w:rsidR="00D46C6B" w:rsidRPr="005303F7">
        <w:rPr>
          <w:rFonts w:ascii="Times New Roman" w:hAnsi="Times New Roman"/>
          <w:sz w:val="24"/>
          <w:lang w:val="sr-Cyrl-CS"/>
        </w:rPr>
        <w:t xml:space="preserve"> </w:t>
      </w:r>
      <w:r w:rsidR="00BF65FC" w:rsidRPr="005303F7">
        <w:rPr>
          <w:rFonts w:ascii="Times New Roman" w:hAnsi="Times New Roman"/>
          <w:sz w:val="24"/>
          <w:lang w:val="sr-Cyrl-CS"/>
        </w:rPr>
        <w:t>умањени</w:t>
      </w:r>
      <w:r w:rsidR="00AD0339" w:rsidRPr="005303F7">
        <w:rPr>
          <w:rFonts w:ascii="Times New Roman" w:hAnsi="Times New Roman"/>
          <w:sz w:val="24"/>
          <w:lang w:val="sr-Cyrl-CS"/>
        </w:rPr>
        <w:t>.</w:t>
      </w:r>
      <w:r w:rsidR="00C67735" w:rsidRPr="005303F7">
        <w:rPr>
          <w:rFonts w:ascii="Times New Roman" w:hAnsi="Times New Roman"/>
          <w:sz w:val="24"/>
          <w:lang w:val="sr-Cyrl-CS"/>
        </w:rPr>
        <w:t xml:space="preserve"> </w:t>
      </w:r>
    </w:p>
    <w:p w14:paraId="62171229" w14:textId="41F612A3" w:rsidR="00C67735" w:rsidRPr="005303F7" w:rsidRDefault="00524F30" w:rsidP="00524F30">
      <w:pPr>
        <w:ind w:left="357"/>
        <w:rPr>
          <w:rFonts w:ascii="Times New Roman" w:hAnsi="Times New Roman"/>
          <w:b/>
          <w:bCs/>
          <w:i/>
          <w:iCs/>
          <w:sz w:val="24"/>
          <w:szCs w:val="22"/>
          <w:lang w:val="sr-Cyrl-CS"/>
        </w:rPr>
      </w:pPr>
      <w:r w:rsidRPr="005303F7">
        <w:rPr>
          <w:rFonts w:ascii="Times New Roman" w:hAnsi="Times New Roman"/>
          <w:b/>
          <w:i/>
          <w:sz w:val="24"/>
          <w:szCs w:val="22"/>
          <w:lang w:val="sr-Cyrl-CS"/>
        </w:rPr>
        <w:t xml:space="preserve">2) </w:t>
      </w:r>
      <w:r w:rsidR="00BF65FC" w:rsidRPr="005303F7">
        <w:rPr>
          <w:rFonts w:ascii="Times New Roman" w:hAnsi="Times New Roman"/>
          <w:b/>
          <w:i/>
          <w:sz w:val="24"/>
          <w:szCs w:val="22"/>
          <w:lang w:val="sr-Cyrl-CS"/>
        </w:rPr>
        <w:t>Потрошња</w:t>
      </w:r>
      <w:r w:rsidR="003905D8" w:rsidRPr="005303F7">
        <w:rPr>
          <w:rFonts w:ascii="Times New Roman" w:hAnsi="Times New Roman"/>
          <w:b/>
          <w:i/>
          <w:sz w:val="24"/>
          <w:szCs w:val="22"/>
          <w:lang w:val="sr-Cyrl-CS"/>
        </w:rPr>
        <w:t xml:space="preserve"> </w:t>
      </w:r>
      <w:r w:rsidR="00BF65FC" w:rsidRPr="005303F7">
        <w:rPr>
          <w:rFonts w:ascii="Times New Roman" w:hAnsi="Times New Roman"/>
          <w:b/>
          <w:i/>
          <w:sz w:val="24"/>
          <w:szCs w:val="22"/>
          <w:lang w:val="sr-Cyrl-CS"/>
        </w:rPr>
        <w:t>у</w:t>
      </w:r>
      <w:r w:rsidR="003905D8" w:rsidRPr="005303F7">
        <w:rPr>
          <w:rFonts w:ascii="Times New Roman" w:hAnsi="Times New Roman"/>
          <w:b/>
          <w:i/>
          <w:sz w:val="24"/>
          <w:szCs w:val="22"/>
          <w:lang w:val="sr-Cyrl-CS"/>
        </w:rPr>
        <w:t xml:space="preserve"> </w:t>
      </w:r>
      <w:r w:rsidR="00BF65FC" w:rsidRPr="005303F7">
        <w:rPr>
          <w:rFonts w:ascii="Times New Roman" w:hAnsi="Times New Roman"/>
          <w:b/>
          <w:i/>
          <w:sz w:val="24"/>
          <w:szCs w:val="22"/>
          <w:lang w:val="sr-Cyrl-CS"/>
        </w:rPr>
        <w:t>домаћинствима</w:t>
      </w:r>
    </w:p>
    <w:p w14:paraId="299F0BE5" w14:textId="2D258170" w:rsidR="00C61BAD" w:rsidRPr="005303F7" w:rsidRDefault="00DA7CD2" w:rsidP="00C27709">
      <w:pPr>
        <w:rPr>
          <w:rFonts w:ascii="Times New Roman" w:hAnsi="Times New Roman"/>
          <w:sz w:val="24"/>
          <w:lang w:val="sr-Cyrl-CS"/>
        </w:rPr>
      </w:pPr>
      <w:bookmarkStart w:id="263" w:name="_Hlk12869373"/>
      <w:r w:rsidRPr="005303F7">
        <w:rPr>
          <w:rFonts w:ascii="Times New Roman" w:hAnsi="Times New Roman"/>
          <w:sz w:val="24"/>
          <w:lang w:val="sr-Cyrl-CS"/>
        </w:rPr>
        <w:t xml:space="preserve">               </w:t>
      </w:r>
      <w:r w:rsidR="00BF65FC" w:rsidRPr="005303F7">
        <w:rPr>
          <w:rFonts w:ascii="Times New Roman" w:hAnsi="Times New Roman"/>
          <w:sz w:val="24"/>
          <w:lang w:val="sr-Cyrl-CS"/>
        </w:rPr>
        <w:t>Потрошња</w:t>
      </w:r>
      <w:r w:rsidR="00C61BAD" w:rsidRPr="005303F7">
        <w:rPr>
          <w:rFonts w:ascii="Times New Roman" w:hAnsi="Times New Roman"/>
          <w:sz w:val="24"/>
          <w:lang w:val="sr-Cyrl-CS"/>
        </w:rPr>
        <w:t xml:space="preserve">, </w:t>
      </w:r>
      <w:r w:rsidR="00BF65FC" w:rsidRPr="005303F7">
        <w:rPr>
          <w:rFonts w:ascii="Times New Roman" w:hAnsi="Times New Roman"/>
          <w:sz w:val="24"/>
          <w:lang w:val="sr-Cyrl-CS"/>
        </w:rPr>
        <w:t>издаци</w:t>
      </w:r>
      <w:r w:rsidR="00C61BAD" w:rsidRPr="005303F7">
        <w:rPr>
          <w:rFonts w:ascii="Times New Roman" w:hAnsi="Times New Roman"/>
          <w:sz w:val="24"/>
          <w:lang w:val="sr-Cyrl-CS"/>
        </w:rPr>
        <w:t xml:space="preserve"> </w:t>
      </w:r>
      <w:r w:rsidR="00BF65FC" w:rsidRPr="005303F7">
        <w:rPr>
          <w:rFonts w:ascii="Times New Roman" w:hAnsi="Times New Roman"/>
          <w:sz w:val="24"/>
          <w:lang w:val="sr-Cyrl-CS"/>
        </w:rPr>
        <w:t>или</w:t>
      </w:r>
      <w:r w:rsidR="00C61BAD" w:rsidRPr="005303F7">
        <w:rPr>
          <w:rFonts w:ascii="Times New Roman" w:hAnsi="Times New Roman"/>
          <w:sz w:val="24"/>
          <w:lang w:val="sr-Cyrl-CS"/>
        </w:rPr>
        <w:t xml:space="preserve"> </w:t>
      </w:r>
      <w:r w:rsidR="00BF65FC" w:rsidRPr="005303F7">
        <w:rPr>
          <w:rFonts w:ascii="Times New Roman" w:hAnsi="Times New Roman"/>
          <w:sz w:val="24"/>
          <w:lang w:val="sr-Cyrl-CS"/>
        </w:rPr>
        <w:t>расходи</w:t>
      </w:r>
      <w:r w:rsidR="00C61BAD" w:rsidRPr="005303F7">
        <w:rPr>
          <w:rFonts w:ascii="Times New Roman" w:hAnsi="Times New Roman"/>
          <w:sz w:val="24"/>
          <w:lang w:val="sr-Cyrl-CS"/>
        </w:rPr>
        <w:t xml:space="preserve"> </w:t>
      </w:r>
      <w:r w:rsidR="00BF65FC" w:rsidRPr="005303F7">
        <w:rPr>
          <w:rFonts w:ascii="Times New Roman" w:hAnsi="Times New Roman"/>
          <w:sz w:val="24"/>
          <w:lang w:val="sr-Cyrl-CS"/>
        </w:rPr>
        <w:t>дома</w:t>
      </w:r>
      <w:r w:rsidR="00016298" w:rsidRPr="005303F7">
        <w:rPr>
          <w:rFonts w:ascii="Times New Roman" w:hAnsi="Times New Roman"/>
          <w:sz w:val="24"/>
          <w:lang w:val="sr-Cyrl-CS"/>
        </w:rPr>
        <w:t>ћ</w:t>
      </w:r>
      <w:r w:rsidR="00BF65FC" w:rsidRPr="005303F7">
        <w:rPr>
          <w:rFonts w:ascii="Times New Roman" w:hAnsi="Times New Roman"/>
          <w:sz w:val="24"/>
          <w:lang w:val="sr-Cyrl-CS"/>
        </w:rPr>
        <w:t>инстава</w:t>
      </w:r>
      <w:r w:rsidR="00C61BAD" w:rsidRPr="005303F7">
        <w:rPr>
          <w:rFonts w:ascii="Times New Roman" w:hAnsi="Times New Roman"/>
          <w:sz w:val="24"/>
          <w:lang w:val="sr-Cyrl-CS"/>
        </w:rPr>
        <w:t xml:space="preserve"> </w:t>
      </w:r>
      <w:r w:rsidR="00BF65FC" w:rsidRPr="005303F7">
        <w:rPr>
          <w:rFonts w:ascii="Times New Roman" w:hAnsi="Times New Roman"/>
          <w:sz w:val="24"/>
          <w:lang w:val="sr-Cyrl-CS"/>
        </w:rPr>
        <w:t>представљају</w:t>
      </w:r>
      <w:r w:rsidR="00C61BAD" w:rsidRPr="005303F7">
        <w:rPr>
          <w:rFonts w:ascii="Times New Roman" w:hAnsi="Times New Roman"/>
          <w:sz w:val="24"/>
          <w:lang w:val="sr-Cyrl-CS"/>
        </w:rPr>
        <w:t xml:space="preserve"> </w:t>
      </w:r>
      <w:r w:rsidR="00BF65FC" w:rsidRPr="005303F7">
        <w:rPr>
          <w:rFonts w:ascii="Times New Roman" w:hAnsi="Times New Roman"/>
          <w:sz w:val="24"/>
          <w:lang w:val="sr-Cyrl-CS"/>
        </w:rPr>
        <w:t>потрошњу</w:t>
      </w:r>
      <w:r w:rsidR="00C61BAD" w:rsidRPr="005303F7">
        <w:rPr>
          <w:rFonts w:ascii="Times New Roman" w:hAnsi="Times New Roman"/>
          <w:sz w:val="24"/>
          <w:lang w:val="sr-Cyrl-CS"/>
        </w:rPr>
        <w:t xml:space="preserve"> </w:t>
      </w:r>
      <w:r w:rsidR="00BF65FC" w:rsidRPr="005303F7">
        <w:rPr>
          <w:rFonts w:ascii="Times New Roman" w:hAnsi="Times New Roman"/>
          <w:sz w:val="24"/>
          <w:lang w:val="sr-Cyrl-CS"/>
        </w:rPr>
        <w:t>сваке</w:t>
      </w:r>
      <w:r w:rsidR="00C61BAD" w:rsidRPr="005303F7">
        <w:rPr>
          <w:rFonts w:ascii="Times New Roman" w:hAnsi="Times New Roman"/>
          <w:sz w:val="24"/>
          <w:lang w:val="sr-Cyrl-CS"/>
        </w:rPr>
        <w:t xml:space="preserve"> </w:t>
      </w:r>
      <w:r w:rsidR="00BF65FC" w:rsidRPr="005303F7">
        <w:rPr>
          <w:rFonts w:ascii="Times New Roman" w:hAnsi="Times New Roman"/>
          <w:sz w:val="24"/>
          <w:lang w:val="sr-Cyrl-CS"/>
        </w:rPr>
        <w:t>породице</w:t>
      </w:r>
      <w:r w:rsidR="00C61BAD"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C61BAD" w:rsidRPr="005303F7">
        <w:rPr>
          <w:rFonts w:ascii="Times New Roman" w:hAnsi="Times New Roman"/>
          <w:sz w:val="24"/>
          <w:lang w:val="sr-Cyrl-CS"/>
        </w:rPr>
        <w:t xml:space="preserve"> </w:t>
      </w:r>
      <w:r w:rsidR="00BF65FC" w:rsidRPr="005303F7">
        <w:rPr>
          <w:rFonts w:ascii="Times New Roman" w:hAnsi="Times New Roman"/>
          <w:sz w:val="24"/>
          <w:lang w:val="sr-Cyrl-CS"/>
        </w:rPr>
        <w:t>чине</w:t>
      </w:r>
      <w:r w:rsidR="007928A1" w:rsidRPr="005303F7">
        <w:rPr>
          <w:rFonts w:ascii="Times New Roman" w:hAnsi="Times New Roman"/>
          <w:sz w:val="24"/>
          <w:lang w:val="sr-Cyrl-CS"/>
        </w:rPr>
        <w:t xml:space="preserve"> </w:t>
      </w:r>
      <w:r w:rsidR="00BF65FC" w:rsidRPr="005303F7">
        <w:rPr>
          <w:rFonts w:ascii="Times New Roman" w:hAnsi="Times New Roman"/>
          <w:sz w:val="24"/>
          <w:lang w:val="sr-Cyrl-CS"/>
        </w:rPr>
        <w:t>најве</w:t>
      </w:r>
      <w:r w:rsidR="00016298" w:rsidRPr="005303F7">
        <w:rPr>
          <w:rFonts w:ascii="Times New Roman" w:hAnsi="Times New Roman"/>
          <w:sz w:val="24"/>
          <w:lang w:val="sr-Cyrl-CS"/>
        </w:rPr>
        <w:t>ћ</w:t>
      </w:r>
      <w:r w:rsidR="00BF65FC" w:rsidRPr="005303F7">
        <w:rPr>
          <w:rFonts w:ascii="Times New Roman" w:hAnsi="Times New Roman"/>
          <w:sz w:val="24"/>
          <w:lang w:val="sr-Cyrl-CS"/>
        </w:rPr>
        <w:t>у</w:t>
      </w:r>
      <w:r w:rsidR="00C61BAD" w:rsidRPr="005303F7">
        <w:rPr>
          <w:rFonts w:ascii="Times New Roman" w:hAnsi="Times New Roman"/>
          <w:sz w:val="24"/>
          <w:lang w:val="sr-Cyrl-CS"/>
        </w:rPr>
        <w:t xml:space="preserve"> </w:t>
      </w:r>
      <w:r w:rsidR="00BF65FC" w:rsidRPr="005303F7">
        <w:rPr>
          <w:rFonts w:ascii="Times New Roman" w:hAnsi="Times New Roman"/>
          <w:sz w:val="24"/>
          <w:lang w:val="sr-Cyrl-CS"/>
        </w:rPr>
        <w:t>компоненту</w:t>
      </w:r>
      <w:r w:rsidR="00C61BAD" w:rsidRPr="005303F7">
        <w:rPr>
          <w:rFonts w:ascii="Times New Roman" w:hAnsi="Times New Roman"/>
          <w:sz w:val="24"/>
          <w:lang w:val="sr-Cyrl-CS"/>
        </w:rPr>
        <w:t xml:space="preserve"> </w:t>
      </w:r>
      <w:r w:rsidR="00BF65FC" w:rsidRPr="005303F7">
        <w:rPr>
          <w:rFonts w:ascii="Times New Roman" w:hAnsi="Times New Roman"/>
          <w:sz w:val="24"/>
          <w:lang w:val="sr-Cyrl-CS"/>
        </w:rPr>
        <w:t>БДП</w:t>
      </w:r>
      <w:r w:rsidR="00C61BAD" w:rsidRPr="005303F7">
        <w:rPr>
          <w:rFonts w:ascii="Times New Roman" w:hAnsi="Times New Roman"/>
          <w:sz w:val="24"/>
          <w:lang w:val="sr-Cyrl-CS"/>
        </w:rPr>
        <w:t>-</w:t>
      </w:r>
      <w:r w:rsidR="00BF65FC" w:rsidRPr="005303F7">
        <w:rPr>
          <w:rFonts w:ascii="Times New Roman" w:hAnsi="Times New Roman"/>
          <w:sz w:val="24"/>
          <w:lang w:val="sr-Cyrl-CS"/>
        </w:rPr>
        <w:t>а</w:t>
      </w:r>
      <w:r w:rsidR="00C61BAD"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C61BAD" w:rsidRPr="005303F7">
        <w:rPr>
          <w:rFonts w:ascii="Times New Roman" w:hAnsi="Times New Roman"/>
          <w:sz w:val="24"/>
          <w:lang w:val="sr-Cyrl-CS"/>
        </w:rPr>
        <w:t xml:space="preserve"> </w:t>
      </w:r>
      <w:r w:rsidR="00BF65FC" w:rsidRPr="005303F7">
        <w:rPr>
          <w:rFonts w:ascii="Times New Roman" w:hAnsi="Times New Roman"/>
          <w:sz w:val="24"/>
          <w:lang w:val="sr-Cyrl-CS"/>
        </w:rPr>
        <w:t>развијеним</w:t>
      </w:r>
      <w:r w:rsidR="00C61BAD" w:rsidRPr="005303F7">
        <w:rPr>
          <w:rFonts w:ascii="Times New Roman" w:hAnsi="Times New Roman"/>
          <w:sz w:val="24"/>
          <w:lang w:val="sr-Cyrl-CS"/>
        </w:rPr>
        <w:t xml:space="preserve"> </w:t>
      </w:r>
      <w:r w:rsidR="00BF65FC" w:rsidRPr="005303F7">
        <w:rPr>
          <w:rFonts w:ascii="Times New Roman" w:hAnsi="Times New Roman"/>
          <w:sz w:val="24"/>
          <w:lang w:val="sr-Cyrl-CS"/>
        </w:rPr>
        <w:t>економијама</w:t>
      </w:r>
      <w:r w:rsidR="00C61BAD" w:rsidRPr="005303F7">
        <w:rPr>
          <w:rFonts w:ascii="Times New Roman" w:hAnsi="Times New Roman"/>
          <w:sz w:val="24"/>
          <w:lang w:val="sr-Cyrl-CS"/>
        </w:rPr>
        <w:t>.</w:t>
      </w:r>
    </w:p>
    <w:p w14:paraId="7A7C3BE6" w14:textId="744C31E9" w:rsidR="00E2793A" w:rsidRPr="005303F7" w:rsidRDefault="00DA7CD2" w:rsidP="00C27709">
      <w:pPr>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Као</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резултат</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примене</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ове</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Стратегије</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потрошњу</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дома</w:t>
      </w:r>
      <w:r w:rsidR="00016298" w:rsidRPr="005303F7">
        <w:rPr>
          <w:rFonts w:ascii="Times New Roman" w:hAnsi="Times New Roman"/>
          <w:sz w:val="24"/>
          <w:lang w:val="sr-Cyrl-CS"/>
        </w:rPr>
        <w:t>ћ</w:t>
      </w:r>
      <w:r w:rsidR="00BF65FC" w:rsidRPr="005303F7">
        <w:rPr>
          <w:rFonts w:ascii="Times New Roman" w:hAnsi="Times New Roman"/>
          <w:sz w:val="24"/>
          <w:lang w:val="sr-Cyrl-CS"/>
        </w:rPr>
        <w:t>инстава</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може</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1A10A5" w:rsidRPr="005303F7">
        <w:rPr>
          <w:rFonts w:ascii="Times New Roman" w:hAnsi="Times New Roman"/>
          <w:sz w:val="24"/>
          <w:lang w:val="sr-Cyrl-CS"/>
        </w:rPr>
        <w:t xml:space="preserve"> </w:t>
      </w:r>
      <w:r w:rsidR="00BF65FC" w:rsidRPr="005303F7">
        <w:rPr>
          <w:rFonts w:ascii="Times New Roman" w:hAnsi="Times New Roman"/>
          <w:sz w:val="24"/>
          <w:lang w:val="sr-Cyrl-CS"/>
        </w:rPr>
        <w:t>утицати</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углавном</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путем</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утицаја</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запосленост</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цену</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енергије</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С</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једне</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стране</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колико</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примена</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ове</w:t>
      </w:r>
      <w:r w:rsidR="00E2793A" w:rsidRPr="005303F7">
        <w:rPr>
          <w:rFonts w:ascii="Times New Roman" w:hAnsi="Times New Roman"/>
          <w:sz w:val="24"/>
          <w:lang w:val="sr-Cyrl-CS"/>
        </w:rPr>
        <w:t xml:space="preserve"> </w:t>
      </w:r>
      <w:r w:rsidR="0077456A" w:rsidRPr="005303F7">
        <w:rPr>
          <w:rFonts w:ascii="Times New Roman" w:hAnsi="Times New Roman"/>
          <w:sz w:val="24"/>
          <w:lang w:val="sr-Cyrl-CS"/>
        </w:rPr>
        <w:t>С</w:t>
      </w:r>
      <w:r w:rsidR="00BF65FC" w:rsidRPr="005303F7">
        <w:rPr>
          <w:rFonts w:ascii="Times New Roman" w:hAnsi="Times New Roman"/>
          <w:sz w:val="24"/>
          <w:lang w:val="sr-Cyrl-CS"/>
        </w:rPr>
        <w:t>тратегије</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утиче</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стварање</w:t>
      </w:r>
      <w:r w:rsidR="004668B8" w:rsidRPr="005303F7">
        <w:rPr>
          <w:rFonts w:ascii="Times New Roman" w:hAnsi="Times New Roman"/>
          <w:sz w:val="24"/>
          <w:lang w:val="sr-Cyrl-CS"/>
        </w:rPr>
        <w:t xml:space="preserve"> нето</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радних</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места</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утиче</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C9008A" w:rsidRPr="005303F7">
        <w:rPr>
          <w:rFonts w:ascii="Times New Roman" w:hAnsi="Times New Roman"/>
          <w:sz w:val="24"/>
          <w:lang w:val="sr-Cyrl-CS"/>
        </w:rPr>
        <w:t xml:space="preserve"> </w:t>
      </w:r>
      <w:r w:rsidR="00BF65FC" w:rsidRPr="005303F7">
        <w:rPr>
          <w:rFonts w:ascii="Times New Roman" w:hAnsi="Times New Roman"/>
          <w:sz w:val="24"/>
          <w:lang w:val="sr-Cyrl-CS"/>
        </w:rPr>
        <w:t>потрошњу</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дома</w:t>
      </w:r>
      <w:r w:rsidR="00016298" w:rsidRPr="005303F7">
        <w:rPr>
          <w:rFonts w:ascii="Times New Roman" w:hAnsi="Times New Roman"/>
          <w:sz w:val="24"/>
          <w:lang w:val="sr-Cyrl-CS"/>
        </w:rPr>
        <w:t>ћ</w:t>
      </w:r>
      <w:r w:rsidR="00BF65FC" w:rsidRPr="005303F7">
        <w:rPr>
          <w:rFonts w:ascii="Times New Roman" w:hAnsi="Times New Roman"/>
          <w:sz w:val="24"/>
          <w:lang w:val="sr-Cyrl-CS"/>
        </w:rPr>
        <w:t>инстава</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С</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друге</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стране</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пове</w:t>
      </w:r>
      <w:r w:rsidR="00016298" w:rsidRPr="005303F7">
        <w:rPr>
          <w:rFonts w:ascii="Times New Roman" w:hAnsi="Times New Roman"/>
          <w:sz w:val="24"/>
          <w:lang w:val="sr-Cyrl-CS"/>
        </w:rPr>
        <w:t>ћ</w:t>
      </w:r>
      <w:r w:rsidR="00BF65FC" w:rsidRPr="005303F7">
        <w:rPr>
          <w:rFonts w:ascii="Times New Roman" w:hAnsi="Times New Roman"/>
          <w:sz w:val="24"/>
          <w:lang w:val="sr-Cyrl-CS"/>
        </w:rPr>
        <w:t>ани</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трошкови</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енергије</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смањују</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расположива</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средства</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дома</w:t>
      </w:r>
      <w:r w:rsidR="00016298" w:rsidRPr="005303F7">
        <w:rPr>
          <w:rFonts w:ascii="Times New Roman" w:hAnsi="Times New Roman"/>
          <w:sz w:val="24"/>
          <w:lang w:val="sr-Cyrl-CS"/>
        </w:rPr>
        <w:t>ћ</w:t>
      </w:r>
      <w:r w:rsidR="00BF65FC" w:rsidRPr="005303F7">
        <w:rPr>
          <w:rFonts w:ascii="Times New Roman" w:hAnsi="Times New Roman"/>
          <w:sz w:val="24"/>
          <w:lang w:val="sr-Cyrl-CS"/>
        </w:rPr>
        <w:t>инстава</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куповину</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других</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производа</w:t>
      </w:r>
      <w:r w:rsidR="00E2793A" w:rsidRPr="005303F7">
        <w:rPr>
          <w:rFonts w:ascii="Times New Roman" w:hAnsi="Times New Roman"/>
          <w:sz w:val="24"/>
          <w:lang w:val="sr-Cyrl-CS"/>
        </w:rPr>
        <w:t>.</w:t>
      </w:r>
    </w:p>
    <w:p w14:paraId="7699A647" w14:textId="28101D4A" w:rsidR="00BC0BFA" w:rsidRPr="005303F7" w:rsidRDefault="00DA7CD2" w:rsidP="00C27709">
      <w:pPr>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поређењу</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са</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основним</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сценаријем</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потрошња</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дома</w:t>
      </w:r>
      <w:r w:rsidR="00016298" w:rsidRPr="005303F7">
        <w:rPr>
          <w:rFonts w:ascii="Times New Roman" w:hAnsi="Times New Roman"/>
          <w:sz w:val="24"/>
          <w:lang w:val="sr-Cyrl-CS"/>
        </w:rPr>
        <w:t>ћ</w:t>
      </w:r>
      <w:r w:rsidR="00BF65FC" w:rsidRPr="005303F7">
        <w:rPr>
          <w:rFonts w:ascii="Times New Roman" w:hAnsi="Times New Roman"/>
          <w:sz w:val="24"/>
          <w:lang w:val="sr-Cyrl-CS"/>
        </w:rPr>
        <w:t>инстава</w:t>
      </w:r>
      <w:r w:rsidR="00E2793A" w:rsidRPr="005303F7">
        <w:rPr>
          <w:rFonts w:ascii="Times New Roman" w:hAnsi="Times New Roman"/>
          <w:sz w:val="24"/>
          <w:lang w:val="sr-Cyrl-CS"/>
        </w:rPr>
        <w:t xml:space="preserve"> </w:t>
      </w:r>
      <w:r w:rsidR="00016298" w:rsidRPr="005303F7">
        <w:rPr>
          <w:rFonts w:ascii="Times New Roman" w:hAnsi="Times New Roman"/>
          <w:sz w:val="24"/>
          <w:lang w:val="sr-Cyrl-CS"/>
        </w:rPr>
        <w:t>ћ</w:t>
      </w:r>
      <w:r w:rsidR="00BF65FC" w:rsidRPr="005303F7">
        <w:rPr>
          <w:rFonts w:ascii="Times New Roman" w:hAnsi="Times New Roman"/>
          <w:sz w:val="24"/>
          <w:lang w:val="sr-Cyrl-CS"/>
        </w:rPr>
        <w:t>е</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смањити</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E2793A" w:rsidRPr="005303F7">
        <w:rPr>
          <w:rFonts w:ascii="Times New Roman" w:hAnsi="Times New Roman"/>
          <w:sz w:val="24"/>
          <w:lang w:val="sr-Cyrl-CS"/>
        </w:rPr>
        <w:t xml:space="preserve"> 2,5% </w:t>
      </w:r>
      <w:r w:rsidR="00BF65FC" w:rsidRPr="005303F7">
        <w:rPr>
          <w:rFonts w:ascii="Times New Roman" w:hAnsi="Times New Roman"/>
          <w:sz w:val="24"/>
          <w:lang w:val="sr-Cyrl-CS"/>
        </w:rPr>
        <w:t>у</w:t>
      </w:r>
      <w:r w:rsidR="00E2793A" w:rsidRPr="005303F7">
        <w:rPr>
          <w:rFonts w:ascii="Times New Roman" w:hAnsi="Times New Roman"/>
          <w:sz w:val="24"/>
          <w:lang w:val="sr-Cyrl-CS"/>
        </w:rPr>
        <w:t xml:space="preserve"> 2030. </w:t>
      </w:r>
      <w:r w:rsidR="00BF65FC" w:rsidRPr="005303F7">
        <w:rPr>
          <w:rFonts w:ascii="Times New Roman" w:hAnsi="Times New Roman"/>
          <w:sz w:val="24"/>
          <w:lang w:val="sr-Cyrl-CS"/>
        </w:rPr>
        <w:t>години</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E2793A" w:rsidRPr="005303F7">
        <w:rPr>
          <w:rFonts w:ascii="Times New Roman" w:hAnsi="Times New Roman"/>
          <w:sz w:val="24"/>
          <w:lang w:val="sr-Cyrl-CS"/>
        </w:rPr>
        <w:t xml:space="preserve"> 5% </w:t>
      </w:r>
      <w:r w:rsidR="00BF65FC" w:rsidRPr="005303F7">
        <w:rPr>
          <w:rFonts w:ascii="Times New Roman" w:hAnsi="Times New Roman"/>
          <w:sz w:val="24"/>
          <w:lang w:val="sr-Cyrl-CS"/>
        </w:rPr>
        <w:t>у</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сценаријима</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М</w:t>
      </w:r>
      <w:r w:rsidR="00E2793A" w:rsidRPr="005303F7">
        <w:rPr>
          <w:rFonts w:ascii="Times New Roman" w:hAnsi="Times New Roman"/>
          <w:sz w:val="24"/>
          <w:lang w:val="sr-Cyrl-CS"/>
        </w:rPr>
        <w:t xml:space="preserve">2 </w:t>
      </w:r>
      <w:r w:rsidR="00BF65FC" w:rsidRPr="005303F7">
        <w:rPr>
          <w:rFonts w:ascii="Times New Roman" w:hAnsi="Times New Roman"/>
          <w:sz w:val="24"/>
          <w:lang w:val="sr-Cyrl-CS"/>
        </w:rPr>
        <w:t>и</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М</w:t>
      </w:r>
      <w:r w:rsidR="00E2793A" w:rsidRPr="005303F7">
        <w:rPr>
          <w:rFonts w:ascii="Times New Roman" w:hAnsi="Times New Roman"/>
          <w:sz w:val="24"/>
          <w:lang w:val="sr-Cyrl-CS"/>
        </w:rPr>
        <w:t xml:space="preserve">3 </w:t>
      </w:r>
      <w:r w:rsidR="00BF65FC" w:rsidRPr="005303F7">
        <w:rPr>
          <w:rFonts w:ascii="Times New Roman" w:hAnsi="Times New Roman"/>
          <w:sz w:val="24"/>
          <w:lang w:val="sr-Cyrl-CS"/>
        </w:rPr>
        <w:t>и</w:t>
      </w:r>
      <w:r w:rsidR="00E2793A"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E2793A" w:rsidRPr="005303F7">
        <w:rPr>
          <w:rFonts w:ascii="Times New Roman" w:hAnsi="Times New Roman"/>
          <w:sz w:val="24"/>
          <w:lang w:val="sr-Cyrl-CS"/>
        </w:rPr>
        <w:t xml:space="preserve"> 5,4%</w:t>
      </w:r>
      <w:r w:rsidR="002D4B0A"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2D4B0A" w:rsidRPr="005303F7">
        <w:rPr>
          <w:rFonts w:ascii="Times New Roman" w:hAnsi="Times New Roman"/>
          <w:sz w:val="24"/>
          <w:lang w:val="sr-Cyrl-CS"/>
        </w:rPr>
        <w:t xml:space="preserve"> </w:t>
      </w:r>
      <w:r w:rsidR="00BF65FC" w:rsidRPr="005303F7">
        <w:rPr>
          <w:rFonts w:ascii="Times New Roman" w:hAnsi="Times New Roman"/>
          <w:sz w:val="24"/>
          <w:lang w:val="sr-Cyrl-CS"/>
        </w:rPr>
        <w:t>сценарију</w:t>
      </w:r>
      <w:r w:rsidR="002D4B0A" w:rsidRPr="005303F7">
        <w:rPr>
          <w:rFonts w:ascii="Times New Roman" w:hAnsi="Times New Roman"/>
          <w:sz w:val="24"/>
          <w:lang w:val="sr-Cyrl-CS"/>
        </w:rPr>
        <w:t xml:space="preserve"> </w:t>
      </w:r>
      <w:r w:rsidR="00BF65FC" w:rsidRPr="005303F7">
        <w:rPr>
          <w:rFonts w:ascii="Times New Roman" w:hAnsi="Times New Roman"/>
          <w:sz w:val="24"/>
          <w:lang w:val="sr-Cyrl-CS"/>
        </w:rPr>
        <w:t>М</w:t>
      </w:r>
      <w:r w:rsidR="002D4B0A" w:rsidRPr="005303F7">
        <w:rPr>
          <w:rFonts w:ascii="Times New Roman" w:hAnsi="Times New Roman"/>
          <w:sz w:val="24"/>
          <w:lang w:val="sr-Cyrl-CS"/>
        </w:rPr>
        <w:t xml:space="preserve">4 </w:t>
      </w:r>
      <w:r w:rsidR="00BF65FC" w:rsidRPr="005303F7">
        <w:rPr>
          <w:rFonts w:ascii="Times New Roman" w:hAnsi="Times New Roman"/>
          <w:sz w:val="24"/>
          <w:lang w:val="sr-Cyrl-CS"/>
        </w:rPr>
        <w:t>до</w:t>
      </w:r>
      <w:r w:rsidR="002D4B0A" w:rsidRPr="005303F7">
        <w:rPr>
          <w:rFonts w:ascii="Times New Roman" w:hAnsi="Times New Roman"/>
          <w:sz w:val="24"/>
          <w:lang w:val="sr-Cyrl-CS"/>
        </w:rPr>
        <w:t xml:space="preserve"> 2050. </w:t>
      </w:r>
      <w:r w:rsidR="00BF65FC" w:rsidRPr="005303F7">
        <w:rPr>
          <w:rFonts w:ascii="Times New Roman" w:hAnsi="Times New Roman"/>
          <w:sz w:val="24"/>
          <w:lang w:val="sr-Cyrl-CS"/>
        </w:rPr>
        <w:t>године</w:t>
      </w:r>
      <w:r w:rsidR="00BC0BFA" w:rsidRPr="005303F7">
        <w:rPr>
          <w:rFonts w:ascii="Times New Roman" w:hAnsi="Times New Roman"/>
          <w:sz w:val="24"/>
          <w:lang w:val="sr-Cyrl-CS"/>
        </w:rPr>
        <w:t xml:space="preserve"> (</w:t>
      </w:r>
      <w:r w:rsidR="00AD671B" w:rsidRPr="005303F7">
        <w:rPr>
          <w:rFonts w:ascii="Times New Roman" w:hAnsi="Times New Roman"/>
          <w:sz w:val="24"/>
          <w:lang w:val="sr-Cyrl-CS"/>
        </w:rPr>
        <w:fldChar w:fldCharType="begin"/>
      </w:r>
      <w:r w:rsidR="00AD671B" w:rsidRPr="005303F7">
        <w:rPr>
          <w:rFonts w:ascii="Times New Roman" w:hAnsi="Times New Roman"/>
          <w:sz w:val="24"/>
          <w:lang w:val="sr-Cyrl-CS"/>
        </w:rPr>
        <w:instrText xml:space="preserve"> REF _Ref12806455 \h  \* MERGEFORMAT </w:instrText>
      </w:r>
      <w:r w:rsidR="00AD671B" w:rsidRPr="005303F7">
        <w:rPr>
          <w:rFonts w:ascii="Times New Roman" w:hAnsi="Times New Roman"/>
          <w:sz w:val="24"/>
          <w:lang w:val="sr-Cyrl-CS"/>
        </w:rPr>
      </w:r>
      <w:r w:rsidR="00AD671B" w:rsidRPr="005303F7">
        <w:rPr>
          <w:rFonts w:ascii="Times New Roman" w:hAnsi="Times New Roman"/>
          <w:sz w:val="24"/>
          <w:lang w:val="sr-Cyrl-CS"/>
        </w:rPr>
        <w:fldChar w:fldCharType="separate"/>
      </w:r>
      <w:r w:rsidR="00DA2595" w:rsidRPr="005303F7">
        <w:rPr>
          <w:rFonts w:ascii="Times New Roman" w:hAnsi="Times New Roman"/>
          <w:i/>
          <w:iCs/>
          <w:szCs w:val="18"/>
          <w:lang w:val="sr-Cyrl-CS"/>
        </w:rPr>
        <w:t>Табела</w:t>
      </w:r>
      <w:r w:rsidR="00DA2595" w:rsidRPr="005303F7">
        <w:rPr>
          <w:rFonts w:ascii="Times New Roman" w:hAnsi="Times New Roman"/>
          <w:i/>
          <w:iCs/>
          <w:sz w:val="24"/>
          <w:szCs w:val="22"/>
          <w:lang w:val="sr-Cyrl-CS"/>
        </w:rPr>
        <w:t xml:space="preserve"> 9</w:t>
      </w:r>
      <w:r w:rsidR="00AD671B" w:rsidRPr="005303F7">
        <w:rPr>
          <w:rFonts w:ascii="Times New Roman" w:hAnsi="Times New Roman"/>
          <w:sz w:val="24"/>
          <w:lang w:val="sr-Cyrl-CS"/>
        </w:rPr>
        <w:fldChar w:fldCharType="end"/>
      </w:r>
      <w:r w:rsidR="00BC0BFA" w:rsidRPr="005303F7">
        <w:rPr>
          <w:rFonts w:ascii="Times New Roman" w:hAnsi="Times New Roman"/>
          <w:sz w:val="24"/>
          <w:lang w:val="sr-Cyrl-CS"/>
        </w:rPr>
        <w:t xml:space="preserve">). </w:t>
      </w:r>
      <w:r w:rsidR="00BF65FC" w:rsidRPr="005303F7">
        <w:rPr>
          <w:rFonts w:ascii="Times New Roman" w:hAnsi="Times New Roman"/>
          <w:sz w:val="24"/>
          <w:lang w:val="sr-Cyrl-CS"/>
        </w:rPr>
        <w:t>Без</w:t>
      </w:r>
      <w:r w:rsidR="002D4B0A" w:rsidRPr="005303F7">
        <w:rPr>
          <w:rFonts w:ascii="Times New Roman" w:hAnsi="Times New Roman"/>
          <w:sz w:val="24"/>
          <w:lang w:val="sr-Cyrl-CS"/>
        </w:rPr>
        <w:t xml:space="preserve"> </w:t>
      </w:r>
      <w:r w:rsidR="00BF65FC" w:rsidRPr="005303F7">
        <w:rPr>
          <w:rFonts w:ascii="Times New Roman" w:hAnsi="Times New Roman"/>
          <w:sz w:val="24"/>
          <w:lang w:val="sr-Cyrl-CS"/>
        </w:rPr>
        <w:t>обзира</w:t>
      </w:r>
      <w:r w:rsidR="002D4B0A"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2D4B0A" w:rsidRPr="005303F7">
        <w:rPr>
          <w:rFonts w:ascii="Times New Roman" w:hAnsi="Times New Roman"/>
          <w:sz w:val="24"/>
          <w:lang w:val="sr-Cyrl-CS"/>
        </w:rPr>
        <w:t xml:space="preserve"> </w:t>
      </w:r>
      <w:r w:rsidR="00BF65FC" w:rsidRPr="005303F7">
        <w:rPr>
          <w:rFonts w:ascii="Times New Roman" w:hAnsi="Times New Roman"/>
          <w:sz w:val="24"/>
          <w:lang w:val="sr-Cyrl-CS"/>
        </w:rPr>
        <w:t>овај</w:t>
      </w:r>
      <w:r w:rsidR="002D4B0A" w:rsidRPr="005303F7">
        <w:rPr>
          <w:rFonts w:ascii="Times New Roman" w:hAnsi="Times New Roman"/>
          <w:sz w:val="24"/>
          <w:lang w:val="sr-Cyrl-CS"/>
        </w:rPr>
        <w:t xml:space="preserve"> </w:t>
      </w:r>
      <w:r w:rsidR="00BF65FC" w:rsidRPr="005303F7">
        <w:rPr>
          <w:rFonts w:ascii="Times New Roman" w:hAnsi="Times New Roman"/>
          <w:sz w:val="24"/>
          <w:lang w:val="sr-Cyrl-CS"/>
        </w:rPr>
        <w:t>утицај</w:t>
      </w:r>
      <w:r w:rsidR="002D4B0A" w:rsidRPr="005303F7">
        <w:rPr>
          <w:rFonts w:ascii="Times New Roman" w:hAnsi="Times New Roman"/>
          <w:sz w:val="24"/>
          <w:lang w:val="sr-Cyrl-CS"/>
        </w:rPr>
        <w:t xml:space="preserve">, </w:t>
      </w:r>
      <w:r w:rsidR="00BF65FC" w:rsidRPr="005303F7">
        <w:rPr>
          <w:rFonts w:ascii="Times New Roman" w:hAnsi="Times New Roman"/>
          <w:sz w:val="24"/>
          <w:lang w:val="sr-Cyrl-CS"/>
        </w:rPr>
        <w:t>потрошња</w:t>
      </w:r>
      <w:r w:rsidR="002D4B0A" w:rsidRPr="005303F7">
        <w:rPr>
          <w:rFonts w:ascii="Times New Roman" w:hAnsi="Times New Roman"/>
          <w:sz w:val="24"/>
          <w:lang w:val="sr-Cyrl-CS"/>
        </w:rPr>
        <w:t xml:space="preserve"> </w:t>
      </w:r>
      <w:r w:rsidR="00BF65FC" w:rsidRPr="005303F7">
        <w:rPr>
          <w:rFonts w:ascii="Times New Roman" w:hAnsi="Times New Roman"/>
          <w:sz w:val="24"/>
          <w:lang w:val="sr-Cyrl-CS"/>
        </w:rPr>
        <w:t>дома</w:t>
      </w:r>
      <w:r w:rsidR="00016298" w:rsidRPr="005303F7">
        <w:rPr>
          <w:rFonts w:ascii="Times New Roman" w:hAnsi="Times New Roman"/>
          <w:sz w:val="24"/>
          <w:lang w:val="sr-Cyrl-CS"/>
        </w:rPr>
        <w:t>ћ</w:t>
      </w:r>
      <w:r w:rsidR="00BF65FC" w:rsidRPr="005303F7">
        <w:rPr>
          <w:rFonts w:ascii="Times New Roman" w:hAnsi="Times New Roman"/>
          <w:sz w:val="24"/>
          <w:lang w:val="sr-Cyrl-CS"/>
        </w:rPr>
        <w:t>инстава</w:t>
      </w:r>
      <w:r w:rsidR="002D4B0A" w:rsidRPr="005303F7">
        <w:rPr>
          <w:rFonts w:ascii="Times New Roman" w:hAnsi="Times New Roman"/>
          <w:sz w:val="24"/>
          <w:lang w:val="sr-Cyrl-CS"/>
        </w:rPr>
        <w:t xml:space="preserve"> </w:t>
      </w:r>
      <w:r w:rsidR="00016298" w:rsidRPr="005303F7">
        <w:rPr>
          <w:rFonts w:ascii="Times New Roman" w:hAnsi="Times New Roman"/>
          <w:sz w:val="24"/>
          <w:lang w:val="sr-Cyrl-CS"/>
        </w:rPr>
        <w:t>ћ</w:t>
      </w:r>
      <w:r w:rsidR="00BF65FC" w:rsidRPr="005303F7">
        <w:rPr>
          <w:rFonts w:ascii="Times New Roman" w:hAnsi="Times New Roman"/>
          <w:sz w:val="24"/>
          <w:lang w:val="sr-Cyrl-CS"/>
        </w:rPr>
        <w:t>е</w:t>
      </w:r>
      <w:r w:rsidR="002D4B0A"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2D4B0A"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2D4B0A" w:rsidRPr="005303F7">
        <w:rPr>
          <w:rFonts w:ascii="Times New Roman" w:hAnsi="Times New Roman"/>
          <w:sz w:val="24"/>
          <w:lang w:val="sr-Cyrl-CS"/>
        </w:rPr>
        <w:t xml:space="preserve"> </w:t>
      </w:r>
      <w:r w:rsidR="00BF65FC" w:rsidRPr="005303F7">
        <w:rPr>
          <w:rFonts w:ascii="Times New Roman" w:hAnsi="Times New Roman"/>
          <w:sz w:val="24"/>
          <w:lang w:val="sr-Cyrl-CS"/>
        </w:rPr>
        <w:t>периоду</w:t>
      </w:r>
      <w:r w:rsidR="002D4B0A" w:rsidRPr="005303F7">
        <w:rPr>
          <w:rFonts w:ascii="Times New Roman" w:hAnsi="Times New Roman"/>
          <w:sz w:val="24"/>
          <w:lang w:val="sr-Cyrl-CS"/>
        </w:rPr>
        <w:t xml:space="preserve"> 2020-2050. </w:t>
      </w:r>
      <w:r w:rsidR="004C2D88" w:rsidRPr="005303F7">
        <w:rPr>
          <w:rFonts w:ascii="Times New Roman" w:hAnsi="Times New Roman"/>
          <w:sz w:val="24"/>
          <w:lang w:val="sr-Cyrl-CS"/>
        </w:rPr>
        <w:t>годин</w:t>
      </w:r>
      <w:r w:rsidR="00CC686B" w:rsidRPr="005303F7">
        <w:rPr>
          <w:rFonts w:ascii="Times New Roman" w:hAnsi="Times New Roman"/>
          <w:sz w:val="24"/>
          <w:lang w:val="sr-Cyrl-CS"/>
        </w:rPr>
        <w:t>е</w:t>
      </w:r>
      <w:r w:rsidR="004C2D88" w:rsidRPr="005303F7">
        <w:rPr>
          <w:rFonts w:ascii="Times New Roman" w:hAnsi="Times New Roman"/>
          <w:sz w:val="24"/>
          <w:lang w:val="sr-Cyrl-CS"/>
        </w:rPr>
        <w:t xml:space="preserve">, више него удвостручити (од 26,0 </w:t>
      </w:r>
      <w:r w:rsidR="0039680D" w:rsidRPr="005303F7">
        <w:rPr>
          <w:rFonts w:ascii="Times New Roman" w:hAnsi="Times New Roman"/>
          <w:sz w:val="24"/>
          <w:lang w:val="sr-Cyrl-CS"/>
        </w:rPr>
        <w:t>милиона</w:t>
      </w:r>
      <w:r w:rsidR="004C2D88" w:rsidRPr="005303F7">
        <w:rPr>
          <w:rFonts w:ascii="Times New Roman" w:hAnsi="Times New Roman"/>
          <w:sz w:val="24"/>
          <w:lang w:val="sr-Cyrl-CS"/>
        </w:rPr>
        <w:t xml:space="preserve"> </w:t>
      </w:r>
      <w:r w:rsidR="00786EDD" w:rsidRPr="005303F7">
        <w:rPr>
          <w:rFonts w:ascii="Times New Roman" w:hAnsi="Times New Roman"/>
          <w:sz w:val="24"/>
          <w:lang w:val="sr-Cyrl-CS"/>
        </w:rPr>
        <w:t>евра</w:t>
      </w:r>
      <w:r w:rsidR="004C2D88" w:rsidRPr="005303F7">
        <w:rPr>
          <w:rFonts w:ascii="Times New Roman" w:hAnsi="Times New Roman"/>
          <w:sz w:val="24"/>
          <w:lang w:val="sr-Cyrl-CS"/>
        </w:rPr>
        <w:t xml:space="preserve"> до 60,7 </w:t>
      </w:r>
      <w:r w:rsidR="0039680D" w:rsidRPr="005303F7">
        <w:rPr>
          <w:rFonts w:ascii="Times New Roman" w:hAnsi="Times New Roman"/>
          <w:sz w:val="24"/>
          <w:lang w:val="sr-Cyrl-CS"/>
        </w:rPr>
        <w:t>милиона</w:t>
      </w:r>
      <w:r w:rsidR="004C2D88" w:rsidRPr="005303F7">
        <w:rPr>
          <w:rFonts w:ascii="Times New Roman" w:hAnsi="Times New Roman"/>
          <w:sz w:val="24"/>
          <w:lang w:val="sr-Cyrl-CS"/>
        </w:rPr>
        <w:t xml:space="preserve"> </w:t>
      </w:r>
      <w:r w:rsidR="00786EDD" w:rsidRPr="005303F7">
        <w:rPr>
          <w:rFonts w:ascii="Times New Roman" w:hAnsi="Times New Roman"/>
          <w:sz w:val="24"/>
          <w:lang w:val="sr-Cyrl-CS"/>
        </w:rPr>
        <w:t>евра</w:t>
      </w:r>
      <w:r w:rsidR="002D4B0A" w:rsidRPr="005303F7">
        <w:rPr>
          <w:rFonts w:ascii="Times New Roman" w:hAnsi="Times New Roman"/>
          <w:sz w:val="24"/>
          <w:lang w:val="sr-Cyrl-CS"/>
        </w:rPr>
        <w:t xml:space="preserve">, </w:t>
      </w:r>
      <w:r w:rsidR="00BF65FC" w:rsidRPr="005303F7">
        <w:rPr>
          <w:rFonts w:ascii="Times New Roman" w:hAnsi="Times New Roman"/>
          <w:sz w:val="24"/>
          <w:lang w:val="sr-Cyrl-CS"/>
        </w:rPr>
        <w:t>што</w:t>
      </w:r>
      <w:r w:rsidR="002D4B0A" w:rsidRPr="005303F7">
        <w:rPr>
          <w:rFonts w:ascii="Times New Roman" w:hAnsi="Times New Roman"/>
          <w:sz w:val="24"/>
          <w:lang w:val="sr-Cyrl-CS"/>
        </w:rPr>
        <w:t xml:space="preserve"> </w:t>
      </w:r>
      <w:r w:rsidR="00BF65FC" w:rsidRPr="005303F7">
        <w:rPr>
          <w:rFonts w:ascii="Times New Roman" w:hAnsi="Times New Roman"/>
          <w:sz w:val="24"/>
          <w:lang w:val="sr-Cyrl-CS"/>
        </w:rPr>
        <w:t>указује</w:t>
      </w:r>
      <w:r w:rsidR="002D4B0A" w:rsidRPr="005303F7">
        <w:rPr>
          <w:rFonts w:ascii="Times New Roman" w:hAnsi="Times New Roman"/>
          <w:sz w:val="24"/>
          <w:lang w:val="sr-Cyrl-CS"/>
        </w:rPr>
        <w:t xml:space="preserve"> </w:t>
      </w:r>
      <w:r w:rsidR="00BF65FC" w:rsidRPr="005303F7">
        <w:rPr>
          <w:rFonts w:ascii="Times New Roman" w:hAnsi="Times New Roman"/>
          <w:sz w:val="24"/>
          <w:lang w:val="sr-Cyrl-CS"/>
        </w:rPr>
        <w:t>да</w:t>
      </w:r>
      <w:r w:rsidR="002D4B0A"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2D4B0A" w:rsidRPr="005303F7">
        <w:rPr>
          <w:rFonts w:ascii="Times New Roman" w:hAnsi="Times New Roman"/>
          <w:sz w:val="24"/>
          <w:lang w:val="sr-Cyrl-CS"/>
        </w:rPr>
        <w:t xml:space="preserve"> </w:t>
      </w:r>
      <w:r w:rsidR="00BF65FC" w:rsidRPr="005303F7">
        <w:rPr>
          <w:rFonts w:ascii="Times New Roman" w:hAnsi="Times New Roman"/>
          <w:sz w:val="24"/>
          <w:lang w:val="sr-Cyrl-CS"/>
        </w:rPr>
        <w:t>очекује</w:t>
      </w:r>
      <w:r w:rsidR="002D4B0A" w:rsidRPr="005303F7">
        <w:rPr>
          <w:rFonts w:ascii="Times New Roman" w:hAnsi="Times New Roman"/>
          <w:sz w:val="24"/>
          <w:lang w:val="sr-Cyrl-CS"/>
        </w:rPr>
        <w:t xml:space="preserve"> </w:t>
      </w:r>
      <w:r w:rsidR="00BF65FC" w:rsidRPr="005303F7">
        <w:rPr>
          <w:rFonts w:ascii="Times New Roman" w:hAnsi="Times New Roman"/>
          <w:sz w:val="24"/>
          <w:lang w:val="sr-Cyrl-CS"/>
        </w:rPr>
        <w:t>да</w:t>
      </w:r>
      <w:r w:rsidR="002D4B0A" w:rsidRPr="005303F7">
        <w:rPr>
          <w:rFonts w:ascii="Times New Roman" w:hAnsi="Times New Roman"/>
          <w:sz w:val="24"/>
          <w:lang w:val="sr-Cyrl-CS"/>
        </w:rPr>
        <w:t xml:space="preserve"> </w:t>
      </w:r>
      <w:r w:rsidR="00016298" w:rsidRPr="005303F7">
        <w:rPr>
          <w:rFonts w:ascii="Times New Roman" w:hAnsi="Times New Roman"/>
          <w:sz w:val="24"/>
          <w:lang w:val="sr-Cyrl-CS"/>
        </w:rPr>
        <w:t>ћ</w:t>
      </w:r>
      <w:r w:rsidR="00BF65FC" w:rsidRPr="005303F7">
        <w:rPr>
          <w:rFonts w:ascii="Times New Roman" w:hAnsi="Times New Roman"/>
          <w:sz w:val="24"/>
          <w:lang w:val="sr-Cyrl-CS"/>
        </w:rPr>
        <w:t>е</w:t>
      </w:r>
      <w:r w:rsidR="002D4B0A" w:rsidRPr="005303F7">
        <w:rPr>
          <w:rFonts w:ascii="Times New Roman" w:hAnsi="Times New Roman"/>
          <w:sz w:val="24"/>
          <w:lang w:val="sr-Cyrl-CS"/>
        </w:rPr>
        <w:t xml:space="preserve"> </w:t>
      </w:r>
      <w:r w:rsidR="00BF65FC" w:rsidRPr="005303F7">
        <w:rPr>
          <w:rFonts w:ascii="Times New Roman" w:hAnsi="Times New Roman"/>
          <w:sz w:val="24"/>
          <w:lang w:val="sr-Cyrl-CS"/>
        </w:rPr>
        <w:t>утицаји</w:t>
      </w:r>
      <w:r w:rsidR="002D4B0A" w:rsidRPr="005303F7">
        <w:rPr>
          <w:rFonts w:ascii="Times New Roman" w:hAnsi="Times New Roman"/>
          <w:sz w:val="24"/>
          <w:lang w:val="sr-Cyrl-CS"/>
        </w:rPr>
        <w:t xml:space="preserve"> </w:t>
      </w:r>
      <w:r w:rsidR="00BF65FC" w:rsidRPr="005303F7">
        <w:rPr>
          <w:rFonts w:ascii="Times New Roman" w:hAnsi="Times New Roman"/>
          <w:sz w:val="24"/>
          <w:lang w:val="sr-Cyrl-CS"/>
        </w:rPr>
        <w:t>примене</w:t>
      </w:r>
      <w:r w:rsidR="002D4B0A" w:rsidRPr="005303F7">
        <w:rPr>
          <w:rFonts w:ascii="Times New Roman" w:hAnsi="Times New Roman"/>
          <w:sz w:val="24"/>
          <w:lang w:val="sr-Cyrl-CS"/>
        </w:rPr>
        <w:t xml:space="preserve"> </w:t>
      </w:r>
      <w:r w:rsidR="00BF65FC" w:rsidRPr="005303F7">
        <w:rPr>
          <w:rFonts w:ascii="Times New Roman" w:hAnsi="Times New Roman"/>
          <w:sz w:val="24"/>
          <w:lang w:val="sr-Cyrl-CS"/>
        </w:rPr>
        <w:t>мера</w:t>
      </w:r>
      <w:r w:rsidR="002D4B0A" w:rsidRPr="005303F7">
        <w:rPr>
          <w:rFonts w:ascii="Times New Roman" w:hAnsi="Times New Roman"/>
          <w:sz w:val="24"/>
          <w:lang w:val="sr-Cyrl-CS"/>
        </w:rPr>
        <w:t xml:space="preserve"> </w:t>
      </w:r>
      <w:r w:rsidR="00BF65FC" w:rsidRPr="005303F7">
        <w:rPr>
          <w:rFonts w:ascii="Times New Roman" w:hAnsi="Times New Roman"/>
          <w:sz w:val="24"/>
          <w:lang w:val="sr-Cyrl-CS"/>
        </w:rPr>
        <w:t>износити</w:t>
      </w:r>
      <w:r w:rsidR="00544B94" w:rsidRPr="005303F7">
        <w:rPr>
          <w:rFonts w:ascii="Times New Roman" w:hAnsi="Times New Roman"/>
          <w:sz w:val="24"/>
          <w:lang w:val="sr-Cyrl-CS"/>
        </w:rPr>
        <w:t xml:space="preserve"> </w:t>
      </w:r>
      <w:r w:rsidR="00BF65FC" w:rsidRPr="005303F7">
        <w:rPr>
          <w:rFonts w:ascii="Times New Roman" w:hAnsi="Times New Roman"/>
          <w:sz w:val="24"/>
          <w:lang w:val="sr-Cyrl-CS"/>
        </w:rPr>
        <w:t>мање</w:t>
      </w:r>
      <w:r w:rsidR="00544B94" w:rsidRPr="005303F7">
        <w:rPr>
          <w:rFonts w:ascii="Times New Roman" w:hAnsi="Times New Roman"/>
          <w:sz w:val="24"/>
          <w:lang w:val="sr-Cyrl-CS"/>
        </w:rPr>
        <w:t xml:space="preserve"> </w:t>
      </w:r>
      <w:r w:rsidR="00BF65FC" w:rsidRPr="005303F7">
        <w:rPr>
          <w:rFonts w:ascii="Times New Roman" w:hAnsi="Times New Roman"/>
          <w:sz w:val="24"/>
          <w:lang w:val="sr-Cyrl-CS"/>
        </w:rPr>
        <w:t>од</w:t>
      </w:r>
      <w:r w:rsidR="00544B94" w:rsidRPr="005303F7">
        <w:rPr>
          <w:rFonts w:ascii="Times New Roman" w:hAnsi="Times New Roman"/>
          <w:sz w:val="24"/>
          <w:lang w:val="sr-Cyrl-CS"/>
        </w:rPr>
        <w:t xml:space="preserve"> </w:t>
      </w:r>
      <w:r w:rsidR="00D46C6B" w:rsidRPr="005303F7">
        <w:rPr>
          <w:rFonts w:ascii="Times New Roman" w:hAnsi="Times New Roman"/>
          <w:sz w:val="24"/>
          <w:lang w:val="sr-Cyrl-CS"/>
        </w:rPr>
        <w:t>6%</w:t>
      </w:r>
      <w:r w:rsidR="004C2D88" w:rsidRPr="005303F7">
        <w:rPr>
          <w:rFonts w:ascii="Times New Roman" w:hAnsi="Times New Roman"/>
          <w:sz w:val="24"/>
          <w:lang w:val="sr-Cyrl-CS"/>
        </w:rPr>
        <w:t xml:space="preserve"> (од 3,0-3,4 </w:t>
      </w:r>
      <w:r w:rsidR="0039680D" w:rsidRPr="005303F7">
        <w:rPr>
          <w:rFonts w:ascii="Times New Roman" w:hAnsi="Times New Roman"/>
          <w:sz w:val="24"/>
          <w:lang w:val="sr-Cyrl-CS"/>
        </w:rPr>
        <w:t>милиона</w:t>
      </w:r>
      <w:r w:rsidR="004C2D88" w:rsidRPr="005303F7">
        <w:rPr>
          <w:rFonts w:ascii="Times New Roman" w:hAnsi="Times New Roman"/>
          <w:sz w:val="24"/>
          <w:lang w:val="sr-Cyrl-CS"/>
        </w:rPr>
        <w:t xml:space="preserve"> </w:t>
      </w:r>
      <w:r w:rsidR="00786EDD" w:rsidRPr="005303F7">
        <w:rPr>
          <w:rFonts w:ascii="Times New Roman" w:hAnsi="Times New Roman"/>
          <w:sz w:val="24"/>
          <w:lang w:val="sr-Cyrl-CS"/>
        </w:rPr>
        <w:t>евра</w:t>
      </w:r>
      <w:r w:rsidR="004C2D88" w:rsidRPr="005303F7">
        <w:rPr>
          <w:rFonts w:ascii="Times New Roman" w:hAnsi="Times New Roman"/>
          <w:sz w:val="24"/>
          <w:lang w:val="sr-Cyrl-CS"/>
        </w:rPr>
        <w:t>)</w:t>
      </w:r>
      <w:r w:rsidR="002D4B0A" w:rsidRPr="005303F7">
        <w:rPr>
          <w:rFonts w:ascii="Times New Roman" w:hAnsi="Times New Roman"/>
          <w:sz w:val="24"/>
          <w:lang w:val="sr-Cyrl-CS"/>
        </w:rPr>
        <w:t>.</w:t>
      </w:r>
    </w:p>
    <w:p w14:paraId="563AD09C" w14:textId="022AE1AF" w:rsidR="00C27709" w:rsidRPr="005303F7" w:rsidRDefault="00BF65FC" w:rsidP="00C91A4C">
      <w:pPr>
        <w:spacing w:after="60"/>
        <w:rPr>
          <w:rFonts w:ascii="Times New Roman" w:hAnsi="Times New Roman"/>
          <w:b/>
          <w:bCs/>
          <w:i/>
          <w:iCs/>
          <w:sz w:val="20"/>
          <w:szCs w:val="18"/>
          <w:lang w:val="sr-Cyrl-CS"/>
        </w:rPr>
      </w:pPr>
      <w:bookmarkStart w:id="264" w:name="_Ref12806455"/>
      <w:bookmarkStart w:id="265" w:name="_Toc13132544"/>
      <w:bookmarkStart w:id="266" w:name="_Toc13163042"/>
      <w:bookmarkStart w:id="267" w:name="_Toc26450881"/>
      <w:r w:rsidRPr="005303F7">
        <w:rPr>
          <w:rFonts w:ascii="Times New Roman" w:hAnsi="Times New Roman"/>
          <w:b/>
          <w:bCs/>
          <w:i/>
          <w:iCs/>
          <w:sz w:val="20"/>
          <w:szCs w:val="18"/>
          <w:lang w:val="sr-Cyrl-CS"/>
        </w:rPr>
        <w:t>Табела</w:t>
      </w:r>
      <w:r w:rsidR="00D35E3C" w:rsidRPr="005303F7">
        <w:rPr>
          <w:rFonts w:ascii="Times New Roman" w:hAnsi="Times New Roman"/>
          <w:b/>
          <w:bCs/>
          <w:i/>
          <w:iCs/>
          <w:sz w:val="20"/>
          <w:szCs w:val="18"/>
          <w:lang w:val="sr-Cyrl-CS"/>
        </w:rPr>
        <w:t xml:space="preserve"> </w:t>
      </w:r>
      <w:r w:rsidR="00D35E3C" w:rsidRPr="005303F7">
        <w:rPr>
          <w:rFonts w:ascii="Times New Roman" w:hAnsi="Times New Roman"/>
          <w:b/>
          <w:bCs/>
          <w:i/>
          <w:iCs/>
          <w:sz w:val="20"/>
          <w:szCs w:val="18"/>
          <w:lang w:val="sr-Cyrl-CS"/>
        </w:rPr>
        <w:fldChar w:fldCharType="begin"/>
      </w:r>
      <w:r w:rsidR="00D35E3C" w:rsidRPr="005303F7">
        <w:rPr>
          <w:rFonts w:ascii="Times New Roman" w:hAnsi="Times New Roman"/>
          <w:b/>
          <w:bCs/>
          <w:i/>
          <w:iCs/>
          <w:sz w:val="20"/>
          <w:szCs w:val="18"/>
          <w:lang w:val="sr-Cyrl-CS"/>
        </w:rPr>
        <w:instrText xml:space="preserve"> SEQ Table \* ARABIC </w:instrText>
      </w:r>
      <w:r w:rsidR="00D35E3C" w:rsidRPr="005303F7">
        <w:rPr>
          <w:rFonts w:ascii="Times New Roman" w:hAnsi="Times New Roman"/>
          <w:b/>
          <w:bCs/>
          <w:i/>
          <w:iCs/>
          <w:sz w:val="20"/>
          <w:szCs w:val="18"/>
          <w:lang w:val="sr-Cyrl-CS"/>
        </w:rPr>
        <w:fldChar w:fldCharType="separate"/>
      </w:r>
      <w:r w:rsidR="00DA2595" w:rsidRPr="005303F7">
        <w:rPr>
          <w:rFonts w:ascii="Times New Roman" w:hAnsi="Times New Roman"/>
          <w:b/>
          <w:bCs/>
          <w:i/>
          <w:iCs/>
          <w:noProof/>
          <w:sz w:val="20"/>
          <w:szCs w:val="18"/>
          <w:lang w:val="sr-Cyrl-CS"/>
        </w:rPr>
        <w:t>9</w:t>
      </w:r>
      <w:r w:rsidR="00D35E3C" w:rsidRPr="005303F7">
        <w:rPr>
          <w:rFonts w:ascii="Times New Roman" w:hAnsi="Times New Roman"/>
          <w:b/>
          <w:bCs/>
          <w:i/>
          <w:iCs/>
          <w:sz w:val="20"/>
          <w:szCs w:val="18"/>
          <w:lang w:val="sr-Cyrl-CS"/>
        </w:rPr>
        <w:fldChar w:fldCharType="end"/>
      </w:r>
      <w:bookmarkEnd w:id="264"/>
      <w:r w:rsidR="00C27709" w:rsidRPr="005303F7">
        <w:rPr>
          <w:rFonts w:ascii="Times New Roman" w:hAnsi="Times New Roman"/>
          <w:b/>
          <w:bCs/>
          <w:i/>
          <w:iCs/>
          <w:sz w:val="20"/>
          <w:szCs w:val="18"/>
          <w:lang w:val="sr-Cyrl-CS"/>
        </w:rPr>
        <w:t xml:space="preserve">: </w:t>
      </w:r>
      <w:bookmarkEnd w:id="265"/>
      <w:bookmarkEnd w:id="266"/>
      <w:r w:rsidRPr="005303F7">
        <w:rPr>
          <w:rFonts w:ascii="Times New Roman" w:hAnsi="Times New Roman"/>
          <w:b/>
          <w:bCs/>
          <w:i/>
          <w:iCs/>
          <w:sz w:val="20"/>
          <w:szCs w:val="18"/>
          <w:lang w:val="sr-Cyrl-CS"/>
        </w:rPr>
        <w:t>Утицај</w:t>
      </w:r>
      <w:r w:rsidR="002D4B0A"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на</w:t>
      </w:r>
      <w:r w:rsidR="002D4B0A"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потрошњу</w:t>
      </w:r>
      <w:r w:rsidR="002D4B0A"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домаћинстав</w:t>
      </w:r>
      <w:bookmarkEnd w:id="267"/>
      <w:r w:rsidRPr="005303F7">
        <w:rPr>
          <w:rFonts w:ascii="Times New Roman" w:hAnsi="Times New Roman"/>
          <w:b/>
          <w:bCs/>
          <w:i/>
          <w:iCs/>
          <w:sz w:val="20"/>
          <w:szCs w:val="18"/>
          <w:lang w:val="sr-Cyrl-CS"/>
        </w:rPr>
        <w:t>а</w:t>
      </w:r>
      <w:r w:rsidR="00DA6F4B" w:rsidRPr="005303F7">
        <w:rPr>
          <w:rFonts w:ascii="Times New Roman" w:hAnsi="Times New Roman"/>
          <w:b/>
          <w:bCs/>
          <w:i/>
          <w:iCs/>
          <w:sz w:val="20"/>
          <w:szCs w:val="18"/>
          <w:lang w:val="sr-Cyrl-CS"/>
        </w:rPr>
        <w:t xml:space="preserve"> у поређењу са</w:t>
      </w:r>
      <w:r w:rsidR="004D12E5" w:rsidRPr="005303F7">
        <w:rPr>
          <w:rFonts w:ascii="Times New Roman" w:hAnsi="Times New Roman"/>
          <w:b/>
          <w:bCs/>
          <w:i/>
          <w:iCs/>
          <w:sz w:val="20"/>
          <w:szCs w:val="18"/>
          <w:lang w:val="sr-Cyrl-CS"/>
        </w:rPr>
        <w:t xml:space="preserve"> основним</w:t>
      </w:r>
      <w:r w:rsidR="00DA6F4B" w:rsidRPr="005303F7">
        <w:rPr>
          <w:rFonts w:ascii="Times New Roman" w:hAnsi="Times New Roman"/>
          <w:b/>
          <w:bCs/>
          <w:i/>
          <w:iCs/>
          <w:sz w:val="20"/>
          <w:szCs w:val="18"/>
          <w:lang w:val="sr-Cyrl-CS"/>
        </w:rPr>
        <w:t xml:space="preserve"> сценаријом Б2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4A0" w:firstRow="1" w:lastRow="0" w:firstColumn="1" w:lastColumn="0" w:noHBand="0" w:noVBand="1"/>
      </w:tblPr>
      <w:tblGrid>
        <w:gridCol w:w="2307"/>
        <w:gridCol w:w="1726"/>
        <w:gridCol w:w="1728"/>
        <w:gridCol w:w="1728"/>
        <w:gridCol w:w="1723"/>
      </w:tblGrid>
      <w:tr w:rsidR="00C27709" w:rsidRPr="005303F7" w14:paraId="48D481E4" w14:textId="601451C4" w:rsidTr="00CD7D87">
        <w:trPr>
          <w:trHeight w:val="20"/>
        </w:trPr>
        <w:tc>
          <w:tcPr>
            <w:tcW w:w="1252" w:type="pct"/>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14:paraId="081716E6" w14:textId="0A30C930" w:rsidR="00C27709" w:rsidRPr="005303F7" w:rsidRDefault="00C27709" w:rsidP="007F21EA">
            <w:pPr>
              <w:tabs>
                <w:tab w:val="clear" w:pos="3825"/>
              </w:tabs>
              <w:overflowPunct/>
              <w:autoSpaceDE/>
              <w:autoSpaceDN/>
              <w:adjustRightInd/>
              <w:spacing w:before="40" w:after="40"/>
              <w:jc w:val="left"/>
              <w:textAlignment w:val="auto"/>
              <w:rPr>
                <w:rFonts w:ascii="Times New Roman" w:hAnsi="Times New Roman"/>
                <w:szCs w:val="22"/>
                <w:lang w:val="sr-Cyrl-CS" w:eastAsia="pt-PT"/>
              </w:rPr>
            </w:pPr>
          </w:p>
        </w:tc>
        <w:tc>
          <w:tcPr>
            <w:tcW w:w="3748" w:type="pct"/>
            <w:gridSpan w:val="4"/>
            <w:tcBorders>
              <w:left w:val="single" w:sz="4" w:space="0" w:color="auto"/>
            </w:tcBorders>
            <w:shd w:val="clear" w:color="auto" w:fill="D9D9D9" w:themeFill="background1" w:themeFillShade="D9"/>
            <w:vAlign w:val="center"/>
            <w:hideMark/>
          </w:tcPr>
          <w:p w14:paraId="78D61AF1" w14:textId="5C39AE38" w:rsidR="00C27709"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szCs w:val="22"/>
                <w:lang w:val="sr-Cyrl-CS" w:eastAsia="pt-PT"/>
              </w:rPr>
            </w:pPr>
            <w:r w:rsidRPr="005303F7">
              <w:rPr>
                <w:rFonts w:ascii="Times New Roman" w:hAnsi="Times New Roman"/>
                <w:b/>
                <w:bCs/>
                <w:szCs w:val="22"/>
                <w:lang w:val="sr-Cyrl-CS" w:eastAsia="pt-PT"/>
              </w:rPr>
              <w:t>Потрошња</w:t>
            </w:r>
            <w:r w:rsidR="002D4B0A" w:rsidRPr="005303F7">
              <w:rPr>
                <w:rFonts w:ascii="Times New Roman" w:hAnsi="Times New Roman"/>
                <w:b/>
                <w:bCs/>
                <w:szCs w:val="22"/>
                <w:lang w:val="sr-Cyrl-CS" w:eastAsia="pt-PT"/>
              </w:rPr>
              <w:t xml:space="preserve"> </w:t>
            </w:r>
            <w:r w:rsidRPr="005303F7">
              <w:rPr>
                <w:rFonts w:ascii="Times New Roman" w:hAnsi="Times New Roman"/>
                <w:b/>
                <w:bCs/>
                <w:szCs w:val="22"/>
                <w:lang w:val="sr-Cyrl-CS" w:eastAsia="pt-PT"/>
              </w:rPr>
              <w:t>у</w:t>
            </w:r>
            <w:r w:rsidR="002D4B0A" w:rsidRPr="005303F7">
              <w:rPr>
                <w:rFonts w:ascii="Times New Roman" w:hAnsi="Times New Roman"/>
                <w:b/>
                <w:bCs/>
                <w:szCs w:val="22"/>
                <w:lang w:val="sr-Cyrl-CS" w:eastAsia="pt-PT"/>
              </w:rPr>
              <w:t xml:space="preserve"> </w:t>
            </w:r>
            <w:r w:rsidRPr="005303F7">
              <w:rPr>
                <w:rFonts w:ascii="Times New Roman" w:hAnsi="Times New Roman"/>
                <w:b/>
                <w:bCs/>
                <w:szCs w:val="22"/>
                <w:lang w:val="sr-Cyrl-CS" w:eastAsia="pt-PT"/>
              </w:rPr>
              <w:t>домаћинствима</w:t>
            </w:r>
          </w:p>
        </w:tc>
      </w:tr>
      <w:tr w:rsidR="00C27709" w:rsidRPr="005303F7" w14:paraId="17748B56" w14:textId="39B5E39A" w:rsidTr="00CD7D87">
        <w:trPr>
          <w:trHeight w:val="20"/>
        </w:trPr>
        <w:tc>
          <w:tcPr>
            <w:tcW w:w="1252"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B87E8DD" w14:textId="0691B422" w:rsidR="00C27709" w:rsidRPr="005303F7" w:rsidRDefault="00C27709" w:rsidP="007F21EA">
            <w:pPr>
              <w:tabs>
                <w:tab w:val="clear" w:pos="3825"/>
              </w:tabs>
              <w:overflowPunct/>
              <w:autoSpaceDE/>
              <w:autoSpaceDN/>
              <w:adjustRightInd/>
              <w:spacing w:before="40" w:after="40"/>
              <w:jc w:val="center"/>
              <w:textAlignment w:val="auto"/>
              <w:rPr>
                <w:rFonts w:ascii="Times New Roman" w:hAnsi="Times New Roman"/>
                <w:b/>
                <w:bCs/>
                <w:szCs w:val="22"/>
                <w:lang w:val="sr-Cyrl-CS" w:eastAsia="pt-PT"/>
              </w:rPr>
            </w:pPr>
          </w:p>
        </w:tc>
        <w:tc>
          <w:tcPr>
            <w:tcW w:w="937" w:type="pct"/>
            <w:tcBorders>
              <w:left w:val="single" w:sz="4" w:space="0" w:color="auto"/>
            </w:tcBorders>
            <w:shd w:val="clear" w:color="auto" w:fill="D9D9D9" w:themeFill="background1" w:themeFillShade="D9"/>
            <w:vAlign w:val="center"/>
            <w:hideMark/>
          </w:tcPr>
          <w:p w14:paraId="47FD2261" w14:textId="2EFC11A4" w:rsidR="00C27709" w:rsidRPr="005303F7" w:rsidRDefault="00C27709" w:rsidP="007F21EA">
            <w:pPr>
              <w:tabs>
                <w:tab w:val="clear" w:pos="3825"/>
              </w:tabs>
              <w:overflowPunct/>
              <w:autoSpaceDE/>
              <w:autoSpaceDN/>
              <w:adjustRightInd/>
              <w:spacing w:before="40" w:after="40"/>
              <w:jc w:val="center"/>
              <w:textAlignment w:val="auto"/>
              <w:rPr>
                <w:rFonts w:ascii="Times New Roman" w:hAnsi="Times New Roman"/>
                <w:b/>
                <w:bCs/>
                <w:szCs w:val="22"/>
                <w:lang w:val="sr-Cyrl-CS" w:eastAsia="pt-PT"/>
              </w:rPr>
            </w:pPr>
            <w:r w:rsidRPr="005303F7">
              <w:rPr>
                <w:rFonts w:ascii="Times New Roman" w:hAnsi="Times New Roman"/>
                <w:b/>
                <w:bCs/>
                <w:szCs w:val="22"/>
                <w:lang w:val="sr-Cyrl-CS" w:eastAsia="pt-PT"/>
              </w:rPr>
              <w:t>2020</w:t>
            </w:r>
            <w:r w:rsidR="002D4B0A" w:rsidRPr="005303F7">
              <w:rPr>
                <w:rFonts w:ascii="Times New Roman" w:hAnsi="Times New Roman"/>
                <w:b/>
                <w:bCs/>
                <w:szCs w:val="22"/>
                <w:lang w:val="sr-Cyrl-CS" w:eastAsia="pt-PT"/>
              </w:rPr>
              <w:t>.</w:t>
            </w:r>
          </w:p>
        </w:tc>
        <w:tc>
          <w:tcPr>
            <w:tcW w:w="938" w:type="pct"/>
            <w:shd w:val="clear" w:color="auto" w:fill="D9D9D9" w:themeFill="background1" w:themeFillShade="D9"/>
            <w:vAlign w:val="center"/>
            <w:hideMark/>
          </w:tcPr>
          <w:p w14:paraId="551CB0A3" w14:textId="173D891D" w:rsidR="00C27709" w:rsidRPr="005303F7" w:rsidRDefault="00C27709" w:rsidP="007F21EA">
            <w:pPr>
              <w:tabs>
                <w:tab w:val="clear" w:pos="3825"/>
              </w:tabs>
              <w:overflowPunct/>
              <w:autoSpaceDE/>
              <w:autoSpaceDN/>
              <w:adjustRightInd/>
              <w:spacing w:before="40" w:after="40"/>
              <w:jc w:val="center"/>
              <w:textAlignment w:val="auto"/>
              <w:rPr>
                <w:rFonts w:ascii="Times New Roman" w:hAnsi="Times New Roman"/>
                <w:b/>
                <w:bCs/>
                <w:szCs w:val="22"/>
                <w:lang w:val="sr-Cyrl-CS" w:eastAsia="pt-PT"/>
              </w:rPr>
            </w:pPr>
            <w:r w:rsidRPr="005303F7">
              <w:rPr>
                <w:rFonts w:ascii="Times New Roman" w:hAnsi="Times New Roman"/>
                <w:b/>
                <w:bCs/>
                <w:szCs w:val="22"/>
                <w:lang w:val="sr-Cyrl-CS" w:eastAsia="pt-PT"/>
              </w:rPr>
              <w:t>2025</w:t>
            </w:r>
            <w:r w:rsidR="002D4B0A" w:rsidRPr="005303F7">
              <w:rPr>
                <w:rFonts w:ascii="Times New Roman" w:hAnsi="Times New Roman"/>
                <w:b/>
                <w:bCs/>
                <w:szCs w:val="22"/>
                <w:lang w:val="sr-Cyrl-CS" w:eastAsia="pt-PT"/>
              </w:rPr>
              <w:t>.</w:t>
            </w:r>
          </w:p>
        </w:tc>
        <w:tc>
          <w:tcPr>
            <w:tcW w:w="938" w:type="pct"/>
            <w:shd w:val="clear" w:color="auto" w:fill="D9D9D9" w:themeFill="background1" w:themeFillShade="D9"/>
            <w:vAlign w:val="center"/>
            <w:hideMark/>
          </w:tcPr>
          <w:p w14:paraId="48B14F68" w14:textId="2EC1CA6B" w:rsidR="00C27709" w:rsidRPr="005303F7" w:rsidRDefault="00C27709" w:rsidP="007F21EA">
            <w:pPr>
              <w:tabs>
                <w:tab w:val="clear" w:pos="3825"/>
              </w:tabs>
              <w:overflowPunct/>
              <w:autoSpaceDE/>
              <w:autoSpaceDN/>
              <w:adjustRightInd/>
              <w:spacing w:before="40" w:after="40"/>
              <w:jc w:val="center"/>
              <w:textAlignment w:val="auto"/>
              <w:rPr>
                <w:rFonts w:ascii="Times New Roman" w:hAnsi="Times New Roman"/>
                <w:b/>
                <w:bCs/>
                <w:szCs w:val="22"/>
                <w:lang w:val="sr-Cyrl-CS" w:eastAsia="pt-PT"/>
              </w:rPr>
            </w:pPr>
            <w:r w:rsidRPr="005303F7">
              <w:rPr>
                <w:rFonts w:ascii="Times New Roman" w:hAnsi="Times New Roman"/>
                <w:b/>
                <w:bCs/>
                <w:szCs w:val="22"/>
                <w:lang w:val="sr-Cyrl-CS" w:eastAsia="pt-PT"/>
              </w:rPr>
              <w:t>2030</w:t>
            </w:r>
            <w:r w:rsidR="002D4B0A" w:rsidRPr="005303F7">
              <w:rPr>
                <w:rFonts w:ascii="Times New Roman" w:hAnsi="Times New Roman"/>
                <w:b/>
                <w:bCs/>
                <w:szCs w:val="22"/>
                <w:lang w:val="sr-Cyrl-CS" w:eastAsia="pt-PT"/>
              </w:rPr>
              <w:t>.</w:t>
            </w:r>
          </w:p>
        </w:tc>
        <w:tc>
          <w:tcPr>
            <w:tcW w:w="935" w:type="pct"/>
            <w:shd w:val="clear" w:color="auto" w:fill="D9D9D9" w:themeFill="background1" w:themeFillShade="D9"/>
            <w:vAlign w:val="center"/>
            <w:hideMark/>
          </w:tcPr>
          <w:p w14:paraId="55401BBA" w14:textId="5B7F3D24" w:rsidR="00C27709" w:rsidRPr="005303F7" w:rsidRDefault="00C27709" w:rsidP="007F21EA">
            <w:pPr>
              <w:tabs>
                <w:tab w:val="clear" w:pos="3825"/>
              </w:tabs>
              <w:overflowPunct/>
              <w:autoSpaceDE/>
              <w:autoSpaceDN/>
              <w:adjustRightInd/>
              <w:spacing w:before="40" w:after="40"/>
              <w:jc w:val="center"/>
              <w:textAlignment w:val="auto"/>
              <w:rPr>
                <w:rFonts w:ascii="Times New Roman" w:hAnsi="Times New Roman"/>
                <w:b/>
                <w:bCs/>
                <w:szCs w:val="22"/>
                <w:lang w:val="sr-Cyrl-CS" w:eastAsia="pt-PT"/>
              </w:rPr>
            </w:pPr>
            <w:r w:rsidRPr="005303F7">
              <w:rPr>
                <w:rFonts w:ascii="Times New Roman" w:hAnsi="Times New Roman"/>
                <w:b/>
                <w:bCs/>
                <w:szCs w:val="22"/>
                <w:lang w:val="sr-Cyrl-CS" w:eastAsia="pt-PT"/>
              </w:rPr>
              <w:t>2050</w:t>
            </w:r>
            <w:r w:rsidR="002D4B0A" w:rsidRPr="005303F7">
              <w:rPr>
                <w:rFonts w:ascii="Times New Roman" w:hAnsi="Times New Roman"/>
                <w:b/>
                <w:bCs/>
                <w:szCs w:val="22"/>
                <w:lang w:val="sr-Cyrl-CS" w:eastAsia="pt-PT"/>
              </w:rPr>
              <w:t>.</w:t>
            </w:r>
          </w:p>
        </w:tc>
      </w:tr>
      <w:tr w:rsidR="00C27709" w:rsidRPr="005303F7" w14:paraId="6FBFF085" w14:textId="2FD6AB97" w:rsidTr="00CD7D87">
        <w:trPr>
          <w:trHeight w:val="20"/>
        </w:trPr>
        <w:tc>
          <w:tcPr>
            <w:tcW w:w="1252" w:type="pct"/>
            <w:tcBorders>
              <w:top w:val="single" w:sz="4" w:space="0" w:color="auto"/>
            </w:tcBorders>
            <w:shd w:val="clear" w:color="auto" w:fill="D9D9D9" w:themeFill="background1" w:themeFillShade="D9"/>
            <w:vAlign w:val="center"/>
            <w:hideMark/>
          </w:tcPr>
          <w:p w14:paraId="6D1210C5" w14:textId="6E412642" w:rsidR="00C27709"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szCs w:val="22"/>
                <w:lang w:val="sr-Cyrl-CS" w:eastAsia="pt-PT"/>
              </w:rPr>
            </w:pPr>
            <w:r w:rsidRPr="005303F7">
              <w:rPr>
                <w:rFonts w:ascii="Times New Roman" w:hAnsi="Times New Roman"/>
                <w:b/>
                <w:bCs/>
                <w:szCs w:val="22"/>
                <w:lang w:val="sr-Cyrl-CS" w:eastAsia="pt-PT"/>
              </w:rPr>
              <w:t>Б</w:t>
            </w:r>
            <w:r w:rsidR="00C27709" w:rsidRPr="005303F7">
              <w:rPr>
                <w:rFonts w:ascii="Times New Roman" w:hAnsi="Times New Roman"/>
                <w:b/>
                <w:bCs/>
                <w:szCs w:val="22"/>
                <w:lang w:val="sr-Cyrl-CS" w:eastAsia="pt-PT"/>
              </w:rPr>
              <w:t>2 (</w:t>
            </w:r>
            <w:r w:rsidRPr="005303F7">
              <w:rPr>
                <w:rFonts w:ascii="Times New Roman" w:hAnsi="Times New Roman"/>
                <w:b/>
                <w:bCs/>
                <w:szCs w:val="22"/>
                <w:lang w:val="sr-Cyrl-CS" w:eastAsia="pt-PT"/>
              </w:rPr>
              <w:t>милиона</w:t>
            </w:r>
            <w:r w:rsidR="00E1235B" w:rsidRPr="005303F7">
              <w:rPr>
                <w:rFonts w:ascii="Times New Roman" w:hAnsi="Times New Roman"/>
                <w:b/>
                <w:bCs/>
                <w:szCs w:val="22"/>
                <w:lang w:val="sr-Cyrl-CS" w:eastAsia="pt-PT"/>
              </w:rPr>
              <w:t xml:space="preserve"> </w:t>
            </w:r>
            <w:r w:rsidRPr="005303F7">
              <w:rPr>
                <w:rFonts w:ascii="Times New Roman" w:hAnsi="Times New Roman"/>
                <w:b/>
                <w:bCs/>
                <w:szCs w:val="22"/>
                <w:lang w:val="sr-Cyrl-CS" w:eastAsia="pt-PT"/>
              </w:rPr>
              <w:t>евра</w:t>
            </w:r>
            <w:r w:rsidR="00C27709" w:rsidRPr="005303F7">
              <w:rPr>
                <w:rFonts w:ascii="Times New Roman" w:hAnsi="Times New Roman"/>
                <w:b/>
                <w:bCs/>
                <w:szCs w:val="22"/>
                <w:lang w:val="sr-Cyrl-CS" w:eastAsia="pt-PT"/>
              </w:rPr>
              <w:t>)</w:t>
            </w:r>
          </w:p>
        </w:tc>
        <w:tc>
          <w:tcPr>
            <w:tcW w:w="937" w:type="pct"/>
            <w:shd w:val="clear" w:color="auto" w:fill="auto"/>
            <w:vAlign w:val="center"/>
            <w:hideMark/>
          </w:tcPr>
          <w:p w14:paraId="691A4E0D" w14:textId="1BFBC458" w:rsidR="00C27709" w:rsidRPr="005303F7" w:rsidRDefault="00C27709" w:rsidP="007F21EA">
            <w:pPr>
              <w:tabs>
                <w:tab w:val="clear" w:pos="3825"/>
              </w:tabs>
              <w:overflowPunct/>
              <w:autoSpaceDE/>
              <w:autoSpaceDN/>
              <w:adjustRightInd/>
              <w:spacing w:before="40" w:after="40"/>
              <w:jc w:val="center"/>
              <w:textAlignment w:val="auto"/>
              <w:rPr>
                <w:rFonts w:ascii="Times New Roman" w:hAnsi="Times New Roman"/>
                <w:szCs w:val="22"/>
                <w:lang w:val="sr-Cyrl-CS"/>
              </w:rPr>
            </w:pPr>
            <w:r w:rsidRPr="005303F7">
              <w:rPr>
                <w:rFonts w:ascii="Times New Roman" w:hAnsi="Times New Roman"/>
                <w:szCs w:val="22"/>
                <w:lang w:val="sr-Cyrl-CS"/>
              </w:rPr>
              <w:t>25</w:t>
            </w:r>
            <w:r w:rsidR="005B1A81" w:rsidRPr="005303F7">
              <w:rPr>
                <w:rFonts w:ascii="Times New Roman" w:hAnsi="Times New Roman"/>
                <w:szCs w:val="22"/>
                <w:lang w:val="sr-Cyrl-CS"/>
              </w:rPr>
              <w:t>,</w:t>
            </w:r>
            <w:r w:rsidRPr="005303F7">
              <w:rPr>
                <w:rFonts w:ascii="Times New Roman" w:hAnsi="Times New Roman"/>
                <w:szCs w:val="22"/>
                <w:lang w:val="sr-Cyrl-CS"/>
              </w:rPr>
              <w:t>980</w:t>
            </w:r>
          </w:p>
        </w:tc>
        <w:tc>
          <w:tcPr>
            <w:tcW w:w="938" w:type="pct"/>
            <w:shd w:val="clear" w:color="auto" w:fill="auto"/>
            <w:vAlign w:val="center"/>
            <w:hideMark/>
          </w:tcPr>
          <w:p w14:paraId="3131258F" w14:textId="24A81546" w:rsidR="00C27709" w:rsidRPr="005303F7" w:rsidRDefault="00C27709" w:rsidP="007F21EA">
            <w:pPr>
              <w:tabs>
                <w:tab w:val="clear" w:pos="3825"/>
              </w:tabs>
              <w:overflowPunct/>
              <w:autoSpaceDE/>
              <w:autoSpaceDN/>
              <w:adjustRightInd/>
              <w:spacing w:before="40" w:after="40"/>
              <w:jc w:val="center"/>
              <w:textAlignment w:val="auto"/>
              <w:rPr>
                <w:rFonts w:ascii="Times New Roman" w:hAnsi="Times New Roman"/>
                <w:szCs w:val="22"/>
                <w:lang w:val="sr-Cyrl-CS"/>
              </w:rPr>
            </w:pPr>
            <w:r w:rsidRPr="005303F7">
              <w:rPr>
                <w:rFonts w:ascii="Times New Roman" w:hAnsi="Times New Roman"/>
                <w:szCs w:val="22"/>
                <w:lang w:val="sr-Cyrl-CS"/>
              </w:rPr>
              <w:t>31</w:t>
            </w:r>
            <w:r w:rsidR="005B1A81" w:rsidRPr="005303F7">
              <w:rPr>
                <w:rFonts w:ascii="Times New Roman" w:hAnsi="Times New Roman"/>
                <w:szCs w:val="22"/>
                <w:lang w:val="sr-Cyrl-CS"/>
              </w:rPr>
              <w:t>,</w:t>
            </w:r>
            <w:r w:rsidRPr="005303F7">
              <w:rPr>
                <w:rFonts w:ascii="Times New Roman" w:hAnsi="Times New Roman"/>
                <w:szCs w:val="22"/>
                <w:lang w:val="sr-Cyrl-CS"/>
              </w:rPr>
              <w:t>085</w:t>
            </w:r>
          </w:p>
        </w:tc>
        <w:tc>
          <w:tcPr>
            <w:tcW w:w="938" w:type="pct"/>
            <w:shd w:val="clear" w:color="auto" w:fill="auto"/>
            <w:vAlign w:val="center"/>
            <w:hideMark/>
          </w:tcPr>
          <w:p w14:paraId="457ABAD0" w14:textId="5F44E5D6" w:rsidR="00C27709" w:rsidRPr="005303F7" w:rsidRDefault="00C27709" w:rsidP="007F21EA">
            <w:pPr>
              <w:tabs>
                <w:tab w:val="clear" w:pos="3825"/>
              </w:tabs>
              <w:overflowPunct/>
              <w:autoSpaceDE/>
              <w:autoSpaceDN/>
              <w:adjustRightInd/>
              <w:spacing w:before="40" w:after="40"/>
              <w:jc w:val="center"/>
              <w:textAlignment w:val="auto"/>
              <w:rPr>
                <w:rFonts w:ascii="Times New Roman" w:hAnsi="Times New Roman"/>
                <w:szCs w:val="22"/>
                <w:lang w:val="sr-Cyrl-CS"/>
              </w:rPr>
            </w:pPr>
            <w:r w:rsidRPr="005303F7">
              <w:rPr>
                <w:rFonts w:ascii="Times New Roman" w:hAnsi="Times New Roman"/>
                <w:szCs w:val="22"/>
                <w:lang w:val="sr-Cyrl-CS"/>
              </w:rPr>
              <w:t>36</w:t>
            </w:r>
            <w:r w:rsidR="005B1A81" w:rsidRPr="005303F7">
              <w:rPr>
                <w:rFonts w:ascii="Times New Roman" w:hAnsi="Times New Roman"/>
                <w:szCs w:val="22"/>
                <w:lang w:val="sr-Cyrl-CS"/>
              </w:rPr>
              <w:t>,</w:t>
            </w:r>
            <w:r w:rsidRPr="005303F7">
              <w:rPr>
                <w:rFonts w:ascii="Times New Roman" w:hAnsi="Times New Roman"/>
                <w:szCs w:val="22"/>
                <w:lang w:val="sr-Cyrl-CS"/>
              </w:rPr>
              <w:t>635</w:t>
            </w:r>
          </w:p>
        </w:tc>
        <w:tc>
          <w:tcPr>
            <w:tcW w:w="935" w:type="pct"/>
            <w:shd w:val="clear" w:color="auto" w:fill="auto"/>
            <w:vAlign w:val="center"/>
            <w:hideMark/>
          </w:tcPr>
          <w:p w14:paraId="105D8B91" w14:textId="7132208D" w:rsidR="00C27709" w:rsidRPr="005303F7" w:rsidRDefault="00C27709" w:rsidP="007F21EA">
            <w:pPr>
              <w:tabs>
                <w:tab w:val="clear" w:pos="3825"/>
              </w:tabs>
              <w:overflowPunct/>
              <w:autoSpaceDE/>
              <w:autoSpaceDN/>
              <w:adjustRightInd/>
              <w:spacing w:before="40" w:after="40"/>
              <w:jc w:val="center"/>
              <w:textAlignment w:val="auto"/>
              <w:rPr>
                <w:rFonts w:ascii="Times New Roman" w:hAnsi="Times New Roman"/>
                <w:szCs w:val="22"/>
                <w:lang w:val="sr-Cyrl-CS"/>
              </w:rPr>
            </w:pPr>
            <w:r w:rsidRPr="005303F7">
              <w:rPr>
                <w:rFonts w:ascii="Times New Roman" w:hAnsi="Times New Roman"/>
                <w:szCs w:val="22"/>
                <w:lang w:val="sr-Cyrl-CS"/>
              </w:rPr>
              <w:t>60</w:t>
            </w:r>
            <w:r w:rsidR="005B1A81" w:rsidRPr="005303F7">
              <w:rPr>
                <w:rFonts w:ascii="Times New Roman" w:hAnsi="Times New Roman"/>
                <w:szCs w:val="22"/>
                <w:lang w:val="sr-Cyrl-CS"/>
              </w:rPr>
              <w:t>,</w:t>
            </w:r>
            <w:r w:rsidRPr="005303F7">
              <w:rPr>
                <w:rFonts w:ascii="Times New Roman" w:hAnsi="Times New Roman"/>
                <w:szCs w:val="22"/>
                <w:lang w:val="sr-Cyrl-CS"/>
              </w:rPr>
              <w:t>732</w:t>
            </w:r>
          </w:p>
        </w:tc>
      </w:tr>
      <w:tr w:rsidR="00C27709" w:rsidRPr="005303F7" w14:paraId="78CA7F5F" w14:textId="39FFB1F9" w:rsidTr="00CD7D87">
        <w:trPr>
          <w:trHeight w:val="20"/>
        </w:trPr>
        <w:tc>
          <w:tcPr>
            <w:tcW w:w="1252" w:type="pct"/>
            <w:shd w:val="clear" w:color="auto" w:fill="D9D9D9" w:themeFill="background1" w:themeFillShade="D9"/>
            <w:vAlign w:val="center"/>
            <w:hideMark/>
          </w:tcPr>
          <w:p w14:paraId="317B1D05" w14:textId="5465ACC8" w:rsidR="00C27709"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szCs w:val="22"/>
                <w:lang w:val="sr-Cyrl-CS" w:eastAsia="pt-PT"/>
              </w:rPr>
            </w:pPr>
            <w:r w:rsidRPr="005303F7">
              <w:rPr>
                <w:rFonts w:ascii="Times New Roman" w:hAnsi="Times New Roman"/>
                <w:b/>
                <w:bCs/>
                <w:szCs w:val="22"/>
                <w:lang w:val="sr-Cyrl-CS" w:eastAsia="pt-PT"/>
              </w:rPr>
              <w:t>М</w:t>
            </w:r>
            <w:r w:rsidR="00C27709" w:rsidRPr="005303F7">
              <w:rPr>
                <w:rFonts w:ascii="Times New Roman" w:hAnsi="Times New Roman"/>
                <w:b/>
                <w:bCs/>
                <w:szCs w:val="22"/>
                <w:lang w:val="sr-Cyrl-CS" w:eastAsia="pt-PT"/>
              </w:rPr>
              <w:t>2</w:t>
            </w:r>
          </w:p>
        </w:tc>
        <w:tc>
          <w:tcPr>
            <w:tcW w:w="937" w:type="pct"/>
            <w:shd w:val="clear" w:color="auto" w:fill="auto"/>
            <w:vAlign w:val="center"/>
            <w:hideMark/>
          </w:tcPr>
          <w:p w14:paraId="5B1528A6" w14:textId="57B943F6" w:rsidR="00C27709" w:rsidRPr="005303F7" w:rsidRDefault="00C27709" w:rsidP="007F21EA">
            <w:pPr>
              <w:tabs>
                <w:tab w:val="clear" w:pos="3825"/>
              </w:tabs>
              <w:overflowPunct/>
              <w:autoSpaceDE/>
              <w:autoSpaceDN/>
              <w:adjustRightInd/>
              <w:spacing w:before="40" w:after="40"/>
              <w:jc w:val="center"/>
              <w:textAlignment w:val="auto"/>
              <w:rPr>
                <w:rFonts w:ascii="Times New Roman" w:hAnsi="Times New Roman"/>
                <w:szCs w:val="22"/>
                <w:lang w:val="sr-Cyrl-CS"/>
              </w:rPr>
            </w:pPr>
            <w:r w:rsidRPr="005303F7">
              <w:rPr>
                <w:rFonts w:ascii="Times New Roman" w:hAnsi="Times New Roman"/>
                <w:szCs w:val="22"/>
                <w:lang w:val="sr-Cyrl-CS"/>
              </w:rPr>
              <w:t>0,0%</w:t>
            </w:r>
          </w:p>
        </w:tc>
        <w:tc>
          <w:tcPr>
            <w:tcW w:w="938" w:type="pct"/>
            <w:shd w:val="clear" w:color="auto" w:fill="auto"/>
            <w:vAlign w:val="center"/>
            <w:hideMark/>
          </w:tcPr>
          <w:p w14:paraId="55C54E5B" w14:textId="79711CBD" w:rsidR="00C27709" w:rsidRPr="005303F7" w:rsidRDefault="00C27709" w:rsidP="007F21EA">
            <w:pPr>
              <w:tabs>
                <w:tab w:val="clear" w:pos="3825"/>
              </w:tabs>
              <w:overflowPunct/>
              <w:autoSpaceDE/>
              <w:autoSpaceDN/>
              <w:adjustRightInd/>
              <w:spacing w:before="40" w:after="40"/>
              <w:jc w:val="center"/>
              <w:textAlignment w:val="auto"/>
              <w:rPr>
                <w:rFonts w:ascii="Times New Roman" w:hAnsi="Times New Roman"/>
                <w:szCs w:val="22"/>
                <w:lang w:val="sr-Cyrl-CS"/>
              </w:rPr>
            </w:pPr>
            <w:r w:rsidRPr="005303F7">
              <w:rPr>
                <w:rFonts w:ascii="Times New Roman" w:hAnsi="Times New Roman"/>
                <w:szCs w:val="22"/>
                <w:lang w:val="sr-Cyrl-CS"/>
              </w:rPr>
              <w:t xml:space="preserve"> -2,3%</w:t>
            </w:r>
          </w:p>
        </w:tc>
        <w:tc>
          <w:tcPr>
            <w:tcW w:w="938" w:type="pct"/>
            <w:shd w:val="clear" w:color="auto" w:fill="auto"/>
            <w:vAlign w:val="center"/>
            <w:hideMark/>
          </w:tcPr>
          <w:p w14:paraId="0D5BE209" w14:textId="03687FD7" w:rsidR="00C27709" w:rsidRPr="005303F7" w:rsidRDefault="00C27709" w:rsidP="007F21EA">
            <w:pPr>
              <w:tabs>
                <w:tab w:val="clear" w:pos="3825"/>
              </w:tabs>
              <w:overflowPunct/>
              <w:autoSpaceDE/>
              <w:autoSpaceDN/>
              <w:adjustRightInd/>
              <w:spacing w:before="40" w:after="40"/>
              <w:jc w:val="center"/>
              <w:textAlignment w:val="auto"/>
              <w:rPr>
                <w:rFonts w:ascii="Times New Roman" w:hAnsi="Times New Roman"/>
                <w:szCs w:val="22"/>
                <w:lang w:val="sr-Cyrl-CS"/>
              </w:rPr>
            </w:pPr>
            <w:r w:rsidRPr="005303F7">
              <w:rPr>
                <w:rFonts w:ascii="Times New Roman" w:hAnsi="Times New Roman"/>
                <w:szCs w:val="22"/>
                <w:lang w:val="sr-Cyrl-CS"/>
              </w:rPr>
              <w:t xml:space="preserve"> -2,5%</w:t>
            </w:r>
          </w:p>
        </w:tc>
        <w:tc>
          <w:tcPr>
            <w:tcW w:w="935" w:type="pct"/>
            <w:shd w:val="clear" w:color="auto" w:fill="auto"/>
            <w:vAlign w:val="center"/>
            <w:hideMark/>
          </w:tcPr>
          <w:p w14:paraId="18FB391B" w14:textId="5AFD1446" w:rsidR="00C27709" w:rsidRPr="005303F7" w:rsidRDefault="00C27709" w:rsidP="007F21EA">
            <w:pPr>
              <w:tabs>
                <w:tab w:val="clear" w:pos="3825"/>
              </w:tabs>
              <w:overflowPunct/>
              <w:autoSpaceDE/>
              <w:autoSpaceDN/>
              <w:adjustRightInd/>
              <w:spacing w:before="40" w:after="40"/>
              <w:jc w:val="center"/>
              <w:textAlignment w:val="auto"/>
              <w:rPr>
                <w:rFonts w:ascii="Times New Roman" w:hAnsi="Times New Roman"/>
                <w:szCs w:val="22"/>
                <w:lang w:val="sr-Cyrl-CS"/>
              </w:rPr>
            </w:pPr>
            <w:r w:rsidRPr="005303F7">
              <w:rPr>
                <w:rFonts w:ascii="Times New Roman" w:hAnsi="Times New Roman"/>
                <w:szCs w:val="22"/>
                <w:lang w:val="sr-Cyrl-CS"/>
              </w:rPr>
              <w:t xml:space="preserve"> -5,0%</w:t>
            </w:r>
          </w:p>
        </w:tc>
      </w:tr>
      <w:tr w:rsidR="00C27709" w:rsidRPr="005303F7" w14:paraId="414178F9" w14:textId="5859B0C8" w:rsidTr="00CD7D87">
        <w:trPr>
          <w:trHeight w:val="20"/>
        </w:trPr>
        <w:tc>
          <w:tcPr>
            <w:tcW w:w="1252" w:type="pct"/>
            <w:shd w:val="clear" w:color="auto" w:fill="D9D9D9" w:themeFill="background1" w:themeFillShade="D9"/>
            <w:vAlign w:val="center"/>
          </w:tcPr>
          <w:p w14:paraId="0B85530E" w14:textId="5BA269C5" w:rsidR="00C27709"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szCs w:val="22"/>
                <w:lang w:val="sr-Cyrl-CS" w:eastAsia="pt-PT"/>
              </w:rPr>
            </w:pPr>
            <w:r w:rsidRPr="005303F7">
              <w:rPr>
                <w:rFonts w:ascii="Times New Roman" w:hAnsi="Times New Roman"/>
                <w:b/>
                <w:bCs/>
                <w:szCs w:val="22"/>
                <w:lang w:val="sr-Cyrl-CS" w:eastAsia="pt-PT"/>
              </w:rPr>
              <w:t>М</w:t>
            </w:r>
            <w:r w:rsidR="00C27709" w:rsidRPr="005303F7">
              <w:rPr>
                <w:rFonts w:ascii="Times New Roman" w:hAnsi="Times New Roman"/>
                <w:b/>
                <w:bCs/>
                <w:szCs w:val="22"/>
                <w:lang w:val="sr-Cyrl-CS" w:eastAsia="pt-PT"/>
              </w:rPr>
              <w:t>3</w:t>
            </w:r>
          </w:p>
        </w:tc>
        <w:tc>
          <w:tcPr>
            <w:tcW w:w="937" w:type="pct"/>
            <w:shd w:val="clear" w:color="auto" w:fill="auto"/>
            <w:vAlign w:val="center"/>
          </w:tcPr>
          <w:p w14:paraId="14CFF729" w14:textId="4BF9BBEC" w:rsidR="00C27709" w:rsidRPr="005303F7" w:rsidRDefault="00C27709" w:rsidP="007F21EA">
            <w:pPr>
              <w:tabs>
                <w:tab w:val="clear" w:pos="3825"/>
              </w:tabs>
              <w:overflowPunct/>
              <w:autoSpaceDE/>
              <w:autoSpaceDN/>
              <w:adjustRightInd/>
              <w:spacing w:before="40" w:after="40"/>
              <w:jc w:val="center"/>
              <w:textAlignment w:val="auto"/>
              <w:rPr>
                <w:rFonts w:ascii="Times New Roman" w:hAnsi="Times New Roman"/>
                <w:szCs w:val="22"/>
                <w:lang w:val="sr-Cyrl-CS"/>
              </w:rPr>
            </w:pPr>
          </w:p>
        </w:tc>
        <w:tc>
          <w:tcPr>
            <w:tcW w:w="938" w:type="pct"/>
            <w:shd w:val="clear" w:color="auto" w:fill="auto"/>
            <w:vAlign w:val="center"/>
          </w:tcPr>
          <w:p w14:paraId="0949A6C8" w14:textId="46AB1963" w:rsidR="00C27709" w:rsidRPr="005303F7" w:rsidRDefault="00C27709" w:rsidP="007F21EA">
            <w:pPr>
              <w:tabs>
                <w:tab w:val="clear" w:pos="3825"/>
              </w:tabs>
              <w:overflowPunct/>
              <w:autoSpaceDE/>
              <w:autoSpaceDN/>
              <w:adjustRightInd/>
              <w:spacing w:before="40" w:after="40"/>
              <w:jc w:val="center"/>
              <w:textAlignment w:val="auto"/>
              <w:rPr>
                <w:rFonts w:ascii="Times New Roman" w:hAnsi="Times New Roman"/>
                <w:szCs w:val="22"/>
                <w:lang w:val="sr-Cyrl-CS"/>
              </w:rPr>
            </w:pPr>
          </w:p>
        </w:tc>
        <w:tc>
          <w:tcPr>
            <w:tcW w:w="938" w:type="pct"/>
            <w:shd w:val="clear" w:color="auto" w:fill="auto"/>
            <w:vAlign w:val="center"/>
          </w:tcPr>
          <w:p w14:paraId="698FF3B0" w14:textId="2CF9BDD6" w:rsidR="00C27709" w:rsidRPr="005303F7" w:rsidRDefault="00C27709" w:rsidP="007F21EA">
            <w:pPr>
              <w:tabs>
                <w:tab w:val="clear" w:pos="3825"/>
              </w:tabs>
              <w:overflowPunct/>
              <w:autoSpaceDE/>
              <w:autoSpaceDN/>
              <w:adjustRightInd/>
              <w:spacing w:before="40" w:after="40"/>
              <w:jc w:val="center"/>
              <w:textAlignment w:val="auto"/>
              <w:rPr>
                <w:rFonts w:ascii="Times New Roman" w:hAnsi="Times New Roman"/>
                <w:szCs w:val="22"/>
                <w:lang w:val="sr-Cyrl-CS"/>
              </w:rPr>
            </w:pPr>
          </w:p>
        </w:tc>
        <w:tc>
          <w:tcPr>
            <w:tcW w:w="935" w:type="pct"/>
            <w:shd w:val="clear" w:color="auto" w:fill="auto"/>
            <w:vAlign w:val="center"/>
          </w:tcPr>
          <w:p w14:paraId="52848725" w14:textId="03F4908A" w:rsidR="00C27709" w:rsidRPr="005303F7" w:rsidRDefault="00C27709" w:rsidP="007F21EA">
            <w:pPr>
              <w:tabs>
                <w:tab w:val="clear" w:pos="3825"/>
              </w:tabs>
              <w:overflowPunct/>
              <w:autoSpaceDE/>
              <w:autoSpaceDN/>
              <w:adjustRightInd/>
              <w:spacing w:before="40" w:after="40"/>
              <w:jc w:val="center"/>
              <w:textAlignment w:val="auto"/>
              <w:rPr>
                <w:rFonts w:ascii="Times New Roman" w:hAnsi="Times New Roman"/>
                <w:szCs w:val="22"/>
                <w:lang w:val="sr-Cyrl-CS"/>
              </w:rPr>
            </w:pPr>
            <w:r w:rsidRPr="005303F7">
              <w:rPr>
                <w:rFonts w:ascii="Times New Roman" w:hAnsi="Times New Roman"/>
                <w:szCs w:val="22"/>
                <w:lang w:val="sr-Cyrl-CS"/>
              </w:rPr>
              <w:t>-5,0%</w:t>
            </w:r>
          </w:p>
        </w:tc>
      </w:tr>
      <w:tr w:rsidR="00C27709" w:rsidRPr="005303F7" w14:paraId="31409132" w14:textId="790BDEC7" w:rsidTr="00CD7D87">
        <w:trPr>
          <w:trHeight w:val="20"/>
        </w:trPr>
        <w:tc>
          <w:tcPr>
            <w:tcW w:w="1252" w:type="pct"/>
            <w:shd w:val="clear" w:color="auto" w:fill="D9D9D9" w:themeFill="background1" w:themeFillShade="D9"/>
            <w:vAlign w:val="center"/>
          </w:tcPr>
          <w:p w14:paraId="07CABCD4" w14:textId="00C080BD" w:rsidR="00C27709"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szCs w:val="22"/>
                <w:lang w:val="sr-Cyrl-CS" w:eastAsia="pt-PT"/>
              </w:rPr>
            </w:pPr>
            <w:r w:rsidRPr="005303F7">
              <w:rPr>
                <w:rFonts w:ascii="Times New Roman" w:hAnsi="Times New Roman"/>
                <w:b/>
                <w:bCs/>
                <w:szCs w:val="22"/>
                <w:lang w:val="sr-Cyrl-CS" w:eastAsia="pt-PT"/>
              </w:rPr>
              <w:t>М</w:t>
            </w:r>
            <w:r w:rsidR="00C27709" w:rsidRPr="005303F7">
              <w:rPr>
                <w:rFonts w:ascii="Times New Roman" w:hAnsi="Times New Roman"/>
                <w:b/>
                <w:bCs/>
                <w:szCs w:val="22"/>
                <w:lang w:val="sr-Cyrl-CS" w:eastAsia="pt-PT"/>
              </w:rPr>
              <w:t>4</w:t>
            </w:r>
          </w:p>
        </w:tc>
        <w:tc>
          <w:tcPr>
            <w:tcW w:w="937" w:type="pct"/>
            <w:shd w:val="clear" w:color="auto" w:fill="auto"/>
            <w:vAlign w:val="center"/>
          </w:tcPr>
          <w:p w14:paraId="07BAD8BA" w14:textId="3EBE9F90" w:rsidR="00C27709" w:rsidRPr="005303F7" w:rsidRDefault="00C27709" w:rsidP="007F21EA">
            <w:pPr>
              <w:tabs>
                <w:tab w:val="clear" w:pos="3825"/>
              </w:tabs>
              <w:overflowPunct/>
              <w:autoSpaceDE/>
              <w:autoSpaceDN/>
              <w:adjustRightInd/>
              <w:spacing w:before="40" w:after="40"/>
              <w:jc w:val="center"/>
              <w:textAlignment w:val="auto"/>
              <w:rPr>
                <w:rFonts w:ascii="Times New Roman" w:hAnsi="Times New Roman"/>
                <w:szCs w:val="22"/>
                <w:lang w:val="sr-Cyrl-CS"/>
              </w:rPr>
            </w:pPr>
          </w:p>
        </w:tc>
        <w:tc>
          <w:tcPr>
            <w:tcW w:w="938" w:type="pct"/>
            <w:shd w:val="clear" w:color="auto" w:fill="auto"/>
            <w:vAlign w:val="center"/>
          </w:tcPr>
          <w:p w14:paraId="26190487" w14:textId="31FC216B" w:rsidR="00C27709" w:rsidRPr="005303F7" w:rsidRDefault="00C27709" w:rsidP="007F21EA">
            <w:pPr>
              <w:tabs>
                <w:tab w:val="clear" w:pos="3825"/>
              </w:tabs>
              <w:overflowPunct/>
              <w:autoSpaceDE/>
              <w:autoSpaceDN/>
              <w:adjustRightInd/>
              <w:spacing w:before="40" w:after="40"/>
              <w:jc w:val="center"/>
              <w:textAlignment w:val="auto"/>
              <w:rPr>
                <w:rFonts w:ascii="Times New Roman" w:hAnsi="Times New Roman"/>
                <w:szCs w:val="22"/>
                <w:lang w:val="sr-Cyrl-CS"/>
              </w:rPr>
            </w:pPr>
          </w:p>
        </w:tc>
        <w:tc>
          <w:tcPr>
            <w:tcW w:w="938" w:type="pct"/>
            <w:shd w:val="clear" w:color="auto" w:fill="auto"/>
            <w:vAlign w:val="center"/>
          </w:tcPr>
          <w:p w14:paraId="28CF8849" w14:textId="309AD200" w:rsidR="00C27709" w:rsidRPr="005303F7" w:rsidRDefault="00C27709" w:rsidP="007F21EA">
            <w:pPr>
              <w:tabs>
                <w:tab w:val="clear" w:pos="3825"/>
              </w:tabs>
              <w:overflowPunct/>
              <w:autoSpaceDE/>
              <w:autoSpaceDN/>
              <w:adjustRightInd/>
              <w:spacing w:before="40" w:after="40"/>
              <w:jc w:val="center"/>
              <w:textAlignment w:val="auto"/>
              <w:rPr>
                <w:rFonts w:ascii="Times New Roman" w:hAnsi="Times New Roman"/>
                <w:szCs w:val="22"/>
                <w:lang w:val="sr-Cyrl-CS"/>
              </w:rPr>
            </w:pPr>
          </w:p>
        </w:tc>
        <w:tc>
          <w:tcPr>
            <w:tcW w:w="935" w:type="pct"/>
            <w:shd w:val="clear" w:color="auto" w:fill="auto"/>
            <w:vAlign w:val="center"/>
          </w:tcPr>
          <w:p w14:paraId="3CAC18CF" w14:textId="3E771275" w:rsidR="00C27709" w:rsidRPr="005303F7" w:rsidRDefault="00C27709" w:rsidP="007F21EA">
            <w:pPr>
              <w:tabs>
                <w:tab w:val="clear" w:pos="3825"/>
              </w:tabs>
              <w:overflowPunct/>
              <w:autoSpaceDE/>
              <w:autoSpaceDN/>
              <w:adjustRightInd/>
              <w:spacing w:before="40" w:after="40"/>
              <w:jc w:val="center"/>
              <w:textAlignment w:val="auto"/>
              <w:rPr>
                <w:rFonts w:ascii="Times New Roman" w:hAnsi="Times New Roman"/>
                <w:szCs w:val="22"/>
                <w:lang w:val="sr-Cyrl-CS"/>
              </w:rPr>
            </w:pPr>
            <w:r w:rsidRPr="005303F7">
              <w:rPr>
                <w:rFonts w:ascii="Times New Roman" w:hAnsi="Times New Roman"/>
                <w:szCs w:val="22"/>
                <w:lang w:val="sr-Cyrl-CS"/>
              </w:rPr>
              <w:t>-5,4%</w:t>
            </w:r>
          </w:p>
        </w:tc>
      </w:tr>
    </w:tbl>
    <w:p w14:paraId="4316D1F0" w14:textId="0F3FB5E1" w:rsidR="00C67735" w:rsidRPr="005303F7" w:rsidRDefault="00BF65FC" w:rsidP="00D93231">
      <w:pPr>
        <w:pStyle w:val="Heading2"/>
        <w:numPr>
          <w:ilvl w:val="2"/>
          <w:numId w:val="40"/>
        </w:numPr>
        <w:tabs>
          <w:tab w:val="clear" w:pos="3825"/>
          <w:tab w:val="left" w:pos="1134"/>
        </w:tabs>
        <w:rPr>
          <w:rFonts w:ascii="Times New Roman" w:hAnsi="Times New Roman" w:cs="Times New Roman"/>
          <w:szCs w:val="22"/>
          <w:lang w:val="sr-Cyrl-CS"/>
        </w:rPr>
      </w:pPr>
      <w:bookmarkStart w:id="268" w:name="_Toc12858075"/>
      <w:bookmarkStart w:id="269" w:name="_Toc12880406"/>
      <w:bookmarkStart w:id="270" w:name="_Toc13088752"/>
      <w:bookmarkStart w:id="271" w:name="_Toc13089697"/>
      <w:bookmarkStart w:id="272" w:name="_Toc12858076"/>
      <w:bookmarkStart w:id="273" w:name="_Toc12880407"/>
      <w:bookmarkStart w:id="274" w:name="_Toc13088753"/>
      <w:bookmarkStart w:id="275" w:name="_Toc13089698"/>
      <w:bookmarkStart w:id="276" w:name="_Toc12858077"/>
      <w:bookmarkStart w:id="277" w:name="_Toc12880408"/>
      <w:bookmarkStart w:id="278" w:name="_Toc13088754"/>
      <w:bookmarkStart w:id="279" w:name="_Toc13089699"/>
      <w:bookmarkStart w:id="280" w:name="_Toc12858078"/>
      <w:bookmarkStart w:id="281" w:name="_Toc12880409"/>
      <w:bookmarkStart w:id="282" w:name="_Toc13088755"/>
      <w:bookmarkStart w:id="283" w:name="_Toc13089700"/>
      <w:bookmarkStart w:id="284" w:name="_Toc12858079"/>
      <w:bookmarkStart w:id="285" w:name="_Toc12880410"/>
      <w:bookmarkStart w:id="286" w:name="_Toc13088756"/>
      <w:bookmarkStart w:id="287" w:name="_Toc13089701"/>
      <w:bookmarkStart w:id="288" w:name="_Toc12858080"/>
      <w:bookmarkStart w:id="289" w:name="_Toc12880411"/>
      <w:bookmarkStart w:id="290" w:name="_Toc13088757"/>
      <w:bookmarkStart w:id="291" w:name="_Toc13089702"/>
      <w:bookmarkStart w:id="292" w:name="_Toc12858081"/>
      <w:bookmarkStart w:id="293" w:name="_Toc12880412"/>
      <w:bookmarkStart w:id="294" w:name="_Toc13088758"/>
      <w:bookmarkStart w:id="295" w:name="_Toc13089703"/>
      <w:bookmarkStart w:id="296" w:name="_Toc12858087"/>
      <w:bookmarkStart w:id="297" w:name="_Toc12880418"/>
      <w:bookmarkStart w:id="298" w:name="_Toc13088764"/>
      <w:bookmarkStart w:id="299" w:name="_Toc13089709"/>
      <w:bookmarkStart w:id="300" w:name="_Toc12858129"/>
      <w:bookmarkStart w:id="301" w:name="_Toc12880460"/>
      <w:bookmarkStart w:id="302" w:name="_Toc13088806"/>
      <w:bookmarkStart w:id="303" w:name="_Toc13089751"/>
      <w:bookmarkStart w:id="304" w:name="_Toc12858130"/>
      <w:bookmarkStart w:id="305" w:name="_Toc12880461"/>
      <w:bookmarkStart w:id="306" w:name="_Toc13088807"/>
      <w:bookmarkStart w:id="307" w:name="_Toc13089752"/>
      <w:bookmarkStart w:id="308" w:name="_Toc26686110"/>
      <w:bookmarkEnd w:id="263"/>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5303F7">
        <w:rPr>
          <w:rFonts w:ascii="Times New Roman" w:hAnsi="Times New Roman" w:cs="Times New Roman"/>
          <w:szCs w:val="22"/>
          <w:lang w:val="sr-Cyrl-CS"/>
        </w:rPr>
        <w:t>Утицаји</w:t>
      </w:r>
      <w:r w:rsidR="00502CB3"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на</w:t>
      </w:r>
      <w:r w:rsidR="00502CB3"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животну</w:t>
      </w:r>
      <w:r w:rsidR="00502CB3"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средин</w:t>
      </w:r>
      <w:bookmarkEnd w:id="308"/>
      <w:r w:rsidRPr="005303F7">
        <w:rPr>
          <w:rFonts w:ascii="Times New Roman" w:hAnsi="Times New Roman" w:cs="Times New Roman"/>
          <w:szCs w:val="22"/>
          <w:lang w:val="sr-Cyrl-CS"/>
        </w:rPr>
        <w:t>у</w:t>
      </w:r>
    </w:p>
    <w:p w14:paraId="6C4C5394" w14:textId="4D1325DA" w:rsidR="00D67A20" w:rsidRPr="005303F7" w:rsidRDefault="00DA7CD2" w:rsidP="000652BF">
      <w:pPr>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Утицаји</w:t>
      </w:r>
      <w:r w:rsidR="00D67A20" w:rsidRPr="005303F7">
        <w:rPr>
          <w:rFonts w:ascii="Times New Roman" w:hAnsi="Times New Roman"/>
          <w:sz w:val="24"/>
          <w:lang w:val="sr-Cyrl-CS"/>
        </w:rPr>
        <w:t xml:space="preserve"> </w:t>
      </w:r>
      <w:r w:rsidR="00BF65FC" w:rsidRPr="005303F7">
        <w:rPr>
          <w:rFonts w:ascii="Times New Roman" w:hAnsi="Times New Roman"/>
          <w:sz w:val="24"/>
          <w:lang w:val="sr-Cyrl-CS"/>
        </w:rPr>
        <w:t>мера</w:t>
      </w:r>
      <w:r w:rsidR="00D67A20" w:rsidRPr="005303F7">
        <w:rPr>
          <w:rFonts w:ascii="Times New Roman" w:hAnsi="Times New Roman"/>
          <w:sz w:val="24"/>
          <w:lang w:val="sr-Cyrl-CS"/>
        </w:rPr>
        <w:t xml:space="preserve"> </w:t>
      </w:r>
      <w:r w:rsidR="00BF65FC" w:rsidRPr="005303F7">
        <w:rPr>
          <w:rFonts w:ascii="Times New Roman" w:hAnsi="Times New Roman"/>
          <w:sz w:val="24"/>
          <w:lang w:val="sr-Cyrl-CS"/>
        </w:rPr>
        <w:t>ублажавања</w:t>
      </w:r>
      <w:r w:rsidR="003C4F92"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3C4F92" w:rsidRPr="005303F7">
        <w:rPr>
          <w:rFonts w:ascii="Times New Roman" w:hAnsi="Times New Roman"/>
          <w:sz w:val="24"/>
          <w:lang w:val="sr-Cyrl-CS"/>
        </w:rPr>
        <w:t xml:space="preserve"> </w:t>
      </w:r>
      <w:r w:rsidR="00BF65FC" w:rsidRPr="005303F7">
        <w:rPr>
          <w:rFonts w:ascii="Times New Roman" w:hAnsi="Times New Roman"/>
          <w:sz w:val="24"/>
          <w:lang w:val="sr-Cyrl-CS"/>
        </w:rPr>
        <w:t>животну</w:t>
      </w:r>
      <w:r w:rsidR="003C4F92" w:rsidRPr="005303F7">
        <w:rPr>
          <w:rFonts w:ascii="Times New Roman" w:hAnsi="Times New Roman"/>
          <w:sz w:val="24"/>
          <w:lang w:val="sr-Cyrl-CS"/>
        </w:rPr>
        <w:t xml:space="preserve"> </w:t>
      </w:r>
      <w:r w:rsidR="00BF65FC" w:rsidRPr="005303F7">
        <w:rPr>
          <w:rFonts w:ascii="Times New Roman" w:hAnsi="Times New Roman"/>
          <w:sz w:val="24"/>
          <w:lang w:val="sr-Cyrl-CS"/>
        </w:rPr>
        <w:t>средину</w:t>
      </w:r>
      <w:r w:rsidR="003C4F92"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3C4F92" w:rsidRPr="005303F7">
        <w:rPr>
          <w:rFonts w:ascii="Times New Roman" w:hAnsi="Times New Roman"/>
          <w:sz w:val="24"/>
          <w:lang w:val="sr-Cyrl-CS"/>
        </w:rPr>
        <w:t xml:space="preserve"> </w:t>
      </w:r>
      <w:r w:rsidR="00BF65FC" w:rsidRPr="005303F7">
        <w:rPr>
          <w:rFonts w:ascii="Times New Roman" w:hAnsi="Times New Roman"/>
          <w:sz w:val="24"/>
          <w:lang w:val="sr-Cyrl-CS"/>
        </w:rPr>
        <w:t>могу</w:t>
      </w:r>
      <w:r w:rsidR="003C4F92" w:rsidRPr="005303F7">
        <w:rPr>
          <w:rFonts w:ascii="Times New Roman" w:hAnsi="Times New Roman"/>
          <w:sz w:val="24"/>
          <w:lang w:val="sr-Cyrl-CS"/>
        </w:rPr>
        <w:t xml:space="preserve"> </w:t>
      </w:r>
      <w:r w:rsidR="00BF65FC" w:rsidRPr="005303F7">
        <w:rPr>
          <w:rFonts w:ascii="Times New Roman" w:hAnsi="Times New Roman"/>
          <w:sz w:val="24"/>
          <w:lang w:val="sr-Cyrl-CS"/>
        </w:rPr>
        <w:t>представити</w:t>
      </w:r>
      <w:r w:rsidR="003C4F92" w:rsidRPr="005303F7">
        <w:rPr>
          <w:rFonts w:ascii="Times New Roman" w:hAnsi="Times New Roman"/>
          <w:sz w:val="24"/>
          <w:lang w:val="sr-Cyrl-CS"/>
        </w:rPr>
        <w:t xml:space="preserve"> </w:t>
      </w:r>
      <w:r w:rsidR="00BF65FC" w:rsidRPr="005303F7">
        <w:rPr>
          <w:rFonts w:ascii="Times New Roman" w:hAnsi="Times New Roman"/>
          <w:sz w:val="24"/>
          <w:lang w:val="sr-Cyrl-CS"/>
        </w:rPr>
        <w:t>кроз</w:t>
      </w:r>
      <w:r w:rsidR="003C4F92" w:rsidRPr="005303F7">
        <w:rPr>
          <w:rFonts w:ascii="Times New Roman" w:hAnsi="Times New Roman"/>
          <w:sz w:val="24"/>
          <w:lang w:val="sr-Cyrl-CS"/>
        </w:rPr>
        <w:t xml:space="preserve"> </w:t>
      </w:r>
      <w:r w:rsidR="00BF65FC" w:rsidRPr="005303F7">
        <w:rPr>
          <w:rFonts w:ascii="Times New Roman" w:hAnsi="Times New Roman"/>
          <w:sz w:val="24"/>
          <w:lang w:val="sr-Cyrl-CS"/>
        </w:rPr>
        <w:t>утицаје</w:t>
      </w:r>
      <w:r w:rsidR="003C4F92"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3C4F92" w:rsidRPr="005303F7">
        <w:rPr>
          <w:rFonts w:ascii="Times New Roman" w:hAnsi="Times New Roman"/>
          <w:sz w:val="24"/>
          <w:lang w:val="sr-Cyrl-CS"/>
        </w:rPr>
        <w:t>:</w:t>
      </w:r>
    </w:p>
    <w:p w14:paraId="638D5C94" w14:textId="1542BD93" w:rsidR="00C67735" w:rsidRPr="005303F7" w:rsidRDefault="003E4664" w:rsidP="000652BF">
      <w:pPr>
        <w:rPr>
          <w:rFonts w:ascii="Times New Roman" w:hAnsi="Times New Roman"/>
          <w:b/>
          <w:i/>
          <w:sz w:val="24"/>
          <w:lang w:val="sr-Cyrl-CS" w:eastAsia="en-US"/>
        </w:rPr>
      </w:pPr>
      <w:r w:rsidRPr="005303F7">
        <w:rPr>
          <w:rFonts w:ascii="Times New Roman" w:hAnsi="Times New Roman"/>
          <w:b/>
          <w:i/>
          <w:sz w:val="24"/>
          <w:lang w:val="sr-Cyrl-CS" w:eastAsia="en-US"/>
        </w:rPr>
        <w:t xml:space="preserve">1) </w:t>
      </w:r>
      <w:r w:rsidR="00BF65FC" w:rsidRPr="005303F7">
        <w:rPr>
          <w:rFonts w:ascii="Times New Roman" w:hAnsi="Times New Roman"/>
          <w:b/>
          <w:i/>
          <w:sz w:val="24"/>
          <w:lang w:val="sr-Cyrl-CS"/>
        </w:rPr>
        <w:t>Емисије</w:t>
      </w:r>
      <w:r w:rsidR="00C67735" w:rsidRPr="005303F7">
        <w:rPr>
          <w:rFonts w:ascii="Times New Roman" w:hAnsi="Times New Roman"/>
          <w:b/>
          <w:i/>
          <w:sz w:val="24"/>
          <w:lang w:val="sr-Cyrl-CS"/>
        </w:rPr>
        <w:t xml:space="preserve"> </w:t>
      </w:r>
      <w:r w:rsidR="00BF65FC" w:rsidRPr="005303F7">
        <w:rPr>
          <w:rFonts w:ascii="Times New Roman" w:hAnsi="Times New Roman"/>
          <w:b/>
          <w:i/>
          <w:sz w:val="24"/>
          <w:lang w:val="sr-Cyrl-CS"/>
        </w:rPr>
        <w:t>PМ</w:t>
      </w:r>
      <w:r w:rsidR="00C67735" w:rsidRPr="005303F7">
        <w:rPr>
          <w:rFonts w:ascii="Times New Roman" w:hAnsi="Times New Roman"/>
          <w:b/>
          <w:i/>
          <w:sz w:val="24"/>
          <w:vertAlign w:val="subscript"/>
          <w:lang w:val="sr-Cyrl-CS"/>
        </w:rPr>
        <w:t>2.5</w:t>
      </w:r>
    </w:p>
    <w:p w14:paraId="7051051B" w14:textId="29445C81" w:rsidR="00067FC0" w:rsidRPr="005303F7" w:rsidRDefault="00DA7CD2" w:rsidP="00353B06">
      <w:pPr>
        <w:spacing w:before="0"/>
        <w:rPr>
          <w:rFonts w:ascii="Times New Roman" w:hAnsi="Times New Roman"/>
          <w:sz w:val="24"/>
          <w:lang w:val="sr-Cyrl-CS" w:eastAsia="en-US"/>
        </w:rPr>
      </w:pPr>
      <w:r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Најве</w:t>
      </w:r>
      <w:r w:rsidR="00016298" w:rsidRPr="005303F7">
        <w:rPr>
          <w:rFonts w:ascii="Times New Roman" w:hAnsi="Times New Roman"/>
          <w:sz w:val="24"/>
          <w:lang w:val="sr-Cyrl-CS" w:eastAsia="en-US"/>
        </w:rPr>
        <w:t>ћ</w:t>
      </w:r>
      <w:r w:rsidR="00BF65FC" w:rsidRPr="005303F7">
        <w:rPr>
          <w:rFonts w:ascii="Times New Roman" w:hAnsi="Times New Roman"/>
          <w:sz w:val="24"/>
          <w:lang w:val="sr-Cyrl-CS" w:eastAsia="en-US"/>
        </w:rPr>
        <w:t>и</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негативни</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утицаји</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на</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климатске</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промене</w:t>
      </w:r>
      <w:r w:rsidR="004D12E5" w:rsidRPr="005303F7">
        <w:rPr>
          <w:rFonts w:ascii="Times New Roman" w:hAnsi="Times New Roman"/>
          <w:sz w:val="24"/>
          <w:lang w:val="sr-Cyrl-CS" w:eastAsia="en-US"/>
        </w:rPr>
        <w:t xml:space="preserve"> у </w:t>
      </w:r>
      <w:r w:rsidR="00D73AAB" w:rsidRPr="005303F7">
        <w:rPr>
          <w:rFonts w:ascii="Times New Roman" w:hAnsi="Times New Roman"/>
          <w:sz w:val="24"/>
          <w:lang w:val="sr-Cyrl-CS" w:eastAsia="en-US"/>
        </w:rPr>
        <w:t>Републици Србији</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настају</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сагоревањем</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чврстих</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и</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течних</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горива</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за</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производњу</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електричне</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енергије</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грејање</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дома</w:t>
      </w:r>
      <w:r w:rsidR="00016298" w:rsidRPr="005303F7">
        <w:rPr>
          <w:rFonts w:ascii="Times New Roman" w:hAnsi="Times New Roman"/>
          <w:sz w:val="24"/>
          <w:lang w:val="sr-Cyrl-CS" w:eastAsia="en-US"/>
        </w:rPr>
        <w:t>ћ</w:t>
      </w:r>
      <w:r w:rsidR="00BF65FC" w:rsidRPr="005303F7">
        <w:rPr>
          <w:rFonts w:ascii="Times New Roman" w:hAnsi="Times New Roman"/>
          <w:sz w:val="24"/>
          <w:lang w:val="sr-Cyrl-CS" w:eastAsia="en-US"/>
        </w:rPr>
        <w:t>инству</w:t>
      </w:r>
      <w:r w:rsidR="004D12E5" w:rsidRPr="005303F7">
        <w:rPr>
          <w:rFonts w:ascii="Times New Roman" w:hAnsi="Times New Roman"/>
          <w:sz w:val="24"/>
          <w:lang w:val="sr-Cyrl-CS" w:eastAsia="en-US"/>
        </w:rPr>
        <w:t>,</w:t>
      </w:r>
      <w:r w:rsidR="0077456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моторима</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возила</w:t>
      </w:r>
      <w:r w:rsidR="004D12E5" w:rsidRPr="005303F7">
        <w:rPr>
          <w:rFonts w:ascii="Times New Roman" w:hAnsi="Times New Roman"/>
          <w:sz w:val="24"/>
          <w:lang w:val="sr-Cyrl-CS" w:eastAsia="en-US"/>
        </w:rPr>
        <w:t xml:space="preserve"> и у индустрији</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Током</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таквог</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сагоревања</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емитују</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се</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честице</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које</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имају</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штетне</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ефекте</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на</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здравље</w:t>
      </w:r>
      <w:r w:rsidR="00D67A2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људи</w:t>
      </w:r>
      <w:r w:rsidR="00D67A20" w:rsidRPr="005303F7">
        <w:rPr>
          <w:rFonts w:ascii="Times New Roman" w:hAnsi="Times New Roman"/>
          <w:sz w:val="24"/>
          <w:lang w:val="sr-Cyrl-CS" w:eastAsia="en-US"/>
        </w:rPr>
        <w:t>.</w:t>
      </w:r>
      <w:r w:rsidR="006C4892" w:rsidRPr="005303F7">
        <w:rPr>
          <w:rFonts w:ascii="Times New Roman" w:hAnsi="Times New Roman"/>
          <w:sz w:val="24"/>
          <w:lang w:val="sr-Cyrl-CS" w:eastAsia="en-US"/>
        </w:rPr>
        <w:t xml:space="preserve"> </w:t>
      </w:r>
    </w:p>
    <w:p w14:paraId="41258DAE" w14:textId="3DB6B71D" w:rsidR="00C67735" w:rsidRPr="005303F7" w:rsidRDefault="00DA7CD2" w:rsidP="00353B06">
      <w:pPr>
        <w:spacing w:before="0"/>
        <w:rPr>
          <w:rFonts w:ascii="Times New Roman" w:hAnsi="Times New Roman"/>
          <w:sz w:val="24"/>
          <w:lang w:val="sr-Cyrl-CS" w:eastAsia="en-US"/>
        </w:rPr>
      </w:pPr>
      <w:r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Мере</w:t>
      </w:r>
      <w:r w:rsidR="006C4892" w:rsidRPr="005303F7">
        <w:rPr>
          <w:rFonts w:ascii="Times New Roman" w:hAnsi="Times New Roman"/>
          <w:sz w:val="24"/>
          <w:lang w:val="sr-Cyrl-CS" w:eastAsia="en-US"/>
        </w:rPr>
        <w:t xml:space="preserve"> </w:t>
      </w:r>
      <w:r w:rsidR="00067FC0" w:rsidRPr="005303F7">
        <w:rPr>
          <w:rFonts w:ascii="Times New Roman" w:hAnsi="Times New Roman"/>
          <w:sz w:val="24"/>
          <w:lang w:val="sr-Cyrl-CS" w:eastAsia="en-US"/>
        </w:rPr>
        <w:t xml:space="preserve">предвиђене </w:t>
      </w:r>
      <w:r w:rsidR="00BF65FC" w:rsidRPr="005303F7">
        <w:rPr>
          <w:rFonts w:ascii="Times New Roman" w:hAnsi="Times New Roman"/>
          <w:sz w:val="24"/>
          <w:lang w:val="sr-Cyrl-CS" w:eastAsia="en-US"/>
        </w:rPr>
        <w:t>Стратегијом</w:t>
      </w:r>
      <w:r w:rsidR="006C489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допринеће</w:t>
      </w:r>
      <w:r w:rsidR="006C489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смањењу</w:t>
      </w:r>
      <w:r w:rsidR="006C489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емисије</w:t>
      </w:r>
      <w:r w:rsidR="006C489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PМ</w:t>
      </w:r>
      <w:r w:rsidR="006C4892" w:rsidRPr="005303F7">
        <w:rPr>
          <w:rFonts w:ascii="Times New Roman" w:hAnsi="Times New Roman"/>
          <w:sz w:val="24"/>
          <w:vertAlign w:val="subscript"/>
          <w:lang w:val="sr-Cyrl-CS" w:eastAsia="en-US"/>
        </w:rPr>
        <w:t xml:space="preserve">2.5 </w:t>
      </w:r>
      <w:r w:rsidR="00BF65FC" w:rsidRPr="005303F7">
        <w:rPr>
          <w:rFonts w:ascii="Times New Roman" w:hAnsi="Times New Roman"/>
          <w:sz w:val="24"/>
          <w:lang w:val="sr-Cyrl-CS" w:eastAsia="en-US"/>
        </w:rPr>
        <w:t>за</w:t>
      </w:r>
      <w:r w:rsidR="006C4892" w:rsidRPr="005303F7">
        <w:rPr>
          <w:rFonts w:ascii="Times New Roman" w:hAnsi="Times New Roman"/>
          <w:sz w:val="24"/>
          <w:lang w:val="sr-Cyrl-CS" w:eastAsia="en-US"/>
        </w:rPr>
        <w:t xml:space="preserve"> 7% </w:t>
      </w:r>
      <w:r w:rsidR="00BF65FC" w:rsidRPr="005303F7">
        <w:rPr>
          <w:rFonts w:ascii="Times New Roman" w:hAnsi="Times New Roman"/>
          <w:sz w:val="24"/>
          <w:lang w:val="sr-Cyrl-CS" w:eastAsia="en-US"/>
        </w:rPr>
        <w:t>у</w:t>
      </w:r>
      <w:r w:rsidR="006C4892" w:rsidRPr="005303F7">
        <w:rPr>
          <w:rFonts w:ascii="Times New Roman" w:hAnsi="Times New Roman"/>
          <w:sz w:val="24"/>
          <w:lang w:val="sr-Cyrl-CS" w:eastAsia="en-US"/>
        </w:rPr>
        <w:t xml:space="preserve"> 2030. </w:t>
      </w:r>
      <w:r w:rsidR="00BF65FC" w:rsidRPr="005303F7">
        <w:rPr>
          <w:rFonts w:ascii="Times New Roman" w:hAnsi="Times New Roman"/>
          <w:sz w:val="24"/>
          <w:lang w:val="sr-Cyrl-CS" w:eastAsia="en-US"/>
        </w:rPr>
        <w:t>години</w:t>
      </w:r>
      <w:r w:rsidR="006C4892" w:rsidRPr="005303F7">
        <w:rPr>
          <w:rFonts w:ascii="Times New Roman" w:hAnsi="Times New Roman"/>
          <w:sz w:val="24"/>
          <w:lang w:val="sr-Cyrl-CS" w:eastAsia="en-US"/>
        </w:rPr>
        <w:t>.</w:t>
      </w:r>
      <w:r w:rsidR="00C67735" w:rsidRPr="005303F7">
        <w:rPr>
          <w:rFonts w:ascii="Times New Roman" w:hAnsi="Times New Roman"/>
          <w:sz w:val="24"/>
          <w:lang w:val="sr-Cyrl-CS" w:eastAsia="en-US"/>
        </w:rPr>
        <w:t xml:space="preserve"> </w:t>
      </w:r>
      <w:r w:rsidR="00BB0AA2" w:rsidRPr="005303F7">
        <w:rPr>
          <w:rFonts w:ascii="Times New Roman" w:hAnsi="Times New Roman"/>
          <w:sz w:val="24"/>
          <w:lang w:val="sr-Cyrl-CS" w:eastAsia="en-US"/>
        </w:rPr>
        <w:t>После</w:t>
      </w:r>
      <w:r w:rsidR="006C4892" w:rsidRPr="005303F7">
        <w:rPr>
          <w:rFonts w:ascii="Times New Roman" w:hAnsi="Times New Roman"/>
          <w:sz w:val="24"/>
          <w:lang w:val="sr-Cyrl-CS" w:eastAsia="en-US"/>
        </w:rPr>
        <w:t xml:space="preserve"> 2030. </w:t>
      </w:r>
      <w:r w:rsidR="00BF65FC" w:rsidRPr="005303F7">
        <w:rPr>
          <w:rFonts w:ascii="Times New Roman" w:hAnsi="Times New Roman"/>
          <w:sz w:val="24"/>
          <w:lang w:val="sr-Cyrl-CS" w:eastAsia="en-US"/>
        </w:rPr>
        <w:t>године</w:t>
      </w:r>
      <w:r w:rsidR="006C489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долази</w:t>
      </w:r>
      <w:r w:rsidR="006C489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до</w:t>
      </w:r>
      <w:r w:rsidR="006C4892"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значајнијег</w:t>
      </w:r>
      <w:r w:rsidR="006C4892" w:rsidRPr="005303F7">
        <w:rPr>
          <w:rFonts w:ascii="Times New Roman" w:hAnsi="Times New Roman"/>
          <w:sz w:val="24"/>
          <w:lang w:val="sr-Cyrl-CS" w:eastAsia="en-US"/>
        </w:rPr>
        <w:t xml:space="preserve"> </w:t>
      </w:r>
      <w:r w:rsidR="00BF65FC" w:rsidRPr="005303F7">
        <w:rPr>
          <w:rFonts w:ascii="Times New Roman" w:hAnsi="Times New Roman"/>
          <w:sz w:val="24"/>
          <w:szCs w:val="22"/>
          <w:lang w:val="sr-Cyrl-CS" w:eastAsia="en-US"/>
        </w:rPr>
        <w:t>смањења</w:t>
      </w:r>
      <w:r w:rsidR="006C4892" w:rsidRPr="005303F7">
        <w:rPr>
          <w:rFonts w:ascii="Times New Roman" w:hAnsi="Times New Roman"/>
          <w:sz w:val="24"/>
          <w:szCs w:val="22"/>
          <w:lang w:val="sr-Cyrl-CS" w:eastAsia="en-US"/>
        </w:rPr>
        <w:t xml:space="preserve"> </w:t>
      </w:r>
      <w:r w:rsidR="00BF65FC" w:rsidRPr="005303F7">
        <w:rPr>
          <w:rFonts w:ascii="Times New Roman" w:hAnsi="Times New Roman"/>
          <w:sz w:val="24"/>
          <w:szCs w:val="22"/>
          <w:lang w:val="sr-Cyrl-CS" w:eastAsia="en-US"/>
        </w:rPr>
        <w:t>емисије</w:t>
      </w:r>
      <w:r w:rsidR="006C4892" w:rsidRPr="005303F7">
        <w:rPr>
          <w:rFonts w:ascii="Times New Roman" w:hAnsi="Times New Roman"/>
          <w:sz w:val="24"/>
          <w:szCs w:val="22"/>
          <w:lang w:val="sr-Cyrl-CS" w:eastAsia="en-US"/>
        </w:rPr>
        <w:t xml:space="preserve"> </w:t>
      </w:r>
      <w:r w:rsidR="00BF65FC" w:rsidRPr="005303F7">
        <w:rPr>
          <w:rFonts w:ascii="Times New Roman" w:hAnsi="Times New Roman"/>
          <w:sz w:val="24"/>
          <w:szCs w:val="22"/>
          <w:lang w:val="sr-Cyrl-CS" w:eastAsia="en-US"/>
        </w:rPr>
        <w:t>PМ</w:t>
      </w:r>
      <w:r w:rsidR="006C4892" w:rsidRPr="005303F7">
        <w:rPr>
          <w:rFonts w:ascii="Times New Roman" w:hAnsi="Times New Roman"/>
          <w:sz w:val="24"/>
          <w:szCs w:val="22"/>
          <w:vertAlign w:val="subscript"/>
          <w:lang w:val="sr-Cyrl-CS" w:eastAsia="en-US"/>
        </w:rPr>
        <w:t>2.5</w:t>
      </w:r>
      <w:r w:rsidR="006C4892" w:rsidRPr="005303F7">
        <w:rPr>
          <w:rFonts w:ascii="Times New Roman" w:hAnsi="Times New Roman"/>
          <w:sz w:val="24"/>
          <w:szCs w:val="22"/>
          <w:lang w:val="sr-Cyrl-CS" w:eastAsia="en-US"/>
        </w:rPr>
        <w:t xml:space="preserve">, </w:t>
      </w:r>
      <w:r w:rsidR="00BF65FC" w:rsidRPr="005303F7">
        <w:rPr>
          <w:rFonts w:ascii="Times New Roman" w:hAnsi="Times New Roman"/>
          <w:sz w:val="24"/>
          <w:szCs w:val="22"/>
          <w:lang w:val="sr-Cyrl-CS" w:eastAsia="en-US"/>
        </w:rPr>
        <w:t>које</w:t>
      </w:r>
      <w:r w:rsidR="006C4892" w:rsidRPr="005303F7">
        <w:rPr>
          <w:rFonts w:ascii="Times New Roman" w:hAnsi="Times New Roman"/>
          <w:sz w:val="24"/>
          <w:szCs w:val="22"/>
          <w:lang w:val="sr-Cyrl-CS" w:eastAsia="en-US"/>
        </w:rPr>
        <w:t xml:space="preserve"> </w:t>
      </w:r>
      <w:r w:rsidR="00BF65FC" w:rsidRPr="005303F7">
        <w:rPr>
          <w:rFonts w:ascii="Times New Roman" w:hAnsi="Times New Roman"/>
          <w:sz w:val="24"/>
          <w:szCs w:val="22"/>
          <w:lang w:val="sr-Cyrl-CS" w:eastAsia="en-US"/>
        </w:rPr>
        <w:t>ће</w:t>
      </w:r>
      <w:r w:rsidR="006C4892" w:rsidRPr="005303F7">
        <w:rPr>
          <w:rFonts w:ascii="Times New Roman" w:hAnsi="Times New Roman"/>
          <w:sz w:val="24"/>
          <w:szCs w:val="22"/>
          <w:lang w:val="sr-Cyrl-CS" w:eastAsia="en-US"/>
        </w:rPr>
        <w:t xml:space="preserve"> </w:t>
      </w:r>
      <w:r w:rsidR="00BF65FC" w:rsidRPr="005303F7">
        <w:rPr>
          <w:rFonts w:ascii="Times New Roman" w:hAnsi="Times New Roman"/>
          <w:sz w:val="24"/>
          <w:szCs w:val="22"/>
          <w:lang w:val="sr-Cyrl-CS" w:eastAsia="en-US"/>
        </w:rPr>
        <w:t>достићи</w:t>
      </w:r>
      <w:r w:rsidR="006C4892" w:rsidRPr="005303F7">
        <w:rPr>
          <w:rFonts w:ascii="Times New Roman" w:hAnsi="Times New Roman"/>
          <w:sz w:val="24"/>
          <w:szCs w:val="22"/>
          <w:lang w:val="sr-Cyrl-CS" w:eastAsia="en-US"/>
        </w:rPr>
        <w:t xml:space="preserve"> 28,7% </w:t>
      </w:r>
      <w:r w:rsidR="00BF65FC" w:rsidRPr="005303F7">
        <w:rPr>
          <w:rFonts w:ascii="Times New Roman" w:hAnsi="Times New Roman"/>
          <w:sz w:val="24"/>
          <w:szCs w:val="22"/>
          <w:lang w:val="sr-Cyrl-CS" w:eastAsia="en-US"/>
        </w:rPr>
        <w:t>у</w:t>
      </w:r>
      <w:r w:rsidR="006C4892" w:rsidRPr="005303F7">
        <w:rPr>
          <w:rFonts w:ascii="Times New Roman" w:hAnsi="Times New Roman"/>
          <w:sz w:val="24"/>
          <w:szCs w:val="22"/>
          <w:lang w:val="sr-Cyrl-CS" w:eastAsia="en-US"/>
        </w:rPr>
        <w:t xml:space="preserve"> </w:t>
      </w:r>
      <w:r w:rsidR="00BF65FC" w:rsidRPr="005303F7">
        <w:rPr>
          <w:rFonts w:ascii="Times New Roman" w:hAnsi="Times New Roman"/>
          <w:sz w:val="24"/>
          <w:szCs w:val="22"/>
          <w:lang w:val="sr-Cyrl-CS" w:eastAsia="en-US"/>
        </w:rPr>
        <w:t>сценарију</w:t>
      </w:r>
      <w:r w:rsidR="006C4892" w:rsidRPr="005303F7">
        <w:rPr>
          <w:rFonts w:ascii="Times New Roman" w:hAnsi="Times New Roman"/>
          <w:sz w:val="24"/>
          <w:szCs w:val="22"/>
          <w:lang w:val="sr-Cyrl-CS" w:eastAsia="en-US"/>
        </w:rPr>
        <w:t xml:space="preserve"> </w:t>
      </w:r>
      <w:r w:rsidR="00BF65FC" w:rsidRPr="005303F7">
        <w:rPr>
          <w:rFonts w:ascii="Times New Roman" w:hAnsi="Times New Roman"/>
          <w:sz w:val="24"/>
          <w:szCs w:val="22"/>
          <w:lang w:val="sr-Cyrl-CS" w:eastAsia="en-US"/>
        </w:rPr>
        <w:t>М</w:t>
      </w:r>
      <w:r w:rsidR="006C4892" w:rsidRPr="005303F7">
        <w:rPr>
          <w:rFonts w:ascii="Times New Roman" w:hAnsi="Times New Roman"/>
          <w:sz w:val="24"/>
          <w:szCs w:val="22"/>
          <w:lang w:val="sr-Cyrl-CS" w:eastAsia="en-US"/>
        </w:rPr>
        <w:t xml:space="preserve">2 </w:t>
      </w:r>
      <w:r w:rsidR="00BF65FC" w:rsidRPr="005303F7">
        <w:rPr>
          <w:rFonts w:ascii="Times New Roman" w:hAnsi="Times New Roman"/>
          <w:sz w:val="24"/>
          <w:szCs w:val="22"/>
          <w:lang w:val="sr-Cyrl-CS" w:eastAsia="en-US"/>
        </w:rPr>
        <w:t>и</w:t>
      </w:r>
      <w:r w:rsidR="006C4892" w:rsidRPr="005303F7">
        <w:rPr>
          <w:rFonts w:ascii="Times New Roman" w:hAnsi="Times New Roman"/>
          <w:sz w:val="24"/>
          <w:szCs w:val="22"/>
          <w:lang w:val="sr-Cyrl-CS" w:eastAsia="en-US"/>
        </w:rPr>
        <w:t xml:space="preserve"> 39,7% </w:t>
      </w:r>
      <w:r w:rsidR="00BF65FC" w:rsidRPr="005303F7">
        <w:rPr>
          <w:rFonts w:ascii="Times New Roman" w:hAnsi="Times New Roman"/>
          <w:sz w:val="24"/>
          <w:szCs w:val="22"/>
          <w:lang w:val="sr-Cyrl-CS" w:eastAsia="en-US"/>
        </w:rPr>
        <w:t>у</w:t>
      </w:r>
      <w:r w:rsidR="006C4892" w:rsidRPr="005303F7">
        <w:rPr>
          <w:rFonts w:ascii="Times New Roman" w:hAnsi="Times New Roman"/>
          <w:sz w:val="24"/>
          <w:szCs w:val="22"/>
          <w:lang w:val="sr-Cyrl-CS" w:eastAsia="en-US"/>
        </w:rPr>
        <w:t xml:space="preserve"> </w:t>
      </w:r>
      <w:r w:rsidR="00BF65FC" w:rsidRPr="005303F7">
        <w:rPr>
          <w:rFonts w:ascii="Times New Roman" w:hAnsi="Times New Roman"/>
          <w:sz w:val="24"/>
          <w:szCs w:val="22"/>
          <w:lang w:val="sr-Cyrl-CS" w:eastAsia="en-US"/>
        </w:rPr>
        <w:t>сценарију</w:t>
      </w:r>
      <w:r w:rsidR="006C4892" w:rsidRPr="005303F7">
        <w:rPr>
          <w:rFonts w:ascii="Times New Roman" w:hAnsi="Times New Roman"/>
          <w:sz w:val="24"/>
          <w:szCs w:val="22"/>
          <w:lang w:val="sr-Cyrl-CS" w:eastAsia="en-US"/>
        </w:rPr>
        <w:t xml:space="preserve"> </w:t>
      </w:r>
      <w:r w:rsidR="00BF65FC" w:rsidRPr="005303F7">
        <w:rPr>
          <w:rFonts w:ascii="Times New Roman" w:hAnsi="Times New Roman"/>
          <w:sz w:val="24"/>
          <w:szCs w:val="22"/>
          <w:lang w:val="sr-Cyrl-CS" w:eastAsia="en-US"/>
        </w:rPr>
        <w:t>М</w:t>
      </w:r>
      <w:r w:rsidR="006C4892" w:rsidRPr="005303F7">
        <w:rPr>
          <w:rFonts w:ascii="Times New Roman" w:hAnsi="Times New Roman"/>
          <w:sz w:val="24"/>
          <w:szCs w:val="22"/>
          <w:lang w:val="sr-Cyrl-CS" w:eastAsia="en-US"/>
        </w:rPr>
        <w:t xml:space="preserve">4 </w:t>
      </w:r>
      <w:r w:rsidR="00BF65FC" w:rsidRPr="005303F7">
        <w:rPr>
          <w:rFonts w:ascii="Times New Roman" w:hAnsi="Times New Roman"/>
          <w:sz w:val="24"/>
          <w:szCs w:val="22"/>
          <w:lang w:val="sr-Cyrl-CS" w:eastAsia="en-US"/>
        </w:rPr>
        <w:t>до</w:t>
      </w:r>
      <w:r w:rsidR="006C4892" w:rsidRPr="005303F7">
        <w:rPr>
          <w:rFonts w:ascii="Times New Roman" w:hAnsi="Times New Roman"/>
          <w:sz w:val="24"/>
          <w:szCs w:val="22"/>
          <w:lang w:val="sr-Cyrl-CS" w:eastAsia="en-US"/>
        </w:rPr>
        <w:t xml:space="preserve"> 2050. </w:t>
      </w:r>
      <w:r w:rsidR="00BF65FC" w:rsidRPr="005303F7">
        <w:rPr>
          <w:rFonts w:ascii="Times New Roman" w:hAnsi="Times New Roman"/>
          <w:sz w:val="24"/>
          <w:szCs w:val="22"/>
          <w:lang w:val="sr-Cyrl-CS" w:eastAsia="en-US"/>
        </w:rPr>
        <w:t>године</w:t>
      </w:r>
      <w:r w:rsidR="00C67735" w:rsidRPr="005303F7">
        <w:rPr>
          <w:rStyle w:val="FootnoteReference"/>
          <w:rFonts w:ascii="Times New Roman" w:hAnsi="Times New Roman"/>
          <w:sz w:val="24"/>
          <w:szCs w:val="22"/>
          <w:vertAlign w:val="superscript"/>
          <w:lang w:val="sr-Cyrl-CS" w:eastAsia="en-US"/>
        </w:rPr>
        <w:footnoteReference w:id="53"/>
      </w:r>
      <w:r w:rsidR="00904DAE" w:rsidRPr="005303F7">
        <w:rPr>
          <w:rFonts w:ascii="Times New Roman" w:hAnsi="Times New Roman"/>
          <w:sz w:val="24"/>
          <w:szCs w:val="22"/>
          <w:lang w:val="sr-Cyrl-CS" w:eastAsia="en-US"/>
        </w:rPr>
        <w:t xml:space="preserve"> (</w:t>
      </w:r>
      <w:r w:rsidR="00AD671B" w:rsidRPr="005303F7">
        <w:rPr>
          <w:rFonts w:ascii="Times New Roman" w:hAnsi="Times New Roman"/>
          <w:sz w:val="24"/>
          <w:szCs w:val="22"/>
          <w:lang w:val="sr-Cyrl-CS" w:eastAsia="en-US"/>
        </w:rPr>
        <w:fldChar w:fldCharType="begin"/>
      </w:r>
      <w:r w:rsidR="00AD671B" w:rsidRPr="005303F7">
        <w:rPr>
          <w:rFonts w:ascii="Times New Roman" w:hAnsi="Times New Roman"/>
          <w:sz w:val="24"/>
          <w:szCs w:val="22"/>
          <w:lang w:val="sr-Cyrl-CS" w:eastAsia="en-US"/>
        </w:rPr>
        <w:instrText xml:space="preserve"> REF _Ref8915231 \h  \* MERGEFORMAT </w:instrText>
      </w:r>
      <w:r w:rsidR="00AD671B" w:rsidRPr="005303F7">
        <w:rPr>
          <w:rFonts w:ascii="Times New Roman" w:hAnsi="Times New Roman"/>
          <w:sz w:val="24"/>
          <w:szCs w:val="22"/>
          <w:lang w:val="sr-Cyrl-CS" w:eastAsia="en-US"/>
        </w:rPr>
      </w:r>
      <w:r w:rsidR="00AD671B" w:rsidRPr="005303F7">
        <w:rPr>
          <w:rFonts w:ascii="Times New Roman" w:hAnsi="Times New Roman"/>
          <w:sz w:val="24"/>
          <w:szCs w:val="22"/>
          <w:lang w:val="sr-Cyrl-CS" w:eastAsia="en-US"/>
        </w:rPr>
        <w:fldChar w:fldCharType="separate"/>
      </w:r>
      <w:r w:rsidR="00DA2595" w:rsidRPr="005303F7">
        <w:rPr>
          <w:rFonts w:ascii="Times New Roman" w:hAnsi="Times New Roman"/>
          <w:i/>
          <w:iCs/>
          <w:sz w:val="24"/>
          <w:szCs w:val="22"/>
          <w:lang w:val="sr-Cyrl-CS"/>
        </w:rPr>
        <w:t>Табела 10</w:t>
      </w:r>
      <w:r w:rsidR="00AD671B" w:rsidRPr="005303F7">
        <w:rPr>
          <w:rFonts w:ascii="Times New Roman" w:hAnsi="Times New Roman"/>
          <w:sz w:val="24"/>
          <w:szCs w:val="22"/>
          <w:lang w:val="sr-Cyrl-CS" w:eastAsia="en-US"/>
        </w:rPr>
        <w:fldChar w:fldCharType="end"/>
      </w:r>
      <w:r w:rsidR="00B40BE0" w:rsidRPr="005303F7">
        <w:rPr>
          <w:rFonts w:ascii="Times New Roman" w:hAnsi="Times New Roman"/>
          <w:sz w:val="24"/>
          <w:szCs w:val="22"/>
          <w:lang w:val="sr-Cyrl-CS" w:eastAsia="en-US"/>
        </w:rPr>
        <w:t>)</w:t>
      </w:r>
      <w:r w:rsidR="006B2147" w:rsidRPr="005303F7">
        <w:rPr>
          <w:rFonts w:ascii="Times New Roman" w:hAnsi="Times New Roman"/>
          <w:sz w:val="24"/>
          <w:szCs w:val="22"/>
          <w:lang w:val="sr-Cyrl-CS" w:eastAsia="en-US"/>
        </w:rPr>
        <w:t xml:space="preserve">. </w:t>
      </w:r>
      <w:r w:rsidR="00BF65FC" w:rsidRPr="005303F7">
        <w:rPr>
          <w:rFonts w:ascii="Times New Roman" w:hAnsi="Times New Roman"/>
          <w:sz w:val="24"/>
          <w:szCs w:val="22"/>
          <w:lang w:val="sr-Cyrl-CS" w:eastAsia="en-US"/>
        </w:rPr>
        <w:t>Иако</w:t>
      </w:r>
      <w:r w:rsidR="006B2147" w:rsidRPr="005303F7">
        <w:rPr>
          <w:rFonts w:ascii="Times New Roman" w:hAnsi="Times New Roman"/>
          <w:sz w:val="24"/>
          <w:szCs w:val="22"/>
          <w:lang w:val="sr-Cyrl-CS" w:eastAsia="en-US"/>
        </w:rPr>
        <w:t xml:space="preserve"> </w:t>
      </w:r>
      <w:r w:rsidR="00BF65FC" w:rsidRPr="005303F7">
        <w:rPr>
          <w:rFonts w:ascii="Times New Roman" w:hAnsi="Times New Roman"/>
          <w:sz w:val="24"/>
          <w:szCs w:val="22"/>
          <w:lang w:val="sr-Cyrl-CS" w:eastAsia="en-US"/>
        </w:rPr>
        <w:t>то</w:t>
      </w:r>
      <w:r w:rsidR="006B214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није</w:t>
      </w:r>
      <w:r w:rsidR="006B214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њен</w:t>
      </w:r>
      <w:r w:rsidR="006B214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циљ</w:t>
      </w:r>
      <w:r w:rsidR="006B214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примена</w:t>
      </w:r>
      <w:r w:rsidR="006B214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ове</w:t>
      </w:r>
      <w:r w:rsidR="006B214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Стратегије</w:t>
      </w:r>
      <w:r w:rsidR="006B214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доприне</w:t>
      </w:r>
      <w:r w:rsidR="00016298" w:rsidRPr="005303F7">
        <w:rPr>
          <w:rFonts w:ascii="Times New Roman" w:hAnsi="Times New Roman"/>
          <w:sz w:val="24"/>
          <w:lang w:val="sr-Cyrl-CS" w:eastAsia="en-US"/>
        </w:rPr>
        <w:t>ћ</w:t>
      </w:r>
      <w:r w:rsidR="00BF65FC" w:rsidRPr="005303F7">
        <w:rPr>
          <w:rFonts w:ascii="Times New Roman" w:hAnsi="Times New Roman"/>
          <w:sz w:val="24"/>
          <w:lang w:val="sr-Cyrl-CS" w:eastAsia="en-US"/>
        </w:rPr>
        <w:t>е</w:t>
      </w:r>
      <w:r w:rsidR="006B214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чистијем</w:t>
      </w:r>
      <w:r w:rsidR="006B214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ваздуху</w:t>
      </w:r>
      <w:r w:rsidR="006B214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и</w:t>
      </w:r>
      <w:r w:rsidR="006B214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смањењу</w:t>
      </w:r>
      <w:r w:rsidR="006B214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здравствених</w:t>
      </w:r>
      <w:r w:rsidR="006B214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проблема</w:t>
      </w:r>
      <w:r w:rsidR="006B214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изазваним</w:t>
      </w:r>
      <w:r w:rsidR="006B214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загађењем</w:t>
      </w:r>
      <w:r w:rsidR="006B214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ваздуха</w:t>
      </w:r>
      <w:r w:rsidR="006B2147" w:rsidRPr="005303F7">
        <w:rPr>
          <w:rFonts w:ascii="Times New Roman" w:hAnsi="Times New Roman"/>
          <w:sz w:val="24"/>
          <w:lang w:val="sr-Cyrl-CS" w:eastAsia="en-US"/>
        </w:rPr>
        <w:t>.</w:t>
      </w:r>
      <w:r w:rsidR="004D12E5" w:rsidRPr="005303F7">
        <w:rPr>
          <w:rFonts w:ascii="Times New Roman" w:hAnsi="Times New Roman"/>
          <w:sz w:val="24"/>
          <w:lang w:val="sr-Cyrl-CS" w:eastAsia="en-US"/>
        </w:rPr>
        <w:t xml:space="preserve"> </w:t>
      </w:r>
      <w:r w:rsidR="00067FC0" w:rsidRPr="005303F7">
        <w:rPr>
          <w:rFonts w:ascii="Times New Roman" w:hAnsi="Times New Roman"/>
          <w:sz w:val="24"/>
          <w:lang w:val="sr-Cyrl-CS" w:eastAsia="en-US"/>
        </w:rPr>
        <w:t>Очекује се пораст п</w:t>
      </w:r>
      <w:r w:rsidR="004D12E5" w:rsidRPr="005303F7">
        <w:rPr>
          <w:rFonts w:ascii="Times New Roman" w:hAnsi="Times New Roman"/>
          <w:sz w:val="24"/>
          <w:lang w:val="sr-Cyrl-CS" w:eastAsia="en-US"/>
        </w:rPr>
        <w:t>реран</w:t>
      </w:r>
      <w:r w:rsidR="00067FC0" w:rsidRPr="005303F7">
        <w:rPr>
          <w:rFonts w:ascii="Times New Roman" w:hAnsi="Times New Roman"/>
          <w:sz w:val="24"/>
          <w:lang w:val="sr-Cyrl-CS" w:eastAsia="en-US"/>
        </w:rPr>
        <w:t>их</w:t>
      </w:r>
      <w:r w:rsidR="004D12E5" w:rsidRPr="005303F7">
        <w:rPr>
          <w:rFonts w:ascii="Times New Roman" w:hAnsi="Times New Roman"/>
          <w:sz w:val="24"/>
          <w:lang w:val="sr-Cyrl-CS" w:eastAsia="en-US"/>
        </w:rPr>
        <w:t xml:space="preserve"> смрти које се доводе у везу са загађењем ваздуха из сагоревања горива </w:t>
      </w:r>
      <w:r w:rsidR="00067FC0" w:rsidRPr="005303F7">
        <w:rPr>
          <w:rFonts w:ascii="Times New Roman" w:hAnsi="Times New Roman"/>
          <w:sz w:val="24"/>
          <w:lang w:val="sr-Cyrl-CS" w:eastAsia="en-US"/>
        </w:rPr>
        <w:t>за 34,5% до 2030. године и између 54,8% и 61,8% до 2050. године.</w:t>
      </w:r>
    </w:p>
    <w:p w14:paraId="58B925F9" w14:textId="0CD4D280" w:rsidR="00C67735" w:rsidRPr="005303F7" w:rsidRDefault="00BF65FC" w:rsidP="00A634A3">
      <w:pPr>
        <w:spacing w:before="0" w:after="60"/>
        <w:rPr>
          <w:rFonts w:ascii="Times New Roman" w:hAnsi="Times New Roman"/>
          <w:b/>
          <w:bCs/>
          <w:i/>
          <w:iCs/>
          <w:sz w:val="20"/>
          <w:szCs w:val="18"/>
          <w:lang w:val="sr-Cyrl-CS"/>
        </w:rPr>
      </w:pPr>
      <w:bookmarkStart w:id="309" w:name="_Ref8915231"/>
      <w:bookmarkStart w:id="310" w:name="_Toc13132545"/>
      <w:bookmarkStart w:id="311" w:name="_Toc26450882"/>
      <w:r w:rsidRPr="005303F7">
        <w:rPr>
          <w:rFonts w:ascii="Times New Roman" w:hAnsi="Times New Roman"/>
          <w:b/>
          <w:bCs/>
          <w:i/>
          <w:iCs/>
          <w:sz w:val="20"/>
          <w:szCs w:val="18"/>
          <w:lang w:val="sr-Cyrl-CS"/>
        </w:rPr>
        <w:t>Табела</w:t>
      </w:r>
      <w:r w:rsidR="00D35E3C" w:rsidRPr="005303F7">
        <w:rPr>
          <w:rFonts w:ascii="Times New Roman" w:hAnsi="Times New Roman"/>
          <w:b/>
          <w:bCs/>
          <w:i/>
          <w:iCs/>
          <w:sz w:val="20"/>
          <w:szCs w:val="18"/>
          <w:lang w:val="sr-Cyrl-CS"/>
        </w:rPr>
        <w:t xml:space="preserve"> </w:t>
      </w:r>
      <w:r w:rsidR="00D35E3C" w:rsidRPr="005303F7">
        <w:rPr>
          <w:rFonts w:ascii="Times New Roman" w:hAnsi="Times New Roman"/>
          <w:b/>
          <w:bCs/>
          <w:i/>
          <w:iCs/>
          <w:sz w:val="20"/>
          <w:szCs w:val="18"/>
          <w:lang w:val="sr-Cyrl-CS"/>
        </w:rPr>
        <w:fldChar w:fldCharType="begin"/>
      </w:r>
      <w:r w:rsidR="00D35E3C" w:rsidRPr="005303F7">
        <w:rPr>
          <w:rFonts w:ascii="Times New Roman" w:hAnsi="Times New Roman"/>
          <w:b/>
          <w:bCs/>
          <w:i/>
          <w:iCs/>
          <w:sz w:val="20"/>
          <w:szCs w:val="18"/>
          <w:lang w:val="sr-Cyrl-CS"/>
        </w:rPr>
        <w:instrText xml:space="preserve"> SEQ Table \* ARABIC </w:instrText>
      </w:r>
      <w:r w:rsidR="00D35E3C" w:rsidRPr="005303F7">
        <w:rPr>
          <w:rFonts w:ascii="Times New Roman" w:hAnsi="Times New Roman"/>
          <w:b/>
          <w:bCs/>
          <w:i/>
          <w:iCs/>
          <w:sz w:val="20"/>
          <w:szCs w:val="18"/>
          <w:lang w:val="sr-Cyrl-CS"/>
        </w:rPr>
        <w:fldChar w:fldCharType="separate"/>
      </w:r>
      <w:r w:rsidR="00DA2595" w:rsidRPr="005303F7">
        <w:rPr>
          <w:rFonts w:ascii="Times New Roman" w:hAnsi="Times New Roman"/>
          <w:b/>
          <w:bCs/>
          <w:i/>
          <w:iCs/>
          <w:noProof/>
          <w:sz w:val="20"/>
          <w:szCs w:val="18"/>
          <w:lang w:val="sr-Cyrl-CS"/>
        </w:rPr>
        <w:t>10</w:t>
      </w:r>
      <w:r w:rsidR="00D35E3C" w:rsidRPr="005303F7">
        <w:rPr>
          <w:rFonts w:ascii="Times New Roman" w:hAnsi="Times New Roman"/>
          <w:b/>
          <w:bCs/>
          <w:i/>
          <w:iCs/>
          <w:sz w:val="20"/>
          <w:szCs w:val="18"/>
          <w:lang w:val="sr-Cyrl-CS"/>
        </w:rPr>
        <w:fldChar w:fldCharType="end"/>
      </w:r>
      <w:bookmarkEnd w:id="309"/>
      <w:r w:rsidR="00C67735" w:rsidRPr="005303F7">
        <w:rPr>
          <w:rFonts w:ascii="Times New Roman" w:hAnsi="Times New Roman"/>
          <w:b/>
          <w:bCs/>
          <w:i/>
          <w:iCs/>
          <w:sz w:val="20"/>
          <w:szCs w:val="18"/>
          <w:lang w:val="sr-Cyrl-CS"/>
        </w:rPr>
        <w:t xml:space="preserve">: </w:t>
      </w:r>
      <w:bookmarkEnd w:id="310"/>
      <w:r w:rsidRPr="005303F7">
        <w:rPr>
          <w:rFonts w:ascii="Times New Roman" w:hAnsi="Times New Roman"/>
          <w:b/>
          <w:bCs/>
          <w:i/>
          <w:iCs/>
          <w:sz w:val="20"/>
          <w:szCs w:val="18"/>
          <w:lang w:val="sr-Cyrl-CS"/>
        </w:rPr>
        <w:t>Утицај</w:t>
      </w:r>
      <w:r w:rsidR="006B2147"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на</w:t>
      </w:r>
      <w:r w:rsidR="006B2147"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емисије</w:t>
      </w:r>
      <w:r w:rsidR="006B2147"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PМ</w:t>
      </w:r>
      <w:r w:rsidR="006B2147" w:rsidRPr="005303F7">
        <w:rPr>
          <w:rFonts w:ascii="Times New Roman" w:hAnsi="Times New Roman"/>
          <w:b/>
          <w:bCs/>
          <w:i/>
          <w:iCs/>
          <w:sz w:val="20"/>
          <w:szCs w:val="18"/>
          <w:lang w:val="sr-Cyrl-CS"/>
        </w:rPr>
        <w:t>2.5</w:t>
      </w:r>
      <w:bookmarkEnd w:id="311"/>
    </w:p>
    <w:tbl>
      <w:tblPr>
        <w:tblW w:w="0" w:type="auto"/>
        <w:tblInd w:w="-38" w:type="dxa"/>
        <w:tblLayout w:type="fixed"/>
        <w:tblLook w:val="0000" w:firstRow="0" w:lastRow="0" w:firstColumn="0" w:lastColumn="0" w:noHBand="0" w:noVBand="0"/>
      </w:tblPr>
      <w:tblGrid>
        <w:gridCol w:w="1873"/>
        <w:gridCol w:w="1843"/>
        <w:gridCol w:w="1843"/>
        <w:gridCol w:w="1842"/>
        <w:gridCol w:w="1843"/>
      </w:tblGrid>
      <w:tr w:rsidR="00C67735" w:rsidRPr="005303F7" w14:paraId="2CEFD1A7" w14:textId="12F7BB53" w:rsidTr="0047133D">
        <w:trPr>
          <w:trHeight w:val="305"/>
        </w:trPr>
        <w:tc>
          <w:tcPr>
            <w:tcW w:w="1873" w:type="dxa"/>
            <w:vMerge w:val="restart"/>
            <w:tcBorders>
              <w:top w:val="single" w:sz="6" w:space="0" w:color="auto"/>
              <w:left w:val="single" w:sz="6" w:space="0" w:color="auto"/>
              <w:right w:val="single" w:sz="6" w:space="0" w:color="auto"/>
            </w:tcBorders>
            <w:shd w:val="clear" w:color="auto" w:fill="D9D9D9" w:themeFill="background1" w:themeFillShade="D9"/>
          </w:tcPr>
          <w:p w14:paraId="51F2B286" w14:textId="244D0497" w:rsidR="00C67735" w:rsidRPr="005303F7" w:rsidRDefault="00C67735" w:rsidP="0047133D">
            <w:pPr>
              <w:tabs>
                <w:tab w:val="clear" w:pos="3825"/>
              </w:tabs>
              <w:overflowPunct/>
              <w:spacing w:before="0" w:after="0"/>
              <w:jc w:val="right"/>
              <w:textAlignment w:val="auto"/>
              <w:rPr>
                <w:rFonts w:ascii="Times New Roman" w:hAnsi="Times New Roman"/>
                <w:color w:val="000000"/>
                <w:sz w:val="20"/>
                <w:lang w:val="sr-Cyrl-CS"/>
              </w:rPr>
            </w:pPr>
          </w:p>
        </w:tc>
        <w:tc>
          <w:tcPr>
            <w:tcW w:w="737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B79C30" w14:textId="037A01D1" w:rsidR="00C67735" w:rsidRPr="005303F7" w:rsidRDefault="00C67735" w:rsidP="00D90E8E">
            <w:pPr>
              <w:tabs>
                <w:tab w:val="clear" w:pos="3825"/>
              </w:tabs>
              <w:overflowPunct/>
              <w:spacing w:before="0" w:after="0"/>
              <w:jc w:val="center"/>
              <w:textAlignment w:val="auto"/>
              <w:rPr>
                <w:rFonts w:ascii="Times New Roman" w:hAnsi="Times New Roman"/>
                <w:b/>
                <w:bCs/>
                <w:color w:val="000000"/>
                <w:sz w:val="20"/>
                <w:lang w:val="sr-Cyrl-CS"/>
              </w:rPr>
            </w:pPr>
            <w:r w:rsidRPr="005303F7">
              <w:rPr>
                <w:rFonts w:ascii="Times New Roman" w:hAnsi="Times New Roman"/>
                <w:b/>
                <w:bCs/>
                <w:color w:val="000000"/>
                <w:sz w:val="20"/>
                <w:lang w:val="sr-Cyrl-CS"/>
              </w:rPr>
              <w:t xml:space="preserve"> </w:t>
            </w:r>
            <w:r w:rsidR="00BF65FC" w:rsidRPr="005303F7">
              <w:rPr>
                <w:rFonts w:ascii="Times New Roman" w:hAnsi="Times New Roman"/>
                <w:b/>
                <w:bCs/>
                <w:color w:val="000000"/>
                <w:sz w:val="20"/>
                <w:lang w:val="sr-Cyrl-CS"/>
              </w:rPr>
              <w:t>Квалитет</w:t>
            </w:r>
            <w:r w:rsidR="00D90E8E" w:rsidRPr="005303F7">
              <w:rPr>
                <w:rFonts w:ascii="Times New Roman" w:hAnsi="Times New Roman"/>
                <w:b/>
                <w:bCs/>
                <w:color w:val="000000"/>
                <w:sz w:val="20"/>
                <w:lang w:val="sr-Cyrl-CS"/>
              </w:rPr>
              <w:t xml:space="preserve"> </w:t>
            </w:r>
            <w:r w:rsidR="00BF65FC" w:rsidRPr="005303F7">
              <w:rPr>
                <w:rFonts w:ascii="Times New Roman" w:hAnsi="Times New Roman"/>
                <w:b/>
                <w:bCs/>
                <w:color w:val="000000"/>
                <w:sz w:val="20"/>
                <w:lang w:val="sr-Cyrl-CS"/>
              </w:rPr>
              <w:t>ваздуха</w:t>
            </w:r>
            <w:r w:rsidRPr="005303F7">
              <w:rPr>
                <w:rFonts w:ascii="Times New Roman" w:hAnsi="Times New Roman"/>
                <w:b/>
                <w:bCs/>
                <w:color w:val="000000"/>
                <w:sz w:val="20"/>
                <w:lang w:val="sr-Cyrl-CS"/>
              </w:rPr>
              <w:t xml:space="preserve">: </w:t>
            </w:r>
            <w:r w:rsidR="00BF65FC" w:rsidRPr="005303F7">
              <w:rPr>
                <w:rFonts w:ascii="Times New Roman" w:hAnsi="Times New Roman"/>
                <w:b/>
                <w:bCs/>
                <w:color w:val="000000"/>
                <w:sz w:val="20"/>
                <w:lang w:val="sr-Cyrl-CS"/>
              </w:rPr>
              <w:t>Емисије</w:t>
            </w:r>
            <w:r w:rsidRPr="005303F7">
              <w:rPr>
                <w:rFonts w:ascii="Times New Roman" w:hAnsi="Times New Roman"/>
                <w:b/>
                <w:bCs/>
                <w:color w:val="000000"/>
                <w:sz w:val="20"/>
                <w:lang w:val="sr-Cyrl-CS"/>
              </w:rPr>
              <w:t xml:space="preserve"> </w:t>
            </w:r>
            <w:r w:rsidR="00BF65FC" w:rsidRPr="005303F7">
              <w:rPr>
                <w:rFonts w:ascii="Times New Roman" w:hAnsi="Times New Roman"/>
                <w:b/>
                <w:bCs/>
                <w:color w:val="000000"/>
                <w:sz w:val="20"/>
                <w:lang w:val="sr-Cyrl-CS"/>
              </w:rPr>
              <w:t>PМ</w:t>
            </w:r>
            <w:r w:rsidRPr="005303F7">
              <w:rPr>
                <w:rFonts w:ascii="Times New Roman" w:hAnsi="Times New Roman"/>
                <w:b/>
                <w:bCs/>
                <w:color w:val="000000"/>
                <w:sz w:val="20"/>
                <w:lang w:val="sr-Cyrl-CS"/>
              </w:rPr>
              <w:t>2.5</w:t>
            </w:r>
          </w:p>
        </w:tc>
      </w:tr>
      <w:tr w:rsidR="00C67735" w:rsidRPr="005303F7" w14:paraId="5C90D48C" w14:textId="2E7DA00D" w:rsidTr="0047133D">
        <w:trPr>
          <w:trHeight w:val="290"/>
        </w:trPr>
        <w:tc>
          <w:tcPr>
            <w:tcW w:w="1873" w:type="dxa"/>
            <w:vMerge/>
            <w:tcBorders>
              <w:left w:val="single" w:sz="6" w:space="0" w:color="auto"/>
              <w:bottom w:val="single" w:sz="6" w:space="0" w:color="auto"/>
              <w:right w:val="single" w:sz="6" w:space="0" w:color="auto"/>
            </w:tcBorders>
            <w:shd w:val="clear" w:color="auto" w:fill="D9D9D9" w:themeFill="background1" w:themeFillShade="D9"/>
          </w:tcPr>
          <w:p w14:paraId="074AC2F2" w14:textId="44DA0A89" w:rsidR="00C67735" w:rsidRPr="005303F7" w:rsidRDefault="00C67735" w:rsidP="0047133D">
            <w:pPr>
              <w:tabs>
                <w:tab w:val="clear" w:pos="3825"/>
              </w:tabs>
              <w:overflowPunct/>
              <w:spacing w:before="0" w:after="0"/>
              <w:jc w:val="right"/>
              <w:textAlignment w:val="auto"/>
              <w:rPr>
                <w:rFonts w:ascii="Times New Roman" w:hAnsi="Times New Roman"/>
                <w:color w:val="000000"/>
                <w:sz w:val="20"/>
                <w:lang w:val="sr-Cyrl-CS"/>
              </w:rPr>
            </w:pP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257822" w14:textId="0297C31F" w:rsidR="00C67735" w:rsidRPr="005303F7" w:rsidRDefault="00C67735" w:rsidP="0047133D">
            <w:pPr>
              <w:tabs>
                <w:tab w:val="clear" w:pos="3825"/>
              </w:tabs>
              <w:overflowPunct/>
              <w:spacing w:before="0" w:after="0"/>
              <w:jc w:val="center"/>
              <w:textAlignment w:val="auto"/>
              <w:rPr>
                <w:rFonts w:ascii="Times New Roman" w:hAnsi="Times New Roman"/>
                <w:b/>
                <w:bCs/>
                <w:color w:val="000000"/>
                <w:sz w:val="20"/>
                <w:lang w:val="sr-Cyrl-CS"/>
              </w:rPr>
            </w:pPr>
            <w:r w:rsidRPr="005303F7">
              <w:rPr>
                <w:rFonts w:ascii="Times New Roman" w:hAnsi="Times New Roman"/>
                <w:b/>
                <w:bCs/>
                <w:color w:val="000000"/>
                <w:sz w:val="20"/>
                <w:lang w:val="sr-Cyrl-CS"/>
              </w:rPr>
              <w:t>2020</w:t>
            </w:r>
            <w:r w:rsidR="00D90E8E" w:rsidRPr="005303F7">
              <w:rPr>
                <w:rFonts w:ascii="Times New Roman" w:hAnsi="Times New Roman"/>
                <w:b/>
                <w:bCs/>
                <w:color w:val="000000"/>
                <w:sz w:val="20"/>
                <w:lang w:val="sr-Cyrl-CS"/>
              </w:rPr>
              <w:t>.</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7E8F5C" w14:textId="13252D1E" w:rsidR="00C67735" w:rsidRPr="005303F7" w:rsidRDefault="00C67735" w:rsidP="0047133D">
            <w:pPr>
              <w:tabs>
                <w:tab w:val="clear" w:pos="3825"/>
              </w:tabs>
              <w:overflowPunct/>
              <w:spacing w:before="0" w:after="0"/>
              <w:jc w:val="center"/>
              <w:textAlignment w:val="auto"/>
              <w:rPr>
                <w:rFonts w:ascii="Times New Roman" w:hAnsi="Times New Roman"/>
                <w:b/>
                <w:bCs/>
                <w:color w:val="000000"/>
                <w:sz w:val="20"/>
                <w:lang w:val="sr-Cyrl-CS"/>
              </w:rPr>
            </w:pPr>
            <w:r w:rsidRPr="005303F7">
              <w:rPr>
                <w:rFonts w:ascii="Times New Roman" w:hAnsi="Times New Roman"/>
                <w:b/>
                <w:bCs/>
                <w:color w:val="000000"/>
                <w:sz w:val="20"/>
                <w:lang w:val="sr-Cyrl-CS"/>
              </w:rPr>
              <w:t>2025</w:t>
            </w:r>
            <w:r w:rsidR="00D90E8E" w:rsidRPr="005303F7">
              <w:rPr>
                <w:rFonts w:ascii="Times New Roman" w:hAnsi="Times New Roman"/>
                <w:b/>
                <w:bCs/>
                <w:color w:val="000000"/>
                <w:sz w:val="20"/>
                <w:lang w:val="sr-Cyrl-CS"/>
              </w:rPr>
              <w:t>.</w:t>
            </w:r>
          </w:p>
        </w:tc>
        <w:tc>
          <w:tcPr>
            <w:tcW w:w="18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44EA28D" w14:textId="14409BDD" w:rsidR="00C67735" w:rsidRPr="005303F7" w:rsidRDefault="00C67735" w:rsidP="0047133D">
            <w:pPr>
              <w:tabs>
                <w:tab w:val="clear" w:pos="3825"/>
              </w:tabs>
              <w:overflowPunct/>
              <w:spacing w:before="0" w:after="0"/>
              <w:jc w:val="center"/>
              <w:textAlignment w:val="auto"/>
              <w:rPr>
                <w:rFonts w:ascii="Times New Roman" w:hAnsi="Times New Roman"/>
                <w:b/>
                <w:bCs/>
                <w:color w:val="000000"/>
                <w:sz w:val="20"/>
                <w:lang w:val="sr-Cyrl-CS"/>
              </w:rPr>
            </w:pPr>
            <w:r w:rsidRPr="005303F7">
              <w:rPr>
                <w:rFonts w:ascii="Times New Roman" w:hAnsi="Times New Roman"/>
                <w:b/>
                <w:bCs/>
                <w:color w:val="000000"/>
                <w:sz w:val="20"/>
                <w:lang w:val="sr-Cyrl-CS"/>
              </w:rPr>
              <w:t>2030</w:t>
            </w:r>
            <w:r w:rsidR="00D90E8E" w:rsidRPr="005303F7">
              <w:rPr>
                <w:rFonts w:ascii="Times New Roman" w:hAnsi="Times New Roman"/>
                <w:b/>
                <w:bCs/>
                <w:color w:val="000000"/>
                <w:sz w:val="20"/>
                <w:lang w:val="sr-Cyrl-CS"/>
              </w:rPr>
              <w:t>.</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BEC4CE" w14:textId="0DA82E1A" w:rsidR="00C67735" w:rsidRPr="005303F7" w:rsidRDefault="00C67735" w:rsidP="0047133D">
            <w:pPr>
              <w:tabs>
                <w:tab w:val="clear" w:pos="3825"/>
              </w:tabs>
              <w:overflowPunct/>
              <w:spacing w:before="0" w:after="0"/>
              <w:jc w:val="center"/>
              <w:textAlignment w:val="auto"/>
              <w:rPr>
                <w:rFonts w:ascii="Times New Roman" w:hAnsi="Times New Roman"/>
                <w:b/>
                <w:bCs/>
                <w:color w:val="000000"/>
                <w:sz w:val="20"/>
                <w:lang w:val="sr-Cyrl-CS"/>
              </w:rPr>
            </w:pPr>
            <w:r w:rsidRPr="005303F7">
              <w:rPr>
                <w:rFonts w:ascii="Times New Roman" w:hAnsi="Times New Roman"/>
                <w:b/>
                <w:bCs/>
                <w:color w:val="000000"/>
                <w:sz w:val="20"/>
                <w:lang w:val="sr-Cyrl-CS"/>
              </w:rPr>
              <w:t>2050</w:t>
            </w:r>
            <w:r w:rsidR="00D90E8E" w:rsidRPr="005303F7">
              <w:rPr>
                <w:rFonts w:ascii="Times New Roman" w:hAnsi="Times New Roman"/>
                <w:b/>
                <w:bCs/>
                <w:color w:val="000000"/>
                <w:sz w:val="20"/>
                <w:lang w:val="sr-Cyrl-CS"/>
              </w:rPr>
              <w:t>.</w:t>
            </w:r>
          </w:p>
        </w:tc>
      </w:tr>
      <w:tr w:rsidR="00C67735" w:rsidRPr="005303F7" w14:paraId="780E0367" w14:textId="060CFF28" w:rsidTr="0047133D">
        <w:trPr>
          <w:trHeight w:val="290"/>
        </w:trPr>
        <w:tc>
          <w:tcPr>
            <w:tcW w:w="187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36E42A" w14:textId="486E22F4" w:rsidR="00C67735" w:rsidRPr="005303F7" w:rsidRDefault="00BF65FC" w:rsidP="0047133D">
            <w:pPr>
              <w:tabs>
                <w:tab w:val="clear" w:pos="3825"/>
              </w:tabs>
              <w:overflowPunct/>
              <w:spacing w:before="0" w:after="0"/>
              <w:jc w:val="center"/>
              <w:textAlignment w:val="auto"/>
              <w:rPr>
                <w:rFonts w:ascii="Times New Roman" w:hAnsi="Times New Roman"/>
                <w:b/>
                <w:bCs/>
                <w:color w:val="000000"/>
                <w:sz w:val="20"/>
                <w:lang w:val="sr-Cyrl-CS"/>
              </w:rPr>
            </w:pPr>
            <w:r w:rsidRPr="005303F7">
              <w:rPr>
                <w:rFonts w:ascii="Times New Roman" w:hAnsi="Times New Roman"/>
                <w:b/>
                <w:bCs/>
                <w:color w:val="000000"/>
                <w:sz w:val="20"/>
                <w:lang w:val="sr-Cyrl-CS"/>
              </w:rPr>
              <w:t>Б</w:t>
            </w:r>
            <w:r w:rsidR="00C67735" w:rsidRPr="005303F7">
              <w:rPr>
                <w:rFonts w:ascii="Times New Roman" w:hAnsi="Times New Roman"/>
                <w:b/>
                <w:bCs/>
                <w:color w:val="000000"/>
                <w:sz w:val="20"/>
                <w:lang w:val="sr-Cyrl-CS"/>
              </w:rPr>
              <w:t>2 (</w:t>
            </w:r>
            <w:r w:rsidRPr="005303F7">
              <w:rPr>
                <w:rFonts w:ascii="Times New Roman" w:hAnsi="Times New Roman"/>
                <w:b/>
                <w:bCs/>
                <w:color w:val="000000"/>
                <w:sz w:val="20"/>
                <w:lang w:val="sr-Cyrl-CS"/>
              </w:rPr>
              <w:t>кт</w:t>
            </w:r>
            <w:r w:rsidR="00C67735" w:rsidRPr="005303F7">
              <w:rPr>
                <w:rFonts w:ascii="Times New Roman" w:hAnsi="Times New Roman"/>
                <w:b/>
                <w:bCs/>
                <w:color w:val="000000"/>
                <w:sz w:val="20"/>
                <w:lang w:val="sr-Cyrl-CS"/>
              </w:rPr>
              <w:t>)</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3DBE8EA" w14:textId="41174749" w:rsidR="00C67735" w:rsidRPr="005303F7" w:rsidRDefault="00C67735" w:rsidP="0047133D">
            <w:pPr>
              <w:tabs>
                <w:tab w:val="clear" w:pos="3825"/>
              </w:tabs>
              <w:overflowPunct/>
              <w:spacing w:before="0" w:after="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29,7</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668321B0" w14:textId="3516A46C" w:rsidR="00C67735" w:rsidRPr="005303F7" w:rsidRDefault="00C67735" w:rsidP="0047133D">
            <w:pPr>
              <w:tabs>
                <w:tab w:val="clear" w:pos="3825"/>
              </w:tabs>
              <w:overflowPunct/>
              <w:spacing w:before="0" w:after="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28,6</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14:paraId="4FB03E1E" w14:textId="40AE8219" w:rsidR="00C67735" w:rsidRPr="005303F7" w:rsidRDefault="00C67735" w:rsidP="0047133D">
            <w:pPr>
              <w:tabs>
                <w:tab w:val="clear" w:pos="3825"/>
              </w:tabs>
              <w:overflowPunct/>
              <w:spacing w:before="0" w:after="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27,0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374BF54B" w14:textId="5F3376E9" w:rsidR="00C67735" w:rsidRPr="005303F7" w:rsidRDefault="00C67735" w:rsidP="0047133D">
            <w:pPr>
              <w:tabs>
                <w:tab w:val="clear" w:pos="3825"/>
              </w:tabs>
              <w:overflowPunct/>
              <w:spacing w:before="0" w:after="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27,</w:t>
            </w:r>
            <w:r w:rsidR="00067FC0" w:rsidRPr="005303F7">
              <w:rPr>
                <w:rFonts w:ascii="Times New Roman" w:hAnsi="Times New Roman"/>
                <w:color w:val="000000"/>
                <w:sz w:val="20"/>
                <w:lang w:val="sr-Cyrl-CS"/>
              </w:rPr>
              <w:t>9</w:t>
            </w:r>
          </w:p>
        </w:tc>
      </w:tr>
      <w:tr w:rsidR="00C67735" w:rsidRPr="005303F7" w14:paraId="4287E2D3" w14:textId="372CFB71" w:rsidTr="0047133D">
        <w:trPr>
          <w:trHeight w:val="290"/>
        </w:trPr>
        <w:tc>
          <w:tcPr>
            <w:tcW w:w="187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A5795C" w14:textId="443FCB4C" w:rsidR="00C67735" w:rsidRPr="005303F7" w:rsidRDefault="00BF65FC" w:rsidP="0047133D">
            <w:pPr>
              <w:tabs>
                <w:tab w:val="clear" w:pos="3825"/>
              </w:tabs>
              <w:overflowPunct/>
              <w:spacing w:before="0" w:after="0"/>
              <w:jc w:val="center"/>
              <w:textAlignment w:val="auto"/>
              <w:rPr>
                <w:rFonts w:ascii="Times New Roman" w:hAnsi="Times New Roman"/>
                <w:b/>
                <w:bCs/>
                <w:color w:val="000000"/>
                <w:sz w:val="20"/>
                <w:lang w:val="sr-Cyrl-CS"/>
              </w:rPr>
            </w:pPr>
            <w:r w:rsidRPr="005303F7">
              <w:rPr>
                <w:rFonts w:ascii="Times New Roman" w:hAnsi="Times New Roman"/>
                <w:b/>
                <w:bCs/>
                <w:color w:val="000000"/>
                <w:sz w:val="20"/>
                <w:lang w:val="sr-Cyrl-CS"/>
              </w:rPr>
              <w:t>М</w:t>
            </w:r>
            <w:r w:rsidR="00C67735" w:rsidRPr="005303F7">
              <w:rPr>
                <w:rFonts w:ascii="Times New Roman" w:hAnsi="Times New Roman"/>
                <w:b/>
                <w:bCs/>
                <w:color w:val="000000"/>
                <w:sz w:val="20"/>
                <w:lang w:val="sr-Cyrl-CS"/>
              </w:rPr>
              <w:t>2</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32D8A7A" w14:textId="6E0A9CE8" w:rsidR="00C67735" w:rsidRPr="005303F7" w:rsidRDefault="00C67735" w:rsidP="0047133D">
            <w:pPr>
              <w:tabs>
                <w:tab w:val="clear" w:pos="3825"/>
              </w:tabs>
              <w:overflowPunct/>
              <w:spacing w:before="0" w:after="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8,8%</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5262BD0" w14:textId="283265FF" w:rsidR="00C67735" w:rsidRPr="005303F7" w:rsidRDefault="00C67735" w:rsidP="0047133D">
            <w:pPr>
              <w:tabs>
                <w:tab w:val="clear" w:pos="3825"/>
              </w:tabs>
              <w:overflowPunct/>
              <w:spacing w:before="0" w:after="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0,5%</w:t>
            </w:r>
          </w:p>
        </w:tc>
        <w:tc>
          <w:tcPr>
            <w:tcW w:w="1842" w:type="dxa"/>
            <w:tcBorders>
              <w:top w:val="single" w:sz="6" w:space="0" w:color="auto"/>
              <w:left w:val="single" w:sz="6" w:space="0" w:color="auto"/>
              <w:bottom w:val="single" w:sz="6" w:space="0" w:color="auto"/>
              <w:right w:val="single" w:sz="6" w:space="0" w:color="auto"/>
            </w:tcBorders>
            <w:shd w:val="solid" w:color="FFFFFF" w:fill="auto"/>
          </w:tcPr>
          <w:p w14:paraId="246B749A" w14:textId="36D7B2BE" w:rsidR="00C67735" w:rsidRPr="005303F7" w:rsidRDefault="00C67735" w:rsidP="0047133D">
            <w:pPr>
              <w:tabs>
                <w:tab w:val="clear" w:pos="3825"/>
              </w:tabs>
              <w:overflowPunct/>
              <w:spacing w:before="0" w:after="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-7,0%</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964FE98" w14:textId="0BF0FD2A" w:rsidR="00C67735" w:rsidRPr="005303F7" w:rsidRDefault="00C67735" w:rsidP="0047133D">
            <w:pPr>
              <w:tabs>
                <w:tab w:val="clear" w:pos="3825"/>
              </w:tabs>
              <w:overflowPunct/>
              <w:spacing w:before="0" w:after="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-28,7%</w:t>
            </w:r>
          </w:p>
        </w:tc>
      </w:tr>
      <w:tr w:rsidR="00C67735" w:rsidRPr="005303F7" w14:paraId="130AD1A5" w14:textId="6E2EB7A6" w:rsidTr="0047133D">
        <w:trPr>
          <w:trHeight w:val="290"/>
        </w:trPr>
        <w:tc>
          <w:tcPr>
            <w:tcW w:w="187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159376" w14:textId="5E670896" w:rsidR="00C67735" w:rsidRPr="005303F7" w:rsidRDefault="00BF65FC" w:rsidP="0047133D">
            <w:pPr>
              <w:tabs>
                <w:tab w:val="clear" w:pos="3825"/>
              </w:tabs>
              <w:overflowPunct/>
              <w:spacing w:before="0" w:after="0"/>
              <w:jc w:val="center"/>
              <w:textAlignment w:val="auto"/>
              <w:rPr>
                <w:rFonts w:ascii="Times New Roman" w:hAnsi="Times New Roman"/>
                <w:b/>
                <w:bCs/>
                <w:color w:val="000000"/>
                <w:sz w:val="20"/>
                <w:lang w:val="sr-Cyrl-CS"/>
              </w:rPr>
            </w:pPr>
            <w:r w:rsidRPr="005303F7">
              <w:rPr>
                <w:rFonts w:ascii="Times New Roman" w:hAnsi="Times New Roman"/>
                <w:b/>
                <w:bCs/>
                <w:color w:val="000000"/>
                <w:sz w:val="20"/>
                <w:lang w:val="sr-Cyrl-CS"/>
              </w:rPr>
              <w:t>М</w:t>
            </w:r>
            <w:r w:rsidR="00C67735" w:rsidRPr="005303F7">
              <w:rPr>
                <w:rFonts w:ascii="Times New Roman" w:hAnsi="Times New Roman"/>
                <w:b/>
                <w:bCs/>
                <w:color w:val="000000"/>
                <w:sz w:val="20"/>
                <w:lang w:val="sr-Cyrl-CS"/>
              </w:rPr>
              <w:t>3</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40C71BC4" w14:textId="3273079A" w:rsidR="00C67735" w:rsidRPr="005303F7" w:rsidRDefault="00C67735" w:rsidP="0047133D">
            <w:pPr>
              <w:tabs>
                <w:tab w:val="clear" w:pos="3825"/>
              </w:tabs>
              <w:overflowPunct/>
              <w:spacing w:before="0" w:after="0"/>
              <w:jc w:val="center"/>
              <w:textAlignment w:val="auto"/>
              <w:rPr>
                <w:rFonts w:ascii="Times New Roman" w:hAnsi="Times New Roman"/>
                <w:color w:val="000000"/>
                <w:sz w:val="20"/>
                <w:lang w:val="sr-Cyrl-CS"/>
              </w:rPr>
            </w:pPr>
            <w:r w:rsidRPr="005303F7">
              <w:rPr>
                <w:rFonts w:ascii="Times New Roman" w:hAnsi="Times New Roman"/>
                <w:sz w:val="20"/>
                <w:lang w:val="sr-Cyrl-CS" w:eastAsia="pt-PT"/>
              </w:rPr>
              <w:t>-</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3180F875" w14:textId="0AF34A73" w:rsidR="00C67735" w:rsidRPr="005303F7" w:rsidRDefault="00C67735" w:rsidP="0047133D">
            <w:pPr>
              <w:tabs>
                <w:tab w:val="clear" w:pos="3825"/>
              </w:tabs>
              <w:overflowPunct/>
              <w:spacing w:before="0" w:after="0"/>
              <w:jc w:val="center"/>
              <w:textAlignment w:val="auto"/>
              <w:rPr>
                <w:rFonts w:ascii="Times New Roman" w:hAnsi="Times New Roman"/>
                <w:color w:val="000000"/>
                <w:sz w:val="20"/>
                <w:lang w:val="sr-Cyrl-CS"/>
              </w:rPr>
            </w:pPr>
            <w:r w:rsidRPr="005303F7">
              <w:rPr>
                <w:rFonts w:ascii="Times New Roman" w:hAnsi="Times New Roman"/>
                <w:sz w:val="20"/>
                <w:lang w:val="sr-Cyrl-CS" w:eastAsia="pt-PT"/>
              </w:rPr>
              <w:t>-</w:t>
            </w:r>
          </w:p>
        </w:tc>
        <w:tc>
          <w:tcPr>
            <w:tcW w:w="1842" w:type="dxa"/>
            <w:tcBorders>
              <w:top w:val="single" w:sz="6" w:space="0" w:color="auto"/>
              <w:left w:val="single" w:sz="6" w:space="0" w:color="auto"/>
              <w:bottom w:val="single" w:sz="6" w:space="0" w:color="auto"/>
              <w:right w:val="single" w:sz="6" w:space="0" w:color="auto"/>
            </w:tcBorders>
            <w:shd w:val="solid" w:color="FFFFFF" w:fill="auto"/>
            <w:vAlign w:val="center"/>
          </w:tcPr>
          <w:p w14:paraId="3BC87A91" w14:textId="533CF199" w:rsidR="00C67735" w:rsidRPr="005303F7" w:rsidRDefault="00C67735" w:rsidP="0047133D">
            <w:pPr>
              <w:tabs>
                <w:tab w:val="clear" w:pos="3825"/>
              </w:tabs>
              <w:overflowPunct/>
              <w:spacing w:before="0" w:after="0"/>
              <w:jc w:val="center"/>
              <w:textAlignment w:val="auto"/>
              <w:rPr>
                <w:rFonts w:ascii="Times New Roman" w:hAnsi="Times New Roman"/>
                <w:color w:val="000000"/>
                <w:sz w:val="20"/>
                <w:lang w:val="sr-Cyrl-CS"/>
              </w:rPr>
            </w:pPr>
            <w:r w:rsidRPr="005303F7">
              <w:rPr>
                <w:rFonts w:ascii="Times New Roman" w:hAnsi="Times New Roman"/>
                <w:sz w:val="20"/>
                <w:lang w:val="sr-Cyrl-CS" w:eastAsia="pt-PT"/>
              </w:rPr>
              <w:t>-</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512F341" w14:textId="640D52CF" w:rsidR="00C67735" w:rsidRPr="005303F7" w:rsidRDefault="00C67735" w:rsidP="0047133D">
            <w:pPr>
              <w:tabs>
                <w:tab w:val="clear" w:pos="3825"/>
              </w:tabs>
              <w:overflowPunct/>
              <w:spacing w:before="0" w:after="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-49,1%</w:t>
            </w:r>
          </w:p>
        </w:tc>
      </w:tr>
      <w:tr w:rsidR="00C67735" w:rsidRPr="005303F7" w14:paraId="2808A72A" w14:textId="1647DC98" w:rsidTr="0047133D">
        <w:trPr>
          <w:trHeight w:val="290"/>
        </w:trPr>
        <w:tc>
          <w:tcPr>
            <w:tcW w:w="187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194FEE" w14:textId="31C14480" w:rsidR="00C67735" w:rsidRPr="005303F7" w:rsidRDefault="00BF65FC" w:rsidP="0047133D">
            <w:pPr>
              <w:tabs>
                <w:tab w:val="clear" w:pos="3825"/>
              </w:tabs>
              <w:overflowPunct/>
              <w:spacing w:before="0" w:after="0"/>
              <w:jc w:val="center"/>
              <w:textAlignment w:val="auto"/>
              <w:rPr>
                <w:rFonts w:ascii="Times New Roman" w:hAnsi="Times New Roman"/>
                <w:b/>
                <w:bCs/>
                <w:color w:val="000000"/>
                <w:sz w:val="20"/>
                <w:lang w:val="sr-Cyrl-CS"/>
              </w:rPr>
            </w:pPr>
            <w:r w:rsidRPr="005303F7">
              <w:rPr>
                <w:rFonts w:ascii="Times New Roman" w:hAnsi="Times New Roman"/>
                <w:b/>
                <w:bCs/>
                <w:color w:val="000000"/>
                <w:sz w:val="20"/>
                <w:lang w:val="sr-Cyrl-CS"/>
              </w:rPr>
              <w:t>М</w:t>
            </w:r>
            <w:r w:rsidR="00C67735" w:rsidRPr="005303F7">
              <w:rPr>
                <w:rFonts w:ascii="Times New Roman" w:hAnsi="Times New Roman"/>
                <w:b/>
                <w:bCs/>
                <w:color w:val="000000"/>
                <w:sz w:val="20"/>
                <w:lang w:val="sr-Cyrl-CS"/>
              </w:rPr>
              <w:t>4</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631C1EA6" w14:textId="3F885035" w:rsidR="00C67735" w:rsidRPr="005303F7" w:rsidRDefault="00C67735" w:rsidP="0047133D">
            <w:pPr>
              <w:tabs>
                <w:tab w:val="clear" w:pos="3825"/>
              </w:tabs>
              <w:overflowPunct/>
              <w:spacing w:before="0" w:after="0"/>
              <w:jc w:val="center"/>
              <w:textAlignment w:val="auto"/>
              <w:rPr>
                <w:rFonts w:ascii="Times New Roman" w:hAnsi="Times New Roman"/>
                <w:color w:val="000000"/>
                <w:sz w:val="20"/>
                <w:lang w:val="sr-Cyrl-CS"/>
              </w:rPr>
            </w:pPr>
            <w:r w:rsidRPr="005303F7">
              <w:rPr>
                <w:rFonts w:ascii="Times New Roman" w:hAnsi="Times New Roman"/>
                <w:sz w:val="20"/>
                <w:lang w:val="sr-Cyrl-CS" w:eastAsia="pt-PT"/>
              </w:rPr>
              <w:t>-</w:t>
            </w:r>
          </w:p>
        </w:tc>
        <w:tc>
          <w:tcPr>
            <w:tcW w:w="1843" w:type="dxa"/>
            <w:tcBorders>
              <w:top w:val="single" w:sz="6" w:space="0" w:color="auto"/>
              <w:left w:val="single" w:sz="6" w:space="0" w:color="auto"/>
              <w:bottom w:val="single" w:sz="6" w:space="0" w:color="auto"/>
              <w:right w:val="single" w:sz="6" w:space="0" w:color="auto"/>
            </w:tcBorders>
            <w:shd w:val="solid" w:color="FFFFFF" w:fill="auto"/>
            <w:vAlign w:val="center"/>
          </w:tcPr>
          <w:p w14:paraId="48D0A131" w14:textId="3AAF1239" w:rsidR="00C67735" w:rsidRPr="005303F7" w:rsidRDefault="00C67735" w:rsidP="0047133D">
            <w:pPr>
              <w:tabs>
                <w:tab w:val="clear" w:pos="3825"/>
              </w:tabs>
              <w:overflowPunct/>
              <w:spacing w:before="0" w:after="0"/>
              <w:jc w:val="center"/>
              <w:textAlignment w:val="auto"/>
              <w:rPr>
                <w:rFonts w:ascii="Times New Roman" w:hAnsi="Times New Roman"/>
                <w:color w:val="000000"/>
                <w:sz w:val="20"/>
                <w:lang w:val="sr-Cyrl-CS"/>
              </w:rPr>
            </w:pPr>
            <w:r w:rsidRPr="005303F7">
              <w:rPr>
                <w:rFonts w:ascii="Times New Roman" w:hAnsi="Times New Roman"/>
                <w:sz w:val="20"/>
                <w:lang w:val="sr-Cyrl-CS" w:eastAsia="pt-PT"/>
              </w:rPr>
              <w:t>-</w:t>
            </w:r>
          </w:p>
        </w:tc>
        <w:tc>
          <w:tcPr>
            <w:tcW w:w="1842" w:type="dxa"/>
            <w:tcBorders>
              <w:top w:val="single" w:sz="6" w:space="0" w:color="auto"/>
              <w:left w:val="single" w:sz="6" w:space="0" w:color="auto"/>
              <w:bottom w:val="single" w:sz="6" w:space="0" w:color="auto"/>
              <w:right w:val="single" w:sz="6" w:space="0" w:color="auto"/>
            </w:tcBorders>
            <w:shd w:val="solid" w:color="FFFFFF" w:fill="auto"/>
            <w:vAlign w:val="center"/>
          </w:tcPr>
          <w:p w14:paraId="06C4BB4E" w14:textId="5E4ADBE1" w:rsidR="00C67735" w:rsidRPr="005303F7" w:rsidRDefault="00C67735" w:rsidP="0047133D">
            <w:pPr>
              <w:tabs>
                <w:tab w:val="clear" w:pos="3825"/>
              </w:tabs>
              <w:overflowPunct/>
              <w:spacing w:before="0" w:after="0"/>
              <w:jc w:val="center"/>
              <w:textAlignment w:val="auto"/>
              <w:rPr>
                <w:rFonts w:ascii="Times New Roman" w:hAnsi="Times New Roman"/>
                <w:color w:val="000000"/>
                <w:sz w:val="20"/>
                <w:lang w:val="sr-Cyrl-CS"/>
              </w:rPr>
            </w:pPr>
            <w:r w:rsidRPr="005303F7">
              <w:rPr>
                <w:rFonts w:ascii="Times New Roman" w:hAnsi="Times New Roman"/>
                <w:sz w:val="20"/>
                <w:lang w:val="sr-Cyrl-CS" w:eastAsia="pt-PT"/>
              </w:rPr>
              <w:t>-</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44526565" w14:textId="78E22239" w:rsidR="00C67735" w:rsidRPr="005303F7" w:rsidRDefault="00C67735" w:rsidP="0047133D">
            <w:pPr>
              <w:tabs>
                <w:tab w:val="clear" w:pos="3825"/>
              </w:tabs>
              <w:overflowPunct/>
              <w:spacing w:before="0" w:after="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-39,7%</w:t>
            </w:r>
          </w:p>
        </w:tc>
      </w:tr>
    </w:tbl>
    <w:p w14:paraId="5A51627A" w14:textId="2DAD3412" w:rsidR="00DD2BFE" w:rsidRPr="005303F7" w:rsidRDefault="00DD2BFE" w:rsidP="002D4E85">
      <w:pPr>
        <w:rPr>
          <w:rFonts w:ascii="Times New Roman" w:hAnsi="Times New Roman"/>
          <w:b/>
          <w:i/>
          <w:lang w:val="sr-Cyrl-CS" w:eastAsia="en-US"/>
        </w:rPr>
      </w:pPr>
    </w:p>
    <w:p w14:paraId="2FD90BF3" w14:textId="3C6F5E09" w:rsidR="00C67735" w:rsidRPr="005303F7" w:rsidRDefault="00CE64CE" w:rsidP="002D4E85">
      <w:pPr>
        <w:rPr>
          <w:rFonts w:ascii="Times New Roman" w:hAnsi="Times New Roman"/>
          <w:b/>
          <w:i/>
          <w:sz w:val="24"/>
          <w:lang w:val="sr-Cyrl-CS" w:eastAsia="en-US"/>
        </w:rPr>
      </w:pPr>
      <w:r w:rsidRPr="005303F7">
        <w:rPr>
          <w:rFonts w:ascii="Times New Roman" w:hAnsi="Times New Roman"/>
          <w:b/>
          <w:i/>
          <w:sz w:val="24"/>
          <w:lang w:val="sr-Cyrl-CS" w:eastAsia="en-US"/>
        </w:rPr>
        <w:t>2)</w:t>
      </w:r>
      <w:r w:rsidR="00C67735" w:rsidRPr="005303F7">
        <w:rPr>
          <w:rFonts w:ascii="Times New Roman" w:hAnsi="Times New Roman"/>
          <w:b/>
          <w:i/>
          <w:sz w:val="24"/>
          <w:lang w:val="sr-Cyrl-CS" w:eastAsia="en-US"/>
        </w:rPr>
        <w:t xml:space="preserve"> </w:t>
      </w:r>
      <w:bookmarkStart w:id="312" w:name="_Hlk26965362"/>
      <w:r w:rsidR="00BF65FC" w:rsidRPr="005303F7">
        <w:rPr>
          <w:rFonts w:ascii="Times New Roman" w:hAnsi="Times New Roman"/>
          <w:b/>
          <w:i/>
          <w:sz w:val="24"/>
          <w:lang w:val="sr-Cyrl-CS" w:eastAsia="en-US"/>
        </w:rPr>
        <w:t>Биланс</w:t>
      </w:r>
      <w:r w:rsidR="00AD2611" w:rsidRPr="005303F7">
        <w:rPr>
          <w:rFonts w:ascii="Times New Roman" w:hAnsi="Times New Roman"/>
          <w:b/>
          <w:i/>
          <w:sz w:val="24"/>
          <w:lang w:val="sr-Cyrl-CS" w:eastAsia="en-US"/>
        </w:rPr>
        <w:t xml:space="preserve"> </w:t>
      </w:r>
      <w:r w:rsidR="00BF65FC" w:rsidRPr="005303F7">
        <w:rPr>
          <w:rFonts w:ascii="Times New Roman" w:hAnsi="Times New Roman"/>
          <w:b/>
          <w:i/>
          <w:sz w:val="24"/>
          <w:lang w:val="sr-Cyrl-CS" w:eastAsia="en-US"/>
        </w:rPr>
        <w:t>азота</w:t>
      </w:r>
      <w:r w:rsidR="00D90E8E" w:rsidRPr="005303F7">
        <w:rPr>
          <w:rFonts w:ascii="Times New Roman" w:hAnsi="Times New Roman"/>
          <w:b/>
          <w:i/>
          <w:sz w:val="24"/>
          <w:lang w:val="sr-Cyrl-CS" w:eastAsia="en-US"/>
        </w:rPr>
        <w:t xml:space="preserve"> (</w:t>
      </w:r>
      <w:r w:rsidR="00BF65FC" w:rsidRPr="005303F7">
        <w:rPr>
          <w:rFonts w:ascii="Times New Roman" w:hAnsi="Times New Roman"/>
          <w:b/>
          <w:i/>
          <w:sz w:val="24"/>
          <w:lang w:val="sr-Cyrl-CS" w:eastAsia="en-US"/>
        </w:rPr>
        <w:t>N</w:t>
      </w:r>
      <w:r w:rsidR="00D90E8E" w:rsidRPr="005303F7">
        <w:rPr>
          <w:rFonts w:ascii="Times New Roman" w:hAnsi="Times New Roman"/>
          <w:b/>
          <w:i/>
          <w:sz w:val="24"/>
          <w:lang w:val="sr-Cyrl-CS" w:eastAsia="en-US"/>
        </w:rPr>
        <w:t xml:space="preserve"> </w:t>
      </w:r>
      <w:r w:rsidR="00BF65FC" w:rsidRPr="005303F7">
        <w:rPr>
          <w:rFonts w:ascii="Times New Roman" w:hAnsi="Times New Roman"/>
          <w:b/>
          <w:i/>
          <w:sz w:val="24"/>
          <w:lang w:val="sr-Cyrl-CS" w:eastAsia="en-US"/>
        </w:rPr>
        <w:t>биланс</w:t>
      </w:r>
      <w:r w:rsidR="00D90E8E" w:rsidRPr="005303F7">
        <w:rPr>
          <w:rFonts w:ascii="Times New Roman" w:hAnsi="Times New Roman"/>
          <w:b/>
          <w:i/>
          <w:sz w:val="24"/>
          <w:lang w:val="sr-Cyrl-CS" w:eastAsia="en-US"/>
        </w:rPr>
        <w:t>)</w:t>
      </w:r>
      <w:bookmarkEnd w:id="312"/>
    </w:p>
    <w:p w14:paraId="0501F52B" w14:textId="29D3C3FA" w:rsidR="00AD2611" w:rsidRPr="005303F7" w:rsidRDefault="00DA7CD2" w:rsidP="00AD2611">
      <w:pPr>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Биланс</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азота</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N</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биланс</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мери</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као</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разлика</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између</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улазног</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азота</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од</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ђубрива</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стајњака</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остатака</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усева</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итд</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излазног</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азота</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од</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губитака</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виду</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гасова</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спирања</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минерала</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итд</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Азот</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је</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витално</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хранљиво</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средство</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које</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помаже</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биљкама</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усевима</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да</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расту</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али</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високе</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концентрације</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су</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штетне</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људе</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природу</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Што</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је</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биланс</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азота</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ближи</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нули</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равнотежи</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то</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је</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одређена</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мера</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прихватљивија</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животну</w:t>
      </w:r>
      <w:r w:rsidR="00AD2611" w:rsidRPr="005303F7">
        <w:rPr>
          <w:rFonts w:ascii="Times New Roman" w:hAnsi="Times New Roman"/>
          <w:sz w:val="24"/>
          <w:lang w:val="sr-Cyrl-CS"/>
        </w:rPr>
        <w:t xml:space="preserve"> </w:t>
      </w:r>
      <w:r w:rsidR="00BF65FC" w:rsidRPr="005303F7">
        <w:rPr>
          <w:rFonts w:ascii="Times New Roman" w:hAnsi="Times New Roman"/>
          <w:sz w:val="24"/>
          <w:lang w:val="sr-Cyrl-CS"/>
        </w:rPr>
        <w:t>средину</w:t>
      </w:r>
      <w:r w:rsidR="00AD2611" w:rsidRPr="005303F7">
        <w:rPr>
          <w:rFonts w:ascii="Times New Roman" w:hAnsi="Times New Roman"/>
          <w:sz w:val="24"/>
          <w:lang w:val="sr-Cyrl-CS"/>
        </w:rPr>
        <w:t xml:space="preserve">. </w:t>
      </w:r>
    </w:p>
    <w:p w14:paraId="33E1DC02" w14:textId="6D7A18DB" w:rsidR="00D52337" w:rsidRPr="005303F7" w:rsidRDefault="00DA7CD2" w:rsidP="00F00B1D">
      <w:pPr>
        <w:rPr>
          <w:rFonts w:ascii="Times New Roman" w:hAnsi="Times New Roman"/>
          <w:sz w:val="24"/>
          <w:lang w:val="sr-Cyrl-CS" w:eastAsia="en-US"/>
        </w:rPr>
      </w:pPr>
      <w:r w:rsidRPr="005303F7">
        <w:rPr>
          <w:rFonts w:ascii="Times New Roman" w:hAnsi="Times New Roman"/>
          <w:sz w:val="24"/>
          <w:szCs w:val="22"/>
          <w:lang w:val="sr-Cyrl-CS" w:eastAsia="en-US"/>
        </w:rPr>
        <w:t xml:space="preserve">               </w:t>
      </w:r>
      <w:r w:rsidR="00BF65FC" w:rsidRPr="005303F7">
        <w:rPr>
          <w:rFonts w:ascii="Times New Roman" w:hAnsi="Times New Roman"/>
          <w:sz w:val="24"/>
          <w:szCs w:val="22"/>
          <w:lang w:val="sr-Cyrl-CS" w:eastAsia="en-US"/>
        </w:rPr>
        <w:t>Табела</w:t>
      </w:r>
      <w:r w:rsidR="00DF4371" w:rsidRPr="005303F7">
        <w:rPr>
          <w:rFonts w:ascii="Times New Roman" w:hAnsi="Times New Roman"/>
          <w:sz w:val="24"/>
          <w:szCs w:val="22"/>
          <w:lang w:val="sr-Cyrl-CS" w:eastAsia="en-US"/>
        </w:rPr>
        <w:t xml:space="preserve"> 11</w:t>
      </w:r>
      <w:r w:rsidR="00C67735" w:rsidRPr="005303F7">
        <w:rPr>
          <w:rFonts w:ascii="Times New Roman" w:hAnsi="Times New Roman"/>
          <w:sz w:val="24"/>
          <w:szCs w:val="22"/>
          <w:lang w:val="sr-Cyrl-CS" w:eastAsia="en-US"/>
        </w:rPr>
        <w:t>,</w:t>
      </w:r>
      <w:r w:rsidR="00C67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представља</w:t>
      </w:r>
      <w:r w:rsidR="00CD185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стварну</w:t>
      </w:r>
      <w:r w:rsidR="00CD185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вредност</w:t>
      </w:r>
      <w:r w:rsidR="00CD185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N</w:t>
      </w:r>
      <w:r w:rsidR="00CD185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биланса</w:t>
      </w:r>
      <w:r w:rsidR="00C67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kt</w:t>
      </w:r>
      <w:r w:rsidR="00C67735"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CD185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основном</w:t>
      </w:r>
      <w:r w:rsidR="00CD185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Б</w:t>
      </w:r>
      <w:r w:rsidR="00CD1850" w:rsidRPr="005303F7">
        <w:rPr>
          <w:rFonts w:ascii="Times New Roman" w:hAnsi="Times New Roman"/>
          <w:sz w:val="24"/>
          <w:lang w:val="sr-Cyrl-CS" w:eastAsia="en-US"/>
        </w:rPr>
        <w:t xml:space="preserve">2 </w:t>
      </w:r>
      <w:r w:rsidR="00BF65FC" w:rsidRPr="005303F7">
        <w:rPr>
          <w:rFonts w:ascii="Times New Roman" w:hAnsi="Times New Roman"/>
          <w:sz w:val="24"/>
          <w:lang w:val="sr-Cyrl-CS" w:eastAsia="en-US"/>
        </w:rPr>
        <w:t>сценарију</w:t>
      </w:r>
      <w:r w:rsidR="00CD185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где</w:t>
      </w:r>
      <w:r w:rsidR="00CD185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се</w:t>
      </w:r>
      <w:r w:rsidR="00CD185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види</w:t>
      </w:r>
      <w:r w:rsidR="00CD1850"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опадајући</w:t>
      </w:r>
      <w:r w:rsidR="00D5233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тренд</w:t>
      </w:r>
      <w:r w:rsidR="00D5233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од</w:t>
      </w:r>
      <w:r w:rsidR="00D52337" w:rsidRPr="005303F7">
        <w:rPr>
          <w:rFonts w:ascii="Times New Roman" w:hAnsi="Times New Roman"/>
          <w:sz w:val="24"/>
          <w:lang w:val="sr-Cyrl-CS" w:eastAsia="en-US"/>
        </w:rPr>
        <w:t xml:space="preserve"> 2020. </w:t>
      </w:r>
      <w:r w:rsidR="00BF65FC" w:rsidRPr="005303F7">
        <w:rPr>
          <w:rFonts w:ascii="Times New Roman" w:hAnsi="Times New Roman"/>
          <w:sz w:val="24"/>
          <w:lang w:val="sr-Cyrl-CS" w:eastAsia="en-US"/>
        </w:rPr>
        <w:t>до</w:t>
      </w:r>
      <w:r w:rsidR="00D52337" w:rsidRPr="005303F7">
        <w:rPr>
          <w:rFonts w:ascii="Times New Roman" w:hAnsi="Times New Roman"/>
          <w:sz w:val="24"/>
          <w:lang w:val="sr-Cyrl-CS" w:eastAsia="en-US"/>
        </w:rPr>
        <w:t xml:space="preserve"> 2050. </w:t>
      </w:r>
      <w:r w:rsidR="00BF65FC" w:rsidRPr="005303F7">
        <w:rPr>
          <w:rFonts w:ascii="Times New Roman" w:hAnsi="Times New Roman"/>
          <w:sz w:val="24"/>
          <w:lang w:val="sr-Cyrl-CS" w:eastAsia="en-US"/>
        </w:rPr>
        <w:t>године</w:t>
      </w:r>
      <w:r w:rsidR="004530D9" w:rsidRPr="005303F7">
        <w:rPr>
          <w:rFonts w:ascii="Times New Roman" w:hAnsi="Times New Roman"/>
          <w:sz w:val="24"/>
          <w:lang w:val="sr-Cyrl-CS" w:eastAsia="en-US"/>
        </w:rPr>
        <w:t>.</w:t>
      </w:r>
      <w:r w:rsidR="00306065" w:rsidRPr="005303F7">
        <w:rPr>
          <w:rFonts w:ascii="Times New Roman" w:hAnsi="Times New Roman"/>
          <w:sz w:val="24"/>
          <w:lang w:val="sr-Cyrl-CS" w:eastAsia="en-US"/>
        </w:rPr>
        <w:t xml:space="preserve"> </w:t>
      </w:r>
      <w:bookmarkStart w:id="313" w:name="_Ref8916108"/>
      <w:bookmarkStart w:id="314" w:name="_Toc13132546"/>
      <w:r w:rsidR="00BF65FC" w:rsidRPr="005303F7">
        <w:rPr>
          <w:rFonts w:ascii="Times New Roman" w:hAnsi="Times New Roman"/>
          <w:sz w:val="24"/>
          <w:lang w:val="sr-Cyrl-CS" w:eastAsia="en-US"/>
        </w:rPr>
        <w:t>Овај</w:t>
      </w:r>
      <w:r w:rsidR="00D5233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тренд</w:t>
      </w:r>
      <w:r w:rsidR="00D5233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се</w:t>
      </w:r>
      <w:r w:rsidR="00D5233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интензивира</w:t>
      </w:r>
      <w:r w:rsidR="00D5233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спровођењем</w:t>
      </w:r>
      <w:r w:rsidR="00D5233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мера</w:t>
      </w:r>
      <w:r w:rsidR="00D5233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Стратегије</w:t>
      </w:r>
      <w:r w:rsidR="00D5233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У</w:t>
      </w:r>
      <w:r w:rsidR="00D52337" w:rsidRPr="005303F7">
        <w:rPr>
          <w:rFonts w:ascii="Times New Roman" w:hAnsi="Times New Roman"/>
          <w:sz w:val="24"/>
          <w:lang w:val="sr-Cyrl-CS" w:eastAsia="en-US"/>
        </w:rPr>
        <w:t xml:space="preserve"> 2030. </w:t>
      </w:r>
      <w:r w:rsidR="00BF65FC" w:rsidRPr="005303F7">
        <w:rPr>
          <w:rFonts w:ascii="Times New Roman" w:hAnsi="Times New Roman"/>
          <w:sz w:val="24"/>
          <w:lang w:val="sr-Cyrl-CS" w:eastAsia="en-US"/>
        </w:rPr>
        <w:t>години</w:t>
      </w:r>
      <w:r w:rsidR="00D5233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N</w:t>
      </w:r>
      <w:r w:rsidR="00D5233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биланс</w:t>
      </w:r>
      <w:r w:rsidR="00D5233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је</w:t>
      </w:r>
      <w:r w:rsidR="00D5233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смањен</w:t>
      </w:r>
      <w:r w:rsidR="00D5233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за</w:t>
      </w:r>
      <w:r w:rsidR="00D52337" w:rsidRPr="005303F7">
        <w:rPr>
          <w:rFonts w:ascii="Times New Roman" w:hAnsi="Times New Roman"/>
          <w:sz w:val="24"/>
          <w:lang w:val="sr-Cyrl-CS" w:eastAsia="en-US"/>
        </w:rPr>
        <w:t xml:space="preserve"> 1,3% </w:t>
      </w:r>
      <w:r w:rsidR="00BF65FC" w:rsidRPr="005303F7">
        <w:rPr>
          <w:rFonts w:ascii="Times New Roman" w:hAnsi="Times New Roman"/>
          <w:sz w:val="24"/>
          <w:lang w:val="sr-Cyrl-CS" w:eastAsia="en-US"/>
        </w:rPr>
        <w:t>у</w:t>
      </w:r>
      <w:r w:rsidR="00C9008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w:t>
      </w:r>
      <w:r w:rsidR="00C9008A" w:rsidRPr="005303F7">
        <w:rPr>
          <w:rFonts w:ascii="Times New Roman" w:hAnsi="Times New Roman"/>
          <w:sz w:val="24"/>
          <w:lang w:val="sr-Cyrl-CS" w:eastAsia="en-US"/>
        </w:rPr>
        <w:t xml:space="preserve">2 </w:t>
      </w:r>
      <w:r w:rsidR="00BF65FC" w:rsidRPr="005303F7">
        <w:rPr>
          <w:rFonts w:ascii="Times New Roman" w:hAnsi="Times New Roman"/>
          <w:sz w:val="24"/>
          <w:lang w:val="sr-Cyrl-CS" w:eastAsia="en-US"/>
        </w:rPr>
        <w:t>у</w:t>
      </w:r>
      <w:r w:rsidR="00C9008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односу</w:t>
      </w:r>
      <w:r w:rsidR="00C9008A"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на</w:t>
      </w:r>
      <w:r w:rsidR="00D5233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основни</w:t>
      </w:r>
      <w:r w:rsidR="00D5233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сценариј</w:t>
      </w:r>
      <w:r w:rsidR="00D5233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док</w:t>
      </w:r>
      <w:r w:rsidR="00D5233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смањење</w:t>
      </w:r>
      <w:r w:rsidR="00D5233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до</w:t>
      </w:r>
      <w:r w:rsidR="00D52337" w:rsidRPr="005303F7">
        <w:rPr>
          <w:rFonts w:ascii="Times New Roman" w:hAnsi="Times New Roman"/>
          <w:sz w:val="24"/>
          <w:lang w:val="sr-Cyrl-CS" w:eastAsia="en-US"/>
        </w:rPr>
        <w:t xml:space="preserve"> 2050. </w:t>
      </w:r>
      <w:r w:rsidR="00BF65FC" w:rsidRPr="005303F7">
        <w:rPr>
          <w:rFonts w:ascii="Times New Roman" w:hAnsi="Times New Roman"/>
          <w:sz w:val="24"/>
          <w:lang w:val="sr-Cyrl-CS" w:eastAsia="en-US"/>
        </w:rPr>
        <w:t>године</w:t>
      </w:r>
      <w:r w:rsidR="00D5233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износи</w:t>
      </w:r>
      <w:r w:rsidR="00D52337" w:rsidRPr="005303F7">
        <w:rPr>
          <w:rFonts w:ascii="Times New Roman" w:hAnsi="Times New Roman"/>
          <w:sz w:val="24"/>
          <w:lang w:val="sr-Cyrl-CS" w:eastAsia="en-US"/>
        </w:rPr>
        <w:t xml:space="preserve"> 3,1%, 18% </w:t>
      </w:r>
      <w:r w:rsidR="00BF65FC" w:rsidRPr="005303F7">
        <w:rPr>
          <w:rFonts w:ascii="Times New Roman" w:hAnsi="Times New Roman"/>
          <w:sz w:val="24"/>
          <w:lang w:val="sr-Cyrl-CS" w:eastAsia="en-US"/>
        </w:rPr>
        <w:t>и</w:t>
      </w:r>
      <w:r w:rsidR="00D52337" w:rsidRPr="005303F7">
        <w:rPr>
          <w:rFonts w:ascii="Times New Roman" w:hAnsi="Times New Roman"/>
          <w:sz w:val="24"/>
          <w:lang w:val="sr-Cyrl-CS" w:eastAsia="en-US"/>
        </w:rPr>
        <w:t xml:space="preserve"> 33,7% </w:t>
      </w:r>
      <w:r w:rsidR="00BF65FC" w:rsidRPr="005303F7">
        <w:rPr>
          <w:rFonts w:ascii="Times New Roman" w:hAnsi="Times New Roman"/>
          <w:sz w:val="24"/>
          <w:lang w:val="sr-Cyrl-CS" w:eastAsia="en-US"/>
        </w:rPr>
        <w:t>у</w:t>
      </w:r>
      <w:r w:rsidR="00D5233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сценаријима</w:t>
      </w:r>
      <w:r w:rsidR="00D5233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w:t>
      </w:r>
      <w:r w:rsidR="00D52337" w:rsidRPr="005303F7">
        <w:rPr>
          <w:rFonts w:ascii="Times New Roman" w:hAnsi="Times New Roman"/>
          <w:sz w:val="24"/>
          <w:lang w:val="sr-Cyrl-CS" w:eastAsia="en-US"/>
        </w:rPr>
        <w:t xml:space="preserve">2, </w:t>
      </w:r>
      <w:r w:rsidR="00BF65FC" w:rsidRPr="005303F7">
        <w:rPr>
          <w:rFonts w:ascii="Times New Roman" w:hAnsi="Times New Roman"/>
          <w:sz w:val="24"/>
          <w:lang w:val="sr-Cyrl-CS" w:eastAsia="en-US"/>
        </w:rPr>
        <w:t>М</w:t>
      </w:r>
      <w:r w:rsidR="00D52337" w:rsidRPr="005303F7">
        <w:rPr>
          <w:rFonts w:ascii="Times New Roman" w:hAnsi="Times New Roman"/>
          <w:sz w:val="24"/>
          <w:lang w:val="sr-Cyrl-CS" w:eastAsia="en-US"/>
        </w:rPr>
        <w:t xml:space="preserve">3 </w:t>
      </w:r>
      <w:r w:rsidR="00BF65FC" w:rsidRPr="005303F7">
        <w:rPr>
          <w:rFonts w:ascii="Times New Roman" w:hAnsi="Times New Roman"/>
          <w:sz w:val="24"/>
          <w:lang w:val="sr-Cyrl-CS" w:eastAsia="en-US"/>
        </w:rPr>
        <w:t>и</w:t>
      </w:r>
      <w:r w:rsidR="00D52337" w:rsidRPr="005303F7">
        <w:rPr>
          <w:rFonts w:ascii="Times New Roman" w:hAnsi="Times New Roman"/>
          <w:sz w:val="24"/>
          <w:lang w:val="sr-Cyrl-CS" w:eastAsia="en-US"/>
        </w:rPr>
        <w:t xml:space="preserve"> </w:t>
      </w:r>
      <w:r w:rsidR="00BF65FC" w:rsidRPr="005303F7">
        <w:rPr>
          <w:rFonts w:ascii="Times New Roman" w:hAnsi="Times New Roman"/>
          <w:sz w:val="24"/>
          <w:lang w:val="sr-Cyrl-CS" w:eastAsia="en-US"/>
        </w:rPr>
        <w:t>М</w:t>
      </w:r>
      <w:r w:rsidR="00D52337" w:rsidRPr="005303F7">
        <w:rPr>
          <w:rFonts w:ascii="Times New Roman" w:hAnsi="Times New Roman"/>
          <w:sz w:val="24"/>
          <w:lang w:val="sr-Cyrl-CS" w:eastAsia="en-US"/>
        </w:rPr>
        <w:t>4.</w:t>
      </w:r>
    </w:p>
    <w:p w14:paraId="4ED4305D" w14:textId="5ABA6269" w:rsidR="00C67735" w:rsidRPr="005303F7" w:rsidRDefault="00BF65FC" w:rsidP="00C91A4C">
      <w:pPr>
        <w:spacing w:after="60"/>
        <w:rPr>
          <w:rFonts w:ascii="Times New Roman" w:hAnsi="Times New Roman"/>
          <w:b/>
          <w:bCs/>
          <w:i/>
          <w:iCs/>
          <w:sz w:val="20"/>
          <w:szCs w:val="18"/>
          <w:lang w:val="sr-Cyrl-CS"/>
        </w:rPr>
      </w:pPr>
      <w:bookmarkStart w:id="315" w:name="_Toc26450883"/>
      <w:r w:rsidRPr="005303F7">
        <w:rPr>
          <w:rFonts w:ascii="Times New Roman" w:hAnsi="Times New Roman"/>
          <w:b/>
          <w:bCs/>
          <w:i/>
          <w:iCs/>
          <w:sz w:val="20"/>
          <w:szCs w:val="18"/>
          <w:lang w:val="sr-Cyrl-CS"/>
        </w:rPr>
        <w:t>Табела</w:t>
      </w:r>
      <w:r w:rsidR="00637AF4" w:rsidRPr="005303F7">
        <w:rPr>
          <w:rFonts w:ascii="Times New Roman" w:hAnsi="Times New Roman"/>
          <w:b/>
          <w:bCs/>
          <w:i/>
          <w:iCs/>
          <w:sz w:val="20"/>
          <w:szCs w:val="18"/>
          <w:lang w:val="sr-Cyrl-CS"/>
        </w:rPr>
        <w:t xml:space="preserve"> </w:t>
      </w:r>
      <w:r w:rsidR="00D35E3C" w:rsidRPr="005303F7">
        <w:rPr>
          <w:rFonts w:ascii="Times New Roman" w:hAnsi="Times New Roman"/>
          <w:b/>
          <w:bCs/>
          <w:i/>
          <w:iCs/>
          <w:sz w:val="20"/>
          <w:szCs w:val="18"/>
          <w:lang w:val="sr-Cyrl-CS"/>
        </w:rPr>
        <w:fldChar w:fldCharType="begin"/>
      </w:r>
      <w:r w:rsidR="00D35E3C" w:rsidRPr="005303F7">
        <w:rPr>
          <w:rFonts w:ascii="Times New Roman" w:hAnsi="Times New Roman"/>
          <w:b/>
          <w:bCs/>
          <w:i/>
          <w:iCs/>
          <w:sz w:val="20"/>
          <w:szCs w:val="18"/>
          <w:lang w:val="sr-Cyrl-CS"/>
        </w:rPr>
        <w:instrText xml:space="preserve"> SEQ Table \* ARABIC </w:instrText>
      </w:r>
      <w:r w:rsidR="00D35E3C" w:rsidRPr="005303F7">
        <w:rPr>
          <w:rFonts w:ascii="Times New Roman" w:hAnsi="Times New Roman"/>
          <w:b/>
          <w:bCs/>
          <w:i/>
          <w:iCs/>
          <w:sz w:val="20"/>
          <w:szCs w:val="18"/>
          <w:lang w:val="sr-Cyrl-CS"/>
        </w:rPr>
        <w:fldChar w:fldCharType="separate"/>
      </w:r>
      <w:r w:rsidR="00DA2595" w:rsidRPr="005303F7">
        <w:rPr>
          <w:rFonts w:ascii="Times New Roman" w:hAnsi="Times New Roman"/>
          <w:b/>
          <w:bCs/>
          <w:i/>
          <w:iCs/>
          <w:noProof/>
          <w:sz w:val="20"/>
          <w:szCs w:val="18"/>
          <w:lang w:val="sr-Cyrl-CS"/>
        </w:rPr>
        <w:t>11</w:t>
      </w:r>
      <w:r w:rsidR="00D35E3C" w:rsidRPr="005303F7">
        <w:rPr>
          <w:rFonts w:ascii="Times New Roman" w:hAnsi="Times New Roman"/>
          <w:b/>
          <w:bCs/>
          <w:i/>
          <w:iCs/>
          <w:sz w:val="20"/>
          <w:szCs w:val="18"/>
          <w:lang w:val="sr-Cyrl-CS"/>
        </w:rPr>
        <w:fldChar w:fldCharType="end"/>
      </w:r>
      <w:bookmarkEnd w:id="313"/>
      <w:r w:rsidR="00C67735" w:rsidRPr="005303F7">
        <w:rPr>
          <w:rFonts w:ascii="Times New Roman" w:hAnsi="Times New Roman"/>
          <w:b/>
          <w:bCs/>
          <w:i/>
          <w:iCs/>
          <w:sz w:val="20"/>
          <w:szCs w:val="18"/>
          <w:lang w:val="sr-Cyrl-CS"/>
        </w:rPr>
        <w:t xml:space="preserve">: </w:t>
      </w:r>
      <w:bookmarkEnd w:id="314"/>
      <w:r w:rsidRPr="005303F7">
        <w:rPr>
          <w:rFonts w:ascii="Times New Roman" w:hAnsi="Times New Roman"/>
          <w:b/>
          <w:bCs/>
          <w:i/>
          <w:iCs/>
          <w:sz w:val="20"/>
          <w:szCs w:val="18"/>
          <w:lang w:val="sr-Cyrl-CS"/>
        </w:rPr>
        <w:t>Утицај</w:t>
      </w:r>
      <w:r w:rsidR="0008245D"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сценарија</w:t>
      </w:r>
      <w:r w:rsidR="006B24D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на</w:t>
      </w:r>
      <w:r w:rsidR="0008245D"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биланс</w:t>
      </w:r>
      <w:r w:rsidR="006B24D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азот</w:t>
      </w:r>
      <w:bookmarkEnd w:id="315"/>
      <w:r w:rsidRPr="005303F7">
        <w:rPr>
          <w:rFonts w:ascii="Times New Roman" w:hAnsi="Times New Roman"/>
          <w:b/>
          <w:bCs/>
          <w:i/>
          <w:iCs/>
          <w:sz w:val="20"/>
          <w:szCs w:val="18"/>
          <w:lang w:val="sr-Cyrl-CS"/>
        </w:rPr>
        <w:t>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843"/>
        <w:gridCol w:w="1843"/>
        <w:gridCol w:w="1842"/>
        <w:gridCol w:w="1842"/>
        <w:gridCol w:w="1842"/>
      </w:tblGrid>
      <w:tr w:rsidR="00C67735" w:rsidRPr="005303F7" w14:paraId="6FFEF718" w14:textId="0FB8E574" w:rsidTr="0047133D">
        <w:trPr>
          <w:trHeight w:val="386"/>
        </w:trPr>
        <w:tc>
          <w:tcPr>
            <w:tcW w:w="1000" w:type="pct"/>
            <w:vMerge w:val="restart"/>
            <w:shd w:val="clear" w:color="auto" w:fill="D9D9D9" w:themeFill="background1" w:themeFillShade="D9"/>
            <w:noWrap/>
            <w:vAlign w:val="bottom"/>
            <w:hideMark/>
          </w:tcPr>
          <w:p w14:paraId="3D5044DD" w14:textId="411FC655" w:rsidR="00C67735" w:rsidRPr="005303F7" w:rsidRDefault="00C67735" w:rsidP="007F21EA">
            <w:pPr>
              <w:tabs>
                <w:tab w:val="clear" w:pos="3825"/>
              </w:tabs>
              <w:overflowPunct/>
              <w:autoSpaceDE/>
              <w:autoSpaceDN/>
              <w:adjustRightInd/>
              <w:spacing w:before="40" w:after="40"/>
              <w:jc w:val="left"/>
              <w:textAlignment w:val="auto"/>
              <w:rPr>
                <w:rFonts w:ascii="Times New Roman" w:hAnsi="Times New Roman"/>
                <w:sz w:val="20"/>
                <w:lang w:val="sr-Cyrl-CS" w:eastAsia="pt-PT"/>
              </w:rPr>
            </w:pPr>
          </w:p>
        </w:tc>
        <w:tc>
          <w:tcPr>
            <w:tcW w:w="4000" w:type="pct"/>
            <w:gridSpan w:val="4"/>
            <w:shd w:val="clear" w:color="auto" w:fill="D9D9D9" w:themeFill="background1" w:themeFillShade="D9"/>
            <w:vAlign w:val="center"/>
            <w:hideMark/>
          </w:tcPr>
          <w:p w14:paraId="4B6EAD66" w14:textId="638E6880" w:rsidR="00C67735"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Заштита</w:t>
            </w:r>
            <w:r w:rsidR="0008245D"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земље</w:t>
            </w:r>
            <w:r w:rsidR="0008245D"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и</w:t>
            </w:r>
            <w:r w:rsidR="0008245D"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воде</w:t>
            </w:r>
            <w:r w:rsidR="00C67735"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Н</w:t>
            </w:r>
            <w:r w:rsidR="00C67735"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биланс</w:t>
            </w:r>
            <w:r w:rsidR="00C67735" w:rsidRPr="005303F7">
              <w:rPr>
                <w:rFonts w:ascii="Times New Roman" w:hAnsi="Times New Roman"/>
                <w:b/>
                <w:bCs/>
                <w:sz w:val="20"/>
                <w:lang w:val="sr-Cyrl-CS" w:eastAsia="pt-PT"/>
              </w:rPr>
              <w:t>)</w:t>
            </w:r>
          </w:p>
        </w:tc>
      </w:tr>
      <w:tr w:rsidR="00C67735" w:rsidRPr="005303F7" w14:paraId="6A6E5676" w14:textId="2544D201" w:rsidTr="0047133D">
        <w:trPr>
          <w:trHeight w:val="324"/>
        </w:trPr>
        <w:tc>
          <w:tcPr>
            <w:tcW w:w="1000" w:type="pct"/>
            <w:vMerge/>
            <w:shd w:val="clear" w:color="auto" w:fill="D9D9D9" w:themeFill="background1" w:themeFillShade="D9"/>
            <w:noWrap/>
            <w:vAlign w:val="bottom"/>
            <w:hideMark/>
          </w:tcPr>
          <w:p w14:paraId="235A5A24" w14:textId="43473C6D"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p>
        </w:tc>
        <w:tc>
          <w:tcPr>
            <w:tcW w:w="1000" w:type="pct"/>
            <w:shd w:val="clear" w:color="auto" w:fill="D9D9D9" w:themeFill="background1" w:themeFillShade="D9"/>
            <w:vAlign w:val="center"/>
            <w:hideMark/>
          </w:tcPr>
          <w:p w14:paraId="5C40EBD2" w14:textId="2C1ED4C1"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2020</w:t>
            </w:r>
            <w:r w:rsidR="0008245D" w:rsidRPr="005303F7">
              <w:rPr>
                <w:rFonts w:ascii="Times New Roman" w:hAnsi="Times New Roman"/>
                <w:b/>
                <w:bCs/>
                <w:sz w:val="20"/>
                <w:lang w:val="sr-Cyrl-CS" w:eastAsia="pt-PT"/>
              </w:rPr>
              <w:t>.</w:t>
            </w:r>
          </w:p>
        </w:tc>
        <w:tc>
          <w:tcPr>
            <w:tcW w:w="1000" w:type="pct"/>
            <w:shd w:val="clear" w:color="auto" w:fill="D9D9D9" w:themeFill="background1" w:themeFillShade="D9"/>
            <w:vAlign w:val="center"/>
            <w:hideMark/>
          </w:tcPr>
          <w:p w14:paraId="41A3C1D6" w14:textId="35D4BD71"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2025</w:t>
            </w:r>
            <w:r w:rsidR="0008245D" w:rsidRPr="005303F7">
              <w:rPr>
                <w:rFonts w:ascii="Times New Roman" w:hAnsi="Times New Roman"/>
                <w:b/>
                <w:bCs/>
                <w:sz w:val="20"/>
                <w:lang w:val="sr-Cyrl-CS" w:eastAsia="pt-PT"/>
              </w:rPr>
              <w:t>.</w:t>
            </w:r>
          </w:p>
        </w:tc>
        <w:tc>
          <w:tcPr>
            <w:tcW w:w="1000" w:type="pct"/>
            <w:shd w:val="clear" w:color="auto" w:fill="D9D9D9" w:themeFill="background1" w:themeFillShade="D9"/>
            <w:vAlign w:val="center"/>
            <w:hideMark/>
          </w:tcPr>
          <w:p w14:paraId="425013D2" w14:textId="3D745CE9"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2030</w:t>
            </w:r>
            <w:r w:rsidR="0008245D" w:rsidRPr="005303F7">
              <w:rPr>
                <w:rFonts w:ascii="Times New Roman" w:hAnsi="Times New Roman"/>
                <w:b/>
                <w:bCs/>
                <w:sz w:val="20"/>
                <w:lang w:val="sr-Cyrl-CS" w:eastAsia="pt-PT"/>
              </w:rPr>
              <w:t>.</w:t>
            </w:r>
          </w:p>
        </w:tc>
        <w:tc>
          <w:tcPr>
            <w:tcW w:w="1000" w:type="pct"/>
            <w:shd w:val="clear" w:color="auto" w:fill="D9D9D9" w:themeFill="background1" w:themeFillShade="D9"/>
            <w:vAlign w:val="center"/>
            <w:hideMark/>
          </w:tcPr>
          <w:p w14:paraId="15153A68" w14:textId="341D2DB6"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2050</w:t>
            </w:r>
            <w:r w:rsidR="0008245D" w:rsidRPr="005303F7">
              <w:rPr>
                <w:rFonts w:ascii="Times New Roman" w:hAnsi="Times New Roman"/>
                <w:b/>
                <w:bCs/>
                <w:sz w:val="20"/>
                <w:lang w:val="sr-Cyrl-CS" w:eastAsia="pt-PT"/>
              </w:rPr>
              <w:t>.</w:t>
            </w:r>
          </w:p>
        </w:tc>
      </w:tr>
      <w:tr w:rsidR="00C67735" w:rsidRPr="005303F7" w14:paraId="76D987F4" w14:textId="46C2AF1D" w:rsidTr="0047133D">
        <w:trPr>
          <w:trHeight w:val="227"/>
        </w:trPr>
        <w:tc>
          <w:tcPr>
            <w:tcW w:w="1000" w:type="pct"/>
            <w:shd w:val="clear" w:color="auto" w:fill="D9D9D9" w:themeFill="background1" w:themeFillShade="D9"/>
            <w:vAlign w:val="center"/>
            <w:hideMark/>
          </w:tcPr>
          <w:p w14:paraId="25F7CCED" w14:textId="3A122C66" w:rsidR="00C67735"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Б</w:t>
            </w:r>
            <w:r w:rsidR="00C67735" w:rsidRPr="005303F7">
              <w:rPr>
                <w:rFonts w:ascii="Times New Roman" w:hAnsi="Times New Roman"/>
                <w:b/>
                <w:bCs/>
                <w:sz w:val="20"/>
                <w:lang w:val="sr-Cyrl-CS" w:eastAsia="pt-PT"/>
              </w:rPr>
              <w:t>2 (</w:t>
            </w:r>
            <w:r w:rsidRPr="005303F7">
              <w:rPr>
                <w:rFonts w:ascii="Times New Roman" w:hAnsi="Times New Roman"/>
                <w:b/>
                <w:bCs/>
                <w:sz w:val="20"/>
                <w:lang w:val="sr-Cyrl-CS" w:eastAsia="pt-PT"/>
              </w:rPr>
              <w:t>кт</w:t>
            </w:r>
            <w:r w:rsidR="00C67735" w:rsidRPr="005303F7">
              <w:rPr>
                <w:rFonts w:ascii="Times New Roman" w:hAnsi="Times New Roman"/>
                <w:b/>
                <w:bCs/>
                <w:sz w:val="20"/>
                <w:lang w:val="sr-Cyrl-CS" w:eastAsia="pt-PT"/>
              </w:rPr>
              <w:t>)</w:t>
            </w:r>
          </w:p>
        </w:tc>
        <w:tc>
          <w:tcPr>
            <w:tcW w:w="1000" w:type="pct"/>
            <w:shd w:val="clear" w:color="auto" w:fill="FFFFFF" w:themeFill="background1"/>
            <w:vAlign w:val="center"/>
            <w:hideMark/>
          </w:tcPr>
          <w:p w14:paraId="2E7D74B1" w14:textId="5465A28F" w:rsidR="00C67735" w:rsidRPr="005303F7" w:rsidRDefault="00C67735" w:rsidP="00067FC0">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sz w:val="20"/>
                <w:lang w:val="sr-Cyrl-CS" w:eastAsia="pt-PT"/>
              </w:rPr>
              <w:t>23</w:t>
            </w:r>
            <w:r w:rsidR="00067FC0" w:rsidRPr="005303F7">
              <w:rPr>
                <w:rFonts w:ascii="Times New Roman" w:hAnsi="Times New Roman"/>
                <w:sz w:val="20"/>
                <w:lang w:val="sr-Cyrl-CS" w:eastAsia="pt-PT"/>
              </w:rPr>
              <w:t>7</w:t>
            </w:r>
          </w:p>
        </w:tc>
        <w:tc>
          <w:tcPr>
            <w:tcW w:w="1000" w:type="pct"/>
            <w:shd w:val="clear" w:color="auto" w:fill="FFFFFF" w:themeFill="background1"/>
            <w:vAlign w:val="center"/>
            <w:hideMark/>
          </w:tcPr>
          <w:p w14:paraId="1DF286EA" w14:textId="1F07694A"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sz w:val="20"/>
                <w:lang w:val="sr-Cyrl-CS" w:eastAsia="pt-PT"/>
              </w:rPr>
              <w:t>208</w:t>
            </w:r>
          </w:p>
        </w:tc>
        <w:tc>
          <w:tcPr>
            <w:tcW w:w="1000" w:type="pct"/>
            <w:shd w:val="clear" w:color="auto" w:fill="FFFFFF" w:themeFill="background1"/>
            <w:vAlign w:val="center"/>
            <w:hideMark/>
          </w:tcPr>
          <w:p w14:paraId="7C2E85F6" w14:textId="7A5EFF2A"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sz w:val="20"/>
                <w:lang w:val="sr-Cyrl-CS" w:eastAsia="pt-PT"/>
              </w:rPr>
              <w:t>178</w:t>
            </w:r>
          </w:p>
        </w:tc>
        <w:tc>
          <w:tcPr>
            <w:tcW w:w="1000" w:type="pct"/>
            <w:shd w:val="clear" w:color="auto" w:fill="FFFFFF" w:themeFill="background1"/>
            <w:vAlign w:val="center"/>
            <w:hideMark/>
          </w:tcPr>
          <w:p w14:paraId="1FD62F19" w14:textId="296FF2CF"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sz w:val="20"/>
                <w:lang w:val="sr-Cyrl-CS" w:eastAsia="pt-PT"/>
              </w:rPr>
              <w:t>186</w:t>
            </w:r>
          </w:p>
        </w:tc>
      </w:tr>
      <w:tr w:rsidR="00C67735" w:rsidRPr="005303F7" w14:paraId="2746CAAD" w14:textId="685714C7" w:rsidTr="0047133D">
        <w:trPr>
          <w:trHeight w:val="227"/>
        </w:trPr>
        <w:tc>
          <w:tcPr>
            <w:tcW w:w="1000" w:type="pct"/>
            <w:shd w:val="clear" w:color="auto" w:fill="D9D9D9" w:themeFill="background1" w:themeFillShade="D9"/>
            <w:vAlign w:val="center"/>
            <w:hideMark/>
          </w:tcPr>
          <w:p w14:paraId="12418C7C" w14:textId="663E13F4" w:rsidR="00C67735"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М</w:t>
            </w:r>
            <w:r w:rsidR="00C67735" w:rsidRPr="005303F7">
              <w:rPr>
                <w:rFonts w:ascii="Times New Roman" w:hAnsi="Times New Roman"/>
                <w:b/>
                <w:bCs/>
                <w:sz w:val="20"/>
                <w:lang w:val="sr-Cyrl-CS" w:eastAsia="pt-PT"/>
              </w:rPr>
              <w:t>2</w:t>
            </w:r>
          </w:p>
        </w:tc>
        <w:tc>
          <w:tcPr>
            <w:tcW w:w="1000" w:type="pct"/>
            <w:shd w:val="clear" w:color="auto" w:fill="FFFFFF" w:themeFill="background1"/>
            <w:vAlign w:val="center"/>
            <w:hideMark/>
          </w:tcPr>
          <w:p w14:paraId="77B739CD" w14:textId="37611620"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sz w:val="20"/>
                <w:lang w:val="sr-Cyrl-CS" w:eastAsia="pt-PT"/>
              </w:rPr>
              <w:t>0,</w:t>
            </w:r>
            <w:r w:rsidR="00067FC0" w:rsidRPr="005303F7">
              <w:rPr>
                <w:rFonts w:ascii="Times New Roman" w:hAnsi="Times New Roman"/>
                <w:sz w:val="20"/>
                <w:lang w:val="sr-Cyrl-CS" w:eastAsia="pt-PT"/>
              </w:rPr>
              <w:t>0</w:t>
            </w:r>
            <w:r w:rsidRPr="005303F7">
              <w:rPr>
                <w:rFonts w:ascii="Times New Roman" w:hAnsi="Times New Roman"/>
                <w:sz w:val="20"/>
                <w:lang w:val="sr-Cyrl-CS" w:eastAsia="pt-PT"/>
              </w:rPr>
              <w:t>%</w:t>
            </w:r>
          </w:p>
        </w:tc>
        <w:tc>
          <w:tcPr>
            <w:tcW w:w="1000" w:type="pct"/>
            <w:shd w:val="clear" w:color="auto" w:fill="FFFFFF" w:themeFill="background1"/>
            <w:vAlign w:val="center"/>
            <w:hideMark/>
          </w:tcPr>
          <w:p w14:paraId="4B31559F" w14:textId="229A983A"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sz w:val="20"/>
                <w:lang w:val="sr-Cyrl-CS" w:eastAsia="pt-PT"/>
              </w:rPr>
              <w:t>-0,</w:t>
            </w:r>
            <w:r w:rsidR="00067FC0" w:rsidRPr="005303F7">
              <w:rPr>
                <w:rFonts w:ascii="Times New Roman" w:hAnsi="Times New Roman"/>
                <w:sz w:val="20"/>
                <w:lang w:val="sr-Cyrl-CS" w:eastAsia="pt-PT"/>
              </w:rPr>
              <w:t>6</w:t>
            </w:r>
            <w:r w:rsidRPr="005303F7">
              <w:rPr>
                <w:rFonts w:ascii="Times New Roman" w:hAnsi="Times New Roman"/>
                <w:sz w:val="20"/>
                <w:lang w:val="sr-Cyrl-CS" w:eastAsia="pt-PT"/>
              </w:rPr>
              <w:t>%</w:t>
            </w:r>
          </w:p>
        </w:tc>
        <w:tc>
          <w:tcPr>
            <w:tcW w:w="1000" w:type="pct"/>
            <w:shd w:val="clear" w:color="auto" w:fill="FFFFFF" w:themeFill="background1"/>
            <w:vAlign w:val="center"/>
            <w:hideMark/>
          </w:tcPr>
          <w:p w14:paraId="3EAEA12F" w14:textId="1FCEB14E" w:rsidR="00C67735" w:rsidRPr="005303F7" w:rsidRDefault="00C67735" w:rsidP="00067FC0">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sz w:val="20"/>
                <w:lang w:val="sr-Cyrl-CS" w:eastAsia="pt-PT"/>
              </w:rPr>
              <w:t>-1,</w:t>
            </w:r>
            <w:r w:rsidR="00067FC0" w:rsidRPr="005303F7">
              <w:rPr>
                <w:rFonts w:ascii="Times New Roman" w:hAnsi="Times New Roman"/>
                <w:sz w:val="20"/>
                <w:lang w:val="sr-Cyrl-CS" w:eastAsia="pt-PT"/>
              </w:rPr>
              <w:t>4</w:t>
            </w:r>
            <w:r w:rsidRPr="005303F7">
              <w:rPr>
                <w:rFonts w:ascii="Times New Roman" w:hAnsi="Times New Roman"/>
                <w:sz w:val="20"/>
                <w:lang w:val="sr-Cyrl-CS" w:eastAsia="pt-PT"/>
              </w:rPr>
              <w:t>%</w:t>
            </w:r>
          </w:p>
        </w:tc>
        <w:tc>
          <w:tcPr>
            <w:tcW w:w="1000" w:type="pct"/>
            <w:shd w:val="clear" w:color="auto" w:fill="FFFFFF" w:themeFill="background1"/>
            <w:vAlign w:val="center"/>
            <w:hideMark/>
          </w:tcPr>
          <w:p w14:paraId="4C6A5B8B" w14:textId="5774B4B5" w:rsidR="00C67735" w:rsidRPr="005303F7" w:rsidRDefault="00C67735" w:rsidP="00067FC0">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sz w:val="20"/>
                <w:lang w:val="sr-Cyrl-CS" w:eastAsia="pt-PT"/>
              </w:rPr>
              <w:t>-3,</w:t>
            </w:r>
            <w:r w:rsidR="00067FC0" w:rsidRPr="005303F7">
              <w:rPr>
                <w:rFonts w:ascii="Times New Roman" w:hAnsi="Times New Roman"/>
                <w:sz w:val="20"/>
                <w:lang w:val="sr-Cyrl-CS" w:eastAsia="pt-PT"/>
              </w:rPr>
              <w:t>2</w:t>
            </w:r>
            <w:r w:rsidRPr="005303F7">
              <w:rPr>
                <w:rFonts w:ascii="Times New Roman" w:hAnsi="Times New Roman"/>
                <w:sz w:val="20"/>
                <w:lang w:val="sr-Cyrl-CS" w:eastAsia="pt-PT"/>
              </w:rPr>
              <w:t>%</w:t>
            </w:r>
          </w:p>
        </w:tc>
      </w:tr>
      <w:tr w:rsidR="00C67735" w:rsidRPr="005303F7" w14:paraId="75AD0122" w14:textId="658EB81D" w:rsidTr="0047133D">
        <w:trPr>
          <w:trHeight w:val="111"/>
        </w:trPr>
        <w:tc>
          <w:tcPr>
            <w:tcW w:w="1000" w:type="pct"/>
            <w:shd w:val="clear" w:color="auto" w:fill="D9D9D9" w:themeFill="background1" w:themeFillShade="D9"/>
            <w:vAlign w:val="center"/>
          </w:tcPr>
          <w:p w14:paraId="61DA06E4" w14:textId="76905BBE" w:rsidR="00C67735"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М</w:t>
            </w:r>
            <w:r w:rsidR="00C67735" w:rsidRPr="005303F7">
              <w:rPr>
                <w:rFonts w:ascii="Times New Roman" w:hAnsi="Times New Roman"/>
                <w:b/>
                <w:bCs/>
                <w:sz w:val="20"/>
                <w:lang w:val="sr-Cyrl-CS" w:eastAsia="pt-PT"/>
              </w:rPr>
              <w:t>3</w:t>
            </w:r>
          </w:p>
        </w:tc>
        <w:tc>
          <w:tcPr>
            <w:tcW w:w="1000" w:type="pct"/>
            <w:shd w:val="clear" w:color="auto" w:fill="FFFFFF" w:themeFill="background1"/>
            <w:vAlign w:val="center"/>
          </w:tcPr>
          <w:p w14:paraId="044753F0" w14:textId="75170DA9"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sz w:val="20"/>
                <w:lang w:val="sr-Cyrl-CS" w:eastAsia="pt-PT"/>
              </w:rPr>
              <w:t>-</w:t>
            </w:r>
          </w:p>
        </w:tc>
        <w:tc>
          <w:tcPr>
            <w:tcW w:w="1000" w:type="pct"/>
            <w:shd w:val="clear" w:color="auto" w:fill="FFFFFF" w:themeFill="background1"/>
            <w:vAlign w:val="center"/>
          </w:tcPr>
          <w:p w14:paraId="3F6BE25F" w14:textId="10741225"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sz w:val="20"/>
                <w:lang w:val="sr-Cyrl-CS" w:eastAsia="pt-PT"/>
              </w:rPr>
              <w:t>-</w:t>
            </w:r>
          </w:p>
        </w:tc>
        <w:tc>
          <w:tcPr>
            <w:tcW w:w="1000" w:type="pct"/>
            <w:shd w:val="clear" w:color="auto" w:fill="FFFFFF" w:themeFill="background1"/>
            <w:vAlign w:val="center"/>
          </w:tcPr>
          <w:p w14:paraId="28D83B97" w14:textId="4FE8D1C2"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sz w:val="20"/>
                <w:lang w:val="sr-Cyrl-CS" w:eastAsia="pt-PT"/>
              </w:rPr>
              <w:t>-</w:t>
            </w:r>
          </w:p>
        </w:tc>
        <w:tc>
          <w:tcPr>
            <w:tcW w:w="1000" w:type="pct"/>
            <w:shd w:val="clear" w:color="auto" w:fill="FFFFFF" w:themeFill="background1"/>
            <w:vAlign w:val="center"/>
          </w:tcPr>
          <w:p w14:paraId="0A72EAF9" w14:textId="33456683"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color w:val="000000"/>
                <w:sz w:val="20"/>
                <w:lang w:val="sr-Cyrl-CS" w:eastAsia="pt-PT"/>
              </w:rPr>
              <w:t>-18,</w:t>
            </w:r>
            <w:r w:rsidR="00067FC0" w:rsidRPr="005303F7">
              <w:rPr>
                <w:rFonts w:ascii="Times New Roman" w:hAnsi="Times New Roman"/>
                <w:color w:val="000000"/>
                <w:sz w:val="20"/>
                <w:lang w:val="sr-Cyrl-CS" w:eastAsia="pt-PT"/>
              </w:rPr>
              <w:t>1</w:t>
            </w:r>
            <w:r w:rsidRPr="005303F7">
              <w:rPr>
                <w:rFonts w:ascii="Times New Roman" w:hAnsi="Times New Roman"/>
                <w:color w:val="000000"/>
                <w:sz w:val="20"/>
                <w:lang w:val="sr-Cyrl-CS" w:eastAsia="pt-PT"/>
              </w:rPr>
              <w:t>%</w:t>
            </w:r>
          </w:p>
        </w:tc>
      </w:tr>
      <w:tr w:rsidR="00C67735" w:rsidRPr="005303F7" w14:paraId="6C544538" w14:textId="50977E99" w:rsidTr="0047133D">
        <w:trPr>
          <w:trHeight w:val="227"/>
        </w:trPr>
        <w:tc>
          <w:tcPr>
            <w:tcW w:w="1000" w:type="pct"/>
            <w:shd w:val="clear" w:color="auto" w:fill="D9D9D9" w:themeFill="background1" w:themeFillShade="D9"/>
            <w:vAlign w:val="center"/>
          </w:tcPr>
          <w:p w14:paraId="09117BC7" w14:textId="1B1C7BA4" w:rsidR="00C67735" w:rsidRPr="005303F7" w:rsidRDefault="00BF65FC" w:rsidP="007F21EA">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М</w:t>
            </w:r>
            <w:r w:rsidR="00C67735" w:rsidRPr="005303F7">
              <w:rPr>
                <w:rFonts w:ascii="Times New Roman" w:hAnsi="Times New Roman"/>
                <w:b/>
                <w:bCs/>
                <w:sz w:val="20"/>
                <w:lang w:val="sr-Cyrl-CS" w:eastAsia="pt-PT"/>
              </w:rPr>
              <w:t>4</w:t>
            </w:r>
          </w:p>
        </w:tc>
        <w:tc>
          <w:tcPr>
            <w:tcW w:w="1000" w:type="pct"/>
            <w:shd w:val="clear" w:color="auto" w:fill="FFFFFF" w:themeFill="background1"/>
            <w:vAlign w:val="center"/>
          </w:tcPr>
          <w:p w14:paraId="7EC62FAC" w14:textId="65476185"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sz w:val="20"/>
                <w:lang w:val="sr-Cyrl-CS" w:eastAsia="pt-PT"/>
              </w:rPr>
              <w:t>-</w:t>
            </w:r>
          </w:p>
        </w:tc>
        <w:tc>
          <w:tcPr>
            <w:tcW w:w="1000" w:type="pct"/>
            <w:shd w:val="clear" w:color="auto" w:fill="FFFFFF" w:themeFill="background1"/>
            <w:vAlign w:val="center"/>
          </w:tcPr>
          <w:p w14:paraId="141FC409" w14:textId="7E75296B"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sz w:val="20"/>
                <w:lang w:val="sr-Cyrl-CS" w:eastAsia="pt-PT"/>
              </w:rPr>
              <w:t>-</w:t>
            </w:r>
          </w:p>
        </w:tc>
        <w:tc>
          <w:tcPr>
            <w:tcW w:w="1000" w:type="pct"/>
            <w:shd w:val="clear" w:color="auto" w:fill="FFFFFF" w:themeFill="background1"/>
            <w:vAlign w:val="center"/>
          </w:tcPr>
          <w:p w14:paraId="21B04C23" w14:textId="6FC2E29B"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sz w:val="20"/>
                <w:lang w:val="sr-Cyrl-CS" w:eastAsia="pt-PT"/>
              </w:rPr>
              <w:t>-</w:t>
            </w:r>
          </w:p>
        </w:tc>
        <w:tc>
          <w:tcPr>
            <w:tcW w:w="1000" w:type="pct"/>
            <w:shd w:val="clear" w:color="auto" w:fill="FFFFFF" w:themeFill="background1"/>
            <w:vAlign w:val="center"/>
          </w:tcPr>
          <w:p w14:paraId="03659D68" w14:textId="16C2F757" w:rsidR="00C67735" w:rsidRPr="005303F7" w:rsidRDefault="00C67735" w:rsidP="007F21EA">
            <w:pPr>
              <w:tabs>
                <w:tab w:val="clear" w:pos="3825"/>
              </w:tabs>
              <w:overflowPunct/>
              <w:autoSpaceDE/>
              <w:autoSpaceDN/>
              <w:adjustRightInd/>
              <w:spacing w:before="40" w:after="40"/>
              <w:jc w:val="center"/>
              <w:textAlignment w:val="auto"/>
              <w:rPr>
                <w:rFonts w:ascii="Times New Roman" w:hAnsi="Times New Roman"/>
                <w:sz w:val="20"/>
                <w:lang w:val="sr-Cyrl-CS" w:eastAsia="pt-PT"/>
              </w:rPr>
            </w:pPr>
            <w:r w:rsidRPr="005303F7">
              <w:rPr>
                <w:rFonts w:ascii="Times New Roman" w:hAnsi="Times New Roman"/>
                <w:color w:val="000000"/>
                <w:sz w:val="20"/>
                <w:lang w:val="sr-Cyrl-CS" w:eastAsia="pt-PT"/>
              </w:rPr>
              <w:t>-33,7%</w:t>
            </w:r>
          </w:p>
        </w:tc>
      </w:tr>
    </w:tbl>
    <w:p w14:paraId="5A25E3B8" w14:textId="24178BEA" w:rsidR="00C67735" w:rsidRPr="005303F7" w:rsidRDefault="00BF65FC" w:rsidP="00D93231">
      <w:pPr>
        <w:pStyle w:val="Heading2"/>
        <w:numPr>
          <w:ilvl w:val="2"/>
          <w:numId w:val="40"/>
        </w:numPr>
        <w:tabs>
          <w:tab w:val="clear" w:pos="3825"/>
          <w:tab w:val="left" w:pos="1134"/>
        </w:tabs>
        <w:ind w:left="1434" w:hanging="1077"/>
        <w:rPr>
          <w:rFonts w:ascii="Times New Roman" w:hAnsi="Times New Roman" w:cs="Times New Roman"/>
          <w:szCs w:val="22"/>
          <w:lang w:val="sr-Cyrl-CS"/>
        </w:rPr>
      </w:pPr>
      <w:bookmarkStart w:id="316" w:name="_Toc26686111"/>
      <w:r w:rsidRPr="005303F7">
        <w:rPr>
          <w:rFonts w:ascii="Times New Roman" w:hAnsi="Times New Roman" w:cs="Times New Roman"/>
          <w:szCs w:val="22"/>
          <w:lang w:val="sr-Cyrl-CS"/>
        </w:rPr>
        <w:t>Административни</w:t>
      </w:r>
      <w:r w:rsidR="00691FA9"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утицај</w:t>
      </w:r>
      <w:bookmarkEnd w:id="316"/>
      <w:r w:rsidRPr="005303F7">
        <w:rPr>
          <w:rFonts w:ascii="Times New Roman" w:hAnsi="Times New Roman" w:cs="Times New Roman"/>
          <w:szCs w:val="22"/>
          <w:lang w:val="sr-Cyrl-CS"/>
        </w:rPr>
        <w:t>и</w:t>
      </w:r>
    </w:p>
    <w:p w14:paraId="1640E44E" w14:textId="6CAE1935" w:rsidR="001A65EA" w:rsidRPr="005303F7" w:rsidRDefault="00DA7CD2" w:rsidP="001A65EA">
      <w:pPr>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Боља</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међусекторска</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сарадња</w:t>
      </w:r>
      <w:r w:rsidR="00CF2464" w:rsidRPr="005303F7">
        <w:rPr>
          <w:rFonts w:ascii="Times New Roman" w:hAnsi="Times New Roman"/>
          <w:sz w:val="24"/>
          <w:lang w:val="sr-Cyrl-CS"/>
        </w:rPr>
        <w:t xml:space="preserve"> </w:t>
      </w:r>
      <w:r w:rsidR="00BF65FC" w:rsidRPr="005303F7">
        <w:rPr>
          <w:rFonts w:ascii="Times New Roman" w:hAnsi="Times New Roman"/>
          <w:sz w:val="24"/>
          <w:lang w:val="sr-Cyrl-CS"/>
        </w:rPr>
        <w:t>ће</w:t>
      </w:r>
      <w:r w:rsidR="00CF2464" w:rsidRPr="005303F7">
        <w:rPr>
          <w:rFonts w:ascii="Times New Roman" w:hAnsi="Times New Roman"/>
          <w:sz w:val="24"/>
          <w:lang w:val="sr-Cyrl-CS"/>
        </w:rPr>
        <w:t xml:space="preserve"> </w:t>
      </w:r>
      <w:r w:rsidR="00BF65FC" w:rsidRPr="005303F7">
        <w:rPr>
          <w:rFonts w:ascii="Times New Roman" w:hAnsi="Times New Roman"/>
          <w:sz w:val="24"/>
          <w:lang w:val="sr-Cyrl-CS"/>
        </w:rPr>
        <w:t>бити</w:t>
      </w:r>
      <w:r w:rsidR="00CF2464" w:rsidRPr="005303F7">
        <w:rPr>
          <w:rFonts w:ascii="Times New Roman" w:hAnsi="Times New Roman"/>
          <w:sz w:val="24"/>
          <w:lang w:val="sr-Cyrl-CS"/>
        </w:rPr>
        <w:t xml:space="preserve"> </w:t>
      </w:r>
      <w:r w:rsidR="00BF65FC" w:rsidRPr="005303F7">
        <w:rPr>
          <w:rFonts w:ascii="Times New Roman" w:hAnsi="Times New Roman"/>
          <w:sz w:val="24"/>
          <w:lang w:val="sr-Cyrl-CS"/>
        </w:rPr>
        <w:t>од</w:t>
      </w:r>
      <w:r w:rsidR="00CF2464" w:rsidRPr="005303F7">
        <w:rPr>
          <w:rFonts w:ascii="Times New Roman" w:hAnsi="Times New Roman"/>
          <w:sz w:val="24"/>
          <w:lang w:val="sr-Cyrl-CS"/>
        </w:rPr>
        <w:t xml:space="preserve"> </w:t>
      </w:r>
      <w:r w:rsidR="00BF65FC" w:rsidRPr="005303F7">
        <w:rPr>
          <w:rFonts w:ascii="Times New Roman" w:hAnsi="Times New Roman"/>
          <w:sz w:val="24"/>
          <w:lang w:val="sr-Cyrl-CS"/>
        </w:rPr>
        <w:t>великог</w:t>
      </w:r>
      <w:r w:rsidR="00CF2464" w:rsidRPr="005303F7">
        <w:rPr>
          <w:rFonts w:ascii="Times New Roman" w:hAnsi="Times New Roman"/>
          <w:sz w:val="24"/>
          <w:lang w:val="sr-Cyrl-CS"/>
        </w:rPr>
        <w:t xml:space="preserve"> </w:t>
      </w:r>
      <w:r w:rsidR="00BF65FC" w:rsidRPr="005303F7">
        <w:rPr>
          <w:rFonts w:ascii="Times New Roman" w:hAnsi="Times New Roman"/>
          <w:sz w:val="24"/>
          <w:lang w:val="sr-Cyrl-CS"/>
        </w:rPr>
        <w:t>значаја</w:t>
      </w:r>
      <w:r w:rsidR="00CF2464"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CF2464" w:rsidRPr="005303F7">
        <w:rPr>
          <w:rFonts w:ascii="Times New Roman" w:hAnsi="Times New Roman"/>
          <w:sz w:val="24"/>
          <w:lang w:val="sr-Cyrl-CS"/>
        </w:rPr>
        <w:t xml:space="preserve"> </w:t>
      </w:r>
      <w:r w:rsidR="00BF65FC" w:rsidRPr="005303F7">
        <w:rPr>
          <w:rFonts w:ascii="Times New Roman" w:hAnsi="Times New Roman"/>
          <w:sz w:val="24"/>
          <w:lang w:val="sr-Cyrl-CS"/>
        </w:rPr>
        <w:t>спровођење</w:t>
      </w:r>
      <w:r w:rsidR="00CF2464" w:rsidRPr="005303F7">
        <w:rPr>
          <w:rFonts w:ascii="Times New Roman" w:hAnsi="Times New Roman"/>
          <w:sz w:val="24"/>
          <w:lang w:val="sr-Cyrl-CS"/>
        </w:rPr>
        <w:t xml:space="preserve"> </w:t>
      </w:r>
      <w:r w:rsidR="00BF65FC" w:rsidRPr="005303F7">
        <w:rPr>
          <w:rFonts w:ascii="Times New Roman" w:hAnsi="Times New Roman"/>
          <w:sz w:val="24"/>
          <w:lang w:val="sr-Cyrl-CS"/>
        </w:rPr>
        <w:t>Стратегије</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Национални</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савет</w:t>
      </w:r>
      <w:r w:rsidR="00DC64F3"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климатске</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промене</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могао</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би</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да</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има</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важну</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улогу</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том</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погледу</w:t>
      </w:r>
      <w:r w:rsidR="001A65EA" w:rsidRPr="005303F7">
        <w:rPr>
          <w:rFonts w:ascii="Times New Roman" w:hAnsi="Times New Roman"/>
          <w:sz w:val="24"/>
          <w:lang w:val="sr-Cyrl-CS"/>
        </w:rPr>
        <w:t>.</w:t>
      </w:r>
    </w:p>
    <w:p w14:paraId="0EAABC1E" w14:textId="7704C3CB" w:rsidR="001A65EA" w:rsidRPr="005303F7" w:rsidRDefault="00DA7CD2" w:rsidP="001A65EA">
      <w:pPr>
        <w:rPr>
          <w:rFonts w:ascii="Times New Roman" w:hAnsi="Times New Roman"/>
          <w:sz w:val="24"/>
          <w:lang w:val="sr-Cyrl-CS"/>
        </w:rPr>
      </w:pPr>
      <w:r w:rsidRPr="005303F7">
        <w:rPr>
          <w:rFonts w:ascii="Times New Roman" w:hAnsi="Times New Roman"/>
          <w:sz w:val="24"/>
          <w:lang w:val="sr-Cyrl-CS"/>
        </w:rPr>
        <w:t xml:space="preserve">             </w:t>
      </w:r>
      <w:r w:rsidR="00D73AAB" w:rsidRPr="005303F7">
        <w:rPr>
          <w:rFonts w:ascii="Times New Roman" w:hAnsi="Times New Roman"/>
          <w:sz w:val="24"/>
          <w:lang w:val="sr-Cyrl-CS"/>
        </w:rPr>
        <w:t>И</w:t>
      </w:r>
      <w:r w:rsidR="00BF65FC" w:rsidRPr="005303F7">
        <w:rPr>
          <w:rFonts w:ascii="Times New Roman" w:hAnsi="Times New Roman"/>
          <w:sz w:val="24"/>
          <w:lang w:val="sr-Cyrl-CS"/>
        </w:rPr>
        <w:t>мплементација</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Стратегије</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не</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захтева</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ве</w:t>
      </w:r>
      <w:r w:rsidR="00016298" w:rsidRPr="005303F7">
        <w:rPr>
          <w:rFonts w:ascii="Times New Roman" w:hAnsi="Times New Roman"/>
          <w:sz w:val="24"/>
          <w:lang w:val="sr-Cyrl-CS"/>
        </w:rPr>
        <w:t>ћ</w:t>
      </w:r>
      <w:r w:rsidR="00BF65FC" w:rsidRPr="005303F7">
        <w:rPr>
          <w:rFonts w:ascii="Times New Roman" w:hAnsi="Times New Roman"/>
          <w:sz w:val="24"/>
          <w:lang w:val="sr-Cyrl-CS"/>
        </w:rPr>
        <w:t>ину</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мера</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нове</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техничке</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вештине</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које</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би</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требало</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да</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буду</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уведене</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релевантна</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ресорна</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министарства</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1A65EA" w:rsidRPr="005303F7">
        <w:rPr>
          <w:rFonts w:ascii="Times New Roman" w:hAnsi="Times New Roman"/>
          <w:sz w:val="24"/>
          <w:lang w:val="sr-Cyrl-CS"/>
        </w:rPr>
        <w:t xml:space="preserve"> </w:t>
      </w:r>
      <w:r w:rsidR="00BF65FC" w:rsidRPr="005303F7">
        <w:rPr>
          <w:rFonts w:ascii="Times New Roman" w:hAnsi="Times New Roman"/>
          <w:sz w:val="24"/>
          <w:lang w:val="sr-Cyrl-CS"/>
        </w:rPr>
        <w:t>институције</w:t>
      </w:r>
      <w:r w:rsidR="001A65EA" w:rsidRPr="005303F7">
        <w:rPr>
          <w:rFonts w:ascii="Times New Roman" w:hAnsi="Times New Roman"/>
          <w:sz w:val="24"/>
          <w:lang w:val="sr-Cyrl-CS"/>
        </w:rPr>
        <w:t>.</w:t>
      </w:r>
    </w:p>
    <w:p w14:paraId="413FB03D" w14:textId="4FE8CE79" w:rsidR="00890DF0" w:rsidRPr="005303F7" w:rsidRDefault="00DA7CD2" w:rsidP="00EA0851">
      <w:pPr>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Најистакнутији</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изузетак</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је</w:t>
      </w:r>
      <w:r w:rsidR="001E5FDC" w:rsidRPr="005303F7">
        <w:rPr>
          <w:rFonts w:ascii="Times New Roman" w:hAnsi="Times New Roman"/>
          <w:sz w:val="24"/>
          <w:lang w:val="sr-Cyrl-CS"/>
        </w:rPr>
        <w:t xml:space="preserve"> </w:t>
      </w:r>
      <w:r w:rsidR="003B42CB" w:rsidRPr="005303F7">
        <w:rPr>
          <w:rFonts w:ascii="Times New Roman" w:hAnsi="Times New Roman"/>
          <w:sz w:val="24"/>
          <w:lang w:val="sr-Cyrl-CS"/>
        </w:rPr>
        <w:t>транзиција ка</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ЕU</w:t>
      </w:r>
      <w:r w:rsidR="001E5FDC" w:rsidRPr="005303F7">
        <w:rPr>
          <w:rFonts w:ascii="Times New Roman" w:hAnsi="Times New Roman"/>
          <w:sz w:val="24"/>
          <w:lang w:val="sr-Cyrl-CS"/>
        </w:rPr>
        <w:t>-</w:t>
      </w:r>
      <w:r w:rsidR="00BF65FC" w:rsidRPr="005303F7">
        <w:rPr>
          <w:rFonts w:ascii="Times New Roman" w:hAnsi="Times New Roman"/>
          <w:sz w:val="24"/>
          <w:lang w:val="sr-Cyrl-CS"/>
        </w:rPr>
        <w:t>ЕТS</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која</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захтева</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скуп</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техничких</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вештина</w:t>
      </w:r>
      <w:r w:rsidR="00C9008A" w:rsidRPr="005303F7">
        <w:rPr>
          <w:rFonts w:ascii="Times New Roman" w:hAnsi="Times New Roman"/>
          <w:sz w:val="24"/>
          <w:lang w:val="sr-Cyrl-CS"/>
        </w:rPr>
        <w:t xml:space="preserve"> </w:t>
      </w:r>
      <w:r w:rsidR="00BF65FC" w:rsidRPr="005303F7">
        <w:rPr>
          <w:rFonts w:ascii="Times New Roman" w:hAnsi="Times New Roman"/>
          <w:sz w:val="24"/>
          <w:lang w:val="sr-Cyrl-CS"/>
        </w:rPr>
        <w:t>као</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дефинисање</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примену</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административних</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процедура</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као</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што</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су</w:t>
      </w:r>
      <w:r w:rsidR="003B42CB" w:rsidRPr="005303F7">
        <w:rPr>
          <w:rFonts w:ascii="Times New Roman" w:hAnsi="Times New Roman"/>
          <w:sz w:val="24"/>
          <w:lang w:val="sr-Cyrl-CS"/>
        </w:rPr>
        <w:t xml:space="preserve"> </w:t>
      </w:r>
      <w:r w:rsidR="00EA0851" w:rsidRPr="005303F7">
        <w:rPr>
          <w:rFonts w:ascii="Times New Roman" w:hAnsi="Times New Roman"/>
          <w:sz w:val="24"/>
          <w:lang w:val="sr-Cyrl-CS"/>
        </w:rPr>
        <w:t>усклађивање са системом трговања емисијама ЕУ и/или увођење других инструмената за одређивање цена угљеника</w:t>
      </w:r>
      <w:r w:rsidR="003B42CB" w:rsidRPr="005303F7">
        <w:rPr>
          <w:rFonts w:ascii="Times New Roman" w:hAnsi="Times New Roman"/>
          <w:sz w:val="24"/>
          <w:lang w:val="sr-Cyrl-CS"/>
        </w:rPr>
        <w:t>,</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издавање</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дозвола</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емитовање</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GHG</w:t>
      </w:r>
      <w:r w:rsidR="001E5FDC" w:rsidRPr="005303F7">
        <w:rPr>
          <w:rFonts w:ascii="Times New Roman" w:hAnsi="Times New Roman"/>
          <w:sz w:val="24"/>
          <w:lang w:val="sr-Cyrl-CS"/>
        </w:rPr>
        <w:t xml:space="preserve"> </w:t>
      </w:r>
      <w:r w:rsidR="003B42CB" w:rsidRPr="005303F7">
        <w:rPr>
          <w:rFonts w:ascii="Times New Roman" w:hAnsi="Times New Roman"/>
          <w:sz w:val="24"/>
          <w:lang w:val="sr-Cyrl-CS"/>
        </w:rPr>
        <w:t xml:space="preserve">уз адекватан план мониторинга који би омогућио праћење  имплементације </w:t>
      </w:r>
      <w:r w:rsidR="00EA0851" w:rsidRPr="005303F7">
        <w:rPr>
          <w:rFonts w:ascii="Times New Roman" w:hAnsi="Times New Roman"/>
          <w:sz w:val="24"/>
          <w:lang w:val="sr-Cyrl-CS"/>
        </w:rPr>
        <w:t xml:space="preserve">ових </w:t>
      </w:r>
      <w:r w:rsidR="003B42CB" w:rsidRPr="005303F7">
        <w:rPr>
          <w:rFonts w:ascii="Times New Roman" w:hAnsi="Times New Roman"/>
          <w:sz w:val="24"/>
          <w:lang w:val="sr-Cyrl-CS"/>
        </w:rPr>
        <w:t xml:space="preserve">мера </w:t>
      </w:r>
      <w:r w:rsidR="00BF65FC" w:rsidRPr="005303F7">
        <w:rPr>
          <w:rFonts w:ascii="Times New Roman" w:hAnsi="Times New Roman"/>
          <w:sz w:val="24"/>
          <w:lang w:val="sr-Cyrl-CS"/>
        </w:rPr>
        <w:t>и</w:t>
      </w:r>
      <w:r w:rsidR="001E5FDC" w:rsidRPr="005303F7">
        <w:rPr>
          <w:rFonts w:ascii="Times New Roman" w:hAnsi="Times New Roman"/>
          <w:sz w:val="24"/>
          <w:lang w:val="sr-Cyrl-CS"/>
        </w:rPr>
        <w:t xml:space="preserve"> </w:t>
      </w:r>
      <w:r w:rsidR="003B42CB" w:rsidRPr="005303F7">
        <w:rPr>
          <w:rFonts w:ascii="Times New Roman" w:hAnsi="Times New Roman"/>
          <w:sz w:val="24"/>
          <w:lang w:val="sr-Cyrl-CS"/>
        </w:rPr>
        <w:t>осигурао адекватно спровођење таквих мера</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кој</w:t>
      </w:r>
      <w:r w:rsidR="00F85749" w:rsidRPr="005303F7">
        <w:rPr>
          <w:rFonts w:ascii="Times New Roman" w:hAnsi="Times New Roman"/>
          <w:sz w:val="24"/>
          <w:lang w:val="sr-Cyrl-CS"/>
        </w:rPr>
        <w:t>е</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тренутно</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не</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постоје</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српској</w:t>
      </w:r>
      <w:r w:rsidR="001E5FDC" w:rsidRPr="005303F7">
        <w:rPr>
          <w:rFonts w:ascii="Times New Roman" w:hAnsi="Times New Roman"/>
          <w:sz w:val="24"/>
          <w:lang w:val="sr-Cyrl-CS"/>
        </w:rPr>
        <w:t xml:space="preserve"> </w:t>
      </w:r>
      <w:r w:rsidR="00BF65FC" w:rsidRPr="005303F7">
        <w:rPr>
          <w:rFonts w:ascii="Times New Roman" w:hAnsi="Times New Roman"/>
          <w:sz w:val="24"/>
          <w:lang w:val="sr-Cyrl-CS"/>
        </w:rPr>
        <w:t>администрацији</w:t>
      </w:r>
      <w:r w:rsidR="001E5FDC" w:rsidRPr="005303F7">
        <w:rPr>
          <w:rFonts w:ascii="Times New Roman" w:hAnsi="Times New Roman"/>
          <w:sz w:val="24"/>
          <w:lang w:val="sr-Cyrl-CS"/>
        </w:rPr>
        <w:t>.</w:t>
      </w:r>
      <w:r w:rsidR="00F85749" w:rsidRPr="005303F7">
        <w:rPr>
          <w:rFonts w:ascii="Times New Roman" w:hAnsi="Times New Roman"/>
          <w:sz w:val="24"/>
          <w:lang w:val="sr-Cyrl-CS"/>
        </w:rPr>
        <w:t xml:space="preserve"> </w:t>
      </w:r>
      <w:r w:rsidR="00BF65FC" w:rsidRPr="005303F7">
        <w:rPr>
          <w:rFonts w:ascii="Times New Roman" w:hAnsi="Times New Roman"/>
          <w:sz w:val="24"/>
          <w:lang w:val="sr-Cyrl-CS"/>
        </w:rPr>
        <w:t>Потребно</w:t>
      </w:r>
      <w:r w:rsidR="00CE744E" w:rsidRPr="005303F7">
        <w:rPr>
          <w:rFonts w:ascii="Times New Roman" w:hAnsi="Times New Roman"/>
          <w:sz w:val="24"/>
          <w:lang w:val="sr-Cyrl-CS"/>
        </w:rPr>
        <w:t xml:space="preserve"> </w:t>
      </w:r>
      <w:r w:rsidR="00BF65FC" w:rsidRPr="005303F7">
        <w:rPr>
          <w:rFonts w:ascii="Times New Roman" w:hAnsi="Times New Roman"/>
          <w:sz w:val="24"/>
          <w:lang w:val="sr-Cyrl-CS"/>
        </w:rPr>
        <w:t>је</w:t>
      </w:r>
      <w:r w:rsidR="00CE744E" w:rsidRPr="005303F7">
        <w:rPr>
          <w:rFonts w:ascii="Times New Roman" w:hAnsi="Times New Roman"/>
          <w:sz w:val="24"/>
          <w:lang w:val="sr-Cyrl-CS"/>
        </w:rPr>
        <w:t xml:space="preserve"> </w:t>
      </w:r>
      <w:r w:rsidR="00BF65FC" w:rsidRPr="005303F7">
        <w:rPr>
          <w:rFonts w:ascii="Times New Roman" w:hAnsi="Times New Roman"/>
          <w:sz w:val="24"/>
          <w:lang w:val="sr-Cyrl-CS"/>
        </w:rPr>
        <w:t>успоставити</w:t>
      </w:r>
      <w:r w:rsidR="00CE744E" w:rsidRPr="005303F7">
        <w:rPr>
          <w:rFonts w:ascii="Times New Roman" w:hAnsi="Times New Roman"/>
          <w:sz w:val="24"/>
          <w:lang w:val="sr-Cyrl-CS"/>
        </w:rPr>
        <w:t xml:space="preserve"> </w:t>
      </w:r>
      <w:r w:rsidR="00BF65FC" w:rsidRPr="005303F7">
        <w:rPr>
          <w:rFonts w:ascii="Times New Roman" w:hAnsi="Times New Roman"/>
          <w:sz w:val="24"/>
          <w:lang w:val="sr-Cyrl-CS"/>
        </w:rPr>
        <w:t>механизам</w:t>
      </w:r>
      <w:r w:rsidR="00CE744E"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CE744E" w:rsidRPr="005303F7">
        <w:rPr>
          <w:rFonts w:ascii="Times New Roman" w:hAnsi="Times New Roman"/>
          <w:sz w:val="24"/>
          <w:lang w:val="sr-Cyrl-CS"/>
        </w:rPr>
        <w:t xml:space="preserve"> </w:t>
      </w:r>
      <w:r w:rsidR="00BF65FC" w:rsidRPr="005303F7">
        <w:rPr>
          <w:rFonts w:ascii="Times New Roman" w:hAnsi="Times New Roman"/>
          <w:sz w:val="24"/>
          <w:lang w:val="sr-Cyrl-CS"/>
        </w:rPr>
        <w:t>управљање</w:t>
      </w:r>
      <w:r w:rsidR="00CE744E" w:rsidRPr="005303F7">
        <w:rPr>
          <w:rFonts w:ascii="Times New Roman" w:hAnsi="Times New Roman"/>
          <w:sz w:val="24"/>
          <w:lang w:val="sr-Cyrl-CS"/>
        </w:rPr>
        <w:t xml:space="preserve"> </w:t>
      </w:r>
      <w:r w:rsidR="00BF65FC" w:rsidRPr="005303F7">
        <w:rPr>
          <w:rFonts w:ascii="Times New Roman" w:hAnsi="Times New Roman"/>
          <w:sz w:val="24"/>
          <w:lang w:val="sr-Cyrl-CS"/>
        </w:rPr>
        <w:t>приходима</w:t>
      </w:r>
      <w:r w:rsidR="00CE744E" w:rsidRPr="005303F7">
        <w:rPr>
          <w:rFonts w:ascii="Times New Roman" w:hAnsi="Times New Roman"/>
          <w:sz w:val="24"/>
          <w:lang w:val="sr-Cyrl-CS"/>
        </w:rPr>
        <w:t xml:space="preserve"> </w:t>
      </w:r>
      <w:r w:rsidR="00BF65FC" w:rsidRPr="005303F7">
        <w:rPr>
          <w:rFonts w:ascii="Times New Roman" w:hAnsi="Times New Roman"/>
          <w:sz w:val="24"/>
          <w:lang w:val="sr-Cyrl-CS"/>
        </w:rPr>
        <w:t>од</w:t>
      </w:r>
      <w:r w:rsidR="00CE744E" w:rsidRPr="005303F7">
        <w:rPr>
          <w:rFonts w:ascii="Times New Roman" w:hAnsi="Times New Roman"/>
          <w:sz w:val="24"/>
          <w:lang w:val="sr-Cyrl-CS"/>
        </w:rPr>
        <w:t xml:space="preserve"> </w:t>
      </w:r>
      <w:r w:rsidR="00F85749" w:rsidRPr="005303F7">
        <w:rPr>
          <w:rFonts w:ascii="Times New Roman" w:hAnsi="Times New Roman"/>
          <w:sz w:val="24"/>
          <w:lang w:val="sr-Cyrl-CS"/>
        </w:rPr>
        <w:t>увођења цене на угљеник за финалну потрошњу енергије</w:t>
      </w:r>
      <w:r w:rsidR="009B495E" w:rsidRPr="005303F7">
        <w:rPr>
          <w:rFonts w:ascii="Times New Roman" w:hAnsi="Times New Roman"/>
          <w:sz w:val="24"/>
          <w:lang w:val="sr-Cyrl-CS"/>
        </w:rPr>
        <w:t xml:space="preserve">, </w:t>
      </w:r>
      <w:r w:rsidR="00BF65FC" w:rsidRPr="005303F7">
        <w:rPr>
          <w:rFonts w:ascii="Times New Roman" w:hAnsi="Times New Roman"/>
          <w:sz w:val="24"/>
          <w:lang w:val="sr-Cyrl-CS"/>
        </w:rPr>
        <w:t>како</w:t>
      </w:r>
      <w:r w:rsidR="00CE744E" w:rsidRPr="005303F7">
        <w:rPr>
          <w:rFonts w:ascii="Times New Roman" w:hAnsi="Times New Roman"/>
          <w:sz w:val="24"/>
          <w:lang w:val="sr-Cyrl-CS"/>
        </w:rPr>
        <w:t xml:space="preserve"> </w:t>
      </w:r>
      <w:r w:rsidR="00BF65FC" w:rsidRPr="005303F7">
        <w:rPr>
          <w:rFonts w:ascii="Times New Roman" w:hAnsi="Times New Roman"/>
          <w:sz w:val="24"/>
          <w:lang w:val="sr-Cyrl-CS"/>
        </w:rPr>
        <w:t>би</w:t>
      </w:r>
      <w:r w:rsidR="00CE744E"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CE744E" w:rsidRPr="005303F7">
        <w:rPr>
          <w:rFonts w:ascii="Times New Roman" w:hAnsi="Times New Roman"/>
          <w:sz w:val="24"/>
          <w:lang w:val="sr-Cyrl-CS"/>
        </w:rPr>
        <w:t xml:space="preserve"> </w:t>
      </w:r>
      <w:r w:rsidR="00BF65FC" w:rsidRPr="005303F7">
        <w:rPr>
          <w:rFonts w:ascii="Times New Roman" w:hAnsi="Times New Roman"/>
          <w:sz w:val="24"/>
          <w:lang w:val="sr-Cyrl-CS"/>
        </w:rPr>
        <w:t>осигурала</w:t>
      </w:r>
      <w:r w:rsidR="00CE744E" w:rsidRPr="005303F7">
        <w:rPr>
          <w:rFonts w:ascii="Times New Roman" w:hAnsi="Times New Roman"/>
          <w:sz w:val="24"/>
          <w:lang w:val="sr-Cyrl-CS"/>
        </w:rPr>
        <w:t xml:space="preserve"> </w:t>
      </w:r>
      <w:r w:rsidR="00BF65FC" w:rsidRPr="005303F7">
        <w:rPr>
          <w:rFonts w:ascii="Times New Roman" w:hAnsi="Times New Roman"/>
          <w:sz w:val="24"/>
          <w:lang w:val="sr-Cyrl-CS"/>
        </w:rPr>
        <w:t>ефикасна</w:t>
      </w:r>
      <w:r w:rsidR="00CE744E" w:rsidRPr="005303F7">
        <w:rPr>
          <w:rFonts w:ascii="Times New Roman" w:hAnsi="Times New Roman"/>
          <w:sz w:val="24"/>
          <w:lang w:val="sr-Cyrl-CS"/>
        </w:rPr>
        <w:t xml:space="preserve"> </w:t>
      </w:r>
      <w:r w:rsidR="00BF65FC" w:rsidRPr="005303F7">
        <w:rPr>
          <w:rFonts w:ascii="Times New Roman" w:hAnsi="Times New Roman"/>
          <w:sz w:val="24"/>
          <w:lang w:val="sr-Cyrl-CS"/>
        </w:rPr>
        <w:t>подршка</w:t>
      </w:r>
      <w:r w:rsidR="00CE744E" w:rsidRPr="005303F7">
        <w:rPr>
          <w:rFonts w:ascii="Times New Roman" w:hAnsi="Times New Roman"/>
          <w:sz w:val="24"/>
          <w:lang w:val="sr-Cyrl-CS"/>
        </w:rPr>
        <w:t xml:space="preserve"> </w:t>
      </w:r>
      <w:r w:rsidR="00BF65FC" w:rsidRPr="005303F7">
        <w:rPr>
          <w:rFonts w:ascii="Times New Roman" w:hAnsi="Times New Roman"/>
          <w:sz w:val="24"/>
          <w:lang w:val="sr-Cyrl-CS"/>
        </w:rPr>
        <w:t>спровођењу</w:t>
      </w:r>
      <w:r w:rsidR="00CE744E" w:rsidRPr="005303F7">
        <w:rPr>
          <w:rFonts w:ascii="Times New Roman" w:hAnsi="Times New Roman"/>
          <w:sz w:val="24"/>
          <w:lang w:val="sr-Cyrl-CS"/>
        </w:rPr>
        <w:t xml:space="preserve"> </w:t>
      </w:r>
      <w:r w:rsidR="00BF65FC" w:rsidRPr="005303F7">
        <w:rPr>
          <w:rFonts w:ascii="Times New Roman" w:hAnsi="Times New Roman"/>
          <w:sz w:val="24"/>
          <w:lang w:val="sr-Cyrl-CS"/>
        </w:rPr>
        <w:t>мера</w:t>
      </w:r>
      <w:r w:rsidR="00CE744E" w:rsidRPr="005303F7">
        <w:rPr>
          <w:rFonts w:ascii="Times New Roman" w:hAnsi="Times New Roman"/>
          <w:sz w:val="24"/>
          <w:lang w:val="sr-Cyrl-CS"/>
        </w:rPr>
        <w:t xml:space="preserve"> </w:t>
      </w:r>
      <w:r w:rsidR="00BF65FC" w:rsidRPr="005303F7">
        <w:rPr>
          <w:rFonts w:ascii="Times New Roman" w:hAnsi="Times New Roman"/>
          <w:sz w:val="24"/>
          <w:lang w:val="sr-Cyrl-CS"/>
        </w:rPr>
        <w:t>обухва</w:t>
      </w:r>
      <w:r w:rsidR="00016298" w:rsidRPr="005303F7">
        <w:rPr>
          <w:rFonts w:ascii="Times New Roman" w:hAnsi="Times New Roman"/>
          <w:sz w:val="24"/>
          <w:lang w:val="sr-Cyrl-CS"/>
        </w:rPr>
        <w:t>ћ</w:t>
      </w:r>
      <w:r w:rsidR="00BF65FC" w:rsidRPr="005303F7">
        <w:rPr>
          <w:rFonts w:ascii="Times New Roman" w:hAnsi="Times New Roman"/>
          <w:sz w:val="24"/>
          <w:lang w:val="sr-Cyrl-CS"/>
        </w:rPr>
        <w:t>ених</w:t>
      </w:r>
      <w:r w:rsidR="00CE744E" w:rsidRPr="005303F7">
        <w:rPr>
          <w:rFonts w:ascii="Times New Roman" w:hAnsi="Times New Roman"/>
          <w:sz w:val="24"/>
          <w:lang w:val="sr-Cyrl-CS"/>
        </w:rPr>
        <w:t xml:space="preserve"> </w:t>
      </w:r>
      <w:r w:rsidR="00BF65FC" w:rsidRPr="005303F7">
        <w:rPr>
          <w:rFonts w:ascii="Times New Roman" w:hAnsi="Times New Roman"/>
          <w:sz w:val="24"/>
          <w:lang w:val="sr-Cyrl-CS"/>
        </w:rPr>
        <w:t>овом</w:t>
      </w:r>
      <w:r w:rsidR="00CE744E" w:rsidRPr="005303F7">
        <w:rPr>
          <w:rFonts w:ascii="Times New Roman" w:hAnsi="Times New Roman"/>
          <w:sz w:val="24"/>
          <w:lang w:val="sr-Cyrl-CS"/>
        </w:rPr>
        <w:t xml:space="preserve"> </w:t>
      </w:r>
      <w:r w:rsidR="00BF65FC" w:rsidRPr="005303F7">
        <w:rPr>
          <w:rFonts w:ascii="Times New Roman" w:hAnsi="Times New Roman"/>
          <w:sz w:val="24"/>
          <w:lang w:val="sr-Cyrl-CS"/>
        </w:rPr>
        <w:t>стратегијом</w:t>
      </w:r>
      <w:r w:rsidR="00CE744E" w:rsidRPr="005303F7">
        <w:rPr>
          <w:rFonts w:ascii="Times New Roman" w:hAnsi="Times New Roman"/>
          <w:sz w:val="24"/>
          <w:lang w:val="sr-Cyrl-CS"/>
        </w:rPr>
        <w:t xml:space="preserve">. </w:t>
      </w:r>
      <w:r w:rsidR="00BF65FC" w:rsidRPr="005303F7">
        <w:rPr>
          <w:rFonts w:ascii="Times New Roman" w:hAnsi="Times New Roman"/>
          <w:sz w:val="24"/>
          <w:lang w:val="sr-Cyrl-CS"/>
        </w:rPr>
        <w:t>Овај</w:t>
      </w:r>
      <w:r w:rsidR="00C17972" w:rsidRPr="005303F7">
        <w:rPr>
          <w:rFonts w:ascii="Times New Roman" w:hAnsi="Times New Roman"/>
          <w:sz w:val="24"/>
          <w:lang w:val="sr-Cyrl-CS"/>
        </w:rPr>
        <w:t xml:space="preserve"> </w:t>
      </w:r>
      <w:r w:rsidR="00BF65FC" w:rsidRPr="005303F7">
        <w:rPr>
          <w:rFonts w:ascii="Times New Roman" w:hAnsi="Times New Roman"/>
          <w:sz w:val="24"/>
          <w:lang w:val="sr-Cyrl-CS"/>
        </w:rPr>
        <w:t>механизам</w:t>
      </w:r>
      <w:r w:rsidR="00C17972" w:rsidRPr="005303F7">
        <w:rPr>
          <w:rFonts w:ascii="Times New Roman" w:hAnsi="Times New Roman"/>
          <w:sz w:val="24"/>
          <w:lang w:val="sr-Cyrl-CS"/>
        </w:rPr>
        <w:t xml:space="preserve"> </w:t>
      </w:r>
      <w:r w:rsidR="00BF65FC" w:rsidRPr="005303F7">
        <w:rPr>
          <w:rFonts w:ascii="Times New Roman" w:hAnsi="Times New Roman"/>
          <w:sz w:val="24"/>
          <w:lang w:val="sr-Cyrl-CS"/>
        </w:rPr>
        <w:t>мора</w:t>
      </w:r>
      <w:r w:rsidR="00C17972" w:rsidRPr="005303F7">
        <w:rPr>
          <w:rFonts w:ascii="Times New Roman" w:hAnsi="Times New Roman"/>
          <w:sz w:val="24"/>
          <w:lang w:val="sr-Cyrl-CS"/>
        </w:rPr>
        <w:t xml:space="preserve"> </w:t>
      </w:r>
      <w:r w:rsidR="00BF65FC" w:rsidRPr="005303F7">
        <w:rPr>
          <w:rFonts w:ascii="Times New Roman" w:hAnsi="Times New Roman"/>
          <w:sz w:val="24"/>
          <w:lang w:val="sr-Cyrl-CS"/>
        </w:rPr>
        <w:t>бити</w:t>
      </w:r>
      <w:r w:rsidR="00C17972" w:rsidRPr="005303F7">
        <w:rPr>
          <w:rFonts w:ascii="Times New Roman" w:hAnsi="Times New Roman"/>
          <w:sz w:val="24"/>
          <w:lang w:val="sr-Cyrl-CS"/>
        </w:rPr>
        <w:t xml:space="preserve"> </w:t>
      </w:r>
      <w:r w:rsidR="00BF65FC" w:rsidRPr="005303F7">
        <w:rPr>
          <w:rFonts w:ascii="Times New Roman" w:hAnsi="Times New Roman"/>
          <w:sz w:val="24"/>
          <w:lang w:val="sr-Cyrl-CS"/>
        </w:rPr>
        <w:t>подржан</w:t>
      </w:r>
      <w:r w:rsidR="00C17972" w:rsidRPr="005303F7">
        <w:rPr>
          <w:rFonts w:ascii="Times New Roman" w:hAnsi="Times New Roman"/>
          <w:sz w:val="24"/>
          <w:lang w:val="sr-Cyrl-CS"/>
        </w:rPr>
        <w:t xml:space="preserve"> </w:t>
      </w:r>
      <w:r w:rsidR="00BF65FC" w:rsidRPr="005303F7">
        <w:rPr>
          <w:rFonts w:ascii="Times New Roman" w:hAnsi="Times New Roman"/>
          <w:sz w:val="24"/>
          <w:lang w:val="sr-Cyrl-CS"/>
        </w:rPr>
        <w:t>одговарају</w:t>
      </w:r>
      <w:r w:rsidR="00016298" w:rsidRPr="005303F7">
        <w:rPr>
          <w:rFonts w:ascii="Times New Roman" w:hAnsi="Times New Roman"/>
          <w:sz w:val="24"/>
          <w:lang w:val="sr-Cyrl-CS"/>
        </w:rPr>
        <w:t>ћ</w:t>
      </w:r>
      <w:r w:rsidR="00BF65FC" w:rsidRPr="005303F7">
        <w:rPr>
          <w:rFonts w:ascii="Times New Roman" w:hAnsi="Times New Roman"/>
          <w:sz w:val="24"/>
          <w:lang w:val="sr-Cyrl-CS"/>
        </w:rPr>
        <w:t>ом</w:t>
      </w:r>
      <w:r w:rsidR="00C17972" w:rsidRPr="005303F7">
        <w:rPr>
          <w:rFonts w:ascii="Times New Roman" w:hAnsi="Times New Roman"/>
          <w:sz w:val="24"/>
          <w:lang w:val="sr-Cyrl-CS"/>
        </w:rPr>
        <w:t xml:space="preserve"> </w:t>
      </w:r>
      <w:r w:rsidR="00BF65FC" w:rsidRPr="005303F7">
        <w:rPr>
          <w:rFonts w:ascii="Times New Roman" w:hAnsi="Times New Roman"/>
          <w:sz w:val="24"/>
          <w:lang w:val="sr-Cyrl-CS"/>
        </w:rPr>
        <w:t>институционалном</w:t>
      </w:r>
      <w:r w:rsidR="00C17972" w:rsidRPr="005303F7">
        <w:rPr>
          <w:rFonts w:ascii="Times New Roman" w:hAnsi="Times New Roman"/>
          <w:sz w:val="24"/>
          <w:lang w:val="sr-Cyrl-CS"/>
        </w:rPr>
        <w:t xml:space="preserve"> </w:t>
      </w:r>
      <w:r w:rsidR="00BF65FC" w:rsidRPr="005303F7">
        <w:rPr>
          <w:rFonts w:ascii="Times New Roman" w:hAnsi="Times New Roman"/>
          <w:sz w:val="24"/>
          <w:lang w:val="sr-Cyrl-CS"/>
        </w:rPr>
        <w:t>организацијом</w:t>
      </w:r>
      <w:r w:rsidR="00C17972" w:rsidRPr="005303F7">
        <w:rPr>
          <w:rFonts w:ascii="Times New Roman" w:hAnsi="Times New Roman"/>
          <w:sz w:val="24"/>
          <w:lang w:val="sr-Cyrl-CS"/>
        </w:rPr>
        <w:t xml:space="preserve"> </w:t>
      </w:r>
      <w:r w:rsidR="00BF65FC" w:rsidRPr="005303F7">
        <w:rPr>
          <w:rFonts w:ascii="Times New Roman" w:hAnsi="Times New Roman"/>
          <w:sz w:val="24"/>
          <w:lang w:val="sr-Cyrl-CS"/>
        </w:rPr>
        <w:t>која</w:t>
      </w:r>
      <w:r w:rsidR="00C17972" w:rsidRPr="005303F7">
        <w:rPr>
          <w:rFonts w:ascii="Times New Roman" w:hAnsi="Times New Roman"/>
          <w:sz w:val="24"/>
          <w:lang w:val="sr-Cyrl-CS"/>
        </w:rPr>
        <w:t xml:space="preserve"> </w:t>
      </w:r>
      <w:r w:rsidR="00BF65FC" w:rsidRPr="005303F7">
        <w:rPr>
          <w:rFonts w:ascii="Times New Roman" w:hAnsi="Times New Roman"/>
          <w:sz w:val="24"/>
          <w:lang w:val="sr-Cyrl-CS"/>
        </w:rPr>
        <w:t>обезбеђује</w:t>
      </w:r>
      <w:r w:rsidR="00C17972" w:rsidRPr="005303F7">
        <w:rPr>
          <w:rFonts w:ascii="Times New Roman" w:hAnsi="Times New Roman"/>
          <w:sz w:val="24"/>
          <w:lang w:val="sr-Cyrl-CS"/>
        </w:rPr>
        <w:t xml:space="preserve"> </w:t>
      </w:r>
      <w:r w:rsidR="00BF65FC" w:rsidRPr="005303F7">
        <w:rPr>
          <w:rFonts w:ascii="Times New Roman" w:hAnsi="Times New Roman"/>
          <w:sz w:val="24"/>
          <w:lang w:val="sr-Cyrl-CS"/>
        </w:rPr>
        <w:t>највише</w:t>
      </w:r>
      <w:r w:rsidR="00C17972" w:rsidRPr="005303F7">
        <w:rPr>
          <w:rFonts w:ascii="Times New Roman" w:hAnsi="Times New Roman"/>
          <w:sz w:val="24"/>
          <w:lang w:val="sr-Cyrl-CS"/>
        </w:rPr>
        <w:t xml:space="preserve"> </w:t>
      </w:r>
      <w:r w:rsidR="00BF65FC" w:rsidRPr="005303F7">
        <w:rPr>
          <w:rFonts w:ascii="Times New Roman" w:hAnsi="Times New Roman"/>
          <w:sz w:val="24"/>
          <w:lang w:val="sr-Cyrl-CS"/>
        </w:rPr>
        <w:t>стандарде</w:t>
      </w:r>
      <w:r w:rsidR="00C17972"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C17972" w:rsidRPr="005303F7">
        <w:rPr>
          <w:rFonts w:ascii="Times New Roman" w:hAnsi="Times New Roman"/>
          <w:sz w:val="24"/>
          <w:lang w:val="sr-Cyrl-CS"/>
        </w:rPr>
        <w:t xml:space="preserve"> </w:t>
      </w:r>
      <w:r w:rsidR="00BF65FC" w:rsidRPr="005303F7">
        <w:rPr>
          <w:rFonts w:ascii="Times New Roman" w:hAnsi="Times New Roman"/>
          <w:sz w:val="24"/>
          <w:lang w:val="sr-Cyrl-CS"/>
        </w:rPr>
        <w:t>могу</w:t>
      </w:r>
      <w:r w:rsidR="00016298" w:rsidRPr="005303F7">
        <w:rPr>
          <w:rFonts w:ascii="Times New Roman" w:hAnsi="Times New Roman"/>
          <w:sz w:val="24"/>
          <w:lang w:val="sr-Cyrl-CS"/>
        </w:rPr>
        <w:t>ћ</w:t>
      </w:r>
      <w:r w:rsidR="00BF65FC" w:rsidRPr="005303F7">
        <w:rPr>
          <w:rFonts w:ascii="Times New Roman" w:hAnsi="Times New Roman"/>
          <w:sz w:val="24"/>
          <w:lang w:val="sr-Cyrl-CS"/>
        </w:rPr>
        <w:t>ност</w:t>
      </w:r>
      <w:r w:rsidR="00C17972" w:rsidRPr="005303F7">
        <w:rPr>
          <w:rFonts w:ascii="Times New Roman" w:hAnsi="Times New Roman"/>
          <w:sz w:val="24"/>
          <w:lang w:val="sr-Cyrl-CS"/>
        </w:rPr>
        <w:t xml:space="preserve"> </w:t>
      </w:r>
      <w:r w:rsidR="00BF65FC" w:rsidRPr="005303F7">
        <w:rPr>
          <w:rFonts w:ascii="Times New Roman" w:hAnsi="Times New Roman"/>
          <w:sz w:val="24"/>
          <w:lang w:val="sr-Cyrl-CS"/>
        </w:rPr>
        <w:t>обраде</w:t>
      </w:r>
      <w:r w:rsidR="00C17972" w:rsidRPr="005303F7">
        <w:rPr>
          <w:rFonts w:ascii="Times New Roman" w:hAnsi="Times New Roman"/>
          <w:sz w:val="24"/>
          <w:lang w:val="sr-Cyrl-CS"/>
        </w:rPr>
        <w:t xml:space="preserve"> </w:t>
      </w:r>
      <w:r w:rsidR="00BF65FC" w:rsidRPr="005303F7">
        <w:rPr>
          <w:rFonts w:ascii="Times New Roman" w:hAnsi="Times New Roman"/>
          <w:sz w:val="24"/>
          <w:lang w:val="sr-Cyrl-CS"/>
        </w:rPr>
        <w:t>очекиваног</w:t>
      </w:r>
      <w:r w:rsidR="00C17972" w:rsidRPr="005303F7">
        <w:rPr>
          <w:rFonts w:ascii="Times New Roman" w:hAnsi="Times New Roman"/>
          <w:sz w:val="24"/>
          <w:lang w:val="sr-Cyrl-CS"/>
        </w:rPr>
        <w:t xml:space="preserve"> </w:t>
      </w:r>
      <w:r w:rsidR="00BF65FC" w:rsidRPr="005303F7">
        <w:rPr>
          <w:rFonts w:ascii="Times New Roman" w:hAnsi="Times New Roman"/>
          <w:sz w:val="24"/>
          <w:lang w:val="sr-Cyrl-CS"/>
        </w:rPr>
        <w:t>обима</w:t>
      </w:r>
      <w:r w:rsidR="00C17972" w:rsidRPr="005303F7">
        <w:rPr>
          <w:rFonts w:ascii="Times New Roman" w:hAnsi="Times New Roman"/>
          <w:sz w:val="24"/>
          <w:lang w:val="sr-Cyrl-CS"/>
        </w:rPr>
        <w:t xml:space="preserve"> </w:t>
      </w:r>
      <w:r w:rsidR="00BF65FC" w:rsidRPr="005303F7">
        <w:rPr>
          <w:rFonts w:ascii="Times New Roman" w:hAnsi="Times New Roman"/>
          <w:sz w:val="24"/>
          <w:lang w:val="sr-Cyrl-CS"/>
        </w:rPr>
        <w:t>захтева</w:t>
      </w:r>
      <w:r w:rsidR="00C17972"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C17972" w:rsidRPr="005303F7">
        <w:rPr>
          <w:rFonts w:ascii="Times New Roman" w:hAnsi="Times New Roman"/>
          <w:sz w:val="24"/>
          <w:lang w:val="sr-Cyrl-CS"/>
        </w:rPr>
        <w:t xml:space="preserve"> </w:t>
      </w:r>
      <w:r w:rsidR="00BF65FC" w:rsidRPr="005303F7">
        <w:rPr>
          <w:rFonts w:ascii="Times New Roman" w:hAnsi="Times New Roman"/>
          <w:sz w:val="24"/>
          <w:lang w:val="sr-Cyrl-CS"/>
        </w:rPr>
        <w:t>подршку</w:t>
      </w:r>
      <w:r w:rsidR="00C17972" w:rsidRPr="005303F7">
        <w:rPr>
          <w:rFonts w:ascii="Times New Roman" w:hAnsi="Times New Roman"/>
          <w:sz w:val="24"/>
          <w:lang w:val="sr-Cyrl-CS"/>
        </w:rPr>
        <w:t xml:space="preserve"> </w:t>
      </w:r>
      <w:r w:rsidR="00BF65FC" w:rsidRPr="005303F7">
        <w:rPr>
          <w:rFonts w:ascii="Times New Roman" w:hAnsi="Times New Roman"/>
          <w:sz w:val="24"/>
          <w:lang w:val="sr-Cyrl-CS"/>
        </w:rPr>
        <w:t>имплементацији</w:t>
      </w:r>
      <w:r w:rsidR="00C17972" w:rsidRPr="005303F7">
        <w:rPr>
          <w:rFonts w:ascii="Times New Roman" w:hAnsi="Times New Roman"/>
          <w:sz w:val="24"/>
          <w:lang w:val="sr-Cyrl-CS"/>
        </w:rPr>
        <w:t xml:space="preserve"> </w:t>
      </w:r>
      <w:r w:rsidR="00BF65FC" w:rsidRPr="005303F7">
        <w:rPr>
          <w:rFonts w:ascii="Times New Roman" w:hAnsi="Times New Roman"/>
          <w:sz w:val="24"/>
          <w:lang w:val="sr-Cyrl-CS"/>
        </w:rPr>
        <w:t>мера</w:t>
      </w:r>
      <w:r w:rsidR="00C17972" w:rsidRPr="005303F7">
        <w:rPr>
          <w:rFonts w:ascii="Times New Roman" w:hAnsi="Times New Roman"/>
          <w:sz w:val="24"/>
          <w:lang w:val="sr-Cyrl-CS"/>
        </w:rPr>
        <w:t xml:space="preserve">. </w:t>
      </w:r>
    </w:p>
    <w:p w14:paraId="0B4CA23E" w14:textId="3B363EE7" w:rsidR="00C67735" w:rsidRPr="005303F7" w:rsidRDefault="00DA7CD2" w:rsidP="009276B6">
      <w:pPr>
        <w:pStyle w:val="NormalWeb"/>
        <w:spacing w:after="120" w:afterAutospacing="0"/>
        <w:rPr>
          <w:rFonts w:ascii="Times New Roman" w:hAnsi="Times New Roman" w:cs="Times New Roman"/>
          <w:sz w:val="28"/>
          <w:lang w:val="sr-Cyrl-CS"/>
        </w:rPr>
      </w:pPr>
      <w:r w:rsidRPr="005303F7">
        <w:rPr>
          <w:rFonts w:ascii="Times New Roman" w:eastAsia="Times New Roman" w:hAnsi="Times New Roman" w:cs="Times New Roman"/>
          <w:szCs w:val="20"/>
          <w:lang w:val="sr-Cyrl-CS" w:eastAsia="de-DE"/>
        </w:rPr>
        <w:lastRenderedPageBreak/>
        <w:t xml:space="preserve">              </w:t>
      </w:r>
      <w:r w:rsidR="00BF65FC" w:rsidRPr="005303F7">
        <w:rPr>
          <w:rFonts w:ascii="Times New Roman" w:eastAsia="Times New Roman" w:hAnsi="Times New Roman" w:cs="Times New Roman"/>
          <w:szCs w:val="20"/>
          <w:lang w:val="sr-Cyrl-CS" w:eastAsia="de-DE"/>
        </w:rPr>
        <w:t>За</w:t>
      </w:r>
      <w:r w:rsidR="00890DF0"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спровођење</w:t>
      </w:r>
      <w:r w:rsidR="00890DF0"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мера</w:t>
      </w:r>
      <w:r w:rsidR="00890DF0"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из</w:t>
      </w:r>
      <w:r w:rsidR="00890DF0"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стратегије</w:t>
      </w:r>
      <w:r w:rsidR="00890DF0"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биће</w:t>
      </w:r>
      <w:r w:rsidR="00890DF0"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потребни</w:t>
      </w:r>
      <w:r w:rsidR="00890DF0"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административни</w:t>
      </w:r>
      <w:r w:rsidR="00890DF0"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капацитети</w:t>
      </w:r>
      <w:r w:rsidR="00C17972"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који</w:t>
      </w:r>
      <w:r w:rsidR="00C17972"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преведени</w:t>
      </w:r>
      <w:r w:rsidR="00C17972"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у</w:t>
      </w:r>
      <w:r w:rsidR="00C17972"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еквивалент</w:t>
      </w:r>
      <w:r w:rsidR="00D05220"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пуног</w:t>
      </w:r>
      <w:r w:rsidR="00D05220"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радног</w:t>
      </w:r>
      <w:r w:rsidR="00D05220"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времена</w:t>
      </w:r>
      <w:r w:rsidR="00D05220"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енгл</w:t>
      </w:r>
      <w:r w:rsidR="00900F47" w:rsidRPr="005303F7">
        <w:rPr>
          <w:rFonts w:ascii="Times New Roman" w:eastAsia="Times New Roman" w:hAnsi="Times New Roman" w:cs="Times New Roman"/>
          <w:szCs w:val="20"/>
          <w:lang w:val="sr-Cyrl-CS" w:eastAsia="de-DE"/>
        </w:rPr>
        <w:t xml:space="preserve">. </w:t>
      </w:r>
      <w:r w:rsidR="004E2F5C" w:rsidRPr="005303F7">
        <w:rPr>
          <w:rFonts w:ascii="Times New Roman" w:eastAsia="Times New Roman" w:hAnsi="Times New Roman" w:cs="Times New Roman"/>
          <w:szCs w:val="20"/>
          <w:lang w:val="sr-Cyrl-CS" w:eastAsia="de-DE"/>
        </w:rPr>
        <w:t xml:space="preserve">Full Time Equivalent - </w:t>
      </w:r>
      <w:r w:rsidR="0059172D" w:rsidRPr="005303F7">
        <w:rPr>
          <w:rFonts w:ascii="Times New Roman" w:eastAsia="Times New Roman" w:hAnsi="Times New Roman" w:cs="Times New Roman"/>
          <w:szCs w:val="20"/>
          <w:lang w:val="sr-Cyrl-CS" w:eastAsia="de-DE"/>
        </w:rPr>
        <w:t>FTE</w:t>
      </w:r>
      <w:r w:rsidR="00D05220"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износе</w:t>
      </w:r>
      <w:r w:rsidR="00D05220"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између</w:t>
      </w:r>
      <w:r w:rsidR="00C17972" w:rsidRPr="005303F7">
        <w:rPr>
          <w:rFonts w:ascii="Times New Roman" w:eastAsia="Times New Roman" w:hAnsi="Times New Roman" w:cs="Times New Roman"/>
          <w:szCs w:val="20"/>
          <w:lang w:val="sr-Cyrl-CS" w:eastAsia="de-DE"/>
        </w:rPr>
        <w:t xml:space="preserve"> </w:t>
      </w:r>
      <w:r w:rsidR="00C67735" w:rsidRPr="005303F7">
        <w:rPr>
          <w:rFonts w:ascii="Times New Roman" w:eastAsia="Times New Roman" w:hAnsi="Times New Roman" w:cs="Times New Roman"/>
          <w:szCs w:val="20"/>
          <w:lang w:val="sr-Cyrl-CS" w:eastAsia="de-DE"/>
        </w:rPr>
        <w:t xml:space="preserve">33 </w:t>
      </w:r>
      <w:r w:rsidR="00BF65FC" w:rsidRPr="005303F7">
        <w:rPr>
          <w:rFonts w:ascii="Times New Roman" w:eastAsia="Times New Roman" w:hAnsi="Times New Roman" w:cs="Times New Roman"/>
          <w:szCs w:val="20"/>
          <w:lang w:val="sr-Cyrl-CS" w:eastAsia="de-DE"/>
        </w:rPr>
        <w:t>за</w:t>
      </w:r>
      <w:r w:rsidR="00C17972"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сценарио</w:t>
      </w:r>
      <w:r w:rsidR="00076222"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М</w:t>
      </w:r>
      <w:r w:rsidR="00076222" w:rsidRPr="005303F7">
        <w:rPr>
          <w:rFonts w:ascii="Times New Roman" w:eastAsia="Times New Roman" w:hAnsi="Times New Roman" w:cs="Times New Roman"/>
          <w:szCs w:val="20"/>
          <w:lang w:val="sr-Cyrl-CS" w:eastAsia="de-DE"/>
        </w:rPr>
        <w:t xml:space="preserve">2 </w:t>
      </w:r>
      <w:r w:rsidR="00BF65FC" w:rsidRPr="005303F7">
        <w:rPr>
          <w:rFonts w:ascii="Times New Roman" w:eastAsia="Times New Roman" w:hAnsi="Times New Roman" w:cs="Times New Roman"/>
          <w:szCs w:val="20"/>
          <w:lang w:val="sr-Cyrl-CS" w:eastAsia="de-DE"/>
        </w:rPr>
        <w:t>и</w:t>
      </w:r>
      <w:r w:rsidR="00C17972" w:rsidRPr="005303F7">
        <w:rPr>
          <w:rFonts w:ascii="Times New Roman" w:eastAsia="Times New Roman" w:hAnsi="Times New Roman" w:cs="Times New Roman"/>
          <w:szCs w:val="20"/>
          <w:lang w:val="sr-Cyrl-CS" w:eastAsia="de-DE"/>
        </w:rPr>
        <w:t xml:space="preserve"> 61 </w:t>
      </w:r>
      <w:r w:rsidR="00BF65FC" w:rsidRPr="005303F7">
        <w:rPr>
          <w:rFonts w:ascii="Times New Roman" w:eastAsia="Times New Roman" w:hAnsi="Times New Roman" w:cs="Times New Roman"/>
          <w:szCs w:val="20"/>
          <w:lang w:val="sr-Cyrl-CS" w:eastAsia="de-DE"/>
        </w:rPr>
        <w:t>за</w:t>
      </w:r>
      <w:r w:rsidR="00C17972"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М</w:t>
      </w:r>
      <w:r w:rsidR="00C67735" w:rsidRPr="005303F7">
        <w:rPr>
          <w:rFonts w:ascii="Times New Roman" w:eastAsia="Times New Roman" w:hAnsi="Times New Roman" w:cs="Times New Roman"/>
          <w:szCs w:val="20"/>
          <w:lang w:val="sr-Cyrl-CS" w:eastAsia="de-DE"/>
        </w:rPr>
        <w:t xml:space="preserve">4. </w:t>
      </w:r>
      <w:r w:rsidR="00BF65FC" w:rsidRPr="005303F7">
        <w:rPr>
          <w:rFonts w:ascii="Times New Roman" w:eastAsia="Times New Roman" w:hAnsi="Times New Roman" w:cs="Times New Roman"/>
          <w:szCs w:val="20"/>
          <w:lang w:val="sr-Cyrl-CS" w:eastAsia="de-DE"/>
        </w:rPr>
        <w:t>То</w:t>
      </w:r>
      <w:r w:rsidR="00C17972"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је</w:t>
      </w:r>
      <w:r w:rsidR="00C17972"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између</w:t>
      </w:r>
      <w:r w:rsidR="00C17972" w:rsidRPr="005303F7">
        <w:rPr>
          <w:rFonts w:ascii="Times New Roman" w:eastAsia="Times New Roman" w:hAnsi="Times New Roman" w:cs="Times New Roman"/>
          <w:szCs w:val="20"/>
          <w:lang w:val="sr-Cyrl-CS" w:eastAsia="de-DE"/>
        </w:rPr>
        <w:t xml:space="preserve"> 330</w:t>
      </w:r>
      <w:r w:rsidR="00786EDD" w:rsidRPr="005303F7">
        <w:rPr>
          <w:rFonts w:ascii="Times New Roman" w:eastAsia="Times New Roman" w:hAnsi="Times New Roman" w:cs="Times New Roman"/>
          <w:szCs w:val="20"/>
          <w:lang w:val="sr-Cyrl-CS" w:eastAsia="de-DE"/>
        </w:rPr>
        <w:t xml:space="preserve"> </w:t>
      </w:r>
      <w:r w:rsidR="00C17972" w:rsidRPr="005303F7">
        <w:rPr>
          <w:rFonts w:ascii="Times New Roman" w:eastAsia="Times New Roman" w:hAnsi="Times New Roman" w:cs="Times New Roman"/>
          <w:szCs w:val="20"/>
          <w:lang w:val="sr-Cyrl-CS" w:eastAsia="de-DE"/>
        </w:rPr>
        <w:t xml:space="preserve">000 </w:t>
      </w:r>
      <w:r w:rsidR="00BF65FC" w:rsidRPr="005303F7">
        <w:rPr>
          <w:rFonts w:ascii="Times New Roman" w:eastAsia="Times New Roman" w:hAnsi="Times New Roman" w:cs="Times New Roman"/>
          <w:szCs w:val="20"/>
          <w:lang w:val="sr-Cyrl-CS" w:eastAsia="de-DE"/>
        </w:rPr>
        <w:t>евра</w:t>
      </w:r>
      <w:r w:rsidR="00C17972"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и</w:t>
      </w:r>
      <w:r w:rsidR="00C17972" w:rsidRPr="005303F7">
        <w:rPr>
          <w:rFonts w:ascii="Times New Roman" w:eastAsia="Times New Roman" w:hAnsi="Times New Roman" w:cs="Times New Roman"/>
          <w:szCs w:val="20"/>
          <w:lang w:val="sr-Cyrl-CS" w:eastAsia="de-DE"/>
        </w:rPr>
        <w:t xml:space="preserve"> 610</w:t>
      </w:r>
      <w:r w:rsidR="00786EDD" w:rsidRPr="005303F7">
        <w:rPr>
          <w:rFonts w:ascii="Times New Roman" w:eastAsia="Times New Roman" w:hAnsi="Times New Roman" w:cs="Times New Roman"/>
          <w:szCs w:val="20"/>
          <w:lang w:val="sr-Cyrl-CS" w:eastAsia="de-DE"/>
        </w:rPr>
        <w:t xml:space="preserve"> </w:t>
      </w:r>
      <w:r w:rsidR="00C17972" w:rsidRPr="005303F7">
        <w:rPr>
          <w:rFonts w:ascii="Times New Roman" w:eastAsia="Times New Roman" w:hAnsi="Times New Roman" w:cs="Times New Roman"/>
          <w:szCs w:val="20"/>
          <w:lang w:val="sr-Cyrl-CS" w:eastAsia="de-DE"/>
        </w:rPr>
        <w:t xml:space="preserve">000 </w:t>
      </w:r>
      <w:r w:rsidR="00BF65FC" w:rsidRPr="005303F7">
        <w:rPr>
          <w:rFonts w:ascii="Times New Roman" w:eastAsia="Times New Roman" w:hAnsi="Times New Roman" w:cs="Times New Roman"/>
          <w:szCs w:val="20"/>
          <w:lang w:val="sr-Cyrl-CS" w:eastAsia="de-DE"/>
        </w:rPr>
        <w:t>евра</w:t>
      </w:r>
      <w:r w:rsidR="00C17972"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за</w:t>
      </w:r>
      <w:r w:rsidR="00C17972"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годишње</w:t>
      </w:r>
      <w:r w:rsidR="00C17972"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плате</w:t>
      </w:r>
      <w:r w:rsidR="00C17972"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из</w:t>
      </w:r>
      <w:r w:rsidR="00C17972" w:rsidRPr="005303F7">
        <w:rPr>
          <w:rFonts w:ascii="Times New Roman" w:eastAsia="Times New Roman" w:hAnsi="Times New Roman" w:cs="Times New Roman"/>
          <w:szCs w:val="20"/>
          <w:lang w:val="sr-Cyrl-CS" w:eastAsia="de-DE"/>
        </w:rPr>
        <w:t xml:space="preserve"> </w:t>
      </w:r>
      <w:r w:rsidR="00BF65FC" w:rsidRPr="005303F7">
        <w:rPr>
          <w:rFonts w:ascii="Times New Roman" w:eastAsia="Times New Roman" w:hAnsi="Times New Roman" w:cs="Times New Roman"/>
          <w:szCs w:val="20"/>
          <w:lang w:val="sr-Cyrl-CS" w:eastAsia="de-DE"/>
        </w:rPr>
        <w:t>буџета</w:t>
      </w:r>
      <w:r w:rsidR="00C17972" w:rsidRPr="005303F7">
        <w:rPr>
          <w:rFonts w:ascii="Times New Roman" w:eastAsia="Times New Roman" w:hAnsi="Times New Roman" w:cs="Times New Roman"/>
          <w:szCs w:val="20"/>
          <w:lang w:val="sr-Cyrl-CS" w:eastAsia="de-DE"/>
        </w:rPr>
        <w:t xml:space="preserve"> </w:t>
      </w:r>
      <w:r w:rsidR="00D73AAB" w:rsidRPr="005303F7">
        <w:rPr>
          <w:rFonts w:ascii="Times New Roman" w:eastAsia="Times New Roman" w:hAnsi="Times New Roman" w:cs="Times New Roman"/>
          <w:szCs w:val="20"/>
          <w:lang w:val="sr-Cyrl-CS" w:eastAsia="de-DE"/>
        </w:rPr>
        <w:t>Републике Србије</w:t>
      </w:r>
      <w:r w:rsidR="00627994" w:rsidRPr="005303F7">
        <w:rPr>
          <w:rFonts w:ascii="Times New Roman" w:eastAsia="Times New Roman" w:hAnsi="Times New Roman" w:cs="Times New Roman"/>
          <w:szCs w:val="20"/>
          <w:lang w:val="sr-Cyrl-CS" w:eastAsia="de-DE"/>
        </w:rPr>
        <w:t xml:space="preserve"> (</w:t>
      </w:r>
      <w:r w:rsidR="00626878" w:rsidRPr="005303F7">
        <w:rPr>
          <w:rFonts w:ascii="Times New Roman" w:eastAsia="Times New Roman" w:hAnsi="Times New Roman" w:cs="Times New Roman"/>
          <w:szCs w:val="20"/>
          <w:lang w:val="sr-Cyrl-CS" w:eastAsia="de-DE"/>
        </w:rPr>
        <w:t>Табела 12)</w:t>
      </w:r>
      <w:r w:rsidR="007B0304" w:rsidRPr="005303F7">
        <w:rPr>
          <w:rFonts w:ascii="Times New Roman" w:eastAsia="Times New Roman" w:hAnsi="Times New Roman" w:cs="Times New Roman"/>
          <w:szCs w:val="20"/>
          <w:lang w:val="sr-Cyrl-CS" w:eastAsia="de-DE"/>
        </w:rPr>
        <w:t>.</w:t>
      </w:r>
    </w:p>
    <w:p w14:paraId="06526BE0" w14:textId="5C33A2E2" w:rsidR="00C67735" w:rsidRPr="005303F7" w:rsidRDefault="00BF65FC" w:rsidP="00C91A4C">
      <w:pPr>
        <w:spacing w:after="60"/>
        <w:ind w:left="993" w:hanging="993"/>
        <w:rPr>
          <w:rFonts w:ascii="Times New Roman" w:hAnsi="Times New Roman"/>
          <w:b/>
          <w:bCs/>
          <w:i/>
          <w:iCs/>
          <w:sz w:val="20"/>
          <w:szCs w:val="18"/>
          <w:lang w:val="sr-Cyrl-CS"/>
        </w:rPr>
      </w:pPr>
      <w:bookmarkStart w:id="317" w:name="_Ref13160133"/>
      <w:bookmarkStart w:id="318" w:name="_Toc26450884"/>
      <w:r w:rsidRPr="005303F7">
        <w:rPr>
          <w:rFonts w:ascii="Times New Roman" w:hAnsi="Times New Roman"/>
          <w:b/>
          <w:bCs/>
          <w:i/>
          <w:iCs/>
          <w:sz w:val="20"/>
          <w:szCs w:val="18"/>
          <w:lang w:val="sr-Cyrl-CS"/>
        </w:rPr>
        <w:t>Табела</w:t>
      </w:r>
      <w:r w:rsidR="00C17972" w:rsidRPr="005303F7">
        <w:rPr>
          <w:rFonts w:ascii="Times New Roman" w:hAnsi="Times New Roman"/>
          <w:b/>
          <w:bCs/>
          <w:i/>
          <w:iCs/>
          <w:sz w:val="20"/>
          <w:szCs w:val="18"/>
          <w:lang w:val="sr-Cyrl-CS"/>
        </w:rPr>
        <w:t xml:space="preserve"> </w:t>
      </w:r>
      <w:r w:rsidR="00D35E3C" w:rsidRPr="005303F7">
        <w:rPr>
          <w:rFonts w:ascii="Times New Roman" w:hAnsi="Times New Roman"/>
          <w:b/>
          <w:bCs/>
          <w:i/>
          <w:iCs/>
          <w:sz w:val="20"/>
          <w:szCs w:val="18"/>
          <w:lang w:val="sr-Cyrl-CS"/>
        </w:rPr>
        <w:fldChar w:fldCharType="begin"/>
      </w:r>
      <w:r w:rsidR="00D35E3C" w:rsidRPr="005303F7">
        <w:rPr>
          <w:rFonts w:ascii="Times New Roman" w:hAnsi="Times New Roman"/>
          <w:b/>
          <w:bCs/>
          <w:i/>
          <w:iCs/>
          <w:sz w:val="20"/>
          <w:szCs w:val="18"/>
          <w:lang w:val="sr-Cyrl-CS"/>
        </w:rPr>
        <w:instrText xml:space="preserve"> SEQ Table \* ARABIC </w:instrText>
      </w:r>
      <w:r w:rsidR="00D35E3C" w:rsidRPr="005303F7">
        <w:rPr>
          <w:rFonts w:ascii="Times New Roman" w:hAnsi="Times New Roman"/>
          <w:b/>
          <w:bCs/>
          <w:i/>
          <w:iCs/>
          <w:sz w:val="20"/>
          <w:szCs w:val="18"/>
          <w:lang w:val="sr-Cyrl-CS"/>
        </w:rPr>
        <w:fldChar w:fldCharType="separate"/>
      </w:r>
      <w:r w:rsidR="00DA2595" w:rsidRPr="005303F7">
        <w:rPr>
          <w:rFonts w:ascii="Times New Roman" w:hAnsi="Times New Roman"/>
          <w:b/>
          <w:bCs/>
          <w:i/>
          <w:iCs/>
          <w:noProof/>
          <w:sz w:val="20"/>
          <w:szCs w:val="18"/>
          <w:lang w:val="sr-Cyrl-CS"/>
        </w:rPr>
        <w:t>12</w:t>
      </w:r>
      <w:r w:rsidR="00D35E3C" w:rsidRPr="005303F7">
        <w:rPr>
          <w:rFonts w:ascii="Times New Roman" w:hAnsi="Times New Roman"/>
          <w:b/>
          <w:bCs/>
          <w:i/>
          <w:iCs/>
          <w:sz w:val="20"/>
          <w:szCs w:val="18"/>
          <w:lang w:val="sr-Cyrl-CS"/>
        </w:rPr>
        <w:fldChar w:fldCharType="end"/>
      </w:r>
      <w:bookmarkEnd w:id="317"/>
      <w:r w:rsidR="00C67735"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Додатан</w:t>
      </w:r>
      <w:r w:rsidR="00C17972"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број</w:t>
      </w:r>
      <w:r w:rsidR="00C17972"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стално</w:t>
      </w:r>
      <w:r w:rsidR="00C17972"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запослених</w:t>
      </w:r>
      <w:r w:rsidR="00C17972"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за</w:t>
      </w:r>
      <w:r w:rsidR="00C17972"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спровођење</w:t>
      </w:r>
      <w:r w:rsidR="00C17972"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ове</w:t>
      </w:r>
      <w:r w:rsidR="00C17972"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стратегије</w:t>
      </w:r>
      <w:r w:rsidR="00C17972"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и</w:t>
      </w:r>
      <w:r w:rsidR="00C17972"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процењени</w:t>
      </w:r>
      <w:r w:rsidR="00C17972"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одговарајући</w:t>
      </w:r>
      <w:r w:rsidR="00C17972"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трошков</w:t>
      </w:r>
      <w:bookmarkEnd w:id="318"/>
      <w:r w:rsidRPr="005303F7">
        <w:rPr>
          <w:rFonts w:ascii="Times New Roman" w:hAnsi="Times New Roman"/>
          <w:b/>
          <w:bCs/>
          <w:i/>
          <w:iCs/>
          <w:sz w:val="20"/>
          <w:szCs w:val="18"/>
          <w:lang w:val="sr-Cyrl-CS"/>
        </w:rPr>
        <w:t>и</w:t>
      </w:r>
      <w:r w:rsidR="00415473" w:rsidRPr="005303F7">
        <w:rPr>
          <w:rFonts w:ascii="Times New Roman" w:hAnsi="Times New Roman"/>
          <w:b/>
          <w:bCs/>
          <w:i/>
          <w:iCs/>
          <w:sz w:val="20"/>
          <w:szCs w:val="18"/>
          <w:lang w:val="sr-Cyrl-CS"/>
        </w:rPr>
        <w:t xml:space="preserve"> </w:t>
      </w:r>
    </w:p>
    <w:tbl>
      <w:tblPr>
        <w:tblW w:w="5000" w:type="pct"/>
        <w:tblLook w:val="0000" w:firstRow="0" w:lastRow="0" w:firstColumn="0" w:lastColumn="0" w:noHBand="0" w:noVBand="0"/>
      </w:tblPr>
      <w:tblGrid>
        <w:gridCol w:w="2547"/>
        <w:gridCol w:w="1665"/>
        <w:gridCol w:w="1666"/>
        <w:gridCol w:w="1664"/>
        <w:gridCol w:w="1664"/>
      </w:tblGrid>
      <w:tr w:rsidR="00C67735" w:rsidRPr="005303F7" w14:paraId="74917BBE" w14:textId="77777777" w:rsidTr="00DD2BFE">
        <w:trPr>
          <w:trHeight w:val="553"/>
          <w:tblHeader/>
        </w:trPr>
        <w:tc>
          <w:tcPr>
            <w:tcW w:w="1383" w:type="pct"/>
            <w:vMerge w:val="restart"/>
            <w:tcBorders>
              <w:top w:val="single" w:sz="4" w:space="0" w:color="auto"/>
              <w:left w:val="single" w:sz="6" w:space="0" w:color="auto"/>
              <w:right w:val="nil"/>
            </w:tcBorders>
            <w:shd w:val="clear" w:color="auto" w:fill="D9D9D9" w:themeFill="background1" w:themeFillShade="D9"/>
            <w:vAlign w:val="center"/>
          </w:tcPr>
          <w:p w14:paraId="23011CBC" w14:textId="77777777" w:rsidR="00C67735" w:rsidRPr="005303F7" w:rsidRDefault="00C67735" w:rsidP="0047133D">
            <w:pPr>
              <w:tabs>
                <w:tab w:val="clear" w:pos="3825"/>
              </w:tabs>
              <w:overflowPunct/>
              <w:autoSpaceDE/>
              <w:autoSpaceDN/>
              <w:adjustRightInd/>
              <w:spacing w:before="0" w:after="0"/>
              <w:jc w:val="center"/>
              <w:textAlignment w:val="auto"/>
              <w:rPr>
                <w:rFonts w:ascii="Times New Roman" w:hAnsi="Times New Roman"/>
                <w:b/>
                <w:bCs/>
                <w:sz w:val="20"/>
                <w:lang w:val="sr-Cyrl-CS" w:eastAsia="pt-PT"/>
              </w:rPr>
            </w:pPr>
          </w:p>
        </w:tc>
        <w:tc>
          <w:tcPr>
            <w:tcW w:w="1809"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B82026" w14:textId="11128D1D" w:rsidR="00C67735" w:rsidRPr="005303F7" w:rsidRDefault="00BF65FC" w:rsidP="0047133D">
            <w:pPr>
              <w:tabs>
                <w:tab w:val="clear" w:pos="3825"/>
              </w:tabs>
              <w:overflowPunct/>
              <w:autoSpaceDE/>
              <w:autoSpaceDN/>
              <w:adjustRightInd/>
              <w:spacing w:before="0" w:after="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Додатни</w:t>
            </w:r>
            <w:r w:rsidR="00C17972"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еквивалент</w:t>
            </w:r>
            <w:r w:rsidR="00D05220"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пуног</w:t>
            </w:r>
            <w:r w:rsidR="00D05220"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радног</w:t>
            </w:r>
            <w:r w:rsidR="00D05220"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времена</w:t>
            </w:r>
            <w:r w:rsidR="004E2F5C" w:rsidRPr="005303F7">
              <w:rPr>
                <w:rFonts w:ascii="Times New Roman" w:hAnsi="Times New Roman"/>
                <w:b/>
                <w:bCs/>
                <w:sz w:val="20"/>
                <w:lang w:val="sr-Cyrl-CS" w:eastAsia="pt-PT"/>
              </w:rPr>
              <w:t xml:space="preserve"> - </w:t>
            </w:r>
            <w:r w:rsidRPr="005303F7">
              <w:rPr>
                <w:rFonts w:ascii="Times New Roman" w:hAnsi="Times New Roman"/>
                <w:b/>
                <w:bCs/>
                <w:sz w:val="20"/>
                <w:lang w:val="sr-Cyrl-CS" w:eastAsia="pt-PT"/>
              </w:rPr>
              <w:t>FТЕ</w:t>
            </w:r>
          </w:p>
        </w:tc>
        <w:tc>
          <w:tcPr>
            <w:tcW w:w="1809"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B6596D" w14:textId="12B327B3" w:rsidR="00C67735" w:rsidRPr="005303F7" w:rsidRDefault="00BF65FC" w:rsidP="00C17972">
            <w:pPr>
              <w:tabs>
                <w:tab w:val="clear" w:pos="3825"/>
              </w:tabs>
              <w:overflowPunct/>
              <w:autoSpaceDE/>
              <w:autoSpaceDN/>
              <w:adjustRightInd/>
              <w:spacing w:before="0" w:after="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Процењени</w:t>
            </w:r>
            <w:r w:rsidR="000A33F8" w:rsidRPr="005303F7">
              <w:rPr>
                <w:rFonts w:ascii="Times New Roman" w:hAnsi="Times New Roman"/>
                <w:b/>
                <w:bCs/>
                <w:sz w:val="20"/>
                <w:lang w:val="sr-Cyrl-CS" w:eastAsia="pt-PT"/>
              </w:rPr>
              <w:t xml:space="preserve"> годишњи </w:t>
            </w:r>
            <w:r w:rsidR="00C17972"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трошак</w:t>
            </w:r>
            <w:r w:rsidR="00C67735" w:rsidRPr="005303F7">
              <w:rPr>
                <w:rFonts w:ascii="Times New Roman" w:hAnsi="Times New Roman"/>
                <w:b/>
                <w:bCs/>
                <w:sz w:val="20"/>
                <w:lang w:val="sr-Cyrl-CS" w:eastAsia="pt-PT"/>
              </w:rPr>
              <w:t xml:space="preserve"> (000 </w:t>
            </w:r>
            <w:r w:rsidRPr="005303F7">
              <w:rPr>
                <w:rFonts w:ascii="Times New Roman" w:hAnsi="Times New Roman"/>
                <w:b/>
                <w:bCs/>
                <w:sz w:val="20"/>
                <w:lang w:val="sr-Cyrl-CS" w:eastAsia="pt-PT"/>
              </w:rPr>
              <w:t>евра</w:t>
            </w:r>
            <w:r w:rsidR="00C67735" w:rsidRPr="005303F7">
              <w:rPr>
                <w:rFonts w:ascii="Times New Roman" w:hAnsi="Times New Roman"/>
                <w:b/>
                <w:bCs/>
                <w:sz w:val="20"/>
                <w:lang w:val="sr-Cyrl-CS" w:eastAsia="pt-PT"/>
              </w:rPr>
              <w:t>)</w:t>
            </w:r>
          </w:p>
        </w:tc>
      </w:tr>
      <w:tr w:rsidR="00C67735" w:rsidRPr="005303F7" w14:paraId="1FAE9402" w14:textId="77777777" w:rsidTr="00DD2BFE">
        <w:trPr>
          <w:trHeight w:val="20"/>
          <w:tblHeader/>
        </w:trPr>
        <w:tc>
          <w:tcPr>
            <w:tcW w:w="1383" w:type="pct"/>
            <w:vMerge/>
            <w:tcBorders>
              <w:left w:val="single" w:sz="6" w:space="0" w:color="auto"/>
              <w:bottom w:val="single" w:sz="6" w:space="0" w:color="auto"/>
              <w:right w:val="nil"/>
            </w:tcBorders>
            <w:shd w:val="clear" w:color="auto" w:fill="D9D9D9" w:themeFill="background1" w:themeFillShade="D9"/>
            <w:vAlign w:val="center"/>
          </w:tcPr>
          <w:p w14:paraId="0C451D5D" w14:textId="77777777" w:rsidR="00C67735" w:rsidRPr="005303F7" w:rsidRDefault="00C67735" w:rsidP="0047133D">
            <w:pPr>
              <w:tabs>
                <w:tab w:val="clear" w:pos="3825"/>
              </w:tabs>
              <w:overflowPunct/>
              <w:autoSpaceDE/>
              <w:autoSpaceDN/>
              <w:adjustRightInd/>
              <w:spacing w:before="0" w:after="0"/>
              <w:jc w:val="center"/>
              <w:textAlignment w:val="auto"/>
              <w:rPr>
                <w:rFonts w:ascii="Times New Roman" w:hAnsi="Times New Roman"/>
                <w:b/>
                <w:bCs/>
                <w:sz w:val="20"/>
                <w:lang w:val="sr-Cyrl-CS" w:eastAsia="pt-PT"/>
              </w:rPr>
            </w:pPr>
          </w:p>
        </w:tc>
        <w:tc>
          <w:tcPr>
            <w:tcW w:w="90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843DA5" w14:textId="60764448" w:rsidR="00C67735" w:rsidRPr="005303F7" w:rsidRDefault="00BF65FC" w:rsidP="0047133D">
            <w:pPr>
              <w:tabs>
                <w:tab w:val="clear" w:pos="3825"/>
              </w:tabs>
              <w:overflowPunct/>
              <w:autoSpaceDE/>
              <w:autoSpaceDN/>
              <w:adjustRightInd/>
              <w:spacing w:before="0" w:after="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М</w:t>
            </w:r>
            <w:r w:rsidR="00C67735" w:rsidRPr="005303F7">
              <w:rPr>
                <w:rFonts w:ascii="Times New Roman" w:hAnsi="Times New Roman"/>
                <w:b/>
                <w:bCs/>
                <w:sz w:val="20"/>
                <w:lang w:val="sr-Cyrl-CS" w:eastAsia="pt-PT"/>
              </w:rPr>
              <w:t>2</w:t>
            </w:r>
          </w:p>
        </w:tc>
        <w:tc>
          <w:tcPr>
            <w:tcW w:w="90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3DBA02" w14:textId="34266389" w:rsidR="00C67735" w:rsidRPr="005303F7" w:rsidRDefault="00BF65FC" w:rsidP="0047133D">
            <w:pPr>
              <w:tabs>
                <w:tab w:val="clear" w:pos="3825"/>
              </w:tabs>
              <w:overflowPunct/>
              <w:autoSpaceDE/>
              <w:autoSpaceDN/>
              <w:adjustRightInd/>
              <w:spacing w:before="0" w:after="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М</w:t>
            </w:r>
            <w:r w:rsidR="00C67735" w:rsidRPr="005303F7">
              <w:rPr>
                <w:rFonts w:ascii="Times New Roman" w:hAnsi="Times New Roman"/>
                <w:b/>
                <w:bCs/>
                <w:sz w:val="20"/>
                <w:lang w:val="sr-Cyrl-CS" w:eastAsia="pt-PT"/>
              </w:rPr>
              <w:t>4</w:t>
            </w:r>
          </w:p>
        </w:tc>
        <w:tc>
          <w:tcPr>
            <w:tcW w:w="90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15BB1C" w14:textId="3FC54F65" w:rsidR="00C67735" w:rsidRPr="005303F7" w:rsidRDefault="00BF65FC" w:rsidP="0047133D">
            <w:pPr>
              <w:tabs>
                <w:tab w:val="clear" w:pos="3825"/>
              </w:tabs>
              <w:overflowPunct/>
              <w:autoSpaceDE/>
              <w:autoSpaceDN/>
              <w:adjustRightInd/>
              <w:spacing w:before="0" w:after="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М</w:t>
            </w:r>
            <w:r w:rsidR="00C67735" w:rsidRPr="005303F7">
              <w:rPr>
                <w:rFonts w:ascii="Times New Roman" w:hAnsi="Times New Roman"/>
                <w:b/>
                <w:bCs/>
                <w:sz w:val="20"/>
                <w:lang w:val="sr-Cyrl-CS" w:eastAsia="pt-PT"/>
              </w:rPr>
              <w:t>2</w:t>
            </w:r>
          </w:p>
        </w:tc>
        <w:tc>
          <w:tcPr>
            <w:tcW w:w="90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B81FF3" w14:textId="0F839A41" w:rsidR="00C67735" w:rsidRPr="005303F7" w:rsidRDefault="00BF65FC" w:rsidP="0047133D">
            <w:pPr>
              <w:tabs>
                <w:tab w:val="clear" w:pos="3825"/>
              </w:tabs>
              <w:overflowPunct/>
              <w:autoSpaceDE/>
              <w:autoSpaceDN/>
              <w:adjustRightInd/>
              <w:spacing w:before="0" w:after="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М</w:t>
            </w:r>
            <w:r w:rsidR="00C67735" w:rsidRPr="005303F7">
              <w:rPr>
                <w:rFonts w:ascii="Times New Roman" w:hAnsi="Times New Roman"/>
                <w:b/>
                <w:bCs/>
                <w:sz w:val="20"/>
                <w:lang w:val="sr-Cyrl-CS" w:eastAsia="pt-PT"/>
              </w:rPr>
              <w:t>4</w:t>
            </w:r>
          </w:p>
        </w:tc>
      </w:tr>
      <w:tr w:rsidR="00C67735" w:rsidRPr="005303F7" w14:paraId="5E2DB4E4" w14:textId="77777777" w:rsidTr="0047133D">
        <w:trPr>
          <w:trHeight w:val="20"/>
        </w:trPr>
        <w:tc>
          <w:tcPr>
            <w:tcW w:w="1383" w:type="pct"/>
            <w:tcBorders>
              <w:top w:val="nil"/>
              <w:left w:val="single" w:sz="6" w:space="0" w:color="auto"/>
              <w:bottom w:val="single" w:sz="6" w:space="0" w:color="auto"/>
              <w:right w:val="nil"/>
            </w:tcBorders>
            <w:shd w:val="solid" w:color="FFFFFF" w:fill="auto"/>
            <w:vAlign w:val="center"/>
          </w:tcPr>
          <w:p w14:paraId="0770C554" w14:textId="3059F414" w:rsidR="00C67735" w:rsidRPr="005303F7" w:rsidRDefault="00BF65FC" w:rsidP="004E2F5C">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Енергетика</w:t>
            </w:r>
          </w:p>
        </w:tc>
        <w:tc>
          <w:tcPr>
            <w:tcW w:w="904" w:type="pct"/>
            <w:tcBorders>
              <w:top w:val="single" w:sz="6" w:space="0" w:color="auto"/>
              <w:left w:val="single" w:sz="6" w:space="0" w:color="auto"/>
              <w:bottom w:val="single" w:sz="6" w:space="0" w:color="auto"/>
              <w:right w:val="single" w:sz="6" w:space="0" w:color="auto"/>
            </w:tcBorders>
            <w:shd w:val="solid" w:color="FFFFFF" w:fill="auto"/>
            <w:vAlign w:val="center"/>
          </w:tcPr>
          <w:p w14:paraId="0C4EEEA0" w14:textId="77777777" w:rsidR="00C67735" w:rsidRPr="005303F7" w:rsidRDefault="00C67735" w:rsidP="004E2F5C">
            <w:pPr>
              <w:tabs>
                <w:tab w:val="clear" w:pos="3825"/>
              </w:tabs>
              <w:overflowPunct/>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eastAsia="pt-PT"/>
              </w:rPr>
              <w:t>19</w:t>
            </w:r>
          </w:p>
        </w:tc>
        <w:tc>
          <w:tcPr>
            <w:tcW w:w="905" w:type="pct"/>
            <w:tcBorders>
              <w:top w:val="single" w:sz="6" w:space="0" w:color="auto"/>
              <w:left w:val="single" w:sz="6" w:space="0" w:color="auto"/>
              <w:bottom w:val="single" w:sz="6" w:space="0" w:color="auto"/>
              <w:right w:val="single" w:sz="6" w:space="0" w:color="auto"/>
            </w:tcBorders>
            <w:shd w:val="solid" w:color="FFFFFF" w:fill="auto"/>
            <w:vAlign w:val="center"/>
          </w:tcPr>
          <w:p w14:paraId="4B253210" w14:textId="77777777" w:rsidR="00C67735" w:rsidRPr="005303F7" w:rsidRDefault="00C67735" w:rsidP="004E2F5C">
            <w:pPr>
              <w:tabs>
                <w:tab w:val="clear" w:pos="3825"/>
              </w:tabs>
              <w:overflowPunct/>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eastAsia="pt-PT"/>
              </w:rPr>
              <w:t>28</w:t>
            </w:r>
          </w:p>
        </w:tc>
        <w:tc>
          <w:tcPr>
            <w:tcW w:w="904" w:type="pct"/>
            <w:tcBorders>
              <w:top w:val="single" w:sz="6" w:space="0" w:color="auto"/>
              <w:left w:val="single" w:sz="6" w:space="0" w:color="auto"/>
              <w:bottom w:val="single" w:sz="6" w:space="0" w:color="auto"/>
              <w:right w:val="single" w:sz="6" w:space="0" w:color="auto"/>
            </w:tcBorders>
            <w:shd w:val="solid" w:color="FFFFFF" w:fill="auto"/>
            <w:vAlign w:val="center"/>
          </w:tcPr>
          <w:p w14:paraId="6CFE63A8" w14:textId="77777777" w:rsidR="00C67735" w:rsidRPr="005303F7" w:rsidRDefault="00C67735" w:rsidP="004E2F5C">
            <w:pPr>
              <w:tabs>
                <w:tab w:val="clear" w:pos="3825"/>
              </w:tabs>
              <w:overflowPunct/>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190</w:t>
            </w:r>
          </w:p>
        </w:tc>
        <w:tc>
          <w:tcPr>
            <w:tcW w:w="905" w:type="pct"/>
            <w:tcBorders>
              <w:top w:val="single" w:sz="6" w:space="0" w:color="auto"/>
              <w:left w:val="single" w:sz="6" w:space="0" w:color="auto"/>
              <w:bottom w:val="single" w:sz="6" w:space="0" w:color="auto"/>
              <w:right w:val="single" w:sz="6" w:space="0" w:color="auto"/>
            </w:tcBorders>
            <w:shd w:val="solid" w:color="FFFFFF" w:fill="auto"/>
            <w:vAlign w:val="center"/>
          </w:tcPr>
          <w:p w14:paraId="764207AF" w14:textId="77777777" w:rsidR="00C67735" w:rsidRPr="005303F7" w:rsidRDefault="00C67735" w:rsidP="004E2F5C">
            <w:pPr>
              <w:tabs>
                <w:tab w:val="clear" w:pos="3825"/>
              </w:tabs>
              <w:overflowPunct/>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eastAsia="pt-PT"/>
              </w:rPr>
              <w:t>280</w:t>
            </w:r>
          </w:p>
        </w:tc>
      </w:tr>
      <w:tr w:rsidR="00C67735" w:rsidRPr="005303F7" w14:paraId="270D7BBC" w14:textId="77777777" w:rsidTr="0047133D">
        <w:trPr>
          <w:trHeight w:val="20"/>
        </w:trPr>
        <w:tc>
          <w:tcPr>
            <w:tcW w:w="1383" w:type="pct"/>
            <w:tcBorders>
              <w:top w:val="nil"/>
              <w:left w:val="single" w:sz="6" w:space="0" w:color="auto"/>
              <w:bottom w:val="single" w:sz="6" w:space="0" w:color="auto"/>
              <w:right w:val="nil"/>
            </w:tcBorders>
            <w:shd w:val="solid" w:color="FFFFFF" w:fill="auto"/>
            <w:vAlign w:val="center"/>
          </w:tcPr>
          <w:p w14:paraId="1A817376" w14:textId="25361FBF" w:rsidR="00C67735" w:rsidRPr="005303F7" w:rsidRDefault="00BF65FC" w:rsidP="004E2F5C">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Пољопривреда</w:t>
            </w:r>
          </w:p>
        </w:tc>
        <w:tc>
          <w:tcPr>
            <w:tcW w:w="904" w:type="pct"/>
            <w:tcBorders>
              <w:top w:val="single" w:sz="6" w:space="0" w:color="auto"/>
              <w:left w:val="single" w:sz="6" w:space="0" w:color="auto"/>
              <w:bottom w:val="single" w:sz="6" w:space="0" w:color="auto"/>
              <w:right w:val="single" w:sz="6" w:space="0" w:color="auto"/>
            </w:tcBorders>
            <w:shd w:val="solid" w:color="FFFFFF" w:fill="auto"/>
            <w:vAlign w:val="center"/>
          </w:tcPr>
          <w:p w14:paraId="7337272B" w14:textId="77777777" w:rsidR="00C67735" w:rsidRPr="005303F7" w:rsidRDefault="00C67735" w:rsidP="004E2F5C">
            <w:pPr>
              <w:tabs>
                <w:tab w:val="clear" w:pos="3825"/>
              </w:tabs>
              <w:overflowPunct/>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eastAsia="pt-PT"/>
              </w:rPr>
              <w:t>3</w:t>
            </w:r>
          </w:p>
        </w:tc>
        <w:tc>
          <w:tcPr>
            <w:tcW w:w="905" w:type="pct"/>
            <w:tcBorders>
              <w:top w:val="single" w:sz="6" w:space="0" w:color="auto"/>
              <w:left w:val="single" w:sz="6" w:space="0" w:color="auto"/>
              <w:bottom w:val="single" w:sz="6" w:space="0" w:color="auto"/>
              <w:right w:val="single" w:sz="6" w:space="0" w:color="auto"/>
            </w:tcBorders>
            <w:shd w:val="solid" w:color="FFFFFF" w:fill="auto"/>
            <w:vAlign w:val="center"/>
          </w:tcPr>
          <w:p w14:paraId="25E68A65" w14:textId="77777777" w:rsidR="00C67735" w:rsidRPr="005303F7" w:rsidRDefault="00C67735" w:rsidP="004E2F5C">
            <w:pPr>
              <w:tabs>
                <w:tab w:val="clear" w:pos="3825"/>
              </w:tabs>
              <w:overflowPunct/>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eastAsia="pt-PT"/>
              </w:rPr>
              <w:t>8</w:t>
            </w:r>
          </w:p>
        </w:tc>
        <w:tc>
          <w:tcPr>
            <w:tcW w:w="904" w:type="pct"/>
            <w:tcBorders>
              <w:top w:val="single" w:sz="6" w:space="0" w:color="auto"/>
              <w:left w:val="single" w:sz="6" w:space="0" w:color="auto"/>
              <w:bottom w:val="single" w:sz="6" w:space="0" w:color="auto"/>
              <w:right w:val="single" w:sz="6" w:space="0" w:color="auto"/>
            </w:tcBorders>
            <w:shd w:val="solid" w:color="FFFFFF" w:fill="auto"/>
            <w:vAlign w:val="center"/>
          </w:tcPr>
          <w:p w14:paraId="1857FC37" w14:textId="77777777" w:rsidR="00C67735" w:rsidRPr="005303F7" w:rsidRDefault="00C67735" w:rsidP="004E2F5C">
            <w:pPr>
              <w:tabs>
                <w:tab w:val="clear" w:pos="3825"/>
              </w:tabs>
              <w:overflowPunct/>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30</w:t>
            </w:r>
          </w:p>
        </w:tc>
        <w:tc>
          <w:tcPr>
            <w:tcW w:w="905" w:type="pct"/>
            <w:tcBorders>
              <w:top w:val="single" w:sz="6" w:space="0" w:color="auto"/>
              <w:left w:val="single" w:sz="6" w:space="0" w:color="auto"/>
              <w:bottom w:val="single" w:sz="6" w:space="0" w:color="auto"/>
              <w:right w:val="single" w:sz="6" w:space="0" w:color="auto"/>
            </w:tcBorders>
            <w:shd w:val="solid" w:color="FFFFFF" w:fill="auto"/>
            <w:vAlign w:val="center"/>
          </w:tcPr>
          <w:p w14:paraId="02739450" w14:textId="77777777" w:rsidR="00C67735" w:rsidRPr="005303F7" w:rsidRDefault="00C67735" w:rsidP="004E2F5C">
            <w:pPr>
              <w:tabs>
                <w:tab w:val="clear" w:pos="3825"/>
              </w:tabs>
              <w:overflowPunct/>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eastAsia="pt-PT"/>
              </w:rPr>
              <w:t>80</w:t>
            </w:r>
          </w:p>
        </w:tc>
      </w:tr>
      <w:tr w:rsidR="00C67735" w:rsidRPr="005303F7" w14:paraId="777648DE" w14:textId="77777777" w:rsidTr="0047133D">
        <w:trPr>
          <w:trHeight w:val="20"/>
        </w:trPr>
        <w:tc>
          <w:tcPr>
            <w:tcW w:w="1383" w:type="pct"/>
            <w:tcBorders>
              <w:top w:val="single" w:sz="6" w:space="0" w:color="auto"/>
              <w:left w:val="single" w:sz="6" w:space="0" w:color="auto"/>
              <w:bottom w:val="single" w:sz="6" w:space="0" w:color="auto"/>
              <w:right w:val="single" w:sz="6" w:space="0" w:color="auto"/>
            </w:tcBorders>
            <w:vAlign w:val="center"/>
          </w:tcPr>
          <w:p w14:paraId="4B509764" w14:textId="789390C8" w:rsidR="00C67735" w:rsidRPr="005303F7" w:rsidRDefault="00BF65FC" w:rsidP="004E2F5C">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Шумарство</w:t>
            </w:r>
          </w:p>
        </w:tc>
        <w:tc>
          <w:tcPr>
            <w:tcW w:w="904" w:type="pct"/>
            <w:tcBorders>
              <w:top w:val="nil"/>
              <w:left w:val="nil"/>
              <w:bottom w:val="single" w:sz="6" w:space="0" w:color="auto"/>
              <w:right w:val="nil"/>
            </w:tcBorders>
            <w:vAlign w:val="center"/>
          </w:tcPr>
          <w:p w14:paraId="6DCCBBBB" w14:textId="77777777" w:rsidR="00C67735" w:rsidRPr="005303F7" w:rsidRDefault="00C67735" w:rsidP="004E2F5C">
            <w:pPr>
              <w:tabs>
                <w:tab w:val="clear" w:pos="3825"/>
              </w:tabs>
              <w:overflowPunct/>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11</w:t>
            </w:r>
          </w:p>
        </w:tc>
        <w:tc>
          <w:tcPr>
            <w:tcW w:w="905" w:type="pct"/>
            <w:tcBorders>
              <w:top w:val="single" w:sz="6" w:space="0" w:color="auto"/>
              <w:left w:val="single" w:sz="6" w:space="0" w:color="auto"/>
              <w:bottom w:val="single" w:sz="6" w:space="0" w:color="auto"/>
              <w:right w:val="single" w:sz="6" w:space="0" w:color="auto"/>
            </w:tcBorders>
            <w:vAlign w:val="center"/>
          </w:tcPr>
          <w:p w14:paraId="624ADE0E" w14:textId="77777777" w:rsidR="00C67735" w:rsidRPr="005303F7" w:rsidRDefault="00C67735" w:rsidP="004E2F5C">
            <w:pPr>
              <w:tabs>
                <w:tab w:val="clear" w:pos="3825"/>
              </w:tabs>
              <w:overflowPunct/>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eastAsia="pt-PT"/>
              </w:rPr>
              <w:t>15</w:t>
            </w:r>
          </w:p>
        </w:tc>
        <w:tc>
          <w:tcPr>
            <w:tcW w:w="904" w:type="pct"/>
            <w:tcBorders>
              <w:top w:val="single" w:sz="6" w:space="0" w:color="auto"/>
              <w:left w:val="single" w:sz="6" w:space="0" w:color="auto"/>
              <w:bottom w:val="single" w:sz="6" w:space="0" w:color="auto"/>
              <w:right w:val="single" w:sz="6" w:space="0" w:color="auto"/>
            </w:tcBorders>
            <w:vAlign w:val="center"/>
          </w:tcPr>
          <w:p w14:paraId="6D35B94B" w14:textId="77777777" w:rsidR="00C67735" w:rsidRPr="005303F7" w:rsidRDefault="00C67735" w:rsidP="004E2F5C">
            <w:pPr>
              <w:tabs>
                <w:tab w:val="clear" w:pos="3825"/>
              </w:tabs>
              <w:overflowPunct/>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110</w:t>
            </w:r>
          </w:p>
        </w:tc>
        <w:tc>
          <w:tcPr>
            <w:tcW w:w="905" w:type="pct"/>
            <w:tcBorders>
              <w:top w:val="single" w:sz="6" w:space="0" w:color="auto"/>
              <w:left w:val="single" w:sz="6" w:space="0" w:color="auto"/>
              <w:bottom w:val="single" w:sz="6" w:space="0" w:color="auto"/>
              <w:right w:val="single" w:sz="6" w:space="0" w:color="auto"/>
            </w:tcBorders>
            <w:vAlign w:val="center"/>
          </w:tcPr>
          <w:p w14:paraId="411255E7" w14:textId="77777777" w:rsidR="00C67735" w:rsidRPr="005303F7" w:rsidRDefault="00C67735" w:rsidP="004E2F5C">
            <w:pPr>
              <w:tabs>
                <w:tab w:val="clear" w:pos="3825"/>
              </w:tabs>
              <w:overflowPunct/>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eastAsia="pt-PT"/>
              </w:rPr>
              <w:t>150</w:t>
            </w:r>
          </w:p>
        </w:tc>
      </w:tr>
      <w:tr w:rsidR="00C67735" w:rsidRPr="005303F7" w14:paraId="535BE12F" w14:textId="77777777" w:rsidTr="004E2F5C">
        <w:trPr>
          <w:trHeight w:val="278"/>
        </w:trPr>
        <w:tc>
          <w:tcPr>
            <w:tcW w:w="1383" w:type="pct"/>
            <w:tcBorders>
              <w:top w:val="single" w:sz="6" w:space="0" w:color="auto"/>
              <w:left w:val="single" w:sz="6" w:space="0" w:color="auto"/>
              <w:bottom w:val="double" w:sz="4" w:space="0" w:color="auto"/>
              <w:right w:val="single" w:sz="6" w:space="0" w:color="auto"/>
            </w:tcBorders>
            <w:vAlign w:val="center"/>
          </w:tcPr>
          <w:p w14:paraId="0FD67792" w14:textId="71EA54BB" w:rsidR="00C67735" w:rsidRPr="005303F7" w:rsidRDefault="00BF65FC" w:rsidP="004E2F5C">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Отпад</w:t>
            </w:r>
          </w:p>
        </w:tc>
        <w:tc>
          <w:tcPr>
            <w:tcW w:w="904" w:type="pct"/>
            <w:tcBorders>
              <w:top w:val="single" w:sz="6" w:space="0" w:color="auto"/>
              <w:left w:val="single" w:sz="6" w:space="0" w:color="auto"/>
              <w:bottom w:val="double" w:sz="4" w:space="0" w:color="auto"/>
              <w:right w:val="single" w:sz="6" w:space="0" w:color="auto"/>
            </w:tcBorders>
            <w:vAlign w:val="center"/>
          </w:tcPr>
          <w:p w14:paraId="31B5C686" w14:textId="77777777" w:rsidR="00C67735" w:rsidRPr="005303F7" w:rsidRDefault="00C67735" w:rsidP="004E2F5C">
            <w:pPr>
              <w:tabs>
                <w:tab w:val="clear" w:pos="3825"/>
              </w:tabs>
              <w:overflowPunct/>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w:t>
            </w:r>
          </w:p>
        </w:tc>
        <w:tc>
          <w:tcPr>
            <w:tcW w:w="905" w:type="pct"/>
            <w:tcBorders>
              <w:top w:val="single" w:sz="6" w:space="0" w:color="auto"/>
              <w:left w:val="single" w:sz="6" w:space="0" w:color="auto"/>
              <w:bottom w:val="double" w:sz="4" w:space="0" w:color="auto"/>
              <w:right w:val="single" w:sz="6" w:space="0" w:color="auto"/>
            </w:tcBorders>
            <w:vAlign w:val="center"/>
          </w:tcPr>
          <w:p w14:paraId="258DDC25" w14:textId="77777777" w:rsidR="00C67735" w:rsidRPr="005303F7" w:rsidRDefault="00C67735" w:rsidP="004E2F5C">
            <w:pPr>
              <w:tabs>
                <w:tab w:val="clear" w:pos="3825"/>
              </w:tabs>
              <w:overflowPunct/>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eastAsia="pt-PT"/>
              </w:rPr>
              <w:t>10</w:t>
            </w:r>
          </w:p>
        </w:tc>
        <w:tc>
          <w:tcPr>
            <w:tcW w:w="904" w:type="pct"/>
            <w:tcBorders>
              <w:top w:val="single" w:sz="6" w:space="0" w:color="auto"/>
              <w:left w:val="single" w:sz="6" w:space="0" w:color="auto"/>
              <w:bottom w:val="double" w:sz="4" w:space="0" w:color="auto"/>
              <w:right w:val="single" w:sz="6" w:space="0" w:color="auto"/>
            </w:tcBorders>
            <w:vAlign w:val="center"/>
          </w:tcPr>
          <w:p w14:paraId="4E434CA2" w14:textId="77777777" w:rsidR="00C67735" w:rsidRPr="005303F7" w:rsidRDefault="00C67735" w:rsidP="004E2F5C">
            <w:pPr>
              <w:tabs>
                <w:tab w:val="clear" w:pos="3825"/>
              </w:tabs>
              <w:overflowPunct/>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rPr>
              <w:t>-</w:t>
            </w:r>
          </w:p>
        </w:tc>
        <w:tc>
          <w:tcPr>
            <w:tcW w:w="905" w:type="pct"/>
            <w:tcBorders>
              <w:top w:val="single" w:sz="6" w:space="0" w:color="auto"/>
              <w:left w:val="single" w:sz="6" w:space="0" w:color="auto"/>
              <w:bottom w:val="double" w:sz="4" w:space="0" w:color="auto"/>
              <w:right w:val="single" w:sz="6" w:space="0" w:color="auto"/>
            </w:tcBorders>
            <w:vAlign w:val="center"/>
          </w:tcPr>
          <w:p w14:paraId="06DFD0DA" w14:textId="77777777" w:rsidR="00C67735" w:rsidRPr="005303F7" w:rsidRDefault="00C67735" w:rsidP="004E2F5C">
            <w:pPr>
              <w:tabs>
                <w:tab w:val="clear" w:pos="3825"/>
              </w:tabs>
              <w:overflowPunct/>
              <w:spacing w:before="40" w:after="40"/>
              <w:jc w:val="center"/>
              <w:textAlignment w:val="auto"/>
              <w:rPr>
                <w:rFonts w:ascii="Times New Roman" w:hAnsi="Times New Roman"/>
                <w:color w:val="000000"/>
                <w:sz w:val="20"/>
                <w:lang w:val="sr-Cyrl-CS"/>
              </w:rPr>
            </w:pPr>
            <w:r w:rsidRPr="005303F7">
              <w:rPr>
                <w:rFonts w:ascii="Times New Roman" w:hAnsi="Times New Roman"/>
                <w:color w:val="000000"/>
                <w:sz w:val="20"/>
                <w:lang w:val="sr-Cyrl-CS" w:eastAsia="pt-PT"/>
              </w:rPr>
              <w:t>100</w:t>
            </w:r>
          </w:p>
        </w:tc>
      </w:tr>
      <w:tr w:rsidR="00C67735" w:rsidRPr="005303F7" w14:paraId="067DFB3E" w14:textId="77777777" w:rsidTr="0047133D">
        <w:trPr>
          <w:trHeight w:val="20"/>
        </w:trPr>
        <w:tc>
          <w:tcPr>
            <w:tcW w:w="1383" w:type="pct"/>
            <w:tcBorders>
              <w:top w:val="double" w:sz="4" w:space="0" w:color="auto"/>
              <w:left w:val="single" w:sz="6" w:space="0" w:color="auto"/>
              <w:bottom w:val="single" w:sz="6" w:space="0" w:color="auto"/>
              <w:right w:val="single" w:sz="6" w:space="0" w:color="auto"/>
            </w:tcBorders>
            <w:vAlign w:val="center"/>
          </w:tcPr>
          <w:p w14:paraId="06DAA570" w14:textId="761E51EB" w:rsidR="00C67735" w:rsidRPr="005303F7" w:rsidRDefault="00BF65FC" w:rsidP="004E2F5C">
            <w:pPr>
              <w:tabs>
                <w:tab w:val="clear" w:pos="3825"/>
              </w:tabs>
              <w:overflowPunct/>
              <w:autoSpaceDE/>
              <w:autoSpaceDN/>
              <w:adjustRightInd/>
              <w:spacing w:before="40" w:after="40"/>
              <w:jc w:val="center"/>
              <w:textAlignment w:val="auto"/>
              <w:rPr>
                <w:rFonts w:ascii="Times New Roman" w:hAnsi="Times New Roman"/>
                <w:b/>
                <w:bCs/>
                <w:sz w:val="20"/>
                <w:lang w:val="sr-Cyrl-CS" w:eastAsia="pt-PT"/>
              </w:rPr>
            </w:pPr>
            <w:r w:rsidRPr="005303F7">
              <w:rPr>
                <w:rFonts w:ascii="Times New Roman" w:hAnsi="Times New Roman"/>
                <w:b/>
                <w:bCs/>
                <w:sz w:val="20"/>
                <w:lang w:val="sr-Cyrl-CS" w:eastAsia="pt-PT"/>
              </w:rPr>
              <w:t>УКУПНО</w:t>
            </w:r>
          </w:p>
        </w:tc>
        <w:tc>
          <w:tcPr>
            <w:tcW w:w="904" w:type="pct"/>
            <w:tcBorders>
              <w:top w:val="double" w:sz="4" w:space="0" w:color="auto"/>
              <w:left w:val="single" w:sz="6" w:space="0" w:color="auto"/>
              <w:bottom w:val="single" w:sz="6" w:space="0" w:color="auto"/>
              <w:right w:val="single" w:sz="6" w:space="0" w:color="auto"/>
            </w:tcBorders>
            <w:vAlign w:val="center"/>
          </w:tcPr>
          <w:p w14:paraId="0D09799B" w14:textId="77777777" w:rsidR="00C67735" w:rsidRPr="005303F7" w:rsidRDefault="00C67735" w:rsidP="004E2F5C">
            <w:pPr>
              <w:tabs>
                <w:tab w:val="clear" w:pos="3825"/>
              </w:tabs>
              <w:overflowPunct/>
              <w:spacing w:before="40" w:after="40"/>
              <w:jc w:val="center"/>
              <w:textAlignment w:val="auto"/>
              <w:rPr>
                <w:rFonts w:ascii="Times New Roman" w:hAnsi="Times New Roman"/>
                <w:b/>
                <w:bCs/>
                <w:color w:val="000000"/>
                <w:sz w:val="20"/>
                <w:lang w:val="sr-Cyrl-CS"/>
              </w:rPr>
            </w:pPr>
            <w:r w:rsidRPr="005303F7">
              <w:rPr>
                <w:rFonts w:ascii="Times New Roman" w:hAnsi="Times New Roman"/>
                <w:b/>
                <w:bCs/>
                <w:color w:val="000000"/>
                <w:sz w:val="20"/>
                <w:lang w:val="sr-Cyrl-CS"/>
              </w:rPr>
              <w:t>33</w:t>
            </w:r>
          </w:p>
        </w:tc>
        <w:tc>
          <w:tcPr>
            <w:tcW w:w="905" w:type="pct"/>
            <w:tcBorders>
              <w:top w:val="double" w:sz="4" w:space="0" w:color="auto"/>
              <w:left w:val="single" w:sz="6" w:space="0" w:color="auto"/>
              <w:bottom w:val="single" w:sz="6" w:space="0" w:color="auto"/>
              <w:right w:val="single" w:sz="6" w:space="0" w:color="auto"/>
            </w:tcBorders>
            <w:vAlign w:val="center"/>
          </w:tcPr>
          <w:p w14:paraId="3F8AE076" w14:textId="77777777" w:rsidR="00C67735" w:rsidRPr="005303F7" w:rsidRDefault="00C67735" w:rsidP="004E2F5C">
            <w:pPr>
              <w:tabs>
                <w:tab w:val="clear" w:pos="3825"/>
              </w:tabs>
              <w:overflowPunct/>
              <w:spacing w:before="40" w:after="40"/>
              <w:jc w:val="center"/>
              <w:textAlignment w:val="auto"/>
              <w:rPr>
                <w:rFonts w:ascii="Times New Roman" w:hAnsi="Times New Roman"/>
                <w:b/>
                <w:bCs/>
                <w:color w:val="000000"/>
                <w:sz w:val="20"/>
                <w:lang w:val="sr-Cyrl-CS"/>
              </w:rPr>
            </w:pPr>
            <w:r w:rsidRPr="005303F7">
              <w:rPr>
                <w:rFonts w:ascii="Times New Roman" w:hAnsi="Times New Roman"/>
                <w:color w:val="000000"/>
                <w:sz w:val="20"/>
                <w:lang w:val="sr-Cyrl-CS" w:eastAsia="pt-PT"/>
              </w:rPr>
              <w:t>61</w:t>
            </w:r>
          </w:p>
        </w:tc>
        <w:tc>
          <w:tcPr>
            <w:tcW w:w="904" w:type="pct"/>
            <w:tcBorders>
              <w:top w:val="double" w:sz="4" w:space="0" w:color="auto"/>
              <w:left w:val="single" w:sz="6" w:space="0" w:color="auto"/>
              <w:bottom w:val="single" w:sz="6" w:space="0" w:color="auto"/>
              <w:right w:val="single" w:sz="6" w:space="0" w:color="auto"/>
            </w:tcBorders>
            <w:vAlign w:val="center"/>
          </w:tcPr>
          <w:p w14:paraId="4DD1EEB3" w14:textId="77777777" w:rsidR="00C67735" w:rsidRPr="005303F7" w:rsidRDefault="00C67735" w:rsidP="004E2F5C">
            <w:pPr>
              <w:tabs>
                <w:tab w:val="clear" w:pos="3825"/>
              </w:tabs>
              <w:overflowPunct/>
              <w:spacing w:before="40" w:after="40"/>
              <w:jc w:val="center"/>
              <w:textAlignment w:val="auto"/>
              <w:rPr>
                <w:rFonts w:ascii="Times New Roman" w:hAnsi="Times New Roman"/>
                <w:b/>
                <w:bCs/>
                <w:color w:val="000000"/>
                <w:sz w:val="20"/>
                <w:lang w:val="sr-Cyrl-CS"/>
              </w:rPr>
            </w:pPr>
            <w:r w:rsidRPr="005303F7">
              <w:rPr>
                <w:rFonts w:ascii="Times New Roman" w:hAnsi="Times New Roman"/>
                <w:b/>
                <w:bCs/>
                <w:color w:val="000000"/>
                <w:sz w:val="20"/>
                <w:lang w:val="sr-Cyrl-CS"/>
              </w:rPr>
              <w:t>330</w:t>
            </w:r>
          </w:p>
        </w:tc>
        <w:tc>
          <w:tcPr>
            <w:tcW w:w="905" w:type="pct"/>
            <w:tcBorders>
              <w:top w:val="double" w:sz="4" w:space="0" w:color="auto"/>
              <w:left w:val="single" w:sz="6" w:space="0" w:color="auto"/>
              <w:bottom w:val="single" w:sz="6" w:space="0" w:color="auto"/>
              <w:right w:val="single" w:sz="6" w:space="0" w:color="auto"/>
            </w:tcBorders>
            <w:vAlign w:val="center"/>
          </w:tcPr>
          <w:p w14:paraId="09BF2F15" w14:textId="77777777" w:rsidR="00C67735" w:rsidRPr="005303F7" w:rsidRDefault="00C67735" w:rsidP="004E2F5C">
            <w:pPr>
              <w:tabs>
                <w:tab w:val="clear" w:pos="3825"/>
              </w:tabs>
              <w:overflowPunct/>
              <w:spacing w:before="40" w:after="40"/>
              <w:jc w:val="center"/>
              <w:textAlignment w:val="auto"/>
              <w:rPr>
                <w:rFonts w:ascii="Times New Roman" w:hAnsi="Times New Roman"/>
                <w:b/>
                <w:bCs/>
                <w:color w:val="000000"/>
                <w:sz w:val="20"/>
                <w:lang w:val="sr-Cyrl-CS"/>
              </w:rPr>
            </w:pPr>
            <w:r w:rsidRPr="005303F7">
              <w:rPr>
                <w:rFonts w:ascii="Times New Roman" w:hAnsi="Times New Roman"/>
                <w:color w:val="000000"/>
                <w:sz w:val="20"/>
                <w:lang w:val="sr-Cyrl-CS" w:eastAsia="pt-PT"/>
              </w:rPr>
              <w:t>610</w:t>
            </w:r>
          </w:p>
        </w:tc>
      </w:tr>
    </w:tbl>
    <w:p w14:paraId="7407FE54" w14:textId="77777777" w:rsidR="00327AC7" w:rsidRPr="005303F7" w:rsidRDefault="00327AC7" w:rsidP="006A7C11">
      <w:pPr>
        <w:spacing w:after="0"/>
        <w:rPr>
          <w:rFonts w:ascii="Times New Roman" w:hAnsi="Times New Roman"/>
          <w:lang w:val="sr-Cyrl-CS"/>
        </w:rPr>
      </w:pPr>
    </w:p>
    <w:p w14:paraId="7D953DD1" w14:textId="7CC8F487" w:rsidR="000564D4" w:rsidRPr="005303F7" w:rsidRDefault="00BF65FC" w:rsidP="00682F18">
      <w:pPr>
        <w:pStyle w:val="Einzug1"/>
        <w:ind w:hanging="578"/>
        <w:rPr>
          <w:rFonts w:ascii="Times New Roman" w:hAnsi="Times New Roman" w:cs="Times New Roman"/>
          <w:lang w:val="sr-Cyrl-CS"/>
        </w:rPr>
      </w:pPr>
      <w:bookmarkStart w:id="319" w:name="_Toc13162962"/>
      <w:bookmarkStart w:id="320" w:name="_Toc13162966"/>
      <w:bookmarkStart w:id="321" w:name="_Toc13163020"/>
      <w:bookmarkStart w:id="322" w:name="_Toc26686112"/>
      <w:bookmarkEnd w:id="319"/>
      <w:bookmarkEnd w:id="320"/>
      <w:bookmarkEnd w:id="321"/>
      <w:r w:rsidRPr="005303F7">
        <w:rPr>
          <w:rFonts w:ascii="Times New Roman" w:hAnsi="Times New Roman" w:cs="Times New Roman"/>
          <w:lang w:val="sr-Cyrl-CS"/>
        </w:rPr>
        <w:t>ТРОШКОВИ</w:t>
      </w:r>
      <w:r w:rsidR="00C71155" w:rsidRPr="005303F7">
        <w:rPr>
          <w:rFonts w:ascii="Times New Roman" w:hAnsi="Times New Roman" w:cs="Times New Roman"/>
          <w:lang w:val="sr-Cyrl-CS"/>
        </w:rPr>
        <w:t xml:space="preserve"> </w:t>
      </w:r>
      <w:r w:rsidRPr="005303F7">
        <w:rPr>
          <w:rFonts w:ascii="Times New Roman" w:hAnsi="Times New Roman" w:cs="Times New Roman"/>
          <w:lang w:val="sr-Cyrl-CS"/>
        </w:rPr>
        <w:t>И</w:t>
      </w:r>
      <w:r w:rsidR="00C71155" w:rsidRPr="005303F7">
        <w:rPr>
          <w:rFonts w:ascii="Times New Roman" w:hAnsi="Times New Roman" w:cs="Times New Roman"/>
          <w:lang w:val="sr-Cyrl-CS"/>
        </w:rPr>
        <w:t xml:space="preserve"> </w:t>
      </w:r>
      <w:r w:rsidRPr="005303F7">
        <w:rPr>
          <w:rFonts w:ascii="Times New Roman" w:hAnsi="Times New Roman" w:cs="Times New Roman"/>
          <w:lang w:val="sr-Cyrl-CS"/>
        </w:rPr>
        <w:t>ПОТЕНЦИЈАЛНИ</w:t>
      </w:r>
      <w:r w:rsidR="00C71155" w:rsidRPr="005303F7">
        <w:rPr>
          <w:rFonts w:ascii="Times New Roman" w:hAnsi="Times New Roman" w:cs="Times New Roman"/>
          <w:lang w:val="sr-Cyrl-CS"/>
        </w:rPr>
        <w:t xml:space="preserve"> </w:t>
      </w:r>
      <w:r w:rsidRPr="005303F7">
        <w:rPr>
          <w:rFonts w:ascii="Times New Roman" w:hAnsi="Times New Roman" w:cs="Times New Roman"/>
          <w:lang w:val="sr-Cyrl-CS"/>
        </w:rPr>
        <w:t>РЕСУРСИ</w:t>
      </w:r>
      <w:r w:rsidR="00C71155" w:rsidRPr="005303F7">
        <w:rPr>
          <w:rFonts w:ascii="Times New Roman" w:hAnsi="Times New Roman" w:cs="Times New Roman"/>
          <w:lang w:val="sr-Cyrl-CS"/>
        </w:rPr>
        <w:t xml:space="preserve"> </w:t>
      </w:r>
      <w:r w:rsidRPr="005303F7">
        <w:rPr>
          <w:rFonts w:ascii="Times New Roman" w:hAnsi="Times New Roman" w:cs="Times New Roman"/>
          <w:lang w:val="sr-Cyrl-CS"/>
        </w:rPr>
        <w:t>ЗА</w:t>
      </w:r>
      <w:r w:rsidR="00C71155" w:rsidRPr="005303F7">
        <w:rPr>
          <w:rFonts w:ascii="Times New Roman" w:hAnsi="Times New Roman" w:cs="Times New Roman"/>
          <w:lang w:val="sr-Cyrl-CS"/>
        </w:rPr>
        <w:t xml:space="preserve"> </w:t>
      </w:r>
      <w:r w:rsidRPr="005303F7">
        <w:rPr>
          <w:rFonts w:ascii="Times New Roman" w:hAnsi="Times New Roman" w:cs="Times New Roman"/>
          <w:lang w:val="sr-Cyrl-CS"/>
        </w:rPr>
        <w:t>ИМПЛЕМЕНТАЦИЈ</w:t>
      </w:r>
      <w:bookmarkEnd w:id="322"/>
      <w:r w:rsidRPr="005303F7">
        <w:rPr>
          <w:rFonts w:ascii="Times New Roman" w:hAnsi="Times New Roman" w:cs="Times New Roman"/>
          <w:lang w:val="sr-Cyrl-CS"/>
        </w:rPr>
        <w:t>У</w:t>
      </w:r>
    </w:p>
    <w:p w14:paraId="47066480" w14:textId="391ECA4B" w:rsidR="00374BEB" w:rsidRPr="005303F7" w:rsidRDefault="00BF65FC" w:rsidP="00D93231">
      <w:pPr>
        <w:pStyle w:val="Heading2"/>
        <w:numPr>
          <w:ilvl w:val="1"/>
          <w:numId w:val="40"/>
        </w:numPr>
        <w:tabs>
          <w:tab w:val="clear" w:pos="3825"/>
          <w:tab w:val="left" w:pos="1134"/>
        </w:tabs>
        <w:spacing w:before="0" w:after="0"/>
        <w:rPr>
          <w:rFonts w:ascii="Times New Roman" w:hAnsi="Times New Roman" w:cs="Times New Roman"/>
          <w:szCs w:val="22"/>
          <w:lang w:val="sr-Cyrl-CS"/>
        </w:rPr>
      </w:pPr>
      <w:bookmarkStart w:id="323" w:name="_Toc26686113"/>
      <w:r w:rsidRPr="005303F7">
        <w:rPr>
          <w:rFonts w:ascii="Times New Roman" w:hAnsi="Times New Roman" w:cs="Times New Roman"/>
          <w:szCs w:val="22"/>
          <w:lang w:val="sr-Cyrl-CS"/>
        </w:rPr>
        <w:t>Трошкови</w:t>
      </w:r>
      <w:r w:rsidR="00C71155"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имплементациј</w:t>
      </w:r>
      <w:bookmarkEnd w:id="323"/>
      <w:r w:rsidRPr="005303F7">
        <w:rPr>
          <w:rFonts w:ascii="Times New Roman" w:hAnsi="Times New Roman" w:cs="Times New Roman"/>
          <w:szCs w:val="22"/>
          <w:lang w:val="sr-Cyrl-CS"/>
        </w:rPr>
        <w:t>е</w:t>
      </w:r>
    </w:p>
    <w:p w14:paraId="7FD24BF5" w14:textId="436D0D2C" w:rsidR="00C771EF" w:rsidRPr="005303F7" w:rsidRDefault="00DA7CD2" w:rsidP="00550506">
      <w:pPr>
        <w:rPr>
          <w:rFonts w:ascii="Times New Roman" w:hAnsi="Times New Roman"/>
          <w:sz w:val="24"/>
          <w:szCs w:val="22"/>
          <w:lang w:val="sr-Cyrl-CS"/>
        </w:rPr>
      </w:pPr>
      <w:r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Мере</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предложене</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у</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Стратегији</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захтевају</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додатна</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улагања</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у</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различитим</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секторима</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за</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разлику</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од</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мера</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из</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основног</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Б</w:t>
      </w:r>
      <w:r w:rsidR="00C771EF" w:rsidRPr="005303F7">
        <w:rPr>
          <w:rFonts w:ascii="Times New Roman" w:hAnsi="Times New Roman"/>
          <w:sz w:val="24"/>
          <w:szCs w:val="22"/>
          <w:lang w:val="sr-Cyrl-CS"/>
        </w:rPr>
        <w:t xml:space="preserve">2 </w:t>
      </w:r>
      <w:r w:rsidR="00BF65FC" w:rsidRPr="005303F7">
        <w:rPr>
          <w:rFonts w:ascii="Times New Roman" w:hAnsi="Times New Roman"/>
          <w:sz w:val="24"/>
          <w:szCs w:val="22"/>
          <w:lang w:val="sr-Cyrl-CS"/>
        </w:rPr>
        <w:t>сценарија</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Ови</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додатни</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инвестициони</w:t>
      </w:r>
      <w:r w:rsidR="00B24B72"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трошкови</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процењују</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се</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на</w:t>
      </w:r>
      <w:r w:rsidR="00C771EF" w:rsidRPr="005303F7">
        <w:rPr>
          <w:rFonts w:ascii="Times New Roman" w:hAnsi="Times New Roman"/>
          <w:sz w:val="24"/>
          <w:szCs w:val="22"/>
          <w:lang w:val="sr-Cyrl-CS"/>
        </w:rPr>
        <w:t xml:space="preserve"> 6,5 </w:t>
      </w:r>
      <w:r w:rsidR="00BF65FC" w:rsidRPr="005303F7">
        <w:rPr>
          <w:rFonts w:ascii="Times New Roman" w:hAnsi="Times New Roman"/>
          <w:sz w:val="24"/>
          <w:szCs w:val="22"/>
          <w:lang w:val="sr-Cyrl-CS"/>
        </w:rPr>
        <w:t>милијарди</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евра</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за</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период</w:t>
      </w:r>
      <w:r w:rsidR="00C771EF" w:rsidRPr="005303F7">
        <w:rPr>
          <w:rFonts w:ascii="Times New Roman" w:hAnsi="Times New Roman"/>
          <w:sz w:val="24"/>
          <w:szCs w:val="22"/>
          <w:lang w:val="sr-Cyrl-CS"/>
        </w:rPr>
        <w:t xml:space="preserve"> 2020-2030</w:t>
      </w:r>
      <w:r w:rsidR="00016298" w:rsidRPr="005303F7">
        <w:rPr>
          <w:rFonts w:ascii="Times New Roman" w:hAnsi="Times New Roman"/>
          <w:sz w:val="24"/>
          <w:szCs w:val="22"/>
          <w:lang w:val="sr-Cyrl-CS"/>
        </w:rPr>
        <w:t>. година</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и</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између</w:t>
      </w:r>
      <w:r w:rsidR="00016298" w:rsidRPr="005303F7">
        <w:rPr>
          <w:rFonts w:ascii="Times New Roman" w:hAnsi="Times New Roman"/>
          <w:sz w:val="24"/>
          <w:szCs w:val="22"/>
          <w:lang w:val="sr-Cyrl-CS"/>
        </w:rPr>
        <w:t xml:space="preserve"> 37,</w:t>
      </w:r>
      <w:r w:rsidR="00C771EF" w:rsidRPr="005303F7">
        <w:rPr>
          <w:rFonts w:ascii="Times New Roman" w:hAnsi="Times New Roman"/>
          <w:sz w:val="24"/>
          <w:szCs w:val="22"/>
          <w:lang w:val="sr-Cyrl-CS"/>
        </w:rPr>
        <w:t xml:space="preserve">8 </w:t>
      </w:r>
      <w:r w:rsidR="00BF65FC" w:rsidRPr="005303F7">
        <w:rPr>
          <w:rFonts w:ascii="Times New Roman" w:hAnsi="Times New Roman"/>
          <w:sz w:val="24"/>
          <w:szCs w:val="22"/>
          <w:lang w:val="sr-Cyrl-CS"/>
        </w:rPr>
        <w:t>и</w:t>
      </w:r>
      <w:r w:rsidR="00C771EF" w:rsidRPr="005303F7">
        <w:rPr>
          <w:rFonts w:ascii="Times New Roman" w:hAnsi="Times New Roman"/>
          <w:sz w:val="24"/>
          <w:szCs w:val="22"/>
          <w:lang w:val="sr-Cyrl-CS"/>
        </w:rPr>
        <w:t xml:space="preserve"> 76,8 </w:t>
      </w:r>
      <w:r w:rsidR="0039680D" w:rsidRPr="005303F7">
        <w:rPr>
          <w:rFonts w:ascii="Times New Roman" w:hAnsi="Times New Roman"/>
          <w:sz w:val="24"/>
          <w:szCs w:val="22"/>
          <w:lang w:val="sr-Cyrl-CS"/>
        </w:rPr>
        <w:t>милијарди</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евра</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за</w:t>
      </w:r>
      <w:r w:rsidR="00C771E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период</w:t>
      </w:r>
      <w:r w:rsidR="00C771EF" w:rsidRPr="005303F7">
        <w:rPr>
          <w:rFonts w:ascii="Times New Roman" w:hAnsi="Times New Roman"/>
          <w:sz w:val="24"/>
          <w:szCs w:val="22"/>
          <w:lang w:val="sr-Cyrl-CS"/>
        </w:rPr>
        <w:t xml:space="preserve"> 2030-2050.</w:t>
      </w:r>
      <w:r w:rsidR="00F23580"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године</w:t>
      </w:r>
      <w:r w:rsidR="00F23580" w:rsidRPr="005303F7">
        <w:rPr>
          <w:rFonts w:ascii="Times New Roman" w:hAnsi="Times New Roman"/>
          <w:sz w:val="24"/>
          <w:szCs w:val="22"/>
          <w:lang w:val="sr-Cyrl-CS"/>
        </w:rPr>
        <w:t>.</w:t>
      </w:r>
      <w:r w:rsidR="00550506" w:rsidRPr="005303F7">
        <w:rPr>
          <w:lang w:val="sr-Cyrl-CS"/>
        </w:rPr>
        <w:t xml:space="preserve"> </w:t>
      </w:r>
      <w:r w:rsidR="00495DB9" w:rsidRPr="005303F7">
        <w:rPr>
          <w:rFonts w:ascii="Times New Roman" w:hAnsi="Times New Roman"/>
          <w:sz w:val="24"/>
          <w:szCs w:val="22"/>
          <w:lang w:val="sr-Cyrl-CS"/>
        </w:rPr>
        <w:t xml:space="preserve">Додатни </w:t>
      </w:r>
      <w:r w:rsidR="00550506" w:rsidRPr="005303F7">
        <w:rPr>
          <w:rFonts w:ascii="Times New Roman" w:hAnsi="Times New Roman"/>
          <w:sz w:val="24"/>
          <w:szCs w:val="22"/>
          <w:lang w:val="sr-Cyrl-CS"/>
        </w:rPr>
        <w:t xml:space="preserve"> трошкови у области енергетике, укључујући и енергетску ефикасност, као и извори средстава за инвестиције, наведени у овом поглављу, утврђени на претпоставкама усвојеним за Стратегију, предмет су</w:t>
      </w:r>
      <w:r w:rsidR="00495DB9" w:rsidRPr="005303F7">
        <w:rPr>
          <w:rFonts w:ascii="Times New Roman" w:hAnsi="Times New Roman"/>
          <w:sz w:val="24"/>
          <w:szCs w:val="22"/>
          <w:lang w:val="sr-Cyrl-CS"/>
        </w:rPr>
        <w:t xml:space="preserve"> детаљних </w:t>
      </w:r>
      <w:r w:rsidR="00550506" w:rsidRPr="005303F7">
        <w:rPr>
          <w:rFonts w:ascii="Times New Roman" w:hAnsi="Times New Roman"/>
          <w:sz w:val="24"/>
          <w:szCs w:val="22"/>
          <w:lang w:val="sr-Cyrl-CS"/>
        </w:rPr>
        <w:t xml:space="preserve"> анализа у оквиру Интегрисаног националног енергетског и климатског плана и у складу са тим,</w:t>
      </w:r>
      <w:r w:rsidR="00495DB9" w:rsidRPr="005303F7">
        <w:rPr>
          <w:rFonts w:ascii="Times New Roman" w:hAnsi="Times New Roman"/>
          <w:sz w:val="24"/>
          <w:szCs w:val="22"/>
          <w:lang w:val="sr-Cyrl-CS"/>
        </w:rPr>
        <w:t xml:space="preserve"> укупни инвестициони трошкови </w:t>
      </w:r>
      <w:r w:rsidR="00550506" w:rsidRPr="005303F7">
        <w:rPr>
          <w:rFonts w:ascii="Times New Roman" w:hAnsi="Times New Roman"/>
          <w:sz w:val="24"/>
          <w:szCs w:val="22"/>
          <w:lang w:val="sr-Cyrl-CS"/>
        </w:rPr>
        <w:t xml:space="preserve"> </w:t>
      </w:r>
      <w:r w:rsidR="00BD3CB5" w:rsidRPr="005303F7">
        <w:rPr>
          <w:rFonts w:ascii="Times New Roman" w:hAnsi="Times New Roman"/>
          <w:sz w:val="24"/>
          <w:szCs w:val="22"/>
          <w:lang w:val="sr-Cyrl-CS"/>
        </w:rPr>
        <w:t xml:space="preserve">биће одређени тим </w:t>
      </w:r>
      <w:r w:rsidR="00F80E11" w:rsidRPr="005303F7">
        <w:rPr>
          <w:rFonts w:ascii="Times New Roman" w:hAnsi="Times New Roman"/>
          <w:sz w:val="24"/>
          <w:szCs w:val="22"/>
          <w:lang w:val="sr-Cyrl-CS"/>
        </w:rPr>
        <w:t>п</w:t>
      </w:r>
      <w:r w:rsidR="00BD3CB5" w:rsidRPr="005303F7">
        <w:rPr>
          <w:rFonts w:ascii="Times New Roman" w:hAnsi="Times New Roman"/>
          <w:sz w:val="24"/>
          <w:szCs w:val="22"/>
          <w:lang w:val="sr-Cyrl-CS"/>
        </w:rPr>
        <w:t xml:space="preserve">ланом, када </w:t>
      </w:r>
      <w:r w:rsidR="00550506" w:rsidRPr="005303F7">
        <w:rPr>
          <w:rFonts w:ascii="Times New Roman" w:hAnsi="Times New Roman"/>
          <w:sz w:val="24"/>
          <w:szCs w:val="22"/>
          <w:lang w:val="sr-Cyrl-CS"/>
        </w:rPr>
        <w:t>буде примењен</w:t>
      </w:r>
      <w:r w:rsidR="00BD3CB5" w:rsidRPr="005303F7">
        <w:rPr>
          <w:rFonts w:ascii="Times New Roman" w:hAnsi="Times New Roman"/>
          <w:sz w:val="24"/>
          <w:szCs w:val="22"/>
          <w:lang w:val="sr-Cyrl-CS"/>
        </w:rPr>
        <w:t>.</w:t>
      </w:r>
    </w:p>
    <w:p w14:paraId="16F39351" w14:textId="5AE13A0E" w:rsidR="002A3C94" w:rsidRPr="005303F7" w:rsidRDefault="00DA7CD2" w:rsidP="002A3C94">
      <w:pPr>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Додатни</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трошкови</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улагања</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ће</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бити</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подељени</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између</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потрошача</w:t>
      </w:r>
      <w:r w:rsidR="00C771EF" w:rsidRPr="005303F7">
        <w:rPr>
          <w:rFonts w:ascii="Times New Roman" w:hAnsi="Times New Roman"/>
          <w:sz w:val="24"/>
          <w:lang w:val="sr-Cyrl-CS"/>
        </w:rPr>
        <w:t>/</w:t>
      </w:r>
      <w:r w:rsidR="00BF65FC" w:rsidRPr="005303F7">
        <w:rPr>
          <w:rFonts w:ascii="Times New Roman" w:hAnsi="Times New Roman"/>
          <w:sz w:val="24"/>
          <w:lang w:val="sr-Cyrl-CS"/>
        </w:rPr>
        <w:t>дома</w:t>
      </w:r>
      <w:r w:rsidR="00016298" w:rsidRPr="005303F7">
        <w:rPr>
          <w:rFonts w:ascii="Times New Roman" w:hAnsi="Times New Roman"/>
          <w:sz w:val="24"/>
          <w:lang w:val="sr-Cyrl-CS"/>
        </w:rPr>
        <w:t>ћ</w:t>
      </w:r>
      <w:r w:rsidR="00BF65FC" w:rsidRPr="005303F7">
        <w:rPr>
          <w:rFonts w:ascii="Times New Roman" w:hAnsi="Times New Roman"/>
          <w:sz w:val="24"/>
          <w:lang w:val="sr-Cyrl-CS"/>
        </w:rPr>
        <w:t>инстава</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пример</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куповини</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ефикаснијих</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аутомобила</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електричних</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уређаја</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или</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изолацији</w:t>
      </w:r>
      <w:r w:rsidR="00B31476" w:rsidRPr="005303F7">
        <w:rPr>
          <w:rFonts w:ascii="Times New Roman" w:hAnsi="Times New Roman"/>
          <w:sz w:val="24"/>
          <w:lang w:val="sr-Cyrl-CS"/>
        </w:rPr>
        <w:t xml:space="preserve"> </w:t>
      </w:r>
      <w:r w:rsidR="00BF65FC" w:rsidRPr="005303F7">
        <w:rPr>
          <w:rFonts w:ascii="Times New Roman" w:hAnsi="Times New Roman"/>
          <w:sz w:val="24"/>
          <w:lang w:val="sr-Cyrl-CS"/>
        </w:rPr>
        <w:t>станова</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инвеститора</w:t>
      </w:r>
      <w:r w:rsidR="00016298" w:rsidRPr="005303F7">
        <w:rPr>
          <w:rFonts w:ascii="Times New Roman" w:hAnsi="Times New Roman"/>
          <w:sz w:val="24"/>
          <w:lang w:val="sr-Cyrl-CS"/>
        </w:rPr>
        <w:t>/</w:t>
      </w:r>
      <w:r w:rsidR="00BF65FC" w:rsidRPr="005303F7">
        <w:rPr>
          <w:rFonts w:ascii="Times New Roman" w:hAnsi="Times New Roman"/>
          <w:sz w:val="24"/>
          <w:lang w:val="sr-Cyrl-CS"/>
        </w:rPr>
        <w:t>компанија</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нови</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камиони</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обновљиви</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извори</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енергије</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државе</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нпр</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обнављања</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возног</w:t>
      </w:r>
      <w:r w:rsidR="00B31476" w:rsidRPr="005303F7">
        <w:rPr>
          <w:rFonts w:ascii="Times New Roman" w:hAnsi="Times New Roman"/>
          <w:sz w:val="24"/>
          <w:lang w:val="sr-Cyrl-CS"/>
        </w:rPr>
        <w:t xml:space="preserve"> </w:t>
      </w:r>
      <w:r w:rsidR="00BF65FC" w:rsidRPr="005303F7">
        <w:rPr>
          <w:rFonts w:ascii="Times New Roman" w:hAnsi="Times New Roman"/>
          <w:sz w:val="24"/>
          <w:lang w:val="sr-Cyrl-CS"/>
        </w:rPr>
        <w:t>парка</w:t>
      </w:r>
      <w:r w:rsidR="00B31476" w:rsidRPr="005303F7">
        <w:rPr>
          <w:rFonts w:ascii="Times New Roman" w:hAnsi="Times New Roman"/>
          <w:sz w:val="24"/>
          <w:lang w:val="sr-Cyrl-CS"/>
        </w:rPr>
        <w:t xml:space="preserve"> </w:t>
      </w:r>
      <w:r w:rsidR="00BF65FC" w:rsidRPr="005303F7">
        <w:rPr>
          <w:rFonts w:ascii="Times New Roman" w:hAnsi="Times New Roman"/>
          <w:sz w:val="24"/>
          <w:lang w:val="sr-Cyrl-CS"/>
        </w:rPr>
        <w:t>јавног</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превоза</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пошумљавање</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B31476" w:rsidRPr="005303F7">
        <w:rPr>
          <w:rFonts w:ascii="Times New Roman" w:hAnsi="Times New Roman"/>
          <w:sz w:val="24"/>
          <w:lang w:val="sr-Cyrl-CS"/>
        </w:rPr>
        <w:t xml:space="preserve"> </w:t>
      </w:r>
      <w:r w:rsidR="00BF65FC" w:rsidRPr="005303F7">
        <w:rPr>
          <w:rFonts w:ascii="Times New Roman" w:hAnsi="Times New Roman"/>
          <w:sz w:val="24"/>
          <w:lang w:val="sr-Cyrl-CS"/>
        </w:rPr>
        <w:t>државној</w:t>
      </w:r>
      <w:r w:rsidR="00B31476" w:rsidRPr="005303F7">
        <w:rPr>
          <w:rFonts w:ascii="Times New Roman" w:hAnsi="Times New Roman"/>
          <w:sz w:val="24"/>
          <w:lang w:val="sr-Cyrl-CS"/>
        </w:rPr>
        <w:t xml:space="preserve"> </w:t>
      </w:r>
      <w:r w:rsidR="00BF65FC" w:rsidRPr="005303F7">
        <w:rPr>
          <w:rFonts w:ascii="Times New Roman" w:hAnsi="Times New Roman"/>
          <w:sz w:val="24"/>
          <w:lang w:val="sr-Cyrl-CS"/>
        </w:rPr>
        <w:t>земљи</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Потрошачи</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инвеститори</w:t>
      </w:r>
      <w:r w:rsidR="00C771EF" w:rsidRPr="005303F7">
        <w:rPr>
          <w:rFonts w:ascii="Times New Roman" w:hAnsi="Times New Roman"/>
          <w:sz w:val="24"/>
          <w:lang w:val="sr-Cyrl-CS"/>
        </w:rPr>
        <w:t xml:space="preserve"> </w:t>
      </w:r>
      <w:r w:rsidR="00016298" w:rsidRPr="005303F7">
        <w:rPr>
          <w:rFonts w:ascii="Times New Roman" w:hAnsi="Times New Roman"/>
          <w:sz w:val="24"/>
          <w:lang w:val="sr-Cyrl-CS"/>
        </w:rPr>
        <w:t>ћ</w:t>
      </w:r>
      <w:r w:rsidR="00BF65FC" w:rsidRPr="005303F7">
        <w:rPr>
          <w:rFonts w:ascii="Times New Roman" w:hAnsi="Times New Roman"/>
          <w:sz w:val="24"/>
          <w:lang w:val="sr-Cyrl-CS"/>
        </w:rPr>
        <w:t>е</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сносити</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ве</w:t>
      </w:r>
      <w:r w:rsidR="00016298" w:rsidRPr="005303F7">
        <w:rPr>
          <w:rFonts w:ascii="Times New Roman" w:hAnsi="Times New Roman"/>
          <w:sz w:val="24"/>
          <w:lang w:val="sr-Cyrl-CS"/>
        </w:rPr>
        <w:t>ћ</w:t>
      </w:r>
      <w:r w:rsidR="00BF65FC" w:rsidRPr="005303F7">
        <w:rPr>
          <w:rFonts w:ascii="Times New Roman" w:hAnsi="Times New Roman"/>
          <w:sz w:val="24"/>
          <w:lang w:val="sr-Cyrl-CS"/>
        </w:rPr>
        <w:t>ину</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инвестиција</w:t>
      </w:r>
      <w:r w:rsidR="00016298" w:rsidRPr="005303F7">
        <w:rPr>
          <w:rFonts w:ascii="Times New Roman" w:hAnsi="Times New Roman"/>
          <w:sz w:val="24"/>
          <w:lang w:val="sr-Cyrl-CS"/>
        </w:rPr>
        <w:t>/</w:t>
      </w:r>
      <w:r w:rsidR="00BF65FC" w:rsidRPr="005303F7">
        <w:rPr>
          <w:rFonts w:ascii="Times New Roman" w:hAnsi="Times New Roman"/>
          <w:sz w:val="24"/>
          <w:lang w:val="sr-Cyrl-CS"/>
        </w:rPr>
        <w:t>трошкова</w:t>
      </w:r>
      <w:r w:rsidR="00C771EF" w:rsidRPr="005303F7">
        <w:rPr>
          <w:rFonts w:ascii="Times New Roman" w:hAnsi="Times New Roman"/>
          <w:sz w:val="24"/>
          <w:lang w:val="sr-Cyrl-CS"/>
        </w:rPr>
        <w:t xml:space="preserve"> (</w:t>
      </w:r>
      <w:r w:rsidR="00B31476" w:rsidRPr="005303F7">
        <w:rPr>
          <w:rFonts w:ascii="Times New Roman" w:hAnsi="Times New Roman"/>
          <w:sz w:val="24"/>
          <w:lang w:val="sr-Cyrl-CS"/>
        </w:rPr>
        <w:t xml:space="preserve">63% </w:t>
      </w:r>
      <w:r w:rsidR="00BF65FC" w:rsidRPr="005303F7">
        <w:rPr>
          <w:rFonts w:ascii="Times New Roman" w:hAnsi="Times New Roman"/>
          <w:sz w:val="24"/>
          <w:lang w:val="sr-Cyrl-CS"/>
        </w:rPr>
        <w:t>и</w:t>
      </w:r>
      <w:r w:rsidR="00B31476" w:rsidRPr="005303F7">
        <w:rPr>
          <w:rFonts w:ascii="Times New Roman" w:hAnsi="Times New Roman"/>
          <w:sz w:val="24"/>
          <w:lang w:val="sr-Cyrl-CS"/>
        </w:rPr>
        <w:t xml:space="preserve"> 33% </w:t>
      </w:r>
      <w:r w:rsidR="00BF65FC" w:rsidRPr="005303F7">
        <w:rPr>
          <w:rFonts w:ascii="Times New Roman" w:hAnsi="Times New Roman"/>
          <w:sz w:val="24"/>
          <w:lang w:val="sr-Cyrl-CS"/>
        </w:rPr>
        <w:t>до</w:t>
      </w:r>
      <w:r w:rsidR="00B31476" w:rsidRPr="005303F7">
        <w:rPr>
          <w:rFonts w:ascii="Times New Roman" w:hAnsi="Times New Roman"/>
          <w:sz w:val="24"/>
          <w:lang w:val="sr-Cyrl-CS"/>
        </w:rPr>
        <w:t xml:space="preserve"> 2030. </w:t>
      </w:r>
      <w:r w:rsidR="00BF65FC" w:rsidRPr="005303F7">
        <w:rPr>
          <w:rFonts w:ascii="Times New Roman" w:hAnsi="Times New Roman"/>
          <w:sz w:val="24"/>
          <w:lang w:val="sr-Cyrl-CS"/>
        </w:rPr>
        <w:t>године</w:t>
      </w:r>
      <w:r w:rsidR="00C771EF" w:rsidRPr="005303F7">
        <w:rPr>
          <w:rFonts w:ascii="Times New Roman" w:hAnsi="Times New Roman"/>
          <w:sz w:val="24"/>
          <w:lang w:val="sr-Cyrl-CS"/>
        </w:rPr>
        <w:t>; 6</w:t>
      </w:r>
      <w:r w:rsidR="00530B3F" w:rsidRPr="005303F7">
        <w:rPr>
          <w:rFonts w:ascii="Times New Roman" w:hAnsi="Times New Roman"/>
          <w:sz w:val="24"/>
          <w:lang w:val="sr-Cyrl-CS"/>
        </w:rPr>
        <w:t>8</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C771EF" w:rsidRPr="005303F7">
        <w:rPr>
          <w:rFonts w:ascii="Times New Roman" w:hAnsi="Times New Roman"/>
          <w:sz w:val="24"/>
          <w:lang w:val="sr-Cyrl-CS"/>
        </w:rPr>
        <w:t xml:space="preserve"> 2</w:t>
      </w:r>
      <w:r w:rsidR="00530B3F" w:rsidRPr="005303F7">
        <w:rPr>
          <w:rFonts w:ascii="Times New Roman" w:hAnsi="Times New Roman"/>
          <w:sz w:val="24"/>
          <w:lang w:val="sr-Cyrl-CS"/>
        </w:rPr>
        <w:t>6</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C771EF" w:rsidRPr="005303F7">
        <w:rPr>
          <w:rFonts w:ascii="Times New Roman" w:hAnsi="Times New Roman"/>
          <w:sz w:val="24"/>
          <w:lang w:val="sr-Cyrl-CS"/>
        </w:rPr>
        <w:t xml:space="preserve"> </w:t>
      </w:r>
      <w:r w:rsidR="00BF65FC" w:rsidRPr="005303F7">
        <w:rPr>
          <w:rFonts w:ascii="Times New Roman" w:hAnsi="Times New Roman"/>
          <w:sz w:val="24"/>
          <w:lang w:val="sr-Cyrl-CS"/>
        </w:rPr>
        <w:t>периоду</w:t>
      </w:r>
      <w:r w:rsidR="00C771EF" w:rsidRPr="005303F7">
        <w:rPr>
          <w:rFonts w:ascii="Times New Roman" w:hAnsi="Times New Roman"/>
          <w:sz w:val="24"/>
          <w:lang w:val="sr-Cyrl-CS"/>
        </w:rPr>
        <w:t xml:space="preserve"> 2030-2050</w:t>
      </w:r>
      <w:r w:rsidR="00B31476" w:rsidRPr="005303F7">
        <w:rPr>
          <w:rFonts w:ascii="Times New Roman" w:hAnsi="Times New Roman"/>
          <w:sz w:val="24"/>
          <w:lang w:val="sr-Cyrl-CS"/>
        </w:rPr>
        <w:t xml:space="preserve">. </w:t>
      </w:r>
      <w:r w:rsidR="00BF65FC" w:rsidRPr="005303F7">
        <w:rPr>
          <w:rFonts w:ascii="Times New Roman" w:hAnsi="Times New Roman"/>
          <w:sz w:val="24"/>
          <w:lang w:val="sr-Cyrl-CS"/>
        </w:rPr>
        <w:t>године</w:t>
      </w:r>
      <w:r w:rsidR="00C771EF" w:rsidRPr="005303F7">
        <w:rPr>
          <w:rFonts w:ascii="Times New Roman" w:hAnsi="Times New Roman"/>
          <w:sz w:val="24"/>
          <w:lang w:val="sr-Cyrl-CS"/>
        </w:rPr>
        <w:t>)</w:t>
      </w:r>
      <w:r w:rsidR="00597F1C" w:rsidRPr="005303F7">
        <w:rPr>
          <w:rStyle w:val="FootnoteReference"/>
          <w:rFonts w:ascii="Times New Roman" w:hAnsi="Times New Roman"/>
          <w:sz w:val="18"/>
          <w:szCs w:val="16"/>
          <w:lang w:val="sr-Cyrl-CS"/>
        </w:rPr>
        <w:footnoteReference w:id="54"/>
      </w:r>
      <w:r w:rsidR="00597F1C" w:rsidRPr="005303F7">
        <w:rPr>
          <w:rFonts w:ascii="Times New Roman" w:hAnsi="Times New Roman"/>
          <w:sz w:val="24"/>
          <w:lang w:val="sr-Cyrl-CS"/>
        </w:rPr>
        <w:t>.</w:t>
      </w:r>
      <w:r w:rsidR="00E86AAA" w:rsidRPr="005303F7">
        <w:rPr>
          <w:rFonts w:ascii="Times New Roman" w:hAnsi="Times New Roman"/>
          <w:sz w:val="24"/>
          <w:lang w:val="sr-Cyrl-CS"/>
        </w:rPr>
        <w:t xml:space="preserve"> </w:t>
      </w:r>
      <w:r w:rsidR="00BF65FC" w:rsidRPr="005303F7">
        <w:rPr>
          <w:rFonts w:ascii="Times New Roman" w:hAnsi="Times New Roman"/>
          <w:sz w:val="24"/>
          <w:lang w:val="sr-Cyrl-CS"/>
        </w:rPr>
        <w:t>Држава</w:t>
      </w:r>
      <w:r w:rsidR="002A3C94" w:rsidRPr="005303F7">
        <w:rPr>
          <w:rFonts w:ascii="Times New Roman" w:hAnsi="Times New Roman"/>
          <w:sz w:val="24"/>
          <w:lang w:val="sr-Cyrl-CS"/>
        </w:rPr>
        <w:t xml:space="preserve"> </w:t>
      </w:r>
      <w:r w:rsidR="00BF65FC" w:rsidRPr="005303F7">
        <w:rPr>
          <w:rFonts w:ascii="Times New Roman" w:hAnsi="Times New Roman"/>
          <w:sz w:val="24"/>
          <w:lang w:val="sr-Cyrl-CS"/>
        </w:rPr>
        <w:t>сноси</w:t>
      </w:r>
      <w:r w:rsidR="002A3C94" w:rsidRPr="005303F7">
        <w:rPr>
          <w:rFonts w:ascii="Times New Roman" w:hAnsi="Times New Roman"/>
          <w:sz w:val="24"/>
          <w:lang w:val="sr-Cyrl-CS"/>
        </w:rPr>
        <w:t xml:space="preserve"> </w:t>
      </w:r>
      <w:r w:rsidR="00BF65FC" w:rsidRPr="005303F7">
        <w:rPr>
          <w:rFonts w:ascii="Times New Roman" w:hAnsi="Times New Roman"/>
          <w:sz w:val="24"/>
          <w:lang w:val="sr-Cyrl-CS"/>
        </w:rPr>
        <w:t>преосталих</w:t>
      </w:r>
      <w:r w:rsidR="002A3C94" w:rsidRPr="005303F7">
        <w:rPr>
          <w:rFonts w:ascii="Times New Roman" w:hAnsi="Times New Roman"/>
          <w:sz w:val="24"/>
          <w:lang w:val="sr-Cyrl-CS"/>
        </w:rPr>
        <w:t xml:space="preserve"> 4% </w:t>
      </w:r>
      <w:r w:rsidR="00BF65FC" w:rsidRPr="005303F7">
        <w:rPr>
          <w:rFonts w:ascii="Times New Roman" w:hAnsi="Times New Roman"/>
          <w:sz w:val="24"/>
          <w:lang w:val="sr-Cyrl-CS"/>
        </w:rPr>
        <w:t>и</w:t>
      </w:r>
      <w:r w:rsidR="002A3C94" w:rsidRPr="005303F7">
        <w:rPr>
          <w:rFonts w:ascii="Times New Roman" w:hAnsi="Times New Roman"/>
          <w:sz w:val="24"/>
          <w:lang w:val="sr-Cyrl-CS"/>
        </w:rPr>
        <w:t xml:space="preserve"> </w:t>
      </w:r>
      <w:r w:rsidR="00530B3F" w:rsidRPr="005303F7">
        <w:rPr>
          <w:rFonts w:ascii="Times New Roman" w:hAnsi="Times New Roman"/>
          <w:sz w:val="24"/>
          <w:lang w:val="sr-Cyrl-CS"/>
        </w:rPr>
        <w:t>6</w:t>
      </w:r>
      <w:r w:rsidR="002A3C94" w:rsidRPr="005303F7">
        <w:rPr>
          <w:rFonts w:ascii="Times New Roman" w:hAnsi="Times New Roman"/>
          <w:sz w:val="24"/>
          <w:lang w:val="sr-Cyrl-CS"/>
        </w:rPr>
        <w:t xml:space="preserve">% </w:t>
      </w:r>
      <w:r w:rsidR="00BF65FC" w:rsidRPr="005303F7">
        <w:rPr>
          <w:rFonts w:ascii="Times New Roman" w:hAnsi="Times New Roman"/>
          <w:sz w:val="24"/>
          <w:lang w:val="sr-Cyrl-CS"/>
        </w:rPr>
        <w:t>трошкова</w:t>
      </w:r>
      <w:r w:rsidR="002A3C94" w:rsidRPr="005303F7">
        <w:rPr>
          <w:rFonts w:ascii="Times New Roman" w:hAnsi="Times New Roman"/>
          <w:sz w:val="24"/>
          <w:lang w:val="sr-Cyrl-CS"/>
        </w:rPr>
        <w:t xml:space="preserve"> </w:t>
      </w:r>
      <w:r w:rsidR="00BF65FC" w:rsidRPr="005303F7">
        <w:rPr>
          <w:rFonts w:ascii="Times New Roman" w:hAnsi="Times New Roman"/>
          <w:sz w:val="24"/>
          <w:lang w:val="sr-Cyrl-CS"/>
        </w:rPr>
        <w:t>улагања</w:t>
      </w:r>
      <w:r w:rsidR="002A3C94"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2A3C94" w:rsidRPr="005303F7">
        <w:rPr>
          <w:rFonts w:ascii="Times New Roman" w:hAnsi="Times New Roman"/>
          <w:sz w:val="24"/>
          <w:lang w:val="sr-Cyrl-CS"/>
        </w:rPr>
        <w:t xml:space="preserve"> </w:t>
      </w:r>
      <w:r w:rsidR="00BF65FC" w:rsidRPr="005303F7">
        <w:rPr>
          <w:rFonts w:ascii="Times New Roman" w:hAnsi="Times New Roman"/>
          <w:sz w:val="24"/>
          <w:lang w:val="sr-Cyrl-CS"/>
        </w:rPr>
        <w:t>периодима</w:t>
      </w:r>
      <w:r w:rsidR="002A3C94" w:rsidRPr="005303F7">
        <w:rPr>
          <w:rFonts w:ascii="Times New Roman" w:hAnsi="Times New Roman"/>
          <w:sz w:val="24"/>
          <w:lang w:val="sr-Cyrl-CS"/>
        </w:rPr>
        <w:t xml:space="preserve"> 2020–2030.</w:t>
      </w:r>
      <w:r w:rsidR="007736E0" w:rsidRPr="005303F7">
        <w:rPr>
          <w:rFonts w:ascii="Times New Roman" w:hAnsi="Times New Roman"/>
          <w:sz w:val="24"/>
          <w:lang w:val="sr-Cyrl-CS"/>
        </w:rPr>
        <w:t xml:space="preserve"> године</w:t>
      </w:r>
      <w:r w:rsidR="002A3C94"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2A3C94" w:rsidRPr="005303F7">
        <w:rPr>
          <w:rFonts w:ascii="Times New Roman" w:hAnsi="Times New Roman"/>
          <w:sz w:val="24"/>
          <w:lang w:val="sr-Cyrl-CS"/>
        </w:rPr>
        <w:t xml:space="preserve"> 2030–2050. </w:t>
      </w:r>
      <w:r w:rsidR="00BF65FC" w:rsidRPr="005303F7">
        <w:rPr>
          <w:rFonts w:ascii="Times New Roman" w:hAnsi="Times New Roman"/>
          <w:sz w:val="24"/>
          <w:lang w:val="sr-Cyrl-CS"/>
        </w:rPr>
        <w:t>године</w:t>
      </w:r>
      <w:r w:rsidR="002A3C94" w:rsidRPr="005303F7">
        <w:rPr>
          <w:rFonts w:ascii="Times New Roman" w:hAnsi="Times New Roman"/>
          <w:sz w:val="24"/>
          <w:lang w:val="sr-Cyrl-CS"/>
        </w:rPr>
        <w:t>.</w:t>
      </w:r>
    </w:p>
    <w:p w14:paraId="4C7F7355" w14:textId="2B505B58" w:rsidR="001D3801" w:rsidRPr="005303F7" w:rsidRDefault="001C295E" w:rsidP="00807599">
      <w:pPr>
        <w:jc w:val="center"/>
        <w:rPr>
          <w:rFonts w:ascii="Times New Roman" w:hAnsi="Times New Roman"/>
          <w:lang w:val="sr-Cyrl-CS"/>
        </w:rPr>
      </w:pPr>
      <w:r w:rsidRPr="005303F7">
        <w:rPr>
          <w:rFonts w:ascii="Times New Roman" w:hAnsi="Times New Roman"/>
          <w:noProof/>
          <w:lang w:val="sr-Cyrl-CS" w:eastAsia="en-US"/>
        </w:rPr>
        <w:lastRenderedPageBreak/>
        <w:drawing>
          <wp:inline distT="0" distB="0" distL="0" distR="0" wp14:anchorId="7E8499DD" wp14:editId="3BC57771">
            <wp:extent cx="2538000" cy="181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8000" cy="1815375"/>
                    </a:xfrm>
                    <a:prstGeom prst="rect">
                      <a:avLst/>
                    </a:prstGeom>
                    <a:noFill/>
                  </pic:spPr>
                </pic:pic>
              </a:graphicData>
            </a:graphic>
          </wp:inline>
        </w:drawing>
      </w:r>
      <w:r w:rsidR="00F60457" w:rsidRPr="005303F7">
        <w:rPr>
          <w:rFonts w:ascii="Times New Roman" w:hAnsi="Times New Roman"/>
          <w:lang w:val="sr-Cyrl-CS"/>
        </w:rPr>
        <w:t xml:space="preserve">         </w:t>
      </w:r>
      <w:r w:rsidR="00517303" w:rsidRPr="005303F7">
        <w:rPr>
          <w:noProof/>
          <w:lang w:val="sr-Cyrl-CS" w:eastAsia="en-US"/>
        </w:rPr>
        <w:drawing>
          <wp:inline distT="0" distB="0" distL="0" distR="0" wp14:anchorId="1B302CCF" wp14:editId="3D5B7300">
            <wp:extent cx="2537261" cy="1884460"/>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106" cy="1895485"/>
                    </a:xfrm>
                    <a:prstGeom prst="rect">
                      <a:avLst/>
                    </a:prstGeom>
                    <a:noFill/>
                  </pic:spPr>
                </pic:pic>
              </a:graphicData>
            </a:graphic>
          </wp:inline>
        </w:drawing>
      </w:r>
    </w:p>
    <w:p w14:paraId="78934456" w14:textId="76DFC2E9" w:rsidR="00545F61" w:rsidRPr="005303F7" w:rsidRDefault="00BF65FC" w:rsidP="00545F61">
      <w:pPr>
        <w:keepNext/>
        <w:spacing w:after="60"/>
        <w:rPr>
          <w:rFonts w:ascii="Times New Roman" w:hAnsi="Times New Roman"/>
          <w:b/>
          <w:bCs/>
          <w:i/>
          <w:iCs/>
          <w:sz w:val="20"/>
          <w:szCs w:val="18"/>
          <w:lang w:val="sr-Cyrl-CS"/>
        </w:rPr>
      </w:pPr>
      <w:bookmarkStart w:id="324" w:name="_Toc26759709"/>
      <w:r w:rsidRPr="005303F7">
        <w:rPr>
          <w:rFonts w:ascii="Times New Roman" w:hAnsi="Times New Roman"/>
          <w:b/>
          <w:bCs/>
          <w:i/>
          <w:iCs/>
          <w:sz w:val="20"/>
          <w:szCs w:val="18"/>
          <w:lang w:val="sr-Cyrl-CS"/>
        </w:rPr>
        <w:t>Графикон</w:t>
      </w:r>
      <w:r w:rsidR="00545F61" w:rsidRPr="005303F7">
        <w:rPr>
          <w:rFonts w:ascii="Times New Roman" w:hAnsi="Times New Roman"/>
          <w:b/>
          <w:bCs/>
          <w:i/>
          <w:iCs/>
          <w:sz w:val="20"/>
          <w:szCs w:val="18"/>
          <w:lang w:val="sr-Cyrl-CS"/>
        </w:rPr>
        <w:t xml:space="preserve"> </w:t>
      </w:r>
      <w:r w:rsidR="00BB0AA2" w:rsidRPr="005303F7">
        <w:rPr>
          <w:rFonts w:ascii="Times New Roman" w:hAnsi="Times New Roman"/>
          <w:b/>
          <w:bCs/>
          <w:i/>
          <w:iCs/>
          <w:sz w:val="20"/>
          <w:szCs w:val="18"/>
          <w:lang w:val="sr-Cyrl-CS"/>
        </w:rPr>
        <w:t>4</w:t>
      </w:r>
      <w:r w:rsidR="00545F61"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Подела</w:t>
      </w:r>
      <w:r w:rsidR="00545F61"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трошкова</w:t>
      </w:r>
      <w:r w:rsidR="00545F61"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инвестиција</w:t>
      </w:r>
      <w:r w:rsidR="00545F61"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у</w:t>
      </w:r>
      <w:r w:rsidR="00545F61"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периоду</w:t>
      </w:r>
      <w:r w:rsidR="00545F61"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од</w:t>
      </w:r>
      <w:r w:rsidR="00545F61" w:rsidRPr="005303F7">
        <w:rPr>
          <w:rFonts w:ascii="Times New Roman" w:hAnsi="Times New Roman"/>
          <w:b/>
          <w:bCs/>
          <w:i/>
          <w:iCs/>
          <w:sz w:val="20"/>
          <w:szCs w:val="18"/>
          <w:lang w:val="sr-Cyrl-CS"/>
        </w:rPr>
        <w:t xml:space="preserve"> 2020-</w:t>
      </w:r>
      <w:r w:rsidR="00530B3F" w:rsidRPr="005303F7">
        <w:rPr>
          <w:rFonts w:ascii="Times New Roman" w:hAnsi="Times New Roman"/>
          <w:b/>
          <w:bCs/>
          <w:i/>
          <w:iCs/>
          <w:sz w:val="20"/>
          <w:szCs w:val="18"/>
          <w:lang w:val="sr-Cyrl-CS"/>
        </w:rPr>
        <w:t>2</w:t>
      </w:r>
      <w:r w:rsidR="00545F61" w:rsidRPr="005303F7">
        <w:rPr>
          <w:rFonts w:ascii="Times New Roman" w:hAnsi="Times New Roman"/>
          <w:b/>
          <w:bCs/>
          <w:i/>
          <w:iCs/>
          <w:sz w:val="20"/>
          <w:szCs w:val="18"/>
          <w:lang w:val="sr-Cyrl-CS"/>
        </w:rPr>
        <w:t>0</w:t>
      </w:r>
      <w:r w:rsidR="00530B3F" w:rsidRPr="005303F7">
        <w:rPr>
          <w:rFonts w:ascii="Times New Roman" w:hAnsi="Times New Roman"/>
          <w:b/>
          <w:bCs/>
          <w:i/>
          <w:iCs/>
          <w:sz w:val="20"/>
          <w:szCs w:val="18"/>
          <w:lang w:val="sr-Cyrl-CS"/>
        </w:rPr>
        <w:t>3</w:t>
      </w:r>
      <w:r w:rsidR="00545F61" w:rsidRPr="005303F7">
        <w:rPr>
          <w:rFonts w:ascii="Times New Roman" w:hAnsi="Times New Roman"/>
          <w:b/>
          <w:bCs/>
          <w:i/>
          <w:iCs/>
          <w:sz w:val="20"/>
          <w:szCs w:val="18"/>
          <w:lang w:val="sr-Cyrl-CS"/>
        </w:rPr>
        <w:t xml:space="preserve">0. </w:t>
      </w:r>
      <w:r w:rsidRPr="005303F7">
        <w:rPr>
          <w:rFonts w:ascii="Times New Roman" w:hAnsi="Times New Roman"/>
          <w:b/>
          <w:bCs/>
          <w:i/>
          <w:iCs/>
          <w:sz w:val="20"/>
          <w:szCs w:val="18"/>
          <w:lang w:val="sr-Cyrl-CS"/>
        </w:rPr>
        <w:t>и</w:t>
      </w:r>
      <w:r w:rsidR="00545F61" w:rsidRPr="005303F7">
        <w:rPr>
          <w:rFonts w:ascii="Times New Roman" w:hAnsi="Times New Roman"/>
          <w:b/>
          <w:bCs/>
          <w:i/>
          <w:iCs/>
          <w:sz w:val="20"/>
          <w:szCs w:val="18"/>
          <w:lang w:val="sr-Cyrl-CS"/>
        </w:rPr>
        <w:t xml:space="preserve"> 2030-2050. </w:t>
      </w:r>
      <w:r w:rsidRPr="005303F7">
        <w:rPr>
          <w:rFonts w:ascii="Times New Roman" w:hAnsi="Times New Roman"/>
          <w:b/>
          <w:bCs/>
          <w:i/>
          <w:iCs/>
          <w:sz w:val="20"/>
          <w:szCs w:val="18"/>
          <w:lang w:val="sr-Cyrl-CS"/>
        </w:rPr>
        <w:t>годин</w:t>
      </w:r>
      <w:bookmarkEnd w:id="324"/>
      <w:r w:rsidRPr="005303F7">
        <w:rPr>
          <w:rFonts w:ascii="Times New Roman" w:hAnsi="Times New Roman"/>
          <w:b/>
          <w:bCs/>
          <w:i/>
          <w:iCs/>
          <w:sz w:val="20"/>
          <w:szCs w:val="18"/>
          <w:lang w:val="sr-Cyrl-CS"/>
        </w:rPr>
        <w:t>е</w:t>
      </w:r>
    </w:p>
    <w:p w14:paraId="196090BE" w14:textId="2134476C" w:rsidR="003D4CD6" w:rsidRPr="005303F7" w:rsidRDefault="00DA7CD2" w:rsidP="003D4CD6">
      <w:pPr>
        <w:spacing w:before="0" w:after="0"/>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Држава</w:t>
      </w:r>
      <w:r w:rsidR="003D4CD6" w:rsidRPr="005303F7">
        <w:rPr>
          <w:rFonts w:ascii="Times New Roman" w:hAnsi="Times New Roman"/>
          <w:sz w:val="24"/>
          <w:lang w:val="sr-Cyrl-CS"/>
        </w:rPr>
        <w:t xml:space="preserve"> </w:t>
      </w:r>
      <w:r w:rsidR="00016298" w:rsidRPr="005303F7">
        <w:rPr>
          <w:rFonts w:ascii="Times New Roman" w:hAnsi="Times New Roman"/>
          <w:sz w:val="24"/>
          <w:lang w:val="sr-Cyrl-CS"/>
        </w:rPr>
        <w:t>ћ</w:t>
      </w:r>
      <w:r w:rsidR="00BF65FC" w:rsidRPr="005303F7">
        <w:rPr>
          <w:rFonts w:ascii="Times New Roman" w:hAnsi="Times New Roman"/>
          <w:sz w:val="24"/>
          <w:lang w:val="sr-Cyrl-CS"/>
        </w:rPr>
        <w:t>е</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имати</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додатну</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улогу</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да</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подржи</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спровођење</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мера</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из</w:t>
      </w:r>
      <w:r w:rsidR="00147178" w:rsidRPr="005303F7">
        <w:rPr>
          <w:rFonts w:ascii="Times New Roman" w:hAnsi="Times New Roman"/>
          <w:sz w:val="24"/>
          <w:lang w:val="sr-Cyrl-CS"/>
        </w:rPr>
        <w:t xml:space="preserve"> </w:t>
      </w:r>
      <w:r w:rsidR="00BF65FC" w:rsidRPr="005303F7">
        <w:rPr>
          <w:rFonts w:ascii="Times New Roman" w:hAnsi="Times New Roman"/>
          <w:sz w:val="24"/>
          <w:lang w:val="sr-Cyrl-CS"/>
        </w:rPr>
        <w:t>Стратегије</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кроз</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дефинисање</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регулаторних</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фискалних</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подстицајних</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решења</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том</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контексту</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приходе</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од</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аукције</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Е</w:t>
      </w:r>
      <w:r w:rsidR="00870E18" w:rsidRPr="005303F7">
        <w:rPr>
          <w:rFonts w:ascii="Times New Roman" w:hAnsi="Times New Roman"/>
          <w:sz w:val="24"/>
          <w:lang w:val="sr-Cyrl-CS"/>
        </w:rPr>
        <w:t>U</w:t>
      </w:r>
      <w:r w:rsidR="003D4CD6" w:rsidRPr="005303F7">
        <w:rPr>
          <w:rFonts w:ascii="Times New Roman" w:hAnsi="Times New Roman"/>
          <w:sz w:val="24"/>
          <w:lang w:val="sr-Cyrl-CS"/>
        </w:rPr>
        <w:t>-</w:t>
      </w:r>
      <w:r w:rsidR="00BF65FC" w:rsidRPr="005303F7">
        <w:rPr>
          <w:rFonts w:ascii="Times New Roman" w:hAnsi="Times New Roman"/>
          <w:sz w:val="24"/>
          <w:lang w:val="sr-Cyrl-CS"/>
        </w:rPr>
        <w:t>ЕТ</w:t>
      </w:r>
      <w:r w:rsidR="00870E18" w:rsidRPr="005303F7">
        <w:rPr>
          <w:rFonts w:ascii="Times New Roman" w:hAnsi="Times New Roman"/>
          <w:sz w:val="24"/>
          <w:lang w:val="sr-Cyrl-CS"/>
        </w:rPr>
        <w:t>S</w:t>
      </w:r>
      <w:r w:rsidR="00157AB8" w:rsidRPr="005303F7">
        <w:rPr>
          <w:rFonts w:ascii="Times New Roman" w:hAnsi="Times New Roman"/>
          <w:sz w:val="24"/>
          <w:lang w:val="sr-Cyrl-CS"/>
        </w:rPr>
        <w:t>-</w:t>
      </w:r>
      <w:r w:rsidR="00BF65FC" w:rsidRPr="005303F7">
        <w:rPr>
          <w:rFonts w:ascii="Times New Roman" w:hAnsi="Times New Roman"/>
          <w:sz w:val="24"/>
          <w:lang w:val="sr-Cyrl-CS"/>
        </w:rPr>
        <w:t>а</w:t>
      </w:r>
      <w:r w:rsidR="008153BF" w:rsidRPr="005303F7">
        <w:rPr>
          <w:rFonts w:ascii="Times New Roman" w:hAnsi="Times New Roman"/>
          <w:sz w:val="24"/>
          <w:lang w:val="sr-Cyrl-CS"/>
        </w:rPr>
        <w:t xml:space="preserve"> </w:t>
      </w:r>
      <w:r w:rsidR="00F572B7" w:rsidRPr="005303F7">
        <w:rPr>
          <w:rFonts w:ascii="Times New Roman" w:hAnsi="Times New Roman"/>
          <w:sz w:val="24"/>
          <w:lang w:val="sr-Cyrl-CS"/>
        </w:rPr>
        <w:t>и/</w:t>
      </w:r>
      <w:r w:rsidR="008153BF" w:rsidRPr="005303F7">
        <w:rPr>
          <w:rFonts w:ascii="Times New Roman" w:hAnsi="Times New Roman"/>
          <w:sz w:val="24"/>
          <w:lang w:val="sr-Cyrl-CS"/>
        </w:rPr>
        <w:t xml:space="preserve">или других инструмената одређивања цене угљеника </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држава</w:t>
      </w:r>
      <w:r w:rsidR="003D4CD6" w:rsidRPr="005303F7">
        <w:rPr>
          <w:rFonts w:ascii="Times New Roman" w:hAnsi="Times New Roman"/>
          <w:sz w:val="24"/>
          <w:lang w:val="sr-Cyrl-CS"/>
        </w:rPr>
        <w:t xml:space="preserve"> </w:t>
      </w:r>
      <w:r w:rsidR="008153BF" w:rsidRPr="005303F7">
        <w:rPr>
          <w:rFonts w:ascii="Times New Roman" w:hAnsi="Times New Roman"/>
          <w:sz w:val="24"/>
          <w:lang w:val="sr-Cyrl-CS"/>
        </w:rPr>
        <w:t xml:space="preserve">може да </w:t>
      </w:r>
      <w:r w:rsidR="00BF65FC" w:rsidRPr="005303F7">
        <w:rPr>
          <w:rFonts w:ascii="Times New Roman" w:hAnsi="Times New Roman"/>
          <w:sz w:val="24"/>
          <w:lang w:val="sr-Cyrl-CS"/>
        </w:rPr>
        <w:t>третира</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као</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важан</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извор</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финансирања</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државних</w:t>
      </w:r>
      <w:r w:rsidR="003D4CD6" w:rsidRPr="005303F7">
        <w:rPr>
          <w:rFonts w:ascii="Times New Roman" w:hAnsi="Times New Roman"/>
          <w:sz w:val="24"/>
          <w:lang w:val="sr-Cyrl-CS"/>
        </w:rPr>
        <w:t xml:space="preserve"> </w:t>
      </w:r>
      <w:r w:rsidR="00BF65FC" w:rsidRPr="005303F7">
        <w:rPr>
          <w:rFonts w:ascii="Times New Roman" w:hAnsi="Times New Roman"/>
          <w:sz w:val="24"/>
          <w:lang w:val="sr-Cyrl-CS"/>
        </w:rPr>
        <w:t>подстицаја</w:t>
      </w:r>
      <w:r w:rsidR="00A80994" w:rsidRPr="005303F7">
        <w:rPr>
          <w:rFonts w:ascii="Times New Roman" w:hAnsi="Times New Roman"/>
          <w:sz w:val="24"/>
          <w:lang w:val="sr-Cyrl-CS"/>
        </w:rPr>
        <w:t xml:space="preserve"> </w:t>
      </w:r>
      <w:r w:rsidR="008153BF" w:rsidRPr="005303F7">
        <w:rPr>
          <w:rFonts w:ascii="Times New Roman" w:hAnsi="Times New Roman"/>
          <w:sz w:val="24"/>
          <w:lang w:val="sr-Cyrl-CS"/>
        </w:rPr>
        <w:t>у процесу декарбонизације.</w:t>
      </w:r>
    </w:p>
    <w:p w14:paraId="3C98ADDB" w14:textId="77777777" w:rsidR="003D4CD6" w:rsidRPr="005303F7" w:rsidRDefault="003D4CD6" w:rsidP="003D4CD6">
      <w:pPr>
        <w:spacing w:before="0" w:after="0"/>
        <w:rPr>
          <w:rFonts w:ascii="Times New Roman" w:hAnsi="Times New Roman"/>
          <w:sz w:val="24"/>
          <w:lang w:val="sr-Cyrl-CS"/>
        </w:rPr>
      </w:pPr>
    </w:p>
    <w:p w14:paraId="48526CCC" w14:textId="499F1DDC" w:rsidR="003D4CD6" w:rsidRPr="005303F7" w:rsidRDefault="00DA7CD2" w:rsidP="003D4CD6">
      <w:pPr>
        <w:spacing w:before="0" w:after="0"/>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Генерално</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најве</w:t>
      </w:r>
      <w:r w:rsidR="00016298" w:rsidRPr="005303F7">
        <w:rPr>
          <w:rFonts w:ascii="Times New Roman" w:hAnsi="Times New Roman"/>
          <w:sz w:val="24"/>
          <w:lang w:val="sr-Cyrl-CS"/>
        </w:rPr>
        <w:t>ћ</w:t>
      </w:r>
      <w:r w:rsidR="00BF65FC" w:rsidRPr="005303F7">
        <w:rPr>
          <w:rFonts w:ascii="Times New Roman" w:hAnsi="Times New Roman"/>
          <w:sz w:val="24"/>
          <w:lang w:val="sr-Cyrl-CS"/>
        </w:rPr>
        <w:t>и</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додатни</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инвестициони</w:t>
      </w:r>
      <w:r w:rsidR="00B24B72" w:rsidRPr="005303F7">
        <w:rPr>
          <w:rFonts w:ascii="Times New Roman" w:hAnsi="Times New Roman"/>
          <w:sz w:val="24"/>
          <w:lang w:val="sr-Cyrl-CS"/>
        </w:rPr>
        <w:t xml:space="preserve"> </w:t>
      </w:r>
      <w:r w:rsidR="00BF65FC" w:rsidRPr="005303F7">
        <w:rPr>
          <w:rFonts w:ascii="Times New Roman" w:hAnsi="Times New Roman"/>
          <w:sz w:val="24"/>
          <w:lang w:val="sr-Cyrl-CS"/>
        </w:rPr>
        <w:t>трошкови</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као</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обично</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повезани</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су</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са</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енергетским</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сектором</w:t>
      </w:r>
      <w:r w:rsidR="00B84581" w:rsidRPr="005303F7">
        <w:rPr>
          <w:rFonts w:ascii="Times New Roman" w:hAnsi="Times New Roman"/>
          <w:sz w:val="24"/>
          <w:lang w:val="sr-Cyrl-CS"/>
        </w:rPr>
        <w:t xml:space="preserve">. </w:t>
      </w:r>
      <w:r w:rsidR="00BD3CB5" w:rsidRPr="005303F7">
        <w:rPr>
          <w:rFonts w:ascii="Times New Roman" w:hAnsi="Times New Roman"/>
          <w:sz w:val="24"/>
          <w:lang w:val="sr-Cyrl-CS"/>
        </w:rPr>
        <w:t>Процес</w:t>
      </w:r>
      <w:r w:rsidR="00A80994" w:rsidRPr="005303F7">
        <w:rPr>
          <w:rFonts w:ascii="Times New Roman" w:hAnsi="Times New Roman"/>
          <w:sz w:val="24"/>
          <w:lang w:val="sr-Cyrl-CS"/>
        </w:rPr>
        <w:t>ом</w:t>
      </w:r>
      <w:r w:rsidR="00BD3CB5" w:rsidRPr="005303F7">
        <w:rPr>
          <w:rFonts w:ascii="Times New Roman" w:hAnsi="Times New Roman"/>
          <w:sz w:val="24"/>
          <w:lang w:val="sr-Cyrl-CS"/>
        </w:rPr>
        <w:t xml:space="preserve"> декарбонизације</w:t>
      </w:r>
      <w:r w:rsidR="00EF19FC" w:rsidRPr="005303F7">
        <w:rPr>
          <w:rFonts w:ascii="Times New Roman" w:hAnsi="Times New Roman"/>
          <w:sz w:val="24"/>
          <w:lang w:val="sr-Cyrl-CS"/>
        </w:rPr>
        <w:t xml:space="preserve">  </w:t>
      </w:r>
      <w:r w:rsidR="00BF65FC" w:rsidRPr="005303F7">
        <w:rPr>
          <w:rFonts w:ascii="Times New Roman" w:hAnsi="Times New Roman"/>
          <w:sz w:val="24"/>
          <w:lang w:val="sr-Cyrl-CS"/>
        </w:rPr>
        <w:t>покр</w:t>
      </w:r>
      <w:r w:rsidR="00BD3CB5" w:rsidRPr="005303F7">
        <w:rPr>
          <w:rFonts w:ascii="Times New Roman" w:hAnsi="Times New Roman"/>
          <w:sz w:val="24"/>
          <w:lang w:val="sr-Cyrl-CS"/>
        </w:rPr>
        <w:t>енуће</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низ</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додатних</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инвестиција</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али</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посебан</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фокус</w:t>
      </w:r>
      <w:r w:rsidR="00B84581" w:rsidRPr="005303F7">
        <w:rPr>
          <w:rFonts w:ascii="Times New Roman" w:hAnsi="Times New Roman"/>
          <w:sz w:val="24"/>
          <w:lang w:val="sr-Cyrl-CS"/>
        </w:rPr>
        <w:t xml:space="preserve"> </w:t>
      </w:r>
      <w:r w:rsidR="00016298" w:rsidRPr="005303F7">
        <w:rPr>
          <w:rFonts w:ascii="Times New Roman" w:hAnsi="Times New Roman"/>
          <w:sz w:val="24"/>
          <w:lang w:val="sr-Cyrl-CS"/>
        </w:rPr>
        <w:t>ћ</w:t>
      </w:r>
      <w:r w:rsidR="00BF65FC" w:rsidRPr="005303F7">
        <w:rPr>
          <w:rFonts w:ascii="Times New Roman" w:hAnsi="Times New Roman"/>
          <w:sz w:val="24"/>
          <w:lang w:val="sr-Cyrl-CS"/>
        </w:rPr>
        <w:t>е</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бити</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додатним</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улагањима</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електроенергетску</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мрежу</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услед</w:t>
      </w:r>
      <w:r w:rsidR="00B24B72" w:rsidRPr="005303F7">
        <w:rPr>
          <w:rFonts w:ascii="Times New Roman" w:hAnsi="Times New Roman"/>
          <w:sz w:val="24"/>
          <w:lang w:val="sr-Cyrl-CS"/>
        </w:rPr>
        <w:t xml:space="preserve"> </w:t>
      </w:r>
      <w:r w:rsidR="00BF65FC" w:rsidRPr="005303F7">
        <w:rPr>
          <w:rFonts w:ascii="Times New Roman" w:hAnsi="Times New Roman"/>
          <w:sz w:val="24"/>
          <w:lang w:val="sr-Cyrl-CS"/>
        </w:rPr>
        <w:t>повећања</w:t>
      </w:r>
      <w:r w:rsidR="00B24B72" w:rsidRPr="005303F7">
        <w:rPr>
          <w:rFonts w:ascii="Times New Roman" w:hAnsi="Times New Roman"/>
          <w:sz w:val="24"/>
          <w:lang w:val="sr-Cyrl-CS"/>
        </w:rPr>
        <w:t xml:space="preserve"> </w:t>
      </w:r>
      <w:r w:rsidR="00BF65FC" w:rsidRPr="005303F7">
        <w:rPr>
          <w:rFonts w:ascii="Times New Roman" w:hAnsi="Times New Roman"/>
          <w:sz w:val="24"/>
          <w:lang w:val="sr-Cyrl-CS"/>
        </w:rPr>
        <w:t>удела</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ОИЕ</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Додатна</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улагања</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електроенергетску</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мрежу</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процењују</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B84581" w:rsidRPr="005303F7">
        <w:rPr>
          <w:rFonts w:ascii="Times New Roman" w:hAnsi="Times New Roman"/>
          <w:sz w:val="24"/>
          <w:lang w:val="sr-Cyrl-CS"/>
        </w:rPr>
        <w:t xml:space="preserve"> 160 </w:t>
      </w:r>
      <w:r w:rsidR="00BF65FC" w:rsidRPr="005303F7">
        <w:rPr>
          <w:rFonts w:ascii="Times New Roman" w:hAnsi="Times New Roman"/>
          <w:sz w:val="24"/>
          <w:lang w:val="sr-Cyrl-CS"/>
        </w:rPr>
        <w:t>милиона</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евра</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до</w:t>
      </w:r>
      <w:r w:rsidR="00B84581" w:rsidRPr="005303F7">
        <w:rPr>
          <w:rFonts w:ascii="Times New Roman" w:hAnsi="Times New Roman"/>
          <w:sz w:val="24"/>
          <w:lang w:val="sr-Cyrl-CS"/>
        </w:rPr>
        <w:t xml:space="preserve"> 2030. </w:t>
      </w:r>
      <w:r w:rsidR="00BF65FC" w:rsidRPr="005303F7">
        <w:rPr>
          <w:rFonts w:ascii="Times New Roman" w:hAnsi="Times New Roman"/>
          <w:sz w:val="24"/>
          <w:lang w:val="sr-Cyrl-CS"/>
        </w:rPr>
        <w:t>године</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а</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периоду</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од</w:t>
      </w:r>
      <w:r w:rsidR="00B84581" w:rsidRPr="005303F7">
        <w:rPr>
          <w:rFonts w:ascii="Times New Roman" w:hAnsi="Times New Roman"/>
          <w:sz w:val="24"/>
          <w:lang w:val="sr-Cyrl-CS"/>
        </w:rPr>
        <w:t xml:space="preserve"> 2030-2050. </w:t>
      </w:r>
      <w:r w:rsidR="00BF65FC" w:rsidRPr="005303F7">
        <w:rPr>
          <w:rFonts w:ascii="Times New Roman" w:hAnsi="Times New Roman"/>
          <w:sz w:val="24"/>
          <w:lang w:val="sr-Cyrl-CS"/>
        </w:rPr>
        <w:t>године</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између</w:t>
      </w:r>
      <w:r w:rsidR="00B84581" w:rsidRPr="005303F7">
        <w:rPr>
          <w:rFonts w:ascii="Times New Roman" w:hAnsi="Times New Roman"/>
          <w:sz w:val="24"/>
          <w:lang w:val="sr-Cyrl-CS"/>
        </w:rPr>
        <w:t xml:space="preserve"> 2,7 </w:t>
      </w:r>
      <w:r w:rsidR="00BF65FC" w:rsidRPr="005303F7">
        <w:rPr>
          <w:rFonts w:ascii="Times New Roman" w:hAnsi="Times New Roman"/>
          <w:sz w:val="24"/>
          <w:lang w:val="sr-Cyrl-CS"/>
        </w:rPr>
        <w:t>и</w:t>
      </w:r>
      <w:r w:rsidR="00B84581" w:rsidRPr="005303F7">
        <w:rPr>
          <w:rFonts w:ascii="Times New Roman" w:hAnsi="Times New Roman"/>
          <w:sz w:val="24"/>
          <w:lang w:val="sr-Cyrl-CS"/>
        </w:rPr>
        <w:t xml:space="preserve"> 4,3 </w:t>
      </w:r>
      <w:r w:rsidR="00BF65FC" w:rsidRPr="005303F7">
        <w:rPr>
          <w:rFonts w:ascii="Times New Roman" w:hAnsi="Times New Roman"/>
          <w:sz w:val="24"/>
          <w:lang w:val="sr-Cyrl-CS"/>
        </w:rPr>
        <w:t>милијарде</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евра</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Укупне</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додатне</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инвестиције</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које</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покреће</w:t>
      </w:r>
      <w:r w:rsidR="00B84581" w:rsidRPr="005303F7">
        <w:rPr>
          <w:rFonts w:ascii="Times New Roman" w:hAnsi="Times New Roman"/>
          <w:sz w:val="24"/>
          <w:lang w:val="sr-Cyrl-CS"/>
        </w:rPr>
        <w:t xml:space="preserve"> </w:t>
      </w:r>
      <w:r w:rsidR="00870E18" w:rsidRPr="005303F7">
        <w:rPr>
          <w:rFonts w:ascii="Times New Roman" w:hAnsi="Times New Roman"/>
          <w:sz w:val="24"/>
          <w:lang w:val="sr-Cyrl-CS"/>
        </w:rPr>
        <w:t>ЕU-ЕТS</w:t>
      </w:r>
      <w:r w:rsidR="00EF19FC" w:rsidRPr="005303F7">
        <w:rPr>
          <w:rFonts w:ascii="Times New Roman" w:hAnsi="Times New Roman"/>
          <w:sz w:val="24"/>
          <w:lang w:val="sr-Cyrl-CS"/>
        </w:rPr>
        <w:t xml:space="preserve"> или други инструменти одређивања цене угљеника</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периоду</w:t>
      </w:r>
      <w:r w:rsidR="00B84581" w:rsidRPr="005303F7">
        <w:rPr>
          <w:rFonts w:ascii="Times New Roman" w:hAnsi="Times New Roman"/>
          <w:sz w:val="24"/>
          <w:lang w:val="sr-Cyrl-CS"/>
        </w:rPr>
        <w:t xml:space="preserve"> 2030-2050</w:t>
      </w:r>
      <w:r w:rsidR="00016298" w:rsidRPr="005303F7">
        <w:rPr>
          <w:rFonts w:ascii="Times New Roman" w:hAnsi="Times New Roman"/>
          <w:sz w:val="24"/>
          <w:lang w:val="sr-Cyrl-CS"/>
        </w:rPr>
        <w:t>. година</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између</w:t>
      </w:r>
      <w:r w:rsidR="00B84581" w:rsidRPr="005303F7">
        <w:rPr>
          <w:rFonts w:ascii="Times New Roman" w:hAnsi="Times New Roman"/>
          <w:sz w:val="24"/>
          <w:lang w:val="sr-Cyrl-CS"/>
        </w:rPr>
        <w:t xml:space="preserve"> 2,3 </w:t>
      </w:r>
      <w:r w:rsidR="00BF65FC" w:rsidRPr="005303F7">
        <w:rPr>
          <w:rFonts w:ascii="Times New Roman" w:hAnsi="Times New Roman"/>
          <w:sz w:val="24"/>
          <w:lang w:val="sr-Cyrl-CS"/>
        </w:rPr>
        <w:t>милијарде</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B84581" w:rsidRPr="005303F7">
        <w:rPr>
          <w:rFonts w:ascii="Times New Roman" w:hAnsi="Times New Roman"/>
          <w:sz w:val="24"/>
          <w:lang w:val="sr-Cyrl-CS"/>
        </w:rPr>
        <w:t xml:space="preserve"> 3,6 </w:t>
      </w:r>
      <w:r w:rsidR="00BF65FC" w:rsidRPr="005303F7">
        <w:rPr>
          <w:rFonts w:ascii="Times New Roman" w:hAnsi="Times New Roman"/>
          <w:sz w:val="24"/>
          <w:lang w:val="sr-Cyrl-CS"/>
        </w:rPr>
        <w:t>милијарди</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евра</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заправо</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су</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ниже</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од</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улагања</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електроенергетску</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мрежу</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због</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мањих</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потреба</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улагањем</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термоелектране</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поређењу</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са</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основним</w:t>
      </w:r>
      <w:r w:rsidR="003B75E9" w:rsidRPr="005303F7">
        <w:rPr>
          <w:rFonts w:ascii="Times New Roman" w:hAnsi="Times New Roman"/>
          <w:sz w:val="24"/>
          <w:lang w:val="sr-Cyrl-CS"/>
        </w:rPr>
        <w:t xml:space="preserve"> </w:t>
      </w:r>
      <w:r w:rsidR="00BF65FC" w:rsidRPr="005303F7">
        <w:rPr>
          <w:rFonts w:ascii="Times New Roman" w:hAnsi="Times New Roman"/>
          <w:sz w:val="24"/>
          <w:lang w:val="sr-Cyrl-CS"/>
        </w:rPr>
        <w:t>сценаријом</w:t>
      </w:r>
      <w:r w:rsidR="00B84581" w:rsidRPr="005303F7">
        <w:rPr>
          <w:rFonts w:ascii="Times New Roman" w:hAnsi="Times New Roman"/>
          <w:sz w:val="24"/>
          <w:lang w:val="sr-Cyrl-CS"/>
        </w:rPr>
        <w:t xml:space="preserve"> </w:t>
      </w:r>
      <w:r w:rsidR="00BF65FC" w:rsidRPr="005303F7">
        <w:rPr>
          <w:rFonts w:ascii="Times New Roman" w:hAnsi="Times New Roman"/>
          <w:sz w:val="24"/>
          <w:lang w:val="sr-Cyrl-CS"/>
        </w:rPr>
        <w:t>Б</w:t>
      </w:r>
      <w:r w:rsidR="00B84581" w:rsidRPr="005303F7">
        <w:rPr>
          <w:rFonts w:ascii="Times New Roman" w:hAnsi="Times New Roman"/>
          <w:sz w:val="24"/>
          <w:lang w:val="sr-Cyrl-CS"/>
        </w:rPr>
        <w:t>2</w:t>
      </w:r>
      <w:r w:rsidR="000816B7" w:rsidRPr="005303F7">
        <w:rPr>
          <w:rFonts w:ascii="Times New Roman" w:hAnsi="Times New Roman"/>
          <w:sz w:val="24"/>
          <w:lang w:val="sr-Cyrl-CS"/>
        </w:rPr>
        <w:t xml:space="preserve">. </w:t>
      </w:r>
    </w:p>
    <w:p w14:paraId="2963D2AC" w14:textId="0D073C2B" w:rsidR="009B7779" w:rsidRPr="005303F7" w:rsidRDefault="00DA7CD2" w:rsidP="0057451A">
      <w:pPr>
        <w:spacing w:before="0"/>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То</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значи</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да</w:t>
      </w:r>
      <w:r w:rsidR="009B7779" w:rsidRPr="005303F7">
        <w:rPr>
          <w:rFonts w:ascii="Times New Roman" w:hAnsi="Times New Roman"/>
          <w:sz w:val="24"/>
          <w:lang w:val="sr-Cyrl-CS"/>
        </w:rPr>
        <w:t xml:space="preserve"> </w:t>
      </w:r>
      <w:r w:rsidR="00016298" w:rsidRPr="005303F7">
        <w:rPr>
          <w:rFonts w:ascii="Times New Roman" w:hAnsi="Times New Roman"/>
          <w:sz w:val="24"/>
          <w:lang w:val="sr-Cyrl-CS"/>
        </w:rPr>
        <w:t>ћ</w:t>
      </w:r>
      <w:r w:rsidR="00BF65FC" w:rsidRPr="005303F7">
        <w:rPr>
          <w:rFonts w:ascii="Times New Roman" w:hAnsi="Times New Roman"/>
          <w:sz w:val="24"/>
          <w:lang w:val="sr-Cyrl-CS"/>
        </w:rPr>
        <w:t>е</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због</w:t>
      </w:r>
      <w:r w:rsidR="009B7779" w:rsidRPr="005303F7">
        <w:rPr>
          <w:rFonts w:ascii="Times New Roman" w:hAnsi="Times New Roman"/>
          <w:sz w:val="24"/>
          <w:lang w:val="sr-Cyrl-CS"/>
        </w:rPr>
        <w:t xml:space="preserve"> </w:t>
      </w:r>
      <w:r w:rsidR="00BD3CB5" w:rsidRPr="005303F7">
        <w:rPr>
          <w:rFonts w:ascii="Times New Roman" w:hAnsi="Times New Roman"/>
          <w:sz w:val="24"/>
          <w:lang w:val="sr-Cyrl-CS"/>
        </w:rPr>
        <w:t>процеса декарбонизације</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дугорочна</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улагања</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термоелектране</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бити</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мања</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него</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основном</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сценарију</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до</w:t>
      </w:r>
      <w:r w:rsidR="009B7779" w:rsidRPr="005303F7">
        <w:rPr>
          <w:rFonts w:ascii="Times New Roman" w:hAnsi="Times New Roman"/>
          <w:sz w:val="24"/>
          <w:lang w:val="sr-Cyrl-CS"/>
        </w:rPr>
        <w:t xml:space="preserve"> -1,4 </w:t>
      </w:r>
      <w:r w:rsidR="0039680D" w:rsidRPr="005303F7">
        <w:rPr>
          <w:rFonts w:ascii="Times New Roman" w:hAnsi="Times New Roman"/>
          <w:sz w:val="24"/>
          <w:lang w:val="sr-Cyrl-CS"/>
        </w:rPr>
        <w:t>милијарди</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евра</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периоду</w:t>
      </w:r>
      <w:r w:rsidR="009B7779" w:rsidRPr="005303F7">
        <w:rPr>
          <w:rFonts w:ascii="Times New Roman" w:hAnsi="Times New Roman"/>
          <w:sz w:val="24"/>
          <w:lang w:val="sr-Cyrl-CS"/>
        </w:rPr>
        <w:t xml:space="preserve"> 2030-2050. </w:t>
      </w:r>
      <w:r w:rsidR="00BF65FC" w:rsidRPr="005303F7">
        <w:rPr>
          <w:rFonts w:ascii="Times New Roman" w:hAnsi="Times New Roman"/>
          <w:sz w:val="24"/>
          <w:lang w:val="sr-Cyrl-CS"/>
        </w:rPr>
        <w:t>године</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док</w:t>
      </w:r>
      <w:r w:rsidR="009B7779" w:rsidRPr="005303F7">
        <w:rPr>
          <w:rFonts w:ascii="Times New Roman" w:hAnsi="Times New Roman"/>
          <w:sz w:val="24"/>
          <w:lang w:val="sr-Cyrl-CS"/>
        </w:rPr>
        <w:t xml:space="preserve"> </w:t>
      </w:r>
      <w:r w:rsidR="00016298" w:rsidRPr="005303F7">
        <w:rPr>
          <w:rFonts w:ascii="Times New Roman" w:hAnsi="Times New Roman"/>
          <w:sz w:val="24"/>
          <w:lang w:val="sr-Cyrl-CS"/>
        </w:rPr>
        <w:t>ћ</w:t>
      </w:r>
      <w:r w:rsidR="00BF65FC" w:rsidRPr="005303F7">
        <w:rPr>
          <w:rFonts w:ascii="Times New Roman" w:hAnsi="Times New Roman"/>
          <w:sz w:val="24"/>
          <w:lang w:val="sr-Cyrl-CS"/>
        </w:rPr>
        <w:t>е</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инвестирати</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смањење</w:t>
      </w:r>
      <w:r w:rsidR="009B7779" w:rsidRPr="005303F7">
        <w:rPr>
          <w:rFonts w:ascii="Times New Roman" w:hAnsi="Times New Roman"/>
          <w:sz w:val="24"/>
          <w:lang w:val="sr-Cyrl-CS"/>
        </w:rPr>
        <w:t xml:space="preserve"> </w:t>
      </w:r>
      <w:r w:rsidR="00BF65FC" w:rsidRPr="005303F7">
        <w:rPr>
          <w:rFonts w:ascii="Times New Roman" w:hAnsi="Times New Roman"/>
          <w:sz w:val="24"/>
          <w:lang w:val="sr-Cyrl-CS"/>
        </w:rPr>
        <w:t>емисија</w:t>
      </w:r>
      <w:r w:rsidR="009B7779" w:rsidRPr="005303F7">
        <w:rPr>
          <w:rFonts w:ascii="Times New Roman" w:hAnsi="Times New Roman"/>
          <w:sz w:val="24"/>
          <w:lang w:val="sr-Cyrl-CS"/>
        </w:rPr>
        <w:t xml:space="preserve"> </w:t>
      </w:r>
      <w:r w:rsidR="00B52DC7" w:rsidRPr="005303F7">
        <w:rPr>
          <w:rFonts w:ascii="Times New Roman" w:hAnsi="Times New Roman"/>
          <w:sz w:val="24"/>
          <w:lang w:val="sr-Cyrl-CS"/>
        </w:rPr>
        <w:t>GHG</w:t>
      </w:r>
      <w:r w:rsidR="009B7779" w:rsidRPr="005303F7">
        <w:rPr>
          <w:rFonts w:ascii="Times New Roman" w:hAnsi="Times New Roman"/>
          <w:sz w:val="24"/>
          <w:lang w:val="sr-Cyrl-CS"/>
        </w:rPr>
        <w:t>.</w:t>
      </w:r>
    </w:p>
    <w:p w14:paraId="144F873F" w14:textId="699BF909" w:rsidR="0057451A" w:rsidRPr="005303F7" w:rsidRDefault="00DA7CD2" w:rsidP="00FE004C">
      <w:pPr>
        <w:spacing w:after="0"/>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Такође</w:t>
      </w:r>
      <w:r w:rsidR="00DE4D8F" w:rsidRPr="005303F7">
        <w:rPr>
          <w:rFonts w:ascii="Times New Roman" w:hAnsi="Times New Roman"/>
          <w:sz w:val="24"/>
          <w:lang w:val="sr-Cyrl-CS"/>
        </w:rPr>
        <w:t>,</w:t>
      </w:r>
      <w:r w:rsidR="000C1678" w:rsidRPr="005303F7">
        <w:rPr>
          <w:rFonts w:ascii="Times New Roman" w:hAnsi="Times New Roman"/>
          <w:sz w:val="24"/>
          <w:lang w:val="sr-Cyrl-CS"/>
        </w:rPr>
        <w:t xml:space="preserve"> неопходна су велика </w:t>
      </w:r>
      <w:r w:rsidR="00DE4D8F" w:rsidRPr="005303F7">
        <w:rPr>
          <w:rFonts w:ascii="Times New Roman" w:hAnsi="Times New Roman"/>
          <w:sz w:val="24"/>
          <w:lang w:val="sr-Cyrl-CS"/>
        </w:rPr>
        <w:t xml:space="preserve"> </w:t>
      </w:r>
      <w:r w:rsidR="00BF65FC" w:rsidRPr="005303F7">
        <w:rPr>
          <w:rFonts w:ascii="Times New Roman" w:hAnsi="Times New Roman"/>
          <w:sz w:val="24"/>
          <w:lang w:val="sr-Cyrl-CS"/>
        </w:rPr>
        <w:t>додатна</w:t>
      </w:r>
      <w:r w:rsidR="00DE4D8F" w:rsidRPr="005303F7">
        <w:rPr>
          <w:rFonts w:ascii="Times New Roman" w:hAnsi="Times New Roman"/>
          <w:sz w:val="24"/>
          <w:lang w:val="sr-Cyrl-CS"/>
        </w:rPr>
        <w:t xml:space="preserve"> </w:t>
      </w:r>
      <w:r w:rsidR="00BF65FC" w:rsidRPr="005303F7">
        <w:rPr>
          <w:rFonts w:ascii="Times New Roman" w:hAnsi="Times New Roman"/>
          <w:sz w:val="24"/>
          <w:lang w:val="sr-Cyrl-CS"/>
        </w:rPr>
        <w:t>улагања</w:t>
      </w:r>
      <w:r w:rsidR="00DE4D8F"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DE4D8F" w:rsidRPr="005303F7">
        <w:rPr>
          <w:rFonts w:ascii="Times New Roman" w:hAnsi="Times New Roman"/>
          <w:sz w:val="24"/>
          <w:lang w:val="sr-Cyrl-CS"/>
        </w:rPr>
        <w:t xml:space="preserve"> </w:t>
      </w:r>
      <w:r w:rsidR="00BF65FC" w:rsidRPr="005303F7">
        <w:rPr>
          <w:rFonts w:ascii="Times New Roman" w:hAnsi="Times New Roman"/>
          <w:sz w:val="24"/>
          <w:lang w:val="sr-Cyrl-CS"/>
        </w:rPr>
        <w:t>ОИЕ</w:t>
      </w:r>
      <w:r w:rsidR="00DE4D8F" w:rsidRPr="005303F7">
        <w:rPr>
          <w:rFonts w:ascii="Times New Roman" w:hAnsi="Times New Roman"/>
          <w:sz w:val="24"/>
          <w:lang w:val="sr-Cyrl-CS"/>
        </w:rPr>
        <w:t xml:space="preserve"> </w:t>
      </w:r>
      <w:r w:rsidR="000C1678" w:rsidRPr="005303F7">
        <w:rPr>
          <w:rFonts w:ascii="Times New Roman" w:hAnsi="Times New Roman"/>
          <w:sz w:val="24"/>
          <w:lang w:val="sr-Cyrl-CS"/>
        </w:rPr>
        <w:t>која ће бити процењена у оквиру Интегрисаног националног енергетског и климатског плана.</w:t>
      </w:r>
    </w:p>
    <w:p w14:paraId="2B879DD1" w14:textId="2E413C93" w:rsidR="00254538" w:rsidRPr="005303F7" w:rsidRDefault="00DA7CD2" w:rsidP="001021E4">
      <w:pPr>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Према</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сценарију</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М</w:t>
      </w:r>
      <w:r w:rsidR="00F844EC" w:rsidRPr="005303F7">
        <w:rPr>
          <w:rFonts w:ascii="Times New Roman" w:hAnsi="Times New Roman"/>
          <w:sz w:val="24"/>
          <w:lang w:val="sr-Cyrl-CS"/>
        </w:rPr>
        <w:t xml:space="preserve">2, </w:t>
      </w:r>
      <w:r w:rsidR="00BF65FC" w:rsidRPr="005303F7">
        <w:rPr>
          <w:rFonts w:ascii="Times New Roman" w:hAnsi="Times New Roman"/>
          <w:sz w:val="24"/>
          <w:lang w:val="sr-Cyrl-CS"/>
        </w:rPr>
        <w:t>додатна</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улагања</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побољшање</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термичког</w:t>
      </w:r>
      <w:r w:rsidR="00CE6369" w:rsidRPr="005303F7">
        <w:rPr>
          <w:rFonts w:ascii="Times New Roman" w:hAnsi="Times New Roman"/>
          <w:sz w:val="24"/>
          <w:lang w:val="sr-Cyrl-CS"/>
        </w:rPr>
        <w:t xml:space="preserve"> </w:t>
      </w:r>
      <w:r w:rsidR="00BF65FC" w:rsidRPr="005303F7">
        <w:rPr>
          <w:rFonts w:ascii="Times New Roman" w:hAnsi="Times New Roman"/>
          <w:sz w:val="24"/>
          <w:lang w:val="sr-Cyrl-CS"/>
        </w:rPr>
        <w:t>интегритета</w:t>
      </w:r>
      <w:r w:rsidR="00CE6369"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BB7E76" w:rsidRPr="005303F7">
        <w:rPr>
          <w:rFonts w:ascii="Times New Roman" w:hAnsi="Times New Roman"/>
          <w:sz w:val="24"/>
          <w:lang w:val="sr-Cyrl-CS"/>
        </w:rPr>
        <w:t xml:space="preserve"> </w:t>
      </w:r>
      <w:r w:rsidR="00BF65FC" w:rsidRPr="005303F7">
        <w:rPr>
          <w:rFonts w:ascii="Times New Roman" w:hAnsi="Times New Roman"/>
          <w:sz w:val="24"/>
          <w:lang w:val="sr-Cyrl-CS"/>
        </w:rPr>
        <w:t>дома</w:t>
      </w:r>
      <w:r w:rsidR="00016298" w:rsidRPr="005303F7">
        <w:rPr>
          <w:rFonts w:ascii="Times New Roman" w:hAnsi="Times New Roman"/>
          <w:sz w:val="24"/>
          <w:lang w:val="sr-Cyrl-CS"/>
        </w:rPr>
        <w:t>ћ</w:t>
      </w:r>
      <w:r w:rsidR="00BF65FC" w:rsidRPr="005303F7">
        <w:rPr>
          <w:rFonts w:ascii="Times New Roman" w:hAnsi="Times New Roman"/>
          <w:sz w:val="24"/>
          <w:lang w:val="sr-Cyrl-CS"/>
        </w:rPr>
        <w:t>инставима</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односно</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енергетске</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ефикасности</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самих</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зграда</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укључују</w:t>
      </w:r>
      <w:r w:rsidR="00016298" w:rsidRPr="005303F7">
        <w:rPr>
          <w:rFonts w:ascii="Times New Roman" w:hAnsi="Times New Roman"/>
          <w:sz w:val="24"/>
          <w:lang w:val="sr-Cyrl-CS"/>
        </w:rPr>
        <w:t>ћ</w:t>
      </w:r>
      <w:r w:rsidR="00BF65FC" w:rsidRPr="005303F7">
        <w:rPr>
          <w:rFonts w:ascii="Times New Roman" w:hAnsi="Times New Roman"/>
          <w:sz w:val="24"/>
          <w:lang w:val="sr-Cyrl-CS"/>
        </w:rPr>
        <w:t>и</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губитке</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или</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добитке</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преносу</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вентилацији</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обнову</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путничког</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возног</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парка</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заједно</w:t>
      </w:r>
      <w:r w:rsidR="00F844EC" w:rsidRPr="005303F7">
        <w:rPr>
          <w:rFonts w:ascii="Times New Roman" w:hAnsi="Times New Roman"/>
          <w:sz w:val="24"/>
          <w:lang w:val="sr-Cyrl-CS"/>
        </w:rPr>
        <w:t xml:space="preserve"> </w:t>
      </w:r>
      <w:r w:rsidR="00016298" w:rsidRPr="005303F7">
        <w:rPr>
          <w:rFonts w:ascii="Times New Roman" w:hAnsi="Times New Roman"/>
          <w:sz w:val="24"/>
          <w:lang w:val="sr-Cyrl-CS"/>
        </w:rPr>
        <w:t>ћ</w:t>
      </w:r>
      <w:r w:rsidR="00BF65FC" w:rsidRPr="005303F7">
        <w:rPr>
          <w:rFonts w:ascii="Times New Roman" w:hAnsi="Times New Roman"/>
          <w:sz w:val="24"/>
          <w:lang w:val="sr-Cyrl-CS"/>
        </w:rPr>
        <w:t>е</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захтевати</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најве</w:t>
      </w:r>
      <w:r w:rsidR="00016298" w:rsidRPr="005303F7">
        <w:rPr>
          <w:rFonts w:ascii="Times New Roman" w:hAnsi="Times New Roman"/>
          <w:sz w:val="24"/>
          <w:lang w:val="sr-Cyrl-CS"/>
        </w:rPr>
        <w:t>ћ</w:t>
      </w:r>
      <w:r w:rsidR="00BF65FC" w:rsidRPr="005303F7">
        <w:rPr>
          <w:rFonts w:ascii="Times New Roman" w:hAnsi="Times New Roman"/>
          <w:sz w:val="24"/>
          <w:lang w:val="sr-Cyrl-CS"/>
        </w:rPr>
        <w:t>и</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удео</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додатних</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инвестиција</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до</w:t>
      </w:r>
      <w:r w:rsidR="00F844EC" w:rsidRPr="005303F7">
        <w:rPr>
          <w:rFonts w:ascii="Times New Roman" w:hAnsi="Times New Roman"/>
          <w:sz w:val="24"/>
          <w:lang w:val="sr-Cyrl-CS"/>
        </w:rPr>
        <w:t xml:space="preserve"> 2030.</w:t>
      </w:r>
      <w:r w:rsidR="00766624" w:rsidRPr="005303F7">
        <w:rPr>
          <w:rFonts w:ascii="Times New Roman" w:hAnsi="Times New Roman"/>
          <w:sz w:val="24"/>
          <w:lang w:val="sr-Cyrl-CS"/>
        </w:rPr>
        <w:t xml:space="preserve"> године</w:t>
      </w:r>
      <w:r w:rsidR="00F844EC" w:rsidRPr="005303F7">
        <w:rPr>
          <w:rFonts w:ascii="Times New Roman" w:hAnsi="Times New Roman"/>
          <w:sz w:val="24"/>
          <w:lang w:val="sr-Cyrl-CS"/>
        </w:rPr>
        <w:t xml:space="preserve"> (63%) </w:t>
      </w:r>
      <w:r w:rsidR="00BF65FC" w:rsidRPr="005303F7">
        <w:rPr>
          <w:rFonts w:ascii="Times New Roman" w:hAnsi="Times New Roman"/>
          <w:sz w:val="24"/>
          <w:lang w:val="sr-Cyrl-CS"/>
        </w:rPr>
        <w:t>и</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периоду</w:t>
      </w:r>
      <w:r w:rsidR="00F844EC" w:rsidRPr="005303F7">
        <w:rPr>
          <w:rFonts w:ascii="Times New Roman" w:hAnsi="Times New Roman"/>
          <w:sz w:val="24"/>
          <w:lang w:val="sr-Cyrl-CS"/>
        </w:rPr>
        <w:t xml:space="preserve"> 2030-2050. </w:t>
      </w:r>
      <w:r w:rsidR="00BF65FC" w:rsidRPr="005303F7">
        <w:rPr>
          <w:rFonts w:ascii="Times New Roman" w:hAnsi="Times New Roman"/>
          <w:sz w:val="24"/>
          <w:lang w:val="sr-Cyrl-CS"/>
        </w:rPr>
        <w:t>године</w:t>
      </w:r>
      <w:r w:rsidR="00F844EC" w:rsidRPr="005303F7">
        <w:rPr>
          <w:rFonts w:ascii="Times New Roman" w:hAnsi="Times New Roman"/>
          <w:sz w:val="24"/>
          <w:lang w:val="sr-Cyrl-CS"/>
        </w:rPr>
        <w:t xml:space="preserve"> (65,9% </w:t>
      </w:r>
      <w:r w:rsidR="00BF65FC" w:rsidRPr="005303F7">
        <w:rPr>
          <w:rFonts w:ascii="Times New Roman" w:hAnsi="Times New Roman"/>
          <w:sz w:val="24"/>
          <w:lang w:val="sr-Cyrl-CS"/>
        </w:rPr>
        <w:t>у</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М</w:t>
      </w:r>
      <w:r w:rsidR="00F844EC" w:rsidRPr="005303F7">
        <w:rPr>
          <w:rFonts w:ascii="Times New Roman" w:hAnsi="Times New Roman"/>
          <w:sz w:val="24"/>
          <w:lang w:val="sr-Cyrl-CS"/>
        </w:rPr>
        <w:t xml:space="preserve">2 </w:t>
      </w:r>
      <w:r w:rsidR="00BF65FC" w:rsidRPr="005303F7">
        <w:rPr>
          <w:rFonts w:ascii="Times New Roman" w:hAnsi="Times New Roman"/>
          <w:sz w:val="24"/>
          <w:lang w:val="sr-Cyrl-CS"/>
        </w:rPr>
        <w:t>и</w:t>
      </w:r>
      <w:r w:rsidR="00F844EC" w:rsidRPr="005303F7">
        <w:rPr>
          <w:rFonts w:ascii="Times New Roman" w:hAnsi="Times New Roman"/>
          <w:sz w:val="24"/>
          <w:lang w:val="sr-Cyrl-CS"/>
        </w:rPr>
        <w:t xml:space="preserve"> 63,2% </w:t>
      </w:r>
      <w:r w:rsidR="00BF65FC" w:rsidRPr="005303F7">
        <w:rPr>
          <w:rFonts w:ascii="Times New Roman" w:hAnsi="Times New Roman"/>
          <w:sz w:val="24"/>
          <w:lang w:val="sr-Cyrl-CS"/>
        </w:rPr>
        <w:t>у</w:t>
      </w:r>
      <w:r w:rsidR="00F844EC" w:rsidRPr="005303F7">
        <w:rPr>
          <w:rFonts w:ascii="Times New Roman" w:hAnsi="Times New Roman"/>
          <w:sz w:val="24"/>
          <w:lang w:val="sr-Cyrl-CS"/>
        </w:rPr>
        <w:t xml:space="preserve"> </w:t>
      </w:r>
      <w:r w:rsidR="00BF65FC" w:rsidRPr="005303F7">
        <w:rPr>
          <w:rFonts w:ascii="Times New Roman" w:hAnsi="Times New Roman"/>
          <w:sz w:val="24"/>
          <w:lang w:val="sr-Cyrl-CS"/>
        </w:rPr>
        <w:t>М</w:t>
      </w:r>
      <w:r w:rsidR="00F844EC" w:rsidRPr="005303F7">
        <w:rPr>
          <w:rFonts w:ascii="Times New Roman" w:hAnsi="Times New Roman"/>
          <w:sz w:val="24"/>
          <w:lang w:val="sr-Cyrl-CS"/>
        </w:rPr>
        <w:t>4)</w:t>
      </w:r>
      <w:r w:rsidR="00E269C4" w:rsidRPr="005303F7">
        <w:rPr>
          <w:rStyle w:val="FootnoteReference"/>
          <w:rFonts w:ascii="Times New Roman" w:hAnsi="Times New Roman"/>
          <w:sz w:val="18"/>
          <w:lang w:val="sr-Cyrl-CS"/>
        </w:rPr>
        <w:footnoteReference w:id="55"/>
      </w:r>
      <w:r w:rsidR="001142EF" w:rsidRPr="005303F7">
        <w:rPr>
          <w:rFonts w:ascii="Times New Roman" w:hAnsi="Times New Roman"/>
          <w:sz w:val="24"/>
          <w:lang w:val="sr-Cyrl-CS"/>
        </w:rPr>
        <w:t xml:space="preserve">. </w:t>
      </w:r>
    </w:p>
    <w:p w14:paraId="05C5114B" w14:textId="0876225C" w:rsidR="00A85229" w:rsidRPr="005303F7" w:rsidRDefault="00DA7CD2" w:rsidP="00376011">
      <w:pPr>
        <w:spacing w:before="240"/>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До</w:t>
      </w:r>
      <w:r w:rsidR="00A85229" w:rsidRPr="005303F7">
        <w:rPr>
          <w:rFonts w:ascii="Times New Roman" w:hAnsi="Times New Roman"/>
          <w:sz w:val="24"/>
          <w:lang w:val="sr-Cyrl-CS"/>
        </w:rPr>
        <w:t xml:space="preserve"> 2030. </w:t>
      </w:r>
      <w:r w:rsidR="00BF65FC" w:rsidRPr="005303F7">
        <w:rPr>
          <w:rFonts w:ascii="Times New Roman" w:hAnsi="Times New Roman"/>
          <w:sz w:val="24"/>
          <w:lang w:val="sr-Cyrl-CS"/>
        </w:rPr>
        <w:t>године</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побољшање</w:t>
      </w:r>
      <w:r w:rsidR="00CE6369" w:rsidRPr="005303F7">
        <w:rPr>
          <w:rFonts w:ascii="Times New Roman" w:hAnsi="Times New Roman"/>
          <w:sz w:val="24"/>
          <w:lang w:val="sr-Cyrl-CS"/>
        </w:rPr>
        <w:t xml:space="preserve"> </w:t>
      </w:r>
      <w:r w:rsidR="00BF65FC" w:rsidRPr="005303F7">
        <w:rPr>
          <w:rFonts w:ascii="Times New Roman" w:hAnsi="Times New Roman"/>
          <w:sz w:val="24"/>
          <w:lang w:val="sr-Cyrl-CS"/>
        </w:rPr>
        <w:t>термичког</w:t>
      </w:r>
      <w:r w:rsidR="00CE6369" w:rsidRPr="005303F7">
        <w:rPr>
          <w:rFonts w:ascii="Times New Roman" w:hAnsi="Times New Roman"/>
          <w:sz w:val="24"/>
          <w:lang w:val="sr-Cyrl-CS"/>
        </w:rPr>
        <w:t xml:space="preserve"> </w:t>
      </w:r>
      <w:r w:rsidR="00BF65FC" w:rsidRPr="005303F7">
        <w:rPr>
          <w:rFonts w:ascii="Times New Roman" w:hAnsi="Times New Roman"/>
          <w:sz w:val="24"/>
          <w:lang w:val="sr-Cyrl-CS"/>
        </w:rPr>
        <w:t>интегритета</w:t>
      </w:r>
      <w:r w:rsidR="00CE6369" w:rsidRPr="005303F7">
        <w:rPr>
          <w:rFonts w:ascii="Times New Roman" w:hAnsi="Times New Roman"/>
          <w:sz w:val="24"/>
          <w:lang w:val="sr-Cyrl-CS"/>
        </w:rPr>
        <w:t xml:space="preserve"> </w:t>
      </w:r>
      <w:r w:rsidR="00BF65FC" w:rsidRPr="005303F7">
        <w:rPr>
          <w:rFonts w:ascii="Times New Roman" w:hAnsi="Times New Roman"/>
          <w:sz w:val="24"/>
          <w:lang w:val="sr-Cyrl-CS"/>
        </w:rPr>
        <w:t>дома</w:t>
      </w:r>
      <w:r w:rsidR="00016298" w:rsidRPr="005303F7">
        <w:rPr>
          <w:rFonts w:ascii="Times New Roman" w:hAnsi="Times New Roman"/>
          <w:sz w:val="24"/>
          <w:lang w:val="sr-Cyrl-CS"/>
        </w:rPr>
        <w:t>ћ</w:t>
      </w:r>
      <w:r w:rsidR="00BF65FC" w:rsidRPr="005303F7">
        <w:rPr>
          <w:rFonts w:ascii="Times New Roman" w:hAnsi="Times New Roman"/>
          <w:sz w:val="24"/>
          <w:lang w:val="sr-Cyrl-CS"/>
        </w:rPr>
        <w:t>инстава</w:t>
      </w:r>
      <w:r w:rsidR="00CE6369" w:rsidRPr="005303F7" w:rsidDel="00CE6369">
        <w:rPr>
          <w:rFonts w:ascii="Times New Roman" w:hAnsi="Times New Roman"/>
          <w:sz w:val="24"/>
          <w:lang w:val="sr-Cyrl-CS"/>
        </w:rPr>
        <w:t xml:space="preserve"> </w:t>
      </w:r>
      <w:r w:rsidR="00BF65FC" w:rsidRPr="005303F7">
        <w:rPr>
          <w:rFonts w:ascii="Times New Roman" w:hAnsi="Times New Roman"/>
          <w:sz w:val="24"/>
          <w:lang w:val="sr-Cyrl-CS"/>
        </w:rPr>
        <w:t>требало</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би</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уложити</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додатних</w:t>
      </w:r>
      <w:r w:rsidR="00A85229" w:rsidRPr="005303F7">
        <w:rPr>
          <w:rFonts w:ascii="Times New Roman" w:hAnsi="Times New Roman"/>
          <w:sz w:val="24"/>
          <w:lang w:val="sr-Cyrl-CS"/>
        </w:rPr>
        <w:t xml:space="preserve"> 1,85 </w:t>
      </w:r>
      <w:r w:rsidR="00BF65FC" w:rsidRPr="005303F7">
        <w:rPr>
          <w:rFonts w:ascii="Times New Roman" w:hAnsi="Times New Roman"/>
          <w:sz w:val="24"/>
          <w:lang w:val="sr-Cyrl-CS"/>
        </w:rPr>
        <w:t>милијарди</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евра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Ове</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инвестиције</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пове</w:t>
      </w:r>
      <w:r w:rsidR="00016298" w:rsidRPr="005303F7">
        <w:rPr>
          <w:rFonts w:ascii="Times New Roman" w:hAnsi="Times New Roman"/>
          <w:sz w:val="24"/>
          <w:lang w:val="sr-Cyrl-CS"/>
        </w:rPr>
        <w:t>ћ</w:t>
      </w:r>
      <w:r w:rsidR="00BF65FC" w:rsidRPr="005303F7">
        <w:rPr>
          <w:rFonts w:ascii="Times New Roman" w:hAnsi="Times New Roman"/>
          <w:sz w:val="24"/>
          <w:lang w:val="sr-Cyrl-CS"/>
        </w:rPr>
        <w:t>авају</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A85229" w:rsidRPr="005303F7">
        <w:rPr>
          <w:rFonts w:ascii="Times New Roman" w:hAnsi="Times New Roman"/>
          <w:sz w:val="24"/>
          <w:lang w:val="sr-Cyrl-CS"/>
        </w:rPr>
        <w:t xml:space="preserve"> 7,44 </w:t>
      </w:r>
      <w:r w:rsidR="0039680D" w:rsidRPr="005303F7">
        <w:rPr>
          <w:rFonts w:ascii="Times New Roman" w:hAnsi="Times New Roman"/>
          <w:sz w:val="24"/>
          <w:lang w:val="sr-Cyrl-CS"/>
        </w:rPr>
        <w:t>милијарди</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М</w:t>
      </w:r>
      <w:r w:rsidR="00A85229" w:rsidRPr="005303F7">
        <w:rPr>
          <w:rFonts w:ascii="Times New Roman" w:hAnsi="Times New Roman"/>
          <w:sz w:val="24"/>
          <w:lang w:val="sr-Cyrl-CS"/>
        </w:rPr>
        <w:t xml:space="preserve">2), </w:t>
      </w:r>
      <w:r w:rsidR="00BF65FC" w:rsidRPr="005303F7">
        <w:rPr>
          <w:rFonts w:ascii="Times New Roman" w:hAnsi="Times New Roman"/>
          <w:sz w:val="24"/>
          <w:lang w:val="sr-Cyrl-CS"/>
        </w:rPr>
        <w:t>односно</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A85229" w:rsidRPr="005303F7">
        <w:rPr>
          <w:rFonts w:ascii="Times New Roman" w:hAnsi="Times New Roman"/>
          <w:sz w:val="24"/>
          <w:lang w:val="sr-Cyrl-CS"/>
        </w:rPr>
        <w:t xml:space="preserve"> 24,98 </w:t>
      </w:r>
      <w:r w:rsidR="0039680D" w:rsidRPr="005303F7">
        <w:rPr>
          <w:rFonts w:ascii="Times New Roman" w:hAnsi="Times New Roman"/>
          <w:sz w:val="24"/>
          <w:lang w:val="sr-Cyrl-CS"/>
        </w:rPr>
        <w:t>милијарди</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евра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М</w:t>
      </w:r>
      <w:r w:rsidR="00A85229" w:rsidRPr="005303F7">
        <w:rPr>
          <w:rFonts w:ascii="Times New Roman" w:hAnsi="Times New Roman"/>
          <w:sz w:val="24"/>
          <w:lang w:val="sr-Cyrl-CS"/>
        </w:rPr>
        <w:t xml:space="preserve">4) </w:t>
      </w:r>
      <w:r w:rsidR="00BF65FC" w:rsidRPr="005303F7">
        <w:rPr>
          <w:rFonts w:ascii="Times New Roman" w:hAnsi="Times New Roman"/>
          <w:sz w:val="24"/>
          <w:lang w:val="sr-Cyrl-CS"/>
        </w:rPr>
        <w:t>у</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периоду</w:t>
      </w:r>
      <w:r w:rsidR="00A85229" w:rsidRPr="005303F7">
        <w:rPr>
          <w:rFonts w:ascii="Times New Roman" w:hAnsi="Times New Roman"/>
          <w:sz w:val="24"/>
          <w:lang w:val="sr-Cyrl-CS"/>
        </w:rPr>
        <w:t xml:space="preserve"> 20</w:t>
      </w:r>
      <w:r w:rsidR="00C9008A" w:rsidRPr="005303F7">
        <w:rPr>
          <w:rFonts w:ascii="Times New Roman" w:hAnsi="Times New Roman"/>
          <w:sz w:val="24"/>
          <w:lang w:val="sr-Cyrl-CS"/>
        </w:rPr>
        <w:t>3</w:t>
      </w:r>
      <w:r w:rsidR="00A85229" w:rsidRPr="005303F7">
        <w:rPr>
          <w:rFonts w:ascii="Times New Roman" w:hAnsi="Times New Roman"/>
          <w:sz w:val="24"/>
          <w:lang w:val="sr-Cyrl-CS"/>
        </w:rPr>
        <w:t>0-20</w:t>
      </w:r>
      <w:r w:rsidR="00C9008A" w:rsidRPr="005303F7">
        <w:rPr>
          <w:rFonts w:ascii="Times New Roman" w:hAnsi="Times New Roman"/>
          <w:sz w:val="24"/>
          <w:lang w:val="sr-Cyrl-CS"/>
        </w:rPr>
        <w:t>5</w:t>
      </w:r>
      <w:r w:rsidR="00A85229" w:rsidRPr="005303F7">
        <w:rPr>
          <w:rFonts w:ascii="Times New Roman" w:hAnsi="Times New Roman"/>
          <w:sz w:val="24"/>
          <w:lang w:val="sr-Cyrl-CS"/>
        </w:rPr>
        <w:t xml:space="preserve">0. </w:t>
      </w:r>
      <w:r w:rsidR="00BF65FC" w:rsidRPr="005303F7">
        <w:rPr>
          <w:rFonts w:ascii="Times New Roman" w:hAnsi="Times New Roman"/>
          <w:sz w:val="24"/>
          <w:lang w:val="sr-Cyrl-CS"/>
        </w:rPr>
        <w:t>годин</w:t>
      </w:r>
      <w:r w:rsidR="00016298" w:rsidRPr="005303F7">
        <w:rPr>
          <w:rFonts w:ascii="Times New Roman" w:hAnsi="Times New Roman"/>
          <w:sz w:val="24"/>
          <w:lang w:val="sr-Cyrl-CS"/>
        </w:rPr>
        <w:t>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Додатно</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улагање</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термички</w:t>
      </w:r>
      <w:r w:rsidR="00A5140F" w:rsidRPr="005303F7">
        <w:rPr>
          <w:rFonts w:ascii="Times New Roman" w:hAnsi="Times New Roman"/>
          <w:sz w:val="24"/>
          <w:lang w:val="sr-Cyrl-CS"/>
        </w:rPr>
        <w:t xml:space="preserve"> </w:t>
      </w:r>
      <w:r w:rsidR="00BF65FC" w:rsidRPr="005303F7">
        <w:rPr>
          <w:rFonts w:ascii="Times New Roman" w:hAnsi="Times New Roman"/>
          <w:sz w:val="24"/>
          <w:lang w:val="sr-Cyrl-CS"/>
        </w:rPr>
        <w:t>интегритет</w:t>
      </w:r>
      <w:r w:rsidR="00A5140F" w:rsidRPr="005303F7">
        <w:rPr>
          <w:rFonts w:ascii="Times New Roman" w:hAnsi="Times New Roman"/>
          <w:sz w:val="24"/>
          <w:lang w:val="sr-Cyrl-CS"/>
        </w:rPr>
        <w:t xml:space="preserve"> </w:t>
      </w:r>
      <w:r w:rsidR="00BF65FC" w:rsidRPr="005303F7">
        <w:rPr>
          <w:rFonts w:ascii="Times New Roman" w:hAnsi="Times New Roman"/>
          <w:sz w:val="24"/>
          <w:lang w:val="sr-Cyrl-CS"/>
        </w:rPr>
        <w:t>дома</w:t>
      </w:r>
      <w:r w:rsidR="00016298" w:rsidRPr="005303F7">
        <w:rPr>
          <w:rFonts w:ascii="Times New Roman" w:hAnsi="Times New Roman"/>
          <w:sz w:val="24"/>
          <w:lang w:val="sr-Cyrl-CS"/>
        </w:rPr>
        <w:t>ћ</w:t>
      </w:r>
      <w:r w:rsidR="00BF65FC" w:rsidRPr="005303F7">
        <w:rPr>
          <w:rFonts w:ascii="Times New Roman" w:hAnsi="Times New Roman"/>
          <w:sz w:val="24"/>
          <w:lang w:val="sr-Cyrl-CS"/>
        </w:rPr>
        <w:t>инстава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има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велики</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утицај</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инвестиционе</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потребе</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инфраструктури</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грејања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хлађења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која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су</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дугорочно</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нижа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него</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основном</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сценарију</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Смањење</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инвестиционих</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потреба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08509A" w:rsidRPr="005303F7">
        <w:rPr>
          <w:rFonts w:ascii="Times New Roman" w:hAnsi="Times New Roman"/>
          <w:sz w:val="24"/>
          <w:lang w:val="sr-Cyrl-CS"/>
        </w:rPr>
        <w:t xml:space="preserve"> </w:t>
      </w:r>
      <w:r w:rsidR="00BF65FC" w:rsidRPr="005303F7">
        <w:rPr>
          <w:rFonts w:ascii="Times New Roman" w:hAnsi="Times New Roman"/>
          <w:sz w:val="24"/>
          <w:lang w:val="sr-Cyrl-CS"/>
        </w:rPr>
        <w:t>инфраструктуру</w:t>
      </w:r>
      <w:r w:rsidR="0008509A" w:rsidRPr="005303F7">
        <w:rPr>
          <w:rFonts w:ascii="Times New Roman" w:hAnsi="Times New Roman"/>
          <w:sz w:val="24"/>
          <w:lang w:val="sr-Cyrl-CS"/>
        </w:rPr>
        <w:t xml:space="preserve"> </w:t>
      </w:r>
      <w:r w:rsidR="00BF65FC" w:rsidRPr="005303F7">
        <w:rPr>
          <w:rFonts w:ascii="Times New Roman" w:hAnsi="Times New Roman"/>
          <w:sz w:val="24"/>
          <w:lang w:val="sr-Cyrl-CS"/>
        </w:rPr>
        <w:t>кре</w:t>
      </w:r>
      <w:r w:rsidR="00016298" w:rsidRPr="005303F7">
        <w:rPr>
          <w:rFonts w:ascii="Times New Roman" w:hAnsi="Times New Roman"/>
          <w:sz w:val="24"/>
          <w:lang w:val="sr-Cyrl-CS"/>
        </w:rPr>
        <w:t>ћ</w:t>
      </w:r>
      <w:r w:rsidR="00BF65FC" w:rsidRPr="005303F7">
        <w:rPr>
          <w:rFonts w:ascii="Times New Roman" w:hAnsi="Times New Roman"/>
          <w:sz w:val="24"/>
          <w:lang w:val="sr-Cyrl-CS"/>
        </w:rPr>
        <w:t>е</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између</w:t>
      </w:r>
      <w:r w:rsidR="00A85229" w:rsidRPr="005303F7">
        <w:rPr>
          <w:rFonts w:ascii="Times New Roman" w:hAnsi="Times New Roman"/>
          <w:sz w:val="24"/>
          <w:lang w:val="sr-Cyrl-CS"/>
        </w:rPr>
        <w:t xml:space="preserve"> 37 </w:t>
      </w:r>
      <w:r w:rsidR="00BF65FC" w:rsidRPr="005303F7">
        <w:rPr>
          <w:rFonts w:ascii="Times New Roman" w:hAnsi="Times New Roman"/>
          <w:sz w:val="24"/>
          <w:lang w:val="sr-Cyrl-CS"/>
        </w:rPr>
        <w:t>и</w:t>
      </w:r>
      <w:r w:rsidR="00A85229" w:rsidRPr="005303F7">
        <w:rPr>
          <w:rFonts w:ascii="Times New Roman" w:hAnsi="Times New Roman"/>
          <w:sz w:val="24"/>
          <w:lang w:val="sr-Cyrl-CS"/>
        </w:rPr>
        <w:t xml:space="preserve"> 760 </w:t>
      </w:r>
      <w:r w:rsidR="00BF65FC" w:rsidRPr="005303F7">
        <w:rPr>
          <w:rFonts w:ascii="Times New Roman" w:hAnsi="Times New Roman"/>
          <w:sz w:val="24"/>
          <w:lang w:val="sr-Cyrl-CS"/>
        </w:rPr>
        <w:t>милиона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lastRenderedPageBreak/>
        <w:t>евра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периоду</w:t>
      </w:r>
      <w:r w:rsidR="00A85229" w:rsidRPr="005303F7">
        <w:rPr>
          <w:rFonts w:ascii="Times New Roman" w:hAnsi="Times New Roman"/>
          <w:sz w:val="24"/>
          <w:lang w:val="sr-Cyrl-CS"/>
        </w:rPr>
        <w:t xml:space="preserve"> 2030-2050. </w:t>
      </w:r>
      <w:r w:rsidR="00BF65FC" w:rsidRPr="005303F7">
        <w:rPr>
          <w:rFonts w:ascii="Times New Roman" w:hAnsi="Times New Roman"/>
          <w:sz w:val="24"/>
          <w:lang w:val="sr-Cyrl-CS"/>
        </w:rPr>
        <w:t>године</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као</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резултат</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пове</w:t>
      </w:r>
      <w:r w:rsidR="00016298" w:rsidRPr="005303F7">
        <w:rPr>
          <w:rFonts w:ascii="Times New Roman" w:hAnsi="Times New Roman"/>
          <w:sz w:val="24"/>
          <w:lang w:val="sr-Cyrl-CS"/>
        </w:rPr>
        <w:t>ћ</w:t>
      </w:r>
      <w:r w:rsidR="00BF65FC" w:rsidRPr="005303F7">
        <w:rPr>
          <w:rFonts w:ascii="Times New Roman" w:hAnsi="Times New Roman"/>
          <w:sz w:val="24"/>
          <w:lang w:val="sr-Cyrl-CS"/>
        </w:rPr>
        <w:t>ане</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енергетске</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ефикасности</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BB7E76" w:rsidRPr="005303F7">
        <w:rPr>
          <w:rFonts w:ascii="Times New Roman" w:hAnsi="Times New Roman"/>
          <w:sz w:val="24"/>
          <w:lang w:val="sr-Cyrl-CS"/>
        </w:rPr>
        <w:t xml:space="preserve"> </w:t>
      </w:r>
      <w:r w:rsidR="00BF65FC" w:rsidRPr="005303F7">
        <w:rPr>
          <w:rFonts w:ascii="Times New Roman" w:hAnsi="Times New Roman"/>
          <w:sz w:val="24"/>
          <w:lang w:val="sr-Cyrl-CS"/>
        </w:rPr>
        <w:t>основу</w:t>
      </w:r>
      <w:r w:rsidR="00BB7E76" w:rsidRPr="005303F7">
        <w:rPr>
          <w:rFonts w:ascii="Times New Roman" w:hAnsi="Times New Roman"/>
          <w:sz w:val="24"/>
          <w:lang w:val="sr-Cyrl-CS"/>
        </w:rPr>
        <w:t xml:space="preserve"> </w:t>
      </w:r>
      <w:r w:rsidR="00BF65FC" w:rsidRPr="005303F7">
        <w:rPr>
          <w:rFonts w:ascii="Times New Roman" w:hAnsi="Times New Roman"/>
          <w:sz w:val="24"/>
          <w:lang w:val="sr-Cyrl-CS"/>
        </w:rPr>
        <w:t>бољег</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термичког</w:t>
      </w:r>
      <w:r w:rsidR="00A5140F" w:rsidRPr="005303F7">
        <w:rPr>
          <w:rFonts w:ascii="Times New Roman" w:hAnsi="Times New Roman"/>
          <w:sz w:val="24"/>
          <w:lang w:val="sr-Cyrl-CS"/>
        </w:rPr>
        <w:t xml:space="preserve"> </w:t>
      </w:r>
      <w:r w:rsidR="00BF65FC" w:rsidRPr="005303F7">
        <w:rPr>
          <w:rFonts w:ascii="Times New Roman" w:hAnsi="Times New Roman"/>
          <w:sz w:val="24"/>
          <w:lang w:val="sr-Cyrl-CS"/>
        </w:rPr>
        <w:t>интегритета</w:t>
      </w:r>
      <w:r w:rsidR="00A5140F" w:rsidRPr="005303F7">
        <w:rPr>
          <w:rFonts w:ascii="Times New Roman" w:hAnsi="Times New Roman"/>
          <w:sz w:val="24"/>
          <w:lang w:val="sr-Cyrl-CS"/>
        </w:rPr>
        <w:t xml:space="preserve"> </w:t>
      </w:r>
      <w:r w:rsidR="00BF65FC" w:rsidRPr="005303F7">
        <w:rPr>
          <w:rFonts w:ascii="Times New Roman" w:hAnsi="Times New Roman"/>
          <w:sz w:val="24"/>
          <w:lang w:val="sr-Cyrl-CS"/>
        </w:rPr>
        <w:t>дома</w:t>
      </w:r>
      <w:r w:rsidR="00E359E8" w:rsidRPr="005303F7">
        <w:rPr>
          <w:rFonts w:ascii="Times New Roman" w:hAnsi="Times New Roman"/>
          <w:sz w:val="24"/>
          <w:lang w:val="sr-Cyrl-CS"/>
        </w:rPr>
        <w:t>ћ</w:t>
      </w:r>
      <w:r w:rsidR="00BF65FC" w:rsidRPr="005303F7">
        <w:rPr>
          <w:rFonts w:ascii="Times New Roman" w:hAnsi="Times New Roman"/>
          <w:sz w:val="24"/>
          <w:lang w:val="sr-Cyrl-CS"/>
        </w:rPr>
        <w:t>инстава</w:t>
      </w:r>
      <w:r w:rsidR="00A85229" w:rsidRPr="005303F7">
        <w:rPr>
          <w:rFonts w:ascii="Times New Roman" w:hAnsi="Times New Roman"/>
          <w:sz w:val="24"/>
          <w:lang w:val="sr-Cyrl-CS"/>
        </w:rPr>
        <w:t>.</w:t>
      </w:r>
    </w:p>
    <w:p w14:paraId="7514FC09" w14:textId="3710E330" w:rsidR="0032160F" w:rsidRPr="005303F7" w:rsidRDefault="00DA7CD2" w:rsidP="004D6AF3">
      <w:pPr>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Исти</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је</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случај</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са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побољшањем</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енергетске</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ефикасности</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коришћењем</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обновљивих</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извора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енергије</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индустријском</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сектору</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где</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су</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додатне</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инвестиционе</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потребе</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дугорочно</w:t>
      </w:r>
      <w:r w:rsidR="0008509A" w:rsidRPr="005303F7">
        <w:rPr>
          <w:rFonts w:ascii="Times New Roman" w:hAnsi="Times New Roman"/>
          <w:sz w:val="24"/>
          <w:lang w:val="sr-Cyrl-CS"/>
        </w:rPr>
        <w:t xml:space="preserve"> (</w:t>
      </w:r>
      <w:r w:rsidR="00BF65FC" w:rsidRPr="005303F7">
        <w:rPr>
          <w:rFonts w:ascii="Times New Roman" w:hAnsi="Times New Roman"/>
          <w:sz w:val="24"/>
          <w:lang w:val="sr-Cyrl-CS"/>
        </w:rPr>
        <w:t>до</w:t>
      </w:r>
      <w:r w:rsidR="0008509A" w:rsidRPr="005303F7">
        <w:rPr>
          <w:rFonts w:ascii="Times New Roman" w:hAnsi="Times New Roman"/>
          <w:sz w:val="24"/>
          <w:lang w:val="sr-Cyrl-CS"/>
        </w:rPr>
        <w:t xml:space="preserve"> 2050</w:t>
      </w:r>
      <w:r w:rsidR="00CB1697" w:rsidRPr="005303F7">
        <w:rPr>
          <w:rFonts w:ascii="Times New Roman" w:hAnsi="Times New Roman"/>
          <w:sz w:val="24"/>
          <w:lang w:val="sr-Cyrl-CS"/>
        </w:rPr>
        <w:t>.</w:t>
      </w:r>
      <w:r w:rsidR="0008509A" w:rsidRPr="005303F7">
        <w:rPr>
          <w:rFonts w:ascii="Times New Roman" w:hAnsi="Times New Roman"/>
          <w:sz w:val="24"/>
          <w:lang w:val="sr-Cyrl-CS"/>
        </w:rPr>
        <w:t>)</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ниже</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односу</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Б</w:t>
      </w:r>
      <w:r w:rsidR="00A85229" w:rsidRPr="005303F7">
        <w:rPr>
          <w:rFonts w:ascii="Times New Roman" w:hAnsi="Times New Roman"/>
          <w:sz w:val="24"/>
          <w:lang w:val="sr-Cyrl-CS"/>
        </w:rPr>
        <w:t>2 (</w:t>
      </w:r>
      <w:r w:rsidR="00BF65FC" w:rsidRPr="005303F7">
        <w:rPr>
          <w:rFonts w:ascii="Times New Roman" w:hAnsi="Times New Roman"/>
          <w:sz w:val="24"/>
          <w:lang w:val="sr-Cyrl-CS"/>
        </w:rPr>
        <w:t>између</w:t>
      </w:r>
      <w:r w:rsidR="00A85229" w:rsidRPr="005303F7">
        <w:rPr>
          <w:rFonts w:ascii="Times New Roman" w:hAnsi="Times New Roman"/>
          <w:sz w:val="24"/>
          <w:lang w:val="sr-Cyrl-CS"/>
        </w:rPr>
        <w:t xml:space="preserve"> 559 </w:t>
      </w:r>
      <w:r w:rsidR="00BF65FC" w:rsidRPr="005303F7">
        <w:rPr>
          <w:rFonts w:ascii="Times New Roman" w:hAnsi="Times New Roman"/>
          <w:sz w:val="24"/>
          <w:lang w:val="sr-Cyrl-CS"/>
        </w:rPr>
        <w:t>милиона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евра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сценарију</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М</w:t>
      </w:r>
      <w:r w:rsidR="00A85229" w:rsidRPr="005303F7">
        <w:rPr>
          <w:rFonts w:ascii="Times New Roman" w:hAnsi="Times New Roman"/>
          <w:sz w:val="24"/>
          <w:lang w:val="sr-Cyrl-CS"/>
        </w:rPr>
        <w:t xml:space="preserve">2 </w:t>
      </w:r>
      <w:r w:rsidR="00BF65FC" w:rsidRPr="005303F7">
        <w:rPr>
          <w:rFonts w:ascii="Times New Roman" w:hAnsi="Times New Roman"/>
          <w:sz w:val="24"/>
          <w:lang w:val="sr-Cyrl-CS"/>
        </w:rPr>
        <w:t>и</w:t>
      </w:r>
      <w:r w:rsidR="00A85229" w:rsidRPr="005303F7">
        <w:rPr>
          <w:rFonts w:ascii="Times New Roman" w:hAnsi="Times New Roman"/>
          <w:sz w:val="24"/>
          <w:lang w:val="sr-Cyrl-CS"/>
        </w:rPr>
        <w:t xml:space="preserve"> 213 </w:t>
      </w:r>
      <w:r w:rsidR="00BF65FC" w:rsidRPr="005303F7">
        <w:rPr>
          <w:rFonts w:ascii="Times New Roman" w:hAnsi="Times New Roman"/>
          <w:sz w:val="24"/>
          <w:lang w:val="sr-Cyrl-CS"/>
        </w:rPr>
        <w:t>милиона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евра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М</w:t>
      </w:r>
      <w:r w:rsidR="00A85229" w:rsidRPr="005303F7">
        <w:rPr>
          <w:rFonts w:ascii="Times New Roman" w:hAnsi="Times New Roman"/>
          <w:sz w:val="24"/>
          <w:lang w:val="sr-Cyrl-CS"/>
        </w:rPr>
        <w:t xml:space="preserve">4), </w:t>
      </w:r>
      <w:r w:rsidR="00BF65FC" w:rsidRPr="005303F7">
        <w:rPr>
          <w:rFonts w:ascii="Times New Roman" w:hAnsi="Times New Roman"/>
          <w:sz w:val="24"/>
          <w:lang w:val="sr-Cyrl-CS"/>
        </w:rPr>
        <w:t>и</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са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побољшањем</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ефикасности</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електричних</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уређаја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дома</w:t>
      </w:r>
      <w:r w:rsidR="00016298" w:rsidRPr="005303F7">
        <w:rPr>
          <w:rFonts w:ascii="Times New Roman" w:hAnsi="Times New Roman"/>
          <w:sz w:val="24"/>
          <w:lang w:val="sr-Cyrl-CS"/>
        </w:rPr>
        <w:t>ћ</w:t>
      </w:r>
      <w:r w:rsidR="00BF65FC" w:rsidRPr="005303F7">
        <w:rPr>
          <w:rFonts w:ascii="Times New Roman" w:hAnsi="Times New Roman"/>
          <w:sz w:val="24"/>
          <w:lang w:val="sr-Cyrl-CS"/>
        </w:rPr>
        <w:t>инства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са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нижим</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потребама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улагања</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краћем</w:t>
      </w:r>
      <w:r w:rsidR="0008509A"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дужем</w:t>
      </w:r>
      <w:r w:rsidR="00A85229" w:rsidRPr="005303F7">
        <w:rPr>
          <w:rFonts w:ascii="Times New Roman" w:hAnsi="Times New Roman"/>
          <w:sz w:val="24"/>
          <w:lang w:val="sr-Cyrl-CS"/>
        </w:rPr>
        <w:t xml:space="preserve"> </w:t>
      </w:r>
      <w:r w:rsidR="00BF65FC" w:rsidRPr="005303F7">
        <w:rPr>
          <w:rFonts w:ascii="Times New Roman" w:hAnsi="Times New Roman"/>
          <w:sz w:val="24"/>
          <w:lang w:val="sr-Cyrl-CS"/>
        </w:rPr>
        <w:t>року</w:t>
      </w:r>
      <w:r w:rsidR="0008509A" w:rsidRPr="005303F7">
        <w:rPr>
          <w:rFonts w:ascii="Times New Roman" w:hAnsi="Times New Roman"/>
          <w:sz w:val="24"/>
          <w:lang w:val="sr-Cyrl-CS"/>
        </w:rPr>
        <w:t>.</w:t>
      </w:r>
    </w:p>
    <w:p w14:paraId="6C95B2D4" w14:textId="15DA7F59" w:rsidR="00710645" w:rsidRPr="005303F7" w:rsidRDefault="00DA7CD2" w:rsidP="00710645">
      <w:pPr>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Обнова</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возног</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парка</w:t>
      </w:r>
      <w:r w:rsidR="00CE61D3"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CE61D3" w:rsidRPr="005303F7">
        <w:rPr>
          <w:rFonts w:ascii="Times New Roman" w:hAnsi="Times New Roman"/>
          <w:sz w:val="24"/>
          <w:lang w:val="sr-Cyrl-CS"/>
        </w:rPr>
        <w:t xml:space="preserve"> </w:t>
      </w:r>
      <w:r w:rsidR="00BF65FC" w:rsidRPr="005303F7">
        <w:rPr>
          <w:rFonts w:ascii="Times New Roman" w:hAnsi="Times New Roman"/>
          <w:sz w:val="24"/>
          <w:lang w:val="sr-Cyrl-CS"/>
        </w:rPr>
        <w:t>путнички</w:t>
      </w:r>
      <w:r w:rsidR="00CE61D3" w:rsidRPr="005303F7">
        <w:rPr>
          <w:rFonts w:ascii="Times New Roman" w:hAnsi="Times New Roman"/>
          <w:sz w:val="24"/>
          <w:lang w:val="sr-Cyrl-CS"/>
        </w:rPr>
        <w:t xml:space="preserve"> </w:t>
      </w:r>
      <w:r w:rsidR="00BF65FC" w:rsidRPr="005303F7">
        <w:rPr>
          <w:rFonts w:ascii="Times New Roman" w:hAnsi="Times New Roman"/>
          <w:sz w:val="24"/>
          <w:lang w:val="sr-Cyrl-CS"/>
        </w:rPr>
        <w:t>саобраћај</w:t>
      </w:r>
      <w:r w:rsidR="00CE61D3" w:rsidRPr="005303F7">
        <w:rPr>
          <w:rFonts w:ascii="Times New Roman" w:hAnsi="Times New Roman"/>
          <w:sz w:val="24"/>
          <w:lang w:val="sr-Cyrl-CS"/>
        </w:rPr>
        <w:t xml:space="preserve"> </w:t>
      </w:r>
      <w:r w:rsidR="00BF65FC" w:rsidRPr="005303F7">
        <w:rPr>
          <w:rFonts w:ascii="Times New Roman" w:hAnsi="Times New Roman"/>
          <w:sz w:val="24"/>
          <w:lang w:val="sr-Cyrl-CS"/>
        </w:rPr>
        <w:t>ће</w:t>
      </w:r>
      <w:r w:rsidR="00CE61D3" w:rsidRPr="005303F7">
        <w:rPr>
          <w:rFonts w:ascii="Times New Roman" w:hAnsi="Times New Roman"/>
          <w:sz w:val="24"/>
          <w:lang w:val="sr-Cyrl-CS"/>
        </w:rPr>
        <w:t xml:space="preserve"> </w:t>
      </w:r>
      <w:r w:rsidR="00BF65FC" w:rsidRPr="005303F7">
        <w:rPr>
          <w:rFonts w:ascii="Times New Roman" w:hAnsi="Times New Roman"/>
          <w:sz w:val="24"/>
          <w:lang w:val="sr-Cyrl-CS"/>
        </w:rPr>
        <w:t>захтевати</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додатна</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улагања</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до</w:t>
      </w:r>
      <w:r w:rsidR="00710645" w:rsidRPr="005303F7">
        <w:rPr>
          <w:rFonts w:ascii="Times New Roman" w:hAnsi="Times New Roman"/>
          <w:sz w:val="24"/>
          <w:lang w:val="sr-Cyrl-CS"/>
        </w:rPr>
        <w:t xml:space="preserve"> 2,3 </w:t>
      </w:r>
      <w:r w:rsidR="0039680D" w:rsidRPr="005303F7">
        <w:rPr>
          <w:rFonts w:ascii="Times New Roman" w:hAnsi="Times New Roman"/>
          <w:sz w:val="24"/>
          <w:lang w:val="sr-Cyrl-CS"/>
        </w:rPr>
        <w:t>милијарди</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евра</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до</w:t>
      </w:r>
      <w:r w:rsidR="00710645" w:rsidRPr="005303F7">
        <w:rPr>
          <w:rFonts w:ascii="Times New Roman" w:hAnsi="Times New Roman"/>
          <w:sz w:val="24"/>
          <w:lang w:val="sr-Cyrl-CS"/>
        </w:rPr>
        <w:t xml:space="preserve"> 2030. </w:t>
      </w:r>
      <w:r w:rsidR="00BF65FC" w:rsidRPr="005303F7">
        <w:rPr>
          <w:rFonts w:ascii="Times New Roman" w:hAnsi="Times New Roman"/>
          <w:sz w:val="24"/>
          <w:lang w:val="sr-Cyrl-CS"/>
        </w:rPr>
        <w:t>године</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распону</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од</w:t>
      </w:r>
      <w:r w:rsidR="00710645" w:rsidRPr="005303F7">
        <w:rPr>
          <w:rFonts w:ascii="Times New Roman" w:hAnsi="Times New Roman"/>
          <w:sz w:val="24"/>
          <w:lang w:val="sr-Cyrl-CS"/>
        </w:rPr>
        <w:t xml:space="preserve"> 18,2 </w:t>
      </w:r>
      <w:r w:rsidR="00BF65FC" w:rsidRPr="005303F7">
        <w:rPr>
          <w:rFonts w:ascii="Times New Roman" w:hAnsi="Times New Roman"/>
          <w:sz w:val="24"/>
          <w:lang w:val="sr-Cyrl-CS"/>
        </w:rPr>
        <w:t>и</w:t>
      </w:r>
      <w:r w:rsidR="00710645" w:rsidRPr="005303F7">
        <w:rPr>
          <w:rFonts w:ascii="Times New Roman" w:hAnsi="Times New Roman"/>
          <w:sz w:val="24"/>
          <w:lang w:val="sr-Cyrl-CS"/>
        </w:rPr>
        <w:t xml:space="preserve"> 24,8 </w:t>
      </w:r>
      <w:r w:rsidR="0039680D" w:rsidRPr="005303F7">
        <w:rPr>
          <w:rFonts w:ascii="Times New Roman" w:hAnsi="Times New Roman"/>
          <w:sz w:val="24"/>
          <w:lang w:val="sr-Cyrl-CS"/>
        </w:rPr>
        <w:t>милијарди</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евра</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периоду</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између</w:t>
      </w:r>
      <w:r w:rsidR="00710645" w:rsidRPr="005303F7">
        <w:rPr>
          <w:rFonts w:ascii="Times New Roman" w:hAnsi="Times New Roman"/>
          <w:sz w:val="24"/>
          <w:lang w:val="sr-Cyrl-CS"/>
        </w:rPr>
        <w:t xml:space="preserve"> 2030 </w:t>
      </w:r>
      <w:r w:rsidR="00BF65FC" w:rsidRPr="005303F7">
        <w:rPr>
          <w:rFonts w:ascii="Times New Roman" w:hAnsi="Times New Roman"/>
          <w:sz w:val="24"/>
          <w:lang w:val="sr-Cyrl-CS"/>
        </w:rPr>
        <w:t>и</w:t>
      </w:r>
      <w:r w:rsidR="00710645" w:rsidRPr="005303F7">
        <w:rPr>
          <w:rFonts w:ascii="Times New Roman" w:hAnsi="Times New Roman"/>
          <w:sz w:val="24"/>
          <w:lang w:val="sr-Cyrl-CS"/>
        </w:rPr>
        <w:t xml:space="preserve"> 2050. </w:t>
      </w:r>
      <w:r w:rsidR="00BF65FC" w:rsidRPr="005303F7">
        <w:rPr>
          <w:rFonts w:ascii="Times New Roman" w:hAnsi="Times New Roman"/>
          <w:sz w:val="24"/>
          <w:lang w:val="sr-Cyrl-CS"/>
        </w:rPr>
        <w:t>године</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Додатна</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инвестиција</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710645" w:rsidRPr="005303F7">
        <w:rPr>
          <w:rFonts w:ascii="Times New Roman" w:hAnsi="Times New Roman"/>
          <w:sz w:val="24"/>
          <w:lang w:val="sr-Cyrl-CS"/>
        </w:rPr>
        <w:t xml:space="preserve"> </w:t>
      </w:r>
      <w:r w:rsidR="00870E18" w:rsidRPr="005303F7">
        <w:rPr>
          <w:rFonts w:ascii="Times New Roman" w:hAnsi="Times New Roman"/>
          <w:sz w:val="24"/>
          <w:lang w:val="sr-Cyrl-CS"/>
        </w:rPr>
        <w:t>IPPU</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сектор</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представљају</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трошкове</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повезане</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са</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усаглашавањем</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са</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ЕУ</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прописима</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о</w:t>
      </w:r>
      <w:r w:rsidR="00710645" w:rsidRPr="005303F7">
        <w:rPr>
          <w:rFonts w:ascii="Times New Roman" w:hAnsi="Times New Roman"/>
          <w:sz w:val="24"/>
          <w:lang w:val="sr-Cyrl-CS"/>
        </w:rPr>
        <w:t xml:space="preserve"> </w:t>
      </w:r>
      <w:r w:rsidR="003433DC" w:rsidRPr="005303F7">
        <w:rPr>
          <w:rFonts w:ascii="Times New Roman" w:hAnsi="Times New Roman"/>
          <w:sz w:val="24"/>
          <w:lang w:val="sr-Cyrl-CS"/>
        </w:rPr>
        <w:t>F</w:t>
      </w:r>
      <w:r w:rsidR="00A80994" w:rsidRPr="005303F7">
        <w:rPr>
          <w:rFonts w:ascii="Times New Roman" w:hAnsi="Times New Roman"/>
          <w:sz w:val="24"/>
          <w:lang w:val="sr-Cyrl-CS"/>
        </w:rPr>
        <w:t>-</w:t>
      </w:r>
      <w:r w:rsidR="00BF65FC" w:rsidRPr="005303F7">
        <w:rPr>
          <w:rFonts w:ascii="Times New Roman" w:hAnsi="Times New Roman"/>
          <w:sz w:val="24"/>
          <w:lang w:val="sr-Cyrl-CS"/>
        </w:rPr>
        <w:t>гасовима</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Директивом</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о</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мобилној</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климатизацији</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које</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покривају</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произвођачи</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опреме</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Додатне</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инвестиције</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до</w:t>
      </w:r>
      <w:r w:rsidR="00710645" w:rsidRPr="005303F7">
        <w:rPr>
          <w:rFonts w:ascii="Times New Roman" w:hAnsi="Times New Roman"/>
          <w:sz w:val="24"/>
          <w:lang w:val="sr-Cyrl-CS"/>
        </w:rPr>
        <w:t xml:space="preserve"> 2030. </w:t>
      </w:r>
      <w:r w:rsidR="00BF65FC" w:rsidRPr="005303F7">
        <w:rPr>
          <w:rFonts w:ascii="Times New Roman" w:hAnsi="Times New Roman"/>
          <w:sz w:val="24"/>
          <w:lang w:val="sr-Cyrl-CS"/>
        </w:rPr>
        <w:t>године</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процењују</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710645" w:rsidRPr="005303F7">
        <w:rPr>
          <w:rFonts w:ascii="Times New Roman" w:hAnsi="Times New Roman"/>
          <w:sz w:val="24"/>
          <w:lang w:val="sr-Cyrl-CS"/>
        </w:rPr>
        <w:t xml:space="preserve"> 5 </w:t>
      </w:r>
      <w:r w:rsidR="00BF65FC" w:rsidRPr="005303F7">
        <w:rPr>
          <w:rFonts w:ascii="Times New Roman" w:hAnsi="Times New Roman"/>
          <w:sz w:val="24"/>
          <w:lang w:val="sr-Cyrl-CS"/>
        </w:rPr>
        <w:t>милиона</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евра</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док</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очекује</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да</w:t>
      </w:r>
      <w:r w:rsidR="00710645" w:rsidRPr="005303F7">
        <w:rPr>
          <w:rFonts w:ascii="Times New Roman" w:hAnsi="Times New Roman"/>
          <w:sz w:val="24"/>
          <w:lang w:val="sr-Cyrl-CS"/>
        </w:rPr>
        <w:t xml:space="preserve"> </w:t>
      </w:r>
      <w:r w:rsidR="00016298" w:rsidRPr="005303F7">
        <w:rPr>
          <w:rFonts w:ascii="Times New Roman" w:hAnsi="Times New Roman"/>
          <w:sz w:val="24"/>
          <w:lang w:val="sr-Cyrl-CS"/>
        </w:rPr>
        <w:t>ћ</w:t>
      </w:r>
      <w:r w:rsidR="00BF65FC" w:rsidRPr="005303F7">
        <w:rPr>
          <w:rFonts w:ascii="Times New Roman" w:hAnsi="Times New Roman"/>
          <w:sz w:val="24"/>
          <w:lang w:val="sr-Cyrl-CS"/>
        </w:rPr>
        <w:t>е</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додатна</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улагања</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период</w:t>
      </w:r>
      <w:r w:rsidR="00710645" w:rsidRPr="005303F7">
        <w:rPr>
          <w:rFonts w:ascii="Times New Roman" w:hAnsi="Times New Roman"/>
          <w:sz w:val="24"/>
          <w:lang w:val="sr-Cyrl-CS"/>
        </w:rPr>
        <w:t xml:space="preserve"> 2030-2050. </w:t>
      </w:r>
      <w:r w:rsidR="00BF65FC" w:rsidRPr="005303F7">
        <w:rPr>
          <w:rFonts w:ascii="Times New Roman" w:hAnsi="Times New Roman"/>
          <w:sz w:val="24"/>
          <w:lang w:val="sr-Cyrl-CS"/>
        </w:rPr>
        <w:t>године</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износити</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између</w:t>
      </w:r>
      <w:r w:rsidR="00710645" w:rsidRPr="005303F7">
        <w:rPr>
          <w:rFonts w:ascii="Times New Roman" w:hAnsi="Times New Roman"/>
          <w:sz w:val="24"/>
          <w:lang w:val="sr-Cyrl-CS"/>
        </w:rPr>
        <w:t xml:space="preserve"> 82 </w:t>
      </w:r>
      <w:r w:rsidR="00BF65FC" w:rsidRPr="005303F7">
        <w:rPr>
          <w:rFonts w:ascii="Times New Roman" w:hAnsi="Times New Roman"/>
          <w:sz w:val="24"/>
          <w:lang w:val="sr-Cyrl-CS"/>
        </w:rPr>
        <w:t>и</w:t>
      </w:r>
      <w:r w:rsidR="00710645" w:rsidRPr="005303F7">
        <w:rPr>
          <w:rFonts w:ascii="Times New Roman" w:hAnsi="Times New Roman"/>
          <w:sz w:val="24"/>
          <w:lang w:val="sr-Cyrl-CS"/>
        </w:rPr>
        <w:t xml:space="preserve"> 129 </w:t>
      </w:r>
      <w:r w:rsidR="00BF65FC" w:rsidRPr="005303F7">
        <w:rPr>
          <w:rFonts w:ascii="Times New Roman" w:hAnsi="Times New Roman"/>
          <w:sz w:val="24"/>
          <w:lang w:val="sr-Cyrl-CS"/>
        </w:rPr>
        <w:t>милиона</w:t>
      </w:r>
      <w:r w:rsidR="00710645" w:rsidRPr="005303F7">
        <w:rPr>
          <w:rFonts w:ascii="Times New Roman" w:hAnsi="Times New Roman"/>
          <w:sz w:val="24"/>
          <w:lang w:val="sr-Cyrl-CS"/>
        </w:rPr>
        <w:t xml:space="preserve"> </w:t>
      </w:r>
      <w:r w:rsidR="00BF65FC" w:rsidRPr="005303F7">
        <w:rPr>
          <w:rFonts w:ascii="Times New Roman" w:hAnsi="Times New Roman"/>
          <w:sz w:val="24"/>
          <w:lang w:val="sr-Cyrl-CS"/>
        </w:rPr>
        <w:t>евра</w:t>
      </w:r>
      <w:r w:rsidR="00710645" w:rsidRPr="005303F7">
        <w:rPr>
          <w:rFonts w:ascii="Times New Roman" w:hAnsi="Times New Roman"/>
          <w:sz w:val="24"/>
          <w:lang w:val="sr-Cyrl-CS"/>
        </w:rPr>
        <w:t>.</w:t>
      </w:r>
    </w:p>
    <w:p w14:paraId="2BB2097F" w14:textId="16782024" w:rsidR="0081454D" w:rsidRPr="005303F7" w:rsidRDefault="00DA7CD2" w:rsidP="0081454D">
      <w:pPr>
        <w:tabs>
          <w:tab w:val="clear" w:pos="3825"/>
        </w:tabs>
        <w:overflowPunct/>
        <w:autoSpaceDE/>
        <w:autoSpaceDN/>
        <w:adjustRightInd/>
        <w:spacing w:before="0" w:line="259" w:lineRule="auto"/>
        <w:contextualSpacing/>
        <w:textAlignment w:val="auto"/>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сектору</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пољопривреде</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додатне</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инвестиционе</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потребе</w:t>
      </w:r>
      <w:r w:rsidR="003D63ED" w:rsidRPr="005303F7">
        <w:rPr>
          <w:rFonts w:ascii="Times New Roman" w:hAnsi="Times New Roman"/>
          <w:sz w:val="24"/>
          <w:lang w:val="sr-Cyrl-CS"/>
        </w:rPr>
        <w:t xml:space="preserve"> (80 </w:t>
      </w:r>
      <w:r w:rsidR="00BF65FC" w:rsidRPr="005303F7">
        <w:rPr>
          <w:rFonts w:ascii="Times New Roman" w:hAnsi="Times New Roman"/>
          <w:sz w:val="24"/>
          <w:lang w:val="sr-Cyrl-CS"/>
        </w:rPr>
        <w:t>милиона</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евра</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до</w:t>
      </w:r>
      <w:r w:rsidR="003D63ED" w:rsidRPr="005303F7">
        <w:rPr>
          <w:rFonts w:ascii="Times New Roman" w:hAnsi="Times New Roman"/>
          <w:sz w:val="24"/>
          <w:lang w:val="sr-Cyrl-CS"/>
        </w:rPr>
        <w:t xml:space="preserve"> 2030. </w:t>
      </w:r>
      <w:r w:rsidR="00BF65FC" w:rsidRPr="005303F7">
        <w:rPr>
          <w:rFonts w:ascii="Times New Roman" w:hAnsi="Times New Roman"/>
          <w:sz w:val="24"/>
          <w:lang w:val="sr-Cyrl-CS"/>
        </w:rPr>
        <w:t>године</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углавном</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су</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повезане</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са</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најбољим</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праксама</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које</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побољшавају</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задржавање</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угљеника</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земљи</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наиме</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преко</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озимих</w:t>
      </w:r>
      <w:r w:rsidR="005A08E5" w:rsidRPr="005303F7">
        <w:rPr>
          <w:rFonts w:ascii="Times New Roman" w:hAnsi="Times New Roman"/>
          <w:sz w:val="24"/>
          <w:lang w:val="sr-Cyrl-CS"/>
        </w:rPr>
        <w:t xml:space="preserve"> </w:t>
      </w:r>
      <w:r w:rsidR="00BF65FC" w:rsidRPr="005303F7">
        <w:rPr>
          <w:rFonts w:ascii="Times New Roman" w:hAnsi="Times New Roman"/>
          <w:sz w:val="24"/>
          <w:lang w:val="sr-Cyrl-CS"/>
        </w:rPr>
        <w:t>покровних</w:t>
      </w:r>
      <w:r w:rsidR="008A5D43" w:rsidRPr="005303F7">
        <w:rPr>
          <w:rFonts w:ascii="Times New Roman" w:hAnsi="Times New Roman"/>
          <w:sz w:val="24"/>
          <w:lang w:val="sr-Cyrl-CS"/>
        </w:rPr>
        <w:t xml:space="preserve"> </w:t>
      </w:r>
      <w:r w:rsidR="00BF65FC" w:rsidRPr="005303F7">
        <w:rPr>
          <w:rFonts w:ascii="Times New Roman" w:hAnsi="Times New Roman"/>
          <w:sz w:val="24"/>
          <w:lang w:val="sr-Cyrl-CS"/>
        </w:rPr>
        <w:t>усева</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Потребе</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додатним</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улагањима</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пољопривредни</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сектор</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дугорочно</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најамбициознијим</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сценаријима</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М</w:t>
      </w:r>
      <w:r w:rsidR="003D63ED" w:rsidRPr="005303F7">
        <w:rPr>
          <w:rFonts w:ascii="Times New Roman" w:hAnsi="Times New Roman"/>
          <w:sz w:val="24"/>
          <w:lang w:val="sr-Cyrl-CS"/>
        </w:rPr>
        <w:t xml:space="preserve">3 </w:t>
      </w:r>
      <w:r w:rsidR="00BF65FC" w:rsidRPr="005303F7">
        <w:rPr>
          <w:rFonts w:ascii="Times New Roman" w:hAnsi="Times New Roman"/>
          <w:sz w:val="24"/>
          <w:lang w:val="sr-Cyrl-CS"/>
        </w:rPr>
        <w:t>и</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М</w:t>
      </w:r>
      <w:r w:rsidR="003D63ED" w:rsidRPr="005303F7">
        <w:rPr>
          <w:rFonts w:ascii="Times New Roman" w:hAnsi="Times New Roman"/>
          <w:sz w:val="24"/>
          <w:lang w:val="sr-Cyrl-CS"/>
        </w:rPr>
        <w:t xml:space="preserve">4) </w:t>
      </w:r>
      <w:r w:rsidR="00BF65FC" w:rsidRPr="005303F7">
        <w:rPr>
          <w:rFonts w:ascii="Times New Roman" w:hAnsi="Times New Roman"/>
          <w:sz w:val="24"/>
          <w:lang w:val="sr-Cyrl-CS"/>
        </w:rPr>
        <w:t>знатно</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пове</w:t>
      </w:r>
      <w:r w:rsidR="00016298" w:rsidRPr="005303F7">
        <w:rPr>
          <w:rFonts w:ascii="Times New Roman" w:hAnsi="Times New Roman"/>
          <w:sz w:val="24"/>
          <w:lang w:val="sr-Cyrl-CS"/>
        </w:rPr>
        <w:t>ћ</w:t>
      </w:r>
      <w:r w:rsidR="00BF65FC" w:rsidRPr="005303F7">
        <w:rPr>
          <w:rFonts w:ascii="Times New Roman" w:hAnsi="Times New Roman"/>
          <w:sz w:val="24"/>
          <w:lang w:val="sr-Cyrl-CS"/>
        </w:rPr>
        <w:t>авају</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износе</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између</w:t>
      </w:r>
      <w:r w:rsidR="003D63ED" w:rsidRPr="005303F7">
        <w:rPr>
          <w:rFonts w:ascii="Times New Roman" w:hAnsi="Times New Roman"/>
          <w:sz w:val="24"/>
          <w:lang w:val="sr-Cyrl-CS"/>
        </w:rPr>
        <w:t xml:space="preserve"> 469-1585 </w:t>
      </w:r>
      <w:r w:rsidR="00BF65FC" w:rsidRPr="005303F7">
        <w:rPr>
          <w:rFonts w:ascii="Times New Roman" w:hAnsi="Times New Roman"/>
          <w:sz w:val="24"/>
          <w:lang w:val="sr-Cyrl-CS"/>
        </w:rPr>
        <w:t>милиона</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евра</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периоду</w:t>
      </w:r>
      <w:r w:rsidR="003D63ED" w:rsidRPr="005303F7">
        <w:rPr>
          <w:rFonts w:ascii="Times New Roman" w:hAnsi="Times New Roman"/>
          <w:sz w:val="24"/>
          <w:lang w:val="sr-Cyrl-CS"/>
        </w:rPr>
        <w:t xml:space="preserve"> 2030-2050. </w:t>
      </w:r>
      <w:r w:rsidR="00BF65FC" w:rsidRPr="005303F7">
        <w:rPr>
          <w:rFonts w:ascii="Times New Roman" w:hAnsi="Times New Roman"/>
          <w:sz w:val="24"/>
          <w:lang w:val="sr-Cyrl-CS"/>
        </w:rPr>
        <w:t>године</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када</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смањење</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емисија</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може</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пости</w:t>
      </w:r>
      <w:r w:rsidR="00016298" w:rsidRPr="005303F7">
        <w:rPr>
          <w:rFonts w:ascii="Times New Roman" w:hAnsi="Times New Roman"/>
          <w:sz w:val="24"/>
          <w:lang w:val="sr-Cyrl-CS"/>
        </w:rPr>
        <w:t>ћ</w:t>
      </w:r>
      <w:r w:rsidR="00BF65FC" w:rsidRPr="005303F7">
        <w:rPr>
          <w:rFonts w:ascii="Times New Roman" w:hAnsi="Times New Roman"/>
          <w:sz w:val="24"/>
          <w:lang w:val="sr-Cyrl-CS"/>
        </w:rPr>
        <w:t>и</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само</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кроз</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скупе</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мере</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као</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што</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су</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ланено</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семе</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као</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додатак</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храни</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инхибитори</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нитрификације</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3D63ED" w:rsidRPr="005303F7">
        <w:rPr>
          <w:rFonts w:ascii="Times New Roman" w:hAnsi="Times New Roman"/>
          <w:sz w:val="24"/>
          <w:lang w:val="sr-Cyrl-CS"/>
        </w:rPr>
        <w:t xml:space="preserve"> </w:t>
      </w:r>
      <w:r w:rsidR="00BF65FC" w:rsidRPr="005303F7">
        <w:rPr>
          <w:rFonts w:ascii="Times New Roman" w:hAnsi="Times New Roman"/>
          <w:sz w:val="24"/>
          <w:lang w:val="sr-Cyrl-CS"/>
        </w:rPr>
        <w:t>прецизна</w:t>
      </w:r>
      <w:r w:rsidR="007E013B" w:rsidRPr="005303F7">
        <w:rPr>
          <w:rFonts w:ascii="Times New Roman" w:hAnsi="Times New Roman"/>
          <w:sz w:val="24"/>
          <w:lang w:val="sr-Cyrl-CS"/>
        </w:rPr>
        <w:t xml:space="preserve"> </w:t>
      </w:r>
      <w:r w:rsidR="00BF65FC" w:rsidRPr="005303F7">
        <w:rPr>
          <w:rFonts w:ascii="Times New Roman" w:hAnsi="Times New Roman"/>
          <w:sz w:val="24"/>
          <w:lang w:val="sr-Cyrl-CS"/>
        </w:rPr>
        <w:t>пољопривредна</w:t>
      </w:r>
      <w:r w:rsidR="007E013B" w:rsidRPr="005303F7">
        <w:rPr>
          <w:rFonts w:ascii="Times New Roman" w:hAnsi="Times New Roman"/>
          <w:sz w:val="24"/>
          <w:lang w:val="sr-Cyrl-CS"/>
        </w:rPr>
        <w:t xml:space="preserve"> </w:t>
      </w:r>
      <w:r w:rsidR="00BF65FC" w:rsidRPr="005303F7">
        <w:rPr>
          <w:rFonts w:ascii="Times New Roman" w:hAnsi="Times New Roman"/>
          <w:sz w:val="24"/>
          <w:lang w:val="sr-Cyrl-CS"/>
        </w:rPr>
        <w:t>производња</w:t>
      </w:r>
      <w:r w:rsidR="003D63ED" w:rsidRPr="005303F7">
        <w:rPr>
          <w:rFonts w:ascii="Times New Roman" w:hAnsi="Times New Roman"/>
          <w:sz w:val="24"/>
          <w:lang w:val="sr-Cyrl-CS"/>
        </w:rPr>
        <w:t>.</w:t>
      </w:r>
    </w:p>
    <w:p w14:paraId="3B91F546" w14:textId="77777777" w:rsidR="00527F60" w:rsidRPr="005303F7" w:rsidRDefault="00527F60" w:rsidP="000D3029">
      <w:pPr>
        <w:tabs>
          <w:tab w:val="clear" w:pos="3825"/>
        </w:tabs>
        <w:overflowPunct/>
        <w:spacing w:before="0" w:after="0"/>
        <w:textAlignment w:val="auto"/>
        <w:rPr>
          <w:rFonts w:ascii="Times New Roman" w:hAnsi="Times New Roman"/>
          <w:sz w:val="24"/>
          <w:lang w:val="sr-Cyrl-CS"/>
        </w:rPr>
      </w:pPr>
    </w:p>
    <w:p w14:paraId="47524E48" w14:textId="7A5442FC" w:rsidR="00527F60" w:rsidRPr="005303F7" w:rsidRDefault="00DA7CD2" w:rsidP="000D3029">
      <w:pPr>
        <w:tabs>
          <w:tab w:val="clear" w:pos="3825"/>
        </w:tabs>
        <w:overflowPunct/>
        <w:spacing w:before="0" w:after="0"/>
        <w:textAlignment w:val="auto"/>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Додатни</w:t>
      </w:r>
      <w:r w:rsidR="00527F60" w:rsidRPr="005303F7">
        <w:rPr>
          <w:rFonts w:ascii="Times New Roman" w:hAnsi="Times New Roman"/>
          <w:sz w:val="24"/>
          <w:lang w:val="sr-Cyrl-CS"/>
        </w:rPr>
        <w:t xml:space="preserve"> </w:t>
      </w:r>
      <w:r w:rsidR="00BF65FC" w:rsidRPr="005303F7">
        <w:rPr>
          <w:rFonts w:ascii="Times New Roman" w:hAnsi="Times New Roman"/>
          <w:sz w:val="24"/>
          <w:lang w:val="sr-Cyrl-CS"/>
        </w:rPr>
        <w:t>трошкови</w:t>
      </w:r>
      <w:r w:rsidR="00527F60" w:rsidRPr="005303F7">
        <w:rPr>
          <w:rFonts w:ascii="Times New Roman" w:hAnsi="Times New Roman"/>
          <w:sz w:val="24"/>
          <w:lang w:val="sr-Cyrl-CS"/>
        </w:rPr>
        <w:t xml:space="preserve"> </w:t>
      </w:r>
      <w:r w:rsidR="00BF65FC" w:rsidRPr="005303F7">
        <w:rPr>
          <w:rFonts w:ascii="Times New Roman" w:hAnsi="Times New Roman"/>
          <w:sz w:val="24"/>
          <w:lang w:val="sr-Cyrl-CS"/>
        </w:rPr>
        <w:t>улагања</w:t>
      </w:r>
      <w:r w:rsidR="00527F60"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527F60" w:rsidRPr="005303F7">
        <w:rPr>
          <w:rFonts w:ascii="Times New Roman" w:hAnsi="Times New Roman"/>
          <w:sz w:val="24"/>
          <w:lang w:val="sr-Cyrl-CS"/>
        </w:rPr>
        <w:t xml:space="preserve"> </w:t>
      </w:r>
      <w:r w:rsidR="00BF65FC" w:rsidRPr="005303F7">
        <w:rPr>
          <w:rFonts w:ascii="Times New Roman" w:hAnsi="Times New Roman"/>
          <w:sz w:val="24"/>
          <w:lang w:val="sr-Cyrl-CS"/>
        </w:rPr>
        <w:t>сектору</w:t>
      </w:r>
      <w:r w:rsidR="00527F60" w:rsidRPr="005303F7">
        <w:rPr>
          <w:rFonts w:ascii="Times New Roman" w:hAnsi="Times New Roman"/>
          <w:sz w:val="24"/>
          <w:lang w:val="sr-Cyrl-CS"/>
        </w:rPr>
        <w:t xml:space="preserve"> </w:t>
      </w:r>
      <w:r w:rsidR="00BF65FC" w:rsidRPr="005303F7">
        <w:rPr>
          <w:rFonts w:ascii="Times New Roman" w:hAnsi="Times New Roman"/>
          <w:sz w:val="24"/>
          <w:lang w:val="sr-Cyrl-CS"/>
        </w:rPr>
        <w:t>отпада</w:t>
      </w:r>
      <w:r w:rsidR="00527F60" w:rsidRPr="005303F7">
        <w:rPr>
          <w:rFonts w:ascii="Times New Roman" w:hAnsi="Times New Roman"/>
          <w:sz w:val="24"/>
          <w:lang w:val="sr-Cyrl-CS"/>
        </w:rPr>
        <w:t xml:space="preserve"> </w:t>
      </w:r>
      <w:r w:rsidR="00BF65FC" w:rsidRPr="005303F7">
        <w:rPr>
          <w:rFonts w:ascii="Times New Roman" w:hAnsi="Times New Roman"/>
          <w:sz w:val="24"/>
          <w:lang w:val="sr-Cyrl-CS"/>
        </w:rPr>
        <w:t>ограничени</w:t>
      </w:r>
      <w:r w:rsidR="00527F60" w:rsidRPr="005303F7">
        <w:rPr>
          <w:rFonts w:ascii="Times New Roman" w:hAnsi="Times New Roman"/>
          <w:sz w:val="24"/>
          <w:lang w:val="sr-Cyrl-CS"/>
        </w:rPr>
        <w:t xml:space="preserve"> </w:t>
      </w:r>
      <w:r w:rsidR="00BF65FC" w:rsidRPr="005303F7">
        <w:rPr>
          <w:rFonts w:ascii="Times New Roman" w:hAnsi="Times New Roman"/>
          <w:sz w:val="24"/>
          <w:lang w:val="sr-Cyrl-CS"/>
        </w:rPr>
        <w:t>су</w:t>
      </w:r>
      <w:r w:rsidR="00527F60"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527F60" w:rsidRPr="005303F7">
        <w:rPr>
          <w:rFonts w:ascii="Times New Roman" w:hAnsi="Times New Roman"/>
          <w:sz w:val="24"/>
          <w:lang w:val="sr-Cyrl-CS"/>
        </w:rPr>
        <w:t xml:space="preserve"> </w:t>
      </w:r>
      <w:r w:rsidR="00BF65FC" w:rsidRPr="005303F7">
        <w:rPr>
          <w:rFonts w:ascii="Times New Roman" w:hAnsi="Times New Roman"/>
          <w:sz w:val="24"/>
          <w:lang w:val="sr-Cyrl-CS"/>
        </w:rPr>
        <w:t>период</w:t>
      </w:r>
      <w:r w:rsidR="00527F60" w:rsidRPr="005303F7">
        <w:rPr>
          <w:rFonts w:ascii="Times New Roman" w:hAnsi="Times New Roman"/>
          <w:sz w:val="24"/>
          <w:lang w:val="sr-Cyrl-CS"/>
        </w:rPr>
        <w:t xml:space="preserve"> 2030-2050. </w:t>
      </w:r>
      <w:r w:rsidR="00BF65FC" w:rsidRPr="005303F7">
        <w:rPr>
          <w:rFonts w:ascii="Times New Roman" w:hAnsi="Times New Roman"/>
          <w:sz w:val="24"/>
          <w:lang w:val="sr-Cyrl-CS"/>
        </w:rPr>
        <w:t>године</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527F60" w:rsidRPr="005303F7">
        <w:rPr>
          <w:rFonts w:ascii="Times New Roman" w:hAnsi="Times New Roman"/>
          <w:sz w:val="24"/>
          <w:lang w:val="sr-Cyrl-CS"/>
        </w:rPr>
        <w:t xml:space="preserve"> </w:t>
      </w:r>
      <w:r w:rsidR="00BF65FC" w:rsidRPr="005303F7">
        <w:rPr>
          <w:rFonts w:ascii="Times New Roman" w:hAnsi="Times New Roman"/>
          <w:sz w:val="24"/>
          <w:lang w:val="sr-Cyrl-CS"/>
        </w:rPr>
        <w:t>сценаријима</w:t>
      </w:r>
      <w:r w:rsidR="00527F60" w:rsidRPr="005303F7">
        <w:rPr>
          <w:rFonts w:ascii="Times New Roman" w:hAnsi="Times New Roman"/>
          <w:sz w:val="24"/>
          <w:lang w:val="sr-Cyrl-CS"/>
        </w:rPr>
        <w:t xml:space="preserve"> </w:t>
      </w:r>
      <w:r w:rsidR="00BF65FC" w:rsidRPr="005303F7">
        <w:rPr>
          <w:rFonts w:ascii="Times New Roman" w:hAnsi="Times New Roman"/>
          <w:sz w:val="24"/>
          <w:lang w:val="sr-Cyrl-CS"/>
        </w:rPr>
        <w:t>М</w:t>
      </w:r>
      <w:r w:rsidR="00527F60" w:rsidRPr="005303F7">
        <w:rPr>
          <w:rFonts w:ascii="Times New Roman" w:hAnsi="Times New Roman"/>
          <w:sz w:val="24"/>
          <w:lang w:val="sr-Cyrl-CS"/>
        </w:rPr>
        <w:t xml:space="preserve">3 </w:t>
      </w:r>
      <w:r w:rsidR="00BF65FC" w:rsidRPr="005303F7">
        <w:rPr>
          <w:rFonts w:ascii="Times New Roman" w:hAnsi="Times New Roman"/>
          <w:sz w:val="24"/>
          <w:lang w:val="sr-Cyrl-CS"/>
        </w:rPr>
        <w:t>и</w:t>
      </w:r>
      <w:r w:rsidR="00527F60" w:rsidRPr="005303F7">
        <w:rPr>
          <w:rFonts w:ascii="Times New Roman" w:hAnsi="Times New Roman"/>
          <w:sz w:val="24"/>
          <w:lang w:val="sr-Cyrl-CS"/>
        </w:rPr>
        <w:t xml:space="preserve"> </w:t>
      </w:r>
      <w:r w:rsidR="00BF65FC" w:rsidRPr="005303F7">
        <w:rPr>
          <w:rFonts w:ascii="Times New Roman" w:hAnsi="Times New Roman"/>
          <w:sz w:val="24"/>
          <w:lang w:val="sr-Cyrl-CS"/>
        </w:rPr>
        <w:t>М</w:t>
      </w:r>
      <w:r w:rsidR="00527F60" w:rsidRPr="005303F7">
        <w:rPr>
          <w:rFonts w:ascii="Times New Roman" w:hAnsi="Times New Roman"/>
          <w:sz w:val="24"/>
          <w:lang w:val="sr-Cyrl-CS"/>
        </w:rPr>
        <w:t xml:space="preserve">4, </w:t>
      </w:r>
      <w:r w:rsidR="00BF65FC" w:rsidRPr="005303F7">
        <w:rPr>
          <w:rFonts w:ascii="Times New Roman" w:hAnsi="Times New Roman"/>
          <w:sz w:val="24"/>
          <w:lang w:val="sr-Cyrl-CS"/>
        </w:rPr>
        <w:t>имају</w:t>
      </w:r>
      <w:r w:rsidR="00016298" w:rsidRPr="005303F7">
        <w:rPr>
          <w:rFonts w:ascii="Times New Roman" w:hAnsi="Times New Roman"/>
          <w:sz w:val="24"/>
          <w:lang w:val="sr-Cyrl-CS"/>
        </w:rPr>
        <w:t>ћ</w:t>
      </w:r>
      <w:r w:rsidR="00BF65FC" w:rsidRPr="005303F7">
        <w:rPr>
          <w:rFonts w:ascii="Times New Roman" w:hAnsi="Times New Roman"/>
          <w:sz w:val="24"/>
          <w:lang w:val="sr-Cyrl-CS"/>
        </w:rPr>
        <w:t>и</w:t>
      </w:r>
      <w:r w:rsidR="00527F60"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527F60" w:rsidRPr="005303F7">
        <w:rPr>
          <w:rFonts w:ascii="Times New Roman" w:hAnsi="Times New Roman"/>
          <w:sz w:val="24"/>
          <w:lang w:val="sr-Cyrl-CS"/>
        </w:rPr>
        <w:t xml:space="preserve"> </w:t>
      </w:r>
      <w:r w:rsidR="00BF65FC" w:rsidRPr="005303F7">
        <w:rPr>
          <w:rFonts w:ascii="Times New Roman" w:hAnsi="Times New Roman"/>
          <w:sz w:val="24"/>
          <w:lang w:val="sr-Cyrl-CS"/>
        </w:rPr>
        <w:t>виду</w:t>
      </w:r>
      <w:r w:rsidR="00527F60" w:rsidRPr="005303F7">
        <w:rPr>
          <w:rFonts w:ascii="Times New Roman" w:hAnsi="Times New Roman"/>
          <w:sz w:val="24"/>
          <w:lang w:val="sr-Cyrl-CS"/>
        </w:rPr>
        <w:t xml:space="preserve"> </w:t>
      </w:r>
      <w:r w:rsidR="00BF65FC" w:rsidRPr="005303F7">
        <w:rPr>
          <w:rFonts w:ascii="Times New Roman" w:hAnsi="Times New Roman"/>
          <w:sz w:val="24"/>
          <w:lang w:val="sr-Cyrl-CS"/>
        </w:rPr>
        <w:t>да</w:t>
      </w:r>
      <w:r w:rsidR="00527F60" w:rsidRPr="005303F7">
        <w:rPr>
          <w:rFonts w:ascii="Times New Roman" w:hAnsi="Times New Roman"/>
          <w:sz w:val="24"/>
          <w:lang w:val="sr-Cyrl-CS"/>
        </w:rPr>
        <w:t xml:space="preserve"> </w:t>
      </w:r>
      <w:r w:rsidR="00BF65FC" w:rsidRPr="005303F7">
        <w:rPr>
          <w:rFonts w:ascii="Times New Roman" w:hAnsi="Times New Roman"/>
          <w:sz w:val="24"/>
          <w:lang w:val="sr-Cyrl-CS"/>
        </w:rPr>
        <w:t>основни</w:t>
      </w:r>
      <w:r w:rsidR="001577F4" w:rsidRPr="005303F7">
        <w:rPr>
          <w:rFonts w:ascii="Times New Roman" w:hAnsi="Times New Roman"/>
          <w:sz w:val="24"/>
          <w:lang w:val="sr-Cyrl-CS"/>
        </w:rPr>
        <w:t xml:space="preserve"> </w:t>
      </w:r>
      <w:r w:rsidR="00BF65FC" w:rsidRPr="005303F7">
        <w:rPr>
          <w:rFonts w:ascii="Times New Roman" w:hAnsi="Times New Roman"/>
          <w:sz w:val="24"/>
          <w:lang w:val="sr-Cyrl-CS"/>
        </w:rPr>
        <w:t>сценарио</w:t>
      </w:r>
      <w:r w:rsidR="00527F60" w:rsidRPr="005303F7">
        <w:rPr>
          <w:rFonts w:ascii="Times New Roman" w:hAnsi="Times New Roman"/>
          <w:sz w:val="24"/>
          <w:lang w:val="sr-Cyrl-CS"/>
        </w:rPr>
        <w:t xml:space="preserve"> </w:t>
      </w:r>
      <w:r w:rsidR="00BF65FC" w:rsidRPr="005303F7">
        <w:rPr>
          <w:rFonts w:ascii="Times New Roman" w:hAnsi="Times New Roman"/>
          <w:sz w:val="24"/>
          <w:lang w:val="sr-Cyrl-CS"/>
        </w:rPr>
        <w:t>ве</w:t>
      </w:r>
      <w:r w:rsidR="00016298" w:rsidRPr="005303F7">
        <w:rPr>
          <w:rFonts w:ascii="Times New Roman" w:hAnsi="Times New Roman"/>
          <w:sz w:val="24"/>
          <w:lang w:val="sr-Cyrl-CS"/>
        </w:rPr>
        <w:t>ћ</w:t>
      </w:r>
      <w:r w:rsidR="00527F60" w:rsidRPr="005303F7">
        <w:rPr>
          <w:rFonts w:ascii="Times New Roman" w:hAnsi="Times New Roman"/>
          <w:sz w:val="24"/>
          <w:lang w:val="sr-Cyrl-CS"/>
        </w:rPr>
        <w:t xml:space="preserve"> </w:t>
      </w:r>
      <w:r w:rsidR="00BF65FC" w:rsidRPr="005303F7">
        <w:rPr>
          <w:rFonts w:ascii="Times New Roman" w:hAnsi="Times New Roman"/>
          <w:sz w:val="24"/>
          <w:lang w:val="sr-Cyrl-CS"/>
        </w:rPr>
        <w:t>обухвата</w:t>
      </w:r>
      <w:r w:rsidR="00527F60" w:rsidRPr="005303F7">
        <w:rPr>
          <w:rFonts w:ascii="Times New Roman" w:hAnsi="Times New Roman"/>
          <w:sz w:val="24"/>
          <w:lang w:val="sr-Cyrl-CS"/>
        </w:rPr>
        <w:t xml:space="preserve"> </w:t>
      </w:r>
      <w:r w:rsidR="00BF65FC" w:rsidRPr="005303F7">
        <w:rPr>
          <w:rFonts w:ascii="Times New Roman" w:hAnsi="Times New Roman"/>
          <w:sz w:val="24"/>
          <w:lang w:val="sr-Cyrl-CS"/>
        </w:rPr>
        <w:t>улагања</w:t>
      </w:r>
      <w:r w:rsidR="00527F60" w:rsidRPr="005303F7">
        <w:rPr>
          <w:rFonts w:ascii="Times New Roman" w:hAnsi="Times New Roman"/>
          <w:sz w:val="24"/>
          <w:lang w:val="sr-Cyrl-CS"/>
        </w:rPr>
        <w:t xml:space="preserve"> </w:t>
      </w:r>
      <w:r w:rsidR="00BF65FC" w:rsidRPr="005303F7">
        <w:rPr>
          <w:rFonts w:ascii="Times New Roman" w:hAnsi="Times New Roman"/>
          <w:sz w:val="24"/>
          <w:lang w:val="sr-Cyrl-CS"/>
        </w:rPr>
        <w:t>потребна</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усаглашавање</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са</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законодавством</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ЕУ</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овом</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сектору</w:t>
      </w:r>
      <w:r w:rsidR="00527F60" w:rsidRPr="005303F7">
        <w:rPr>
          <w:rFonts w:ascii="Times New Roman" w:hAnsi="Times New Roman"/>
          <w:sz w:val="24"/>
          <w:lang w:val="sr-Cyrl-CS"/>
        </w:rPr>
        <w:t>.</w:t>
      </w:r>
    </w:p>
    <w:p w14:paraId="3CCAD8BF" w14:textId="0D9AAC98" w:rsidR="009F22EE" w:rsidRPr="005303F7" w:rsidRDefault="00DA7CD2" w:rsidP="00637AF4">
      <w:pPr>
        <w:rPr>
          <w:rFonts w:ascii="Times New Roman" w:hAnsi="Times New Roman"/>
          <w:sz w:val="24"/>
          <w:szCs w:val="22"/>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Улагања</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шумарски</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сектор</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периоду</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до</w:t>
      </w:r>
      <w:r w:rsidR="00813B0E" w:rsidRPr="005303F7">
        <w:rPr>
          <w:rFonts w:ascii="Times New Roman" w:hAnsi="Times New Roman"/>
          <w:sz w:val="24"/>
          <w:lang w:val="sr-Cyrl-CS"/>
        </w:rPr>
        <w:t xml:space="preserve"> 2030. </w:t>
      </w:r>
      <w:r w:rsidR="00BF65FC" w:rsidRPr="005303F7">
        <w:rPr>
          <w:rFonts w:ascii="Times New Roman" w:hAnsi="Times New Roman"/>
          <w:sz w:val="24"/>
          <w:lang w:val="sr-Cyrl-CS"/>
        </w:rPr>
        <w:t>године</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износе</w:t>
      </w:r>
      <w:r w:rsidR="00813B0E" w:rsidRPr="005303F7">
        <w:rPr>
          <w:rFonts w:ascii="Times New Roman" w:hAnsi="Times New Roman"/>
          <w:sz w:val="24"/>
          <w:lang w:val="sr-Cyrl-CS"/>
        </w:rPr>
        <w:t xml:space="preserve"> 92 </w:t>
      </w:r>
      <w:r w:rsidR="00BF65FC" w:rsidRPr="005303F7">
        <w:rPr>
          <w:rFonts w:ascii="Times New Roman" w:hAnsi="Times New Roman"/>
          <w:sz w:val="24"/>
          <w:lang w:val="sr-Cyrl-CS"/>
        </w:rPr>
        <w:t>милиона</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евра</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углавном</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представљају</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напор</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потребан</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испуњавање</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циљева</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пошумљавања</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предвиђених</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овом</w:t>
      </w:r>
      <w:r w:rsidR="00813B0E" w:rsidRPr="005303F7">
        <w:rPr>
          <w:rFonts w:ascii="Times New Roman" w:hAnsi="Times New Roman"/>
          <w:sz w:val="24"/>
          <w:lang w:val="sr-Cyrl-CS"/>
        </w:rPr>
        <w:t xml:space="preserve"> </w:t>
      </w:r>
      <w:r w:rsidR="00CB1697" w:rsidRPr="005303F7">
        <w:rPr>
          <w:rFonts w:ascii="Times New Roman" w:hAnsi="Times New Roman"/>
          <w:sz w:val="24"/>
          <w:lang w:val="sr-Cyrl-CS"/>
        </w:rPr>
        <w:t>С</w:t>
      </w:r>
      <w:r w:rsidR="00BF65FC" w:rsidRPr="005303F7">
        <w:rPr>
          <w:rFonts w:ascii="Times New Roman" w:hAnsi="Times New Roman"/>
          <w:sz w:val="24"/>
          <w:lang w:val="sr-Cyrl-CS"/>
        </w:rPr>
        <w:t>тратегијом</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Дугорочно</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ниво</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инвестиционих</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потреба</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остаје</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константан</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осим</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М</w:t>
      </w:r>
      <w:r w:rsidR="00813B0E" w:rsidRPr="005303F7">
        <w:rPr>
          <w:rFonts w:ascii="Times New Roman" w:hAnsi="Times New Roman"/>
          <w:sz w:val="24"/>
          <w:lang w:val="sr-Cyrl-CS"/>
        </w:rPr>
        <w:t xml:space="preserve">4, </w:t>
      </w:r>
      <w:r w:rsidR="00BF65FC" w:rsidRPr="005303F7">
        <w:rPr>
          <w:rFonts w:ascii="Times New Roman" w:hAnsi="Times New Roman"/>
          <w:sz w:val="24"/>
          <w:lang w:val="sr-Cyrl-CS"/>
        </w:rPr>
        <w:t>где</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је</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циљ</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пошумљавање</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крајње</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амбициозан</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захтева</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значајна</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улагања</w:t>
      </w:r>
      <w:r w:rsidR="00813B0E" w:rsidRPr="005303F7">
        <w:rPr>
          <w:rFonts w:ascii="Times New Roman" w:hAnsi="Times New Roman"/>
          <w:sz w:val="24"/>
          <w:lang w:val="sr-Cyrl-CS"/>
        </w:rPr>
        <w:t xml:space="preserve"> (621 </w:t>
      </w:r>
      <w:r w:rsidR="00BF65FC" w:rsidRPr="005303F7">
        <w:rPr>
          <w:rFonts w:ascii="Times New Roman" w:hAnsi="Times New Roman"/>
          <w:sz w:val="24"/>
          <w:lang w:val="sr-Cyrl-CS"/>
        </w:rPr>
        <w:t>милиона</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евра</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813B0E" w:rsidRPr="005303F7">
        <w:rPr>
          <w:rFonts w:ascii="Times New Roman" w:hAnsi="Times New Roman"/>
          <w:sz w:val="24"/>
          <w:lang w:val="sr-Cyrl-CS"/>
        </w:rPr>
        <w:t xml:space="preserve"> </w:t>
      </w:r>
      <w:r w:rsidR="00BF65FC" w:rsidRPr="005303F7">
        <w:rPr>
          <w:rFonts w:ascii="Times New Roman" w:hAnsi="Times New Roman"/>
          <w:sz w:val="24"/>
          <w:lang w:val="sr-Cyrl-CS"/>
        </w:rPr>
        <w:t>периоду</w:t>
      </w:r>
      <w:r w:rsidR="00813B0E" w:rsidRPr="005303F7">
        <w:rPr>
          <w:rFonts w:ascii="Times New Roman" w:hAnsi="Times New Roman"/>
          <w:sz w:val="24"/>
          <w:lang w:val="sr-Cyrl-CS"/>
        </w:rPr>
        <w:t xml:space="preserve"> 2030 - 2050. </w:t>
      </w:r>
      <w:r w:rsidR="00BF65FC" w:rsidRPr="005303F7">
        <w:rPr>
          <w:rFonts w:ascii="Times New Roman" w:hAnsi="Times New Roman"/>
          <w:sz w:val="24"/>
          <w:lang w:val="sr-Cyrl-CS"/>
        </w:rPr>
        <w:t>године</w:t>
      </w:r>
      <w:r w:rsidR="00813B0E" w:rsidRPr="005303F7">
        <w:rPr>
          <w:rFonts w:ascii="Times New Roman" w:hAnsi="Times New Roman"/>
          <w:sz w:val="24"/>
          <w:lang w:val="sr-Cyrl-CS"/>
        </w:rPr>
        <w:t>).</w:t>
      </w:r>
      <w:r w:rsidR="00B13A06" w:rsidRPr="005303F7">
        <w:rPr>
          <w:rFonts w:ascii="Times New Roman" w:hAnsi="Times New Roman"/>
          <w:sz w:val="24"/>
          <w:lang w:val="sr-Cyrl-CS"/>
        </w:rPr>
        <w:t xml:space="preserve"> </w:t>
      </w:r>
      <w:r w:rsidR="00BF65FC" w:rsidRPr="005303F7">
        <w:rPr>
          <w:rFonts w:ascii="Times New Roman" w:hAnsi="Times New Roman"/>
          <w:sz w:val="24"/>
          <w:lang w:val="sr-Cyrl-CS"/>
        </w:rPr>
        <w:t>Табела</w:t>
      </w:r>
      <w:r w:rsidR="00B13A06" w:rsidRPr="005303F7">
        <w:rPr>
          <w:rFonts w:ascii="Times New Roman" w:hAnsi="Times New Roman"/>
          <w:sz w:val="24"/>
          <w:lang w:val="sr-Cyrl-CS"/>
        </w:rPr>
        <w:t xml:space="preserve"> 13 </w:t>
      </w:r>
      <w:r w:rsidR="00BF65FC" w:rsidRPr="005303F7">
        <w:rPr>
          <w:rFonts w:ascii="Times New Roman" w:hAnsi="Times New Roman"/>
          <w:sz w:val="24"/>
          <w:szCs w:val="22"/>
          <w:lang w:val="sr-Cyrl-CS"/>
        </w:rPr>
        <w:t>обухвата</w:t>
      </w:r>
      <w:r w:rsidR="0074247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додатне</w:t>
      </w:r>
      <w:r w:rsidR="0074247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инвестиционе</w:t>
      </w:r>
      <w:r w:rsidR="0074247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трошкове</w:t>
      </w:r>
      <w:r w:rsidR="0074247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неопходне</w:t>
      </w:r>
      <w:r w:rsidR="0074247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за</w:t>
      </w:r>
      <w:r w:rsidR="0074247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спровођење</w:t>
      </w:r>
      <w:r w:rsidR="0074247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Стратегије</w:t>
      </w:r>
      <w:r w:rsidR="0074247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по</w:t>
      </w:r>
      <w:r w:rsidR="0074247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секторима</w:t>
      </w:r>
      <w:r w:rsidR="0074247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са</w:t>
      </w:r>
      <w:r w:rsidR="0074247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додатним</w:t>
      </w:r>
      <w:r w:rsidR="0074247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детаљима</w:t>
      </w:r>
      <w:r w:rsidR="0074247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за</w:t>
      </w:r>
      <w:r w:rsidR="0074247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енергетски</w:t>
      </w:r>
      <w:r w:rsidR="0074247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сектор</w:t>
      </w:r>
      <w:r w:rsidR="0074247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због</w:t>
      </w:r>
      <w:r w:rsidR="0074247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најве</w:t>
      </w:r>
      <w:r w:rsidR="00016298" w:rsidRPr="005303F7">
        <w:rPr>
          <w:rFonts w:ascii="Times New Roman" w:hAnsi="Times New Roman"/>
          <w:sz w:val="24"/>
          <w:szCs w:val="22"/>
          <w:lang w:val="sr-Cyrl-CS"/>
        </w:rPr>
        <w:t>ћ</w:t>
      </w:r>
      <w:r w:rsidR="00BF65FC" w:rsidRPr="005303F7">
        <w:rPr>
          <w:rFonts w:ascii="Times New Roman" w:hAnsi="Times New Roman"/>
          <w:sz w:val="24"/>
          <w:szCs w:val="22"/>
          <w:lang w:val="sr-Cyrl-CS"/>
        </w:rPr>
        <w:t>их</w:t>
      </w:r>
      <w:r w:rsidR="0074247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додатних</w:t>
      </w:r>
      <w:r w:rsidR="0074247F"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улагања</w:t>
      </w:r>
      <w:r w:rsidR="0074247F" w:rsidRPr="005303F7">
        <w:rPr>
          <w:rFonts w:ascii="Times New Roman" w:hAnsi="Times New Roman"/>
          <w:sz w:val="24"/>
          <w:szCs w:val="22"/>
          <w:lang w:val="sr-Cyrl-CS"/>
        </w:rPr>
        <w:t>.</w:t>
      </w:r>
    </w:p>
    <w:p w14:paraId="3BD93E4D" w14:textId="1CDF508C" w:rsidR="00612608" w:rsidRPr="005303F7" w:rsidRDefault="00BF65FC" w:rsidP="009F22EE">
      <w:pPr>
        <w:spacing w:after="60"/>
        <w:rPr>
          <w:rFonts w:ascii="Times New Roman" w:hAnsi="Times New Roman"/>
          <w:b/>
          <w:bCs/>
          <w:i/>
          <w:iCs/>
          <w:sz w:val="20"/>
          <w:szCs w:val="18"/>
          <w:lang w:val="sr-Cyrl-CS"/>
        </w:rPr>
      </w:pPr>
      <w:bookmarkStart w:id="325" w:name="_Ref12996279"/>
      <w:bookmarkStart w:id="326" w:name="_Toc13132547"/>
      <w:bookmarkStart w:id="327" w:name="_Toc26450885"/>
      <w:r w:rsidRPr="005303F7">
        <w:rPr>
          <w:rFonts w:ascii="Times New Roman" w:hAnsi="Times New Roman"/>
          <w:b/>
          <w:bCs/>
          <w:i/>
          <w:iCs/>
          <w:sz w:val="20"/>
          <w:szCs w:val="18"/>
          <w:lang w:val="sr-Cyrl-CS"/>
        </w:rPr>
        <w:t>Табела</w:t>
      </w:r>
      <w:r w:rsidR="000A2914" w:rsidRPr="005303F7">
        <w:rPr>
          <w:rFonts w:ascii="Times New Roman" w:hAnsi="Times New Roman"/>
          <w:b/>
          <w:bCs/>
          <w:i/>
          <w:iCs/>
          <w:sz w:val="20"/>
          <w:szCs w:val="18"/>
          <w:lang w:val="sr-Cyrl-CS"/>
        </w:rPr>
        <w:t xml:space="preserve"> </w:t>
      </w:r>
      <w:r w:rsidR="00D35E3C" w:rsidRPr="005303F7">
        <w:rPr>
          <w:rFonts w:ascii="Times New Roman" w:hAnsi="Times New Roman"/>
          <w:b/>
          <w:bCs/>
          <w:i/>
          <w:iCs/>
          <w:sz w:val="20"/>
          <w:szCs w:val="18"/>
          <w:lang w:val="sr-Cyrl-CS"/>
        </w:rPr>
        <w:fldChar w:fldCharType="begin"/>
      </w:r>
      <w:r w:rsidR="00D35E3C" w:rsidRPr="005303F7">
        <w:rPr>
          <w:rFonts w:ascii="Times New Roman" w:hAnsi="Times New Roman"/>
          <w:b/>
          <w:bCs/>
          <w:i/>
          <w:iCs/>
          <w:sz w:val="20"/>
          <w:szCs w:val="18"/>
          <w:lang w:val="sr-Cyrl-CS"/>
        </w:rPr>
        <w:instrText xml:space="preserve"> SEQ Table \* ARABIC </w:instrText>
      </w:r>
      <w:r w:rsidR="00D35E3C" w:rsidRPr="005303F7">
        <w:rPr>
          <w:rFonts w:ascii="Times New Roman" w:hAnsi="Times New Roman"/>
          <w:b/>
          <w:bCs/>
          <w:i/>
          <w:iCs/>
          <w:sz w:val="20"/>
          <w:szCs w:val="18"/>
          <w:lang w:val="sr-Cyrl-CS"/>
        </w:rPr>
        <w:fldChar w:fldCharType="separate"/>
      </w:r>
      <w:r w:rsidR="00DA2595" w:rsidRPr="005303F7">
        <w:rPr>
          <w:rFonts w:ascii="Times New Roman" w:hAnsi="Times New Roman"/>
          <w:b/>
          <w:bCs/>
          <w:i/>
          <w:iCs/>
          <w:noProof/>
          <w:sz w:val="20"/>
          <w:szCs w:val="18"/>
          <w:lang w:val="sr-Cyrl-CS"/>
        </w:rPr>
        <w:t>13</w:t>
      </w:r>
      <w:r w:rsidR="00D35E3C" w:rsidRPr="005303F7">
        <w:rPr>
          <w:rFonts w:ascii="Times New Roman" w:hAnsi="Times New Roman"/>
          <w:b/>
          <w:bCs/>
          <w:i/>
          <w:iCs/>
          <w:sz w:val="20"/>
          <w:szCs w:val="18"/>
          <w:lang w:val="sr-Cyrl-CS"/>
        </w:rPr>
        <w:fldChar w:fldCharType="end"/>
      </w:r>
      <w:bookmarkEnd w:id="325"/>
      <w:r w:rsidR="00612608" w:rsidRPr="005303F7">
        <w:rPr>
          <w:rFonts w:ascii="Times New Roman" w:hAnsi="Times New Roman"/>
          <w:b/>
          <w:bCs/>
          <w:i/>
          <w:iCs/>
          <w:sz w:val="20"/>
          <w:szCs w:val="18"/>
          <w:lang w:val="sr-Cyrl-CS"/>
        </w:rPr>
        <w:t>:</w:t>
      </w:r>
      <w:bookmarkEnd w:id="326"/>
      <w:r w:rsidR="004C2BCD"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Додатни</w:t>
      </w:r>
      <w:r w:rsidR="004C2BCD"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инвестициони</w:t>
      </w:r>
      <w:r w:rsidR="004C2BCD"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трошкови</w:t>
      </w:r>
      <w:r w:rsidR="004C2BCD"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потребни</w:t>
      </w:r>
      <w:r w:rsidR="004C2BCD"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за</w:t>
      </w:r>
      <w:r w:rsidR="004C2BCD"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имплементацију</w:t>
      </w:r>
      <w:r w:rsidR="004C2BCD"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путања</w:t>
      </w:r>
      <w:r w:rsidR="00DD2BFE" w:rsidRPr="005303F7">
        <w:rPr>
          <w:rFonts w:ascii="Times New Roman" w:hAnsi="Times New Roman"/>
          <w:b/>
          <w:bCs/>
          <w:i/>
          <w:iCs/>
          <w:sz w:val="20"/>
          <w:szCs w:val="18"/>
          <w:lang w:val="sr-Cyrl-CS"/>
        </w:rPr>
        <w:t xml:space="preserve"> (горња и доња)</w:t>
      </w:r>
      <w:r w:rsidR="004C2BCD"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нискоугљеничног</w:t>
      </w:r>
      <w:r w:rsidR="004C2BCD"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развоја</w:t>
      </w:r>
      <w:r w:rsidR="004C2BCD"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из</w:t>
      </w:r>
      <w:r w:rsidR="004C2BCD"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Стратегије</w:t>
      </w:r>
      <w:r w:rsidR="004C2BCD"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у</w:t>
      </w:r>
      <w:r w:rsidR="004C2BCD"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поређењу</w:t>
      </w:r>
      <w:r w:rsidR="004C2BCD"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са</w:t>
      </w:r>
      <w:r w:rsidR="004C2BCD"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основним</w:t>
      </w:r>
      <w:r w:rsidR="004C2BCD"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сценаријом</w:t>
      </w:r>
      <w:r w:rsidR="004C2BCD" w:rsidRPr="005303F7">
        <w:rPr>
          <w:rFonts w:ascii="Times New Roman" w:hAnsi="Times New Roman"/>
          <w:b/>
          <w:bCs/>
          <w:i/>
          <w:iCs/>
          <w:sz w:val="20"/>
          <w:szCs w:val="18"/>
          <w:lang w:val="sr-Cyrl-CS"/>
        </w:rPr>
        <w:t>)</w:t>
      </w:r>
      <w:bookmarkEnd w:id="327"/>
      <w:r w:rsidR="00B53D9A" w:rsidRPr="005303F7">
        <w:rPr>
          <w:rStyle w:val="FootnoteReference"/>
          <w:rFonts w:ascii="Times New Roman" w:hAnsi="Times New Roman"/>
          <w:b/>
          <w:bCs/>
          <w:i/>
          <w:iCs/>
          <w:szCs w:val="18"/>
          <w:lang w:val="sr-Cyrl-CS"/>
        </w:rPr>
        <w:footnoteReference w:id="56"/>
      </w:r>
      <w:r w:rsidR="009F22EE" w:rsidRPr="005303F7">
        <w:rPr>
          <w:rFonts w:ascii="Times New Roman" w:hAnsi="Times New Roman"/>
          <w:b/>
          <w:bCs/>
          <w:i/>
          <w:iCs/>
          <w:sz w:val="20"/>
          <w:szCs w:val="18"/>
          <w:lang w:val="sr-Cyrl-CS"/>
        </w:rPr>
        <w:t xml:space="preserve"> (</w:t>
      </w:r>
      <w:r w:rsidR="0039680D" w:rsidRPr="005303F7">
        <w:rPr>
          <w:rFonts w:ascii="Times New Roman" w:hAnsi="Times New Roman"/>
          <w:b/>
          <w:bCs/>
          <w:i/>
          <w:iCs/>
          <w:sz w:val="20"/>
          <w:szCs w:val="18"/>
          <w:lang w:val="sr-Cyrl-CS"/>
        </w:rPr>
        <w:t>милиона</w:t>
      </w:r>
      <w:r w:rsidR="009F22EE" w:rsidRPr="005303F7">
        <w:rPr>
          <w:rFonts w:ascii="Times New Roman" w:hAnsi="Times New Roman"/>
          <w:b/>
          <w:bCs/>
          <w:i/>
          <w:iCs/>
          <w:sz w:val="20"/>
          <w:szCs w:val="18"/>
          <w:lang w:val="sr-Cyrl-CS"/>
        </w:rPr>
        <w:t xml:space="preserve"> евра)</w:t>
      </w:r>
    </w:p>
    <w:tbl>
      <w:tblPr>
        <w:tblW w:w="5000" w:type="pct"/>
        <w:tblLayout w:type="fixed"/>
        <w:tblLook w:val="0000" w:firstRow="0" w:lastRow="0" w:firstColumn="0" w:lastColumn="0" w:noHBand="0" w:noVBand="0"/>
      </w:tblPr>
      <w:tblGrid>
        <w:gridCol w:w="5378"/>
        <w:gridCol w:w="992"/>
        <w:gridCol w:w="1418"/>
        <w:gridCol w:w="1418"/>
      </w:tblGrid>
      <w:tr w:rsidR="00FC6545" w:rsidRPr="005303F7" w14:paraId="3B45D7B5" w14:textId="77777777" w:rsidTr="00353B06">
        <w:trPr>
          <w:trHeight w:val="317"/>
          <w:tblHeader/>
        </w:trPr>
        <w:tc>
          <w:tcPr>
            <w:tcW w:w="2921" w:type="pct"/>
            <w:vMerge w:val="restart"/>
            <w:tcBorders>
              <w:top w:val="single" w:sz="4" w:space="0" w:color="auto"/>
              <w:left w:val="single" w:sz="6" w:space="0" w:color="auto"/>
              <w:right w:val="single" w:sz="6" w:space="0" w:color="auto"/>
            </w:tcBorders>
            <w:shd w:val="clear" w:color="auto" w:fill="D9D9D9" w:themeFill="background1" w:themeFillShade="D9"/>
          </w:tcPr>
          <w:p w14:paraId="408ED732" w14:textId="77777777" w:rsidR="00FC6545" w:rsidRPr="005303F7" w:rsidRDefault="00FC6545">
            <w:pPr>
              <w:tabs>
                <w:tab w:val="clear" w:pos="3825"/>
              </w:tabs>
              <w:overflowPunct/>
              <w:spacing w:before="0" w:after="0"/>
              <w:jc w:val="right"/>
              <w:textAlignment w:val="auto"/>
              <w:rPr>
                <w:rFonts w:ascii="Times New Roman" w:hAnsi="Times New Roman"/>
                <w:color w:val="000000"/>
                <w:szCs w:val="22"/>
                <w:lang w:val="sr-Cyrl-CS"/>
              </w:rPr>
            </w:pPr>
          </w:p>
        </w:tc>
        <w:tc>
          <w:tcPr>
            <w:tcW w:w="539" w:type="pct"/>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42E27ACC" w14:textId="63653276" w:rsidR="00FC6545" w:rsidRPr="005303F7" w:rsidRDefault="00FC6545" w:rsidP="00FC6545">
            <w:pPr>
              <w:tabs>
                <w:tab w:val="clear" w:pos="3825"/>
              </w:tabs>
              <w:overflowPunct/>
              <w:spacing w:before="0" w:after="0"/>
              <w:jc w:val="center"/>
              <w:textAlignment w:val="auto"/>
              <w:rPr>
                <w:rFonts w:ascii="Times New Roman" w:hAnsi="Times New Roman"/>
                <w:color w:val="000000"/>
                <w:szCs w:val="22"/>
                <w:lang w:val="sr-Cyrl-CS"/>
              </w:rPr>
            </w:pPr>
            <w:r w:rsidRPr="005303F7">
              <w:rPr>
                <w:rFonts w:ascii="Times New Roman" w:hAnsi="Times New Roman"/>
                <w:color w:val="000000"/>
                <w:szCs w:val="22"/>
                <w:lang w:val="sr-Cyrl-CS"/>
              </w:rPr>
              <w:t>2030</w:t>
            </w:r>
            <w:r w:rsidR="00301059" w:rsidRPr="005303F7">
              <w:rPr>
                <w:rFonts w:ascii="Times New Roman" w:hAnsi="Times New Roman"/>
                <w:color w:val="000000"/>
                <w:szCs w:val="22"/>
                <w:lang w:val="sr-Cyrl-CS"/>
              </w:rPr>
              <w:t>.</w:t>
            </w:r>
          </w:p>
        </w:tc>
        <w:tc>
          <w:tcPr>
            <w:tcW w:w="1540" w:type="pct"/>
            <w:gridSpan w:val="2"/>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27E29A4A" w14:textId="3C4DC810" w:rsidR="00FC6545" w:rsidRPr="005303F7" w:rsidRDefault="00FC6545" w:rsidP="00FC6545">
            <w:pPr>
              <w:tabs>
                <w:tab w:val="clear" w:pos="3825"/>
              </w:tabs>
              <w:overflowPunct/>
              <w:spacing w:before="0" w:after="0"/>
              <w:jc w:val="center"/>
              <w:textAlignment w:val="auto"/>
              <w:rPr>
                <w:rFonts w:ascii="Times New Roman" w:hAnsi="Times New Roman"/>
                <w:color w:val="000000"/>
                <w:szCs w:val="22"/>
                <w:lang w:val="sr-Cyrl-CS"/>
              </w:rPr>
            </w:pPr>
            <w:r w:rsidRPr="005303F7">
              <w:rPr>
                <w:rFonts w:ascii="Times New Roman" w:hAnsi="Times New Roman"/>
                <w:color w:val="000000"/>
                <w:szCs w:val="22"/>
                <w:lang w:val="sr-Cyrl-CS"/>
              </w:rPr>
              <w:t>2030-2050</w:t>
            </w:r>
            <w:r w:rsidR="00301059" w:rsidRPr="005303F7">
              <w:rPr>
                <w:rFonts w:ascii="Times New Roman" w:hAnsi="Times New Roman"/>
                <w:color w:val="000000"/>
                <w:szCs w:val="22"/>
                <w:lang w:val="sr-Cyrl-CS"/>
              </w:rPr>
              <w:t>.</w:t>
            </w:r>
          </w:p>
        </w:tc>
      </w:tr>
      <w:tr w:rsidR="00FC6545" w:rsidRPr="005303F7" w14:paraId="2175E55D" w14:textId="77777777" w:rsidTr="00353B06">
        <w:trPr>
          <w:trHeight w:val="317"/>
          <w:tblHeader/>
        </w:trPr>
        <w:tc>
          <w:tcPr>
            <w:tcW w:w="2921" w:type="pct"/>
            <w:vMerge/>
            <w:tcBorders>
              <w:left w:val="single" w:sz="6" w:space="0" w:color="auto"/>
              <w:bottom w:val="single" w:sz="6" w:space="0" w:color="auto"/>
              <w:right w:val="single" w:sz="6" w:space="0" w:color="auto"/>
            </w:tcBorders>
            <w:shd w:val="clear" w:color="auto" w:fill="D9D9D9" w:themeFill="background1" w:themeFillShade="D9"/>
          </w:tcPr>
          <w:p w14:paraId="74BF50EA" w14:textId="77777777" w:rsidR="00FC6545" w:rsidRPr="005303F7" w:rsidRDefault="00FC6545">
            <w:pPr>
              <w:tabs>
                <w:tab w:val="clear" w:pos="3825"/>
              </w:tabs>
              <w:overflowPunct/>
              <w:spacing w:before="0" w:after="0"/>
              <w:jc w:val="right"/>
              <w:textAlignment w:val="auto"/>
              <w:rPr>
                <w:rFonts w:ascii="Times New Roman" w:hAnsi="Times New Roman"/>
                <w:color w:val="000000"/>
                <w:szCs w:val="22"/>
                <w:lang w:val="sr-Cyrl-CS"/>
              </w:rPr>
            </w:pPr>
          </w:p>
        </w:tc>
        <w:tc>
          <w:tcPr>
            <w:tcW w:w="539" w:type="pct"/>
            <w:tcBorders>
              <w:top w:val="nil"/>
              <w:left w:val="single" w:sz="6" w:space="0" w:color="auto"/>
              <w:bottom w:val="single" w:sz="6" w:space="0" w:color="auto"/>
              <w:right w:val="single" w:sz="6" w:space="0" w:color="auto"/>
            </w:tcBorders>
            <w:shd w:val="clear" w:color="auto" w:fill="D9D9D9" w:themeFill="background1" w:themeFillShade="D9"/>
            <w:vAlign w:val="center"/>
          </w:tcPr>
          <w:p w14:paraId="6A9007A8" w14:textId="030FBABF" w:rsidR="00FC6545" w:rsidRPr="005303F7" w:rsidRDefault="00BF65FC" w:rsidP="00FC6545">
            <w:pPr>
              <w:tabs>
                <w:tab w:val="clear" w:pos="3825"/>
              </w:tabs>
              <w:overflowPunct/>
              <w:spacing w:before="0" w:after="0"/>
              <w:jc w:val="center"/>
              <w:textAlignment w:val="auto"/>
              <w:rPr>
                <w:rFonts w:ascii="Times New Roman" w:hAnsi="Times New Roman"/>
                <w:color w:val="000000"/>
                <w:szCs w:val="22"/>
                <w:lang w:val="sr-Cyrl-CS"/>
              </w:rPr>
            </w:pPr>
            <w:r w:rsidRPr="005303F7">
              <w:rPr>
                <w:rFonts w:ascii="Times New Roman" w:hAnsi="Times New Roman"/>
                <w:color w:val="000000"/>
                <w:szCs w:val="22"/>
                <w:lang w:val="sr-Cyrl-CS"/>
              </w:rPr>
              <w:t>М</w:t>
            </w:r>
            <w:r w:rsidR="00FC6545" w:rsidRPr="005303F7">
              <w:rPr>
                <w:rFonts w:ascii="Times New Roman" w:hAnsi="Times New Roman"/>
                <w:color w:val="000000"/>
                <w:szCs w:val="22"/>
                <w:lang w:val="sr-Cyrl-CS"/>
              </w:rPr>
              <w:t>2</w:t>
            </w:r>
          </w:p>
        </w:tc>
        <w:tc>
          <w:tcPr>
            <w:tcW w:w="770" w:type="pct"/>
            <w:tcBorders>
              <w:top w:val="nil"/>
              <w:left w:val="single" w:sz="6" w:space="0" w:color="auto"/>
              <w:bottom w:val="single" w:sz="6" w:space="0" w:color="auto"/>
              <w:right w:val="single" w:sz="6" w:space="0" w:color="auto"/>
            </w:tcBorders>
            <w:shd w:val="clear" w:color="auto" w:fill="D9D9D9" w:themeFill="background1" w:themeFillShade="D9"/>
            <w:vAlign w:val="center"/>
          </w:tcPr>
          <w:p w14:paraId="3282B28A" w14:textId="2BB45F54" w:rsidR="00FC6545" w:rsidRPr="005303F7" w:rsidRDefault="00BF65FC" w:rsidP="00FC6545">
            <w:pPr>
              <w:tabs>
                <w:tab w:val="clear" w:pos="3825"/>
              </w:tabs>
              <w:overflowPunct/>
              <w:spacing w:before="0" w:after="0"/>
              <w:jc w:val="center"/>
              <w:textAlignment w:val="auto"/>
              <w:rPr>
                <w:rFonts w:ascii="Times New Roman" w:hAnsi="Times New Roman"/>
                <w:color w:val="000000"/>
                <w:szCs w:val="22"/>
                <w:lang w:val="sr-Cyrl-CS"/>
              </w:rPr>
            </w:pPr>
            <w:r w:rsidRPr="005303F7">
              <w:rPr>
                <w:rFonts w:ascii="Times New Roman" w:hAnsi="Times New Roman"/>
                <w:color w:val="000000"/>
                <w:szCs w:val="22"/>
                <w:lang w:val="sr-Cyrl-CS"/>
              </w:rPr>
              <w:t>горња</w:t>
            </w:r>
          </w:p>
        </w:tc>
        <w:tc>
          <w:tcPr>
            <w:tcW w:w="770" w:type="pct"/>
            <w:tcBorders>
              <w:top w:val="nil"/>
              <w:left w:val="single" w:sz="6" w:space="0" w:color="auto"/>
              <w:bottom w:val="single" w:sz="6" w:space="0" w:color="auto"/>
              <w:right w:val="single" w:sz="6" w:space="0" w:color="auto"/>
            </w:tcBorders>
            <w:shd w:val="clear" w:color="auto" w:fill="D9D9D9" w:themeFill="background1" w:themeFillShade="D9"/>
            <w:vAlign w:val="center"/>
          </w:tcPr>
          <w:p w14:paraId="6458104A" w14:textId="3154B4B6" w:rsidR="00FC6545" w:rsidRPr="005303F7" w:rsidRDefault="00BF65FC" w:rsidP="00FC6545">
            <w:pPr>
              <w:tabs>
                <w:tab w:val="clear" w:pos="3825"/>
              </w:tabs>
              <w:overflowPunct/>
              <w:spacing w:before="0" w:after="0"/>
              <w:jc w:val="center"/>
              <w:textAlignment w:val="auto"/>
              <w:rPr>
                <w:rFonts w:ascii="Times New Roman" w:hAnsi="Times New Roman"/>
                <w:color w:val="000000"/>
                <w:szCs w:val="22"/>
                <w:lang w:val="sr-Cyrl-CS"/>
              </w:rPr>
            </w:pPr>
            <w:r w:rsidRPr="005303F7">
              <w:rPr>
                <w:rFonts w:ascii="Times New Roman" w:hAnsi="Times New Roman"/>
                <w:color w:val="000000"/>
                <w:szCs w:val="22"/>
                <w:lang w:val="sr-Cyrl-CS"/>
              </w:rPr>
              <w:t>доња</w:t>
            </w:r>
          </w:p>
        </w:tc>
      </w:tr>
      <w:tr w:rsidR="00EE77DD" w:rsidRPr="005303F7" w14:paraId="43A935D7" w14:textId="77777777" w:rsidTr="00EB050F">
        <w:trPr>
          <w:trHeight w:val="424"/>
        </w:trPr>
        <w:tc>
          <w:tcPr>
            <w:tcW w:w="2921" w:type="pct"/>
            <w:tcBorders>
              <w:top w:val="nil"/>
              <w:left w:val="single" w:sz="6" w:space="0" w:color="auto"/>
              <w:bottom w:val="single" w:sz="6" w:space="0" w:color="auto"/>
              <w:right w:val="nil"/>
            </w:tcBorders>
            <w:shd w:val="clear" w:color="auto" w:fill="auto"/>
            <w:vAlign w:val="center"/>
          </w:tcPr>
          <w:p w14:paraId="42ECEBA3" w14:textId="700F00EE" w:rsidR="00EE77DD" w:rsidRPr="005303F7" w:rsidRDefault="00BF65FC" w:rsidP="00DF305E">
            <w:pPr>
              <w:tabs>
                <w:tab w:val="clear" w:pos="3825"/>
              </w:tabs>
              <w:overflowPunct/>
              <w:spacing w:before="0" w:after="0"/>
              <w:jc w:val="left"/>
              <w:textAlignment w:val="auto"/>
              <w:rPr>
                <w:rFonts w:ascii="Times New Roman" w:hAnsi="Times New Roman"/>
                <w:b/>
                <w:bCs/>
                <w:szCs w:val="22"/>
                <w:lang w:val="sr-Cyrl-CS"/>
              </w:rPr>
            </w:pPr>
            <w:bookmarkStart w:id="329" w:name="_Hlk12989706"/>
            <w:r w:rsidRPr="005303F7">
              <w:rPr>
                <w:rFonts w:ascii="Times New Roman" w:hAnsi="Times New Roman"/>
                <w:b/>
                <w:bCs/>
                <w:szCs w:val="22"/>
                <w:lang w:val="sr-Cyrl-CS"/>
              </w:rPr>
              <w:t>Енергетски</w:t>
            </w:r>
            <w:r w:rsidR="00EB050F" w:rsidRPr="005303F7">
              <w:rPr>
                <w:rFonts w:ascii="Times New Roman" w:hAnsi="Times New Roman"/>
                <w:b/>
                <w:bCs/>
                <w:szCs w:val="22"/>
                <w:lang w:val="sr-Cyrl-CS"/>
              </w:rPr>
              <w:t xml:space="preserve"> </w:t>
            </w:r>
            <w:r w:rsidRPr="005303F7">
              <w:rPr>
                <w:rFonts w:ascii="Times New Roman" w:hAnsi="Times New Roman"/>
                <w:b/>
                <w:bCs/>
                <w:szCs w:val="22"/>
                <w:lang w:val="sr-Cyrl-CS"/>
              </w:rPr>
              <w:t>сектор</w:t>
            </w:r>
            <w:r w:rsidR="00EB050F" w:rsidRPr="005303F7">
              <w:rPr>
                <w:rFonts w:ascii="Times New Roman" w:hAnsi="Times New Roman"/>
                <w:b/>
                <w:bCs/>
                <w:szCs w:val="22"/>
                <w:lang w:val="sr-Cyrl-CS"/>
              </w:rPr>
              <w:t xml:space="preserve"> (</w:t>
            </w:r>
            <w:r w:rsidRPr="005303F7">
              <w:rPr>
                <w:rFonts w:ascii="Times New Roman" w:hAnsi="Times New Roman"/>
                <w:b/>
                <w:bCs/>
                <w:szCs w:val="22"/>
                <w:lang w:val="sr-Cyrl-CS"/>
              </w:rPr>
              <w:t>укупно</w:t>
            </w:r>
            <w:r w:rsidR="00EB050F" w:rsidRPr="005303F7">
              <w:rPr>
                <w:rFonts w:ascii="Times New Roman" w:hAnsi="Times New Roman"/>
                <w:b/>
                <w:bCs/>
                <w:szCs w:val="22"/>
                <w:lang w:val="sr-Cyrl-CS"/>
              </w:rPr>
              <w:t>)</w:t>
            </w:r>
            <w:r w:rsidR="00476FA7" w:rsidRPr="005303F7">
              <w:rPr>
                <w:rStyle w:val="FootnoteReference"/>
                <w:b/>
                <w:bCs/>
                <w:szCs w:val="22"/>
                <w:lang w:val="sr-Cyrl-CS"/>
              </w:rPr>
              <w:footnoteReference w:id="57"/>
            </w:r>
            <w:r w:rsidR="00476FA7" w:rsidRPr="005303F7">
              <w:rPr>
                <w:rFonts w:ascii="Times New Roman" w:hAnsi="Times New Roman"/>
                <w:b/>
                <w:bCs/>
                <w:szCs w:val="22"/>
                <w:lang w:val="sr-Cyrl-CS"/>
              </w:rPr>
              <w:t xml:space="preserve"> </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14:paraId="1618B7AA" w14:textId="77777777" w:rsidR="00EE77DD" w:rsidRPr="005303F7" w:rsidRDefault="00EE77DD">
            <w:pPr>
              <w:tabs>
                <w:tab w:val="clear" w:pos="3825"/>
              </w:tabs>
              <w:overflowPunct/>
              <w:spacing w:before="0" w:after="0"/>
              <w:jc w:val="right"/>
              <w:textAlignment w:val="auto"/>
              <w:rPr>
                <w:rFonts w:ascii="Times New Roman" w:hAnsi="Times New Roman"/>
                <w:b/>
                <w:bCs/>
                <w:szCs w:val="22"/>
                <w:lang w:val="sr-Cyrl-CS"/>
              </w:rPr>
            </w:pPr>
            <w:r w:rsidRPr="005303F7">
              <w:rPr>
                <w:rFonts w:ascii="Times New Roman" w:hAnsi="Times New Roman"/>
                <w:b/>
                <w:bCs/>
                <w:szCs w:val="22"/>
                <w:lang w:val="sr-Cyrl-CS"/>
              </w:rPr>
              <w:t>6.335</w:t>
            </w:r>
          </w:p>
        </w:tc>
        <w:tc>
          <w:tcPr>
            <w:tcW w:w="770" w:type="pct"/>
            <w:tcBorders>
              <w:top w:val="single" w:sz="6" w:space="0" w:color="auto"/>
              <w:left w:val="single" w:sz="6" w:space="0" w:color="auto"/>
              <w:bottom w:val="single" w:sz="6" w:space="0" w:color="auto"/>
              <w:right w:val="single" w:sz="6" w:space="0" w:color="auto"/>
            </w:tcBorders>
            <w:shd w:val="clear" w:color="auto" w:fill="auto"/>
            <w:vAlign w:val="center"/>
          </w:tcPr>
          <w:p w14:paraId="4D4ABA5E" w14:textId="77777777" w:rsidR="00EE77DD" w:rsidRPr="005303F7" w:rsidRDefault="00EE77DD">
            <w:pPr>
              <w:tabs>
                <w:tab w:val="clear" w:pos="3825"/>
              </w:tabs>
              <w:overflowPunct/>
              <w:spacing w:before="0" w:after="0"/>
              <w:jc w:val="right"/>
              <w:textAlignment w:val="auto"/>
              <w:rPr>
                <w:rFonts w:ascii="Times New Roman" w:hAnsi="Times New Roman"/>
                <w:b/>
                <w:bCs/>
                <w:szCs w:val="22"/>
                <w:lang w:val="sr-Cyrl-CS"/>
              </w:rPr>
            </w:pPr>
            <w:r w:rsidRPr="005303F7">
              <w:rPr>
                <w:rFonts w:ascii="Times New Roman" w:hAnsi="Times New Roman"/>
                <w:b/>
                <w:bCs/>
                <w:szCs w:val="22"/>
                <w:lang w:val="sr-Cyrl-CS"/>
              </w:rPr>
              <w:t>37.088</w:t>
            </w:r>
          </w:p>
        </w:tc>
        <w:tc>
          <w:tcPr>
            <w:tcW w:w="770" w:type="pct"/>
            <w:tcBorders>
              <w:top w:val="nil"/>
              <w:left w:val="single" w:sz="6" w:space="0" w:color="auto"/>
              <w:bottom w:val="single" w:sz="6" w:space="0" w:color="auto"/>
              <w:right w:val="single" w:sz="6" w:space="0" w:color="auto"/>
            </w:tcBorders>
            <w:shd w:val="clear" w:color="auto" w:fill="auto"/>
            <w:vAlign w:val="center"/>
          </w:tcPr>
          <w:p w14:paraId="12FB0987" w14:textId="77777777" w:rsidR="00EE77DD" w:rsidRPr="005303F7" w:rsidRDefault="00EE77DD">
            <w:pPr>
              <w:tabs>
                <w:tab w:val="clear" w:pos="3825"/>
              </w:tabs>
              <w:overflowPunct/>
              <w:spacing w:before="0" w:after="0"/>
              <w:jc w:val="right"/>
              <w:textAlignment w:val="auto"/>
              <w:rPr>
                <w:rFonts w:ascii="Times New Roman" w:hAnsi="Times New Roman"/>
                <w:b/>
                <w:bCs/>
                <w:szCs w:val="22"/>
                <w:lang w:val="sr-Cyrl-CS"/>
              </w:rPr>
            </w:pPr>
            <w:r w:rsidRPr="005303F7">
              <w:rPr>
                <w:rFonts w:ascii="Times New Roman" w:hAnsi="Times New Roman"/>
                <w:b/>
                <w:bCs/>
                <w:szCs w:val="22"/>
                <w:lang w:val="sr-Cyrl-CS"/>
              </w:rPr>
              <w:t>74.219</w:t>
            </w:r>
          </w:p>
        </w:tc>
      </w:tr>
      <w:tr w:rsidR="004019A3" w:rsidRPr="005303F7" w14:paraId="0E0B8574" w14:textId="77777777" w:rsidTr="00EB050F">
        <w:trPr>
          <w:trHeight w:val="551"/>
        </w:trPr>
        <w:tc>
          <w:tcPr>
            <w:tcW w:w="2921" w:type="pct"/>
            <w:tcBorders>
              <w:top w:val="single" w:sz="6" w:space="0" w:color="auto"/>
              <w:left w:val="single" w:sz="6" w:space="0" w:color="auto"/>
              <w:bottom w:val="single" w:sz="6" w:space="0" w:color="auto"/>
              <w:right w:val="nil"/>
            </w:tcBorders>
            <w:shd w:val="clear" w:color="auto" w:fill="auto"/>
            <w:vAlign w:val="center"/>
          </w:tcPr>
          <w:p w14:paraId="3937FF9A" w14:textId="0530EA4D" w:rsidR="004019A3" w:rsidRPr="005303F7" w:rsidRDefault="00BF65FC" w:rsidP="004019A3">
            <w:pPr>
              <w:tabs>
                <w:tab w:val="clear" w:pos="3825"/>
              </w:tabs>
              <w:overflowPunct/>
              <w:spacing w:before="0" w:after="0"/>
              <w:jc w:val="left"/>
              <w:textAlignment w:val="auto"/>
              <w:rPr>
                <w:rFonts w:ascii="Times New Roman" w:hAnsi="Times New Roman"/>
                <w:b/>
                <w:bCs/>
                <w:sz w:val="20"/>
                <w:lang w:val="sr-Cyrl-CS"/>
              </w:rPr>
            </w:pPr>
            <w:r w:rsidRPr="005303F7">
              <w:rPr>
                <w:rFonts w:ascii="Times New Roman" w:hAnsi="Times New Roman"/>
                <w:b/>
                <w:bCs/>
                <w:sz w:val="20"/>
                <w:lang w:val="sr-Cyrl-CS"/>
              </w:rPr>
              <w:lastRenderedPageBreak/>
              <w:t>Индустријски</w:t>
            </w:r>
            <w:r w:rsidR="00EB050F" w:rsidRPr="005303F7">
              <w:rPr>
                <w:rFonts w:ascii="Times New Roman" w:hAnsi="Times New Roman"/>
                <w:b/>
                <w:bCs/>
                <w:sz w:val="20"/>
                <w:lang w:val="sr-Cyrl-CS"/>
              </w:rPr>
              <w:t xml:space="preserve"> </w:t>
            </w:r>
            <w:r w:rsidRPr="005303F7">
              <w:rPr>
                <w:rFonts w:ascii="Times New Roman" w:hAnsi="Times New Roman"/>
                <w:b/>
                <w:bCs/>
                <w:sz w:val="20"/>
                <w:lang w:val="sr-Cyrl-CS"/>
              </w:rPr>
              <w:t>процеси</w:t>
            </w:r>
            <w:r w:rsidR="00EB050F" w:rsidRPr="005303F7">
              <w:rPr>
                <w:rFonts w:ascii="Times New Roman" w:hAnsi="Times New Roman"/>
                <w:b/>
                <w:bCs/>
                <w:sz w:val="20"/>
                <w:lang w:val="sr-Cyrl-CS"/>
              </w:rPr>
              <w:t xml:space="preserve"> </w:t>
            </w:r>
            <w:r w:rsidRPr="005303F7">
              <w:rPr>
                <w:rFonts w:ascii="Times New Roman" w:hAnsi="Times New Roman"/>
                <w:b/>
                <w:bCs/>
                <w:sz w:val="20"/>
                <w:lang w:val="sr-Cyrl-CS"/>
              </w:rPr>
              <w:t>и</w:t>
            </w:r>
            <w:r w:rsidR="00EB050F" w:rsidRPr="005303F7">
              <w:rPr>
                <w:rFonts w:ascii="Times New Roman" w:hAnsi="Times New Roman"/>
                <w:b/>
                <w:bCs/>
                <w:sz w:val="20"/>
                <w:lang w:val="sr-Cyrl-CS"/>
              </w:rPr>
              <w:t xml:space="preserve"> </w:t>
            </w:r>
            <w:r w:rsidRPr="005303F7">
              <w:rPr>
                <w:rFonts w:ascii="Times New Roman" w:hAnsi="Times New Roman"/>
                <w:b/>
                <w:bCs/>
                <w:sz w:val="20"/>
                <w:lang w:val="sr-Cyrl-CS"/>
              </w:rPr>
              <w:t>употреба</w:t>
            </w:r>
            <w:r w:rsidR="00EB050F" w:rsidRPr="005303F7">
              <w:rPr>
                <w:rFonts w:ascii="Times New Roman" w:hAnsi="Times New Roman"/>
                <w:b/>
                <w:bCs/>
                <w:sz w:val="20"/>
                <w:lang w:val="sr-Cyrl-CS"/>
              </w:rPr>
              <w:t xml:space="preserve"> </w:t>
            </w:r>
            <w:r w:rsidRPr="005303F7">
              <w:rPr>
                <w:rFonts w:ascii="Times New Roman" w:hAnsi="Times New Roman"/>
                <w:b/>
                <w:bCs/>
                <w:sz w:val="20"/>
                <w:lang w:val="sr-Cyrl-CS"/>
              </w:rPr>
              <w:t>производа</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14:paraId="34557F41" w14:textId="77777777" w:rsidR="004019A3" w:rsidRPr="005303F7" w:rsidRDefault="004019A3" w:rsidP="004019A3">
            <w:pPr>
              <w:tabs>
                <w:tab w:val="clear" w:pos="3825"/>
              </w:tabs>
              <w:overflowPunct/>
              <w:spacing w:before="0" w:after="0"/>
              <w:jc w:val="right"/>
              <w:textAlignment w:val="auto"/>
              <w:rPr>
                <w:rFonts w:ascii="Times New Roman" w:hAnsi="Times New Roman"/>
                <w:b/>
                <w:bCs/>
                <w:sz w:val="20"/>
                <w:lang w:val="sr-Cyrl-CS"/>
              </w:rPr>
            </w:pPr>
            <w:r w:rsidRPr="005303F7">
              <w:rPr>
                <w:rFonts w:ascii="Times New Roman" w:hAnsi="Times New Roman"/>
                <w:b/>
                <w:bCs/>
                <w:sz w:val="20"/>
                <w:lang w:val="sr-Cyrl-CS"/>
              </w:rPr>
              <w:t>5</w:t>
            </w:r>
          </w:p>
        </w:tc>
        <w:tc>
          <w:tcPr>
            <w:tcW w:w="770" w:type="pct"/>
            <w:tcBorders>
              <w:top w:val="single" w:sz="6" w:space="0" w:color="auto"/>
              <w:left w:val="single" w:sz="6" w:space="0" w:color="auto"/>
              <w:bottom w:val="single" w:sz="6" w:space="0" w:color="auto"/>
              <w:right w:val="single" w:sz="6" w:space="0" w:color="auto"/>
            </w:tcBorders>
            <w:shd w:val="clear" w:color="auto" w:fill="auto"/>
            <w:vAlign w:val="center"/>
          </w:tcPr>
          <w:p w14:paraId="4EFF9EF4" w14:textId="77777777" w:rsidR="004019A3" w:rsidRPr="005303F7" w:rsidRDefault="004019A3" w:rsidP="004019A3">
            <w:pPr>
              <w:tabs>
                <w:tab w:val="clear" w:pos="3825"/>
              </w:tabs>
              <w:overflowPunct/>
              <w:spacing w:before="0" w:after="0"/>
              <w:jc w:val="right"/>
              <w:textAlignment w:val="auto"/>
              <w:rPr>
                <w:rFonts w:ascii="Times New Roman" w:hAnsi="Times New Roman"/>
                <w:b/>
                <w:bCs/>
                <w:sz w:val="20"/>
                <w:lang w:val="sr-Cyrl-CS"/>
              </w:rPr>
            </w:pPr>
            <w:r w:rsidRPr="005303F7">
              <w:rPr>
                <w:rFonts w:ascii="Times New Roman" w:hAnsi="Times New Roman"/>
                <w:b/>
                <w:bCs/>
                <w:sz w:val="20"/>
                <w:lang w:val="sr-Cyrl-CS"/>
              </w:rPr>
              <w:t>82</w:t>
            </w:r>
          </w:p>
        </w:tc>
        <w:tc>
          <w:tcPr>
            <w:tcW w:w="770" w:type="pct"/>
            <w:tcBorders>
              <w:top w:val="single" w:sz="6" w:space="0" w:color="auto"/>
              <w:left w:val="single" w:sz="6" w:space="0" w:color="auto"/>
              <w:bottom w:val="single" w:sz="6" w:space="0" w:color="auto"/>
              <w:right w:val="single" w:sz="6" w:space="0" w:color="auto"/>
            </w:tcBorders>
            <w:shd w:val="clear" w:color="auto" w:fill="auto"/>
            <w:vAlign w:val="center"/>
          </w:tcPr>
          <w:p w14:paraId="72DFC813" w14:textId="77777777" w:rsidR="004019A3" w:rsidRPr="005303F7" w:rsidRDefault="004019A3" w:rsidP="004019A3">
            <w:pPr>
              <w:tabs>
                <w:tab w:val="clear" w:pos="3825"/>
              </w:tabs>
              <w:overflowPunct/>
              <w:spacing w:before="0" w:after="0"/>
              <w:jc w:val="right"/>
              <w:textAlignment w:val="auto"/>
              <w:rPr>
                <w:rFonts w:ascii="Times New Roman" w:hAnsi="Times New Roman"/>
                <w:b/>
                <w:bCs/>
                <w:sz w:val="20"/>
                <w:lang w:val="sr-Cyrl-CS"/>
              </w:rPr>
            </w:pPr>
            <w:r w:rsidRPr="005303F7">
              <w:rPr>
                <w:rFonts w:ascii="Times New Roman" w:hAnsi="Times New Roman"/>
                <w:b/>
                <w:bCs/>
                <w:sz w:val="20"/>
                <w:lang w:val="sr-Cyrl-CS"/>
              </w:rPr>
              <w:t>129</w:t>
            </w:r>
          </w:p>
        </w:tc>
      </w:tr>
      <w:tr w:rsidR="004019A3" w:rsidRPr="005303F7" w14:paraId="25FF1F91" w14:textId="77777777" w:rsidTr="00376011">
        <w:trPr>
          <w:trHeight w:val="457"/>
        </w:trPr>
        <w:tc>
          <w:tcPr>
            <w:tcW w:w="2921" w:type="pct"/>
            <w:tcBorders>
              <w:top w:val="single" w:sz="6" w:space="0" w:color="auto"/>
              <w:left w:val="single" w:sz="6" w:space="0" w:color="auto"/>
              <w:bottom w:val="single" w:sz="6" w:space="0" w:color="auto"/>
              <w:right w:val="nil"/>
            </w:tcBorders>
            <w:shd w:val="clear" w:color="auto" w:fill="auto"/>
            <w:vAlign w:val="center"/>
          </w:tcPr>
          <w:p w14:paraId="6B0B730D" w14:textId="738D8591" w:rsidR="004019A3" w:rsidRPr="005303F7" w:rsidRDefault="00BF65FC" w:rsidP="004019A3">
            <w:pPr>
              <w:tabs>
                <w:tab w:val="clear" w:pos="3825"/>
              </w:tabs>
              <w:overflowPunct/>
              <w:spacing w:before="0" w:after="0"/>
              <w:jc w:val="left"/>
              <w:textAlignment w:val="auto"/>
              <w:rPr>
                <w:rFonts w:ascii="Times New Roman" w:hAnsi="Times New Roman"/>
                <w:b/>
                <w:bCs/>
                <w:sz w:val="20"/>
                <w:lang w:val="sr-Cyrl-CS"/>
              </w:rPr>
            </w:pPr>
            <w:r w:rsidRPr="005303F7">
              <w:rPr>
                <w:rFonts w:ascii="Times New Roman" w:hAnsi="Times New Roman"/>
                <w:b/>
                <w:bCs/>
                <w:sz w:val="20"/>
                <w:lang w:val="sr-Cyrl-CS"/>
              </w:rPr>
              <w:t>Пољопривреда</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14:paraId="3149B79A" w14:textId="77777777" w:rsidR="004019A3" w:rsidRPr="005303F7" w:rsidRDefault="004019A3" w:rsidP="004019A3">
            <w:pPr>
              <w:tabs>
                <w:tab w:val="clear" w:pos="3825"/>
              </w:tabs>
              <w:overflowPunct/>
              <w:spacing w:before="0" w:after="0"/>
              <w:jc w:val="right"/>
              <w:textAlignment w:val="auto"/>
              <w:rPr>
                <w:rFonts w:ascii="Times New Roman" w:hAnsi="Times New Roman"/>
                <w:b/>
                <w:bCs/>
                <w:sz w:val="20"/>
                <w:lang w:val="sr-Cyrl-CS"/>
              </w:rPr>
            </w:pPr>
            <w:r w:rsidRPr="005303F7">
              <w:rPr>
                <w:rFonts w:ascii="Times New Roman" w:hAnsi="Times New Roman"/>
                <w:b/>
                <w:bCs/>
                <w:sz w:val="20"/>
                <w:lang w:val="sr-Cyrl-CS"/>
              </w:rPr>
              <w:t>80</w:t>
            </w:r>
          </w:p>
        </w:tc>
        <w:tc>
          <w:tcPr>
            <w:tcW w:w="770" w:type="pct"/>
            <w:tcBorders>
              <w:top w:val="single" w:sz="6" w:space="0" w:color="auto"/>
              <w:left w:val="single" w:sz="6" w:space="0" w:color="auto"/>
              <w:bottom w:val="single" w:sz="6" w:space="0" w:color="auto"/>
              <w:right w:val="single" w:sz="6" w:space="0" w:color="auto"/>
            </w:tcBorders>
            <w:shd w:val="clear" w:color="auto" w:fill="auto"/>
            <w:vAlign w:val="center"/>
          </w:tcPr>
          <w:p w14:paraId="74156EC7" w14:textId="77777777" w:rsidR="004019A3" w:rsidRPr="005303F7" w:rsidRDefault="004019A3" w:rsidP="004019A3">
            <w:pPr>
              <w:tabs>
                <w:tab w:val="clear" w:pos="3825"/>
              </w:tabs>
              <w:overflowPunct/>
              <w:spacing w:before="0" w:after="0"/>
              <w:jc w:val="right"/>
              <w:textAlignment w:val="auto"/>
              <w:rPr>
                <w:rFonts w:ascii="Times New Roman" w:hAnsi="Times New Roman"/>
                <w:b/>
                <w:bCs/>
                <w:sz w:val="20"/>
                <w:lang w:val="sr-Cyrl-CS"/>
              </w:rPr>
            </w:pPr>
            <w:r w:rsidRPr="005303F7">
              <w:rPr>
                <w:rFonts w:ascii="Times New Roman" w:hAnsi="Times New Roman"/>
                <w:b/>
                <w:bCs/>
                <w:sz w:val="20"/>
                <w:lang w:val="sr-Cyrl-CS"/>
              </w:rPr>
              <w:t>469</w:t>
            </w:r>
          </w:p>
        </w:tc>
        <w:tc>
          <w:tcPr>
            <w:tcW w:w="770" w:type="pct"/>
            <w:tcBorders>
              <w:top w:val="single" w:sz="6" w:space="0" w:color="auto"/>
              <w:left w:val="single" w:sz="6" w:space="0" w:color="auto"/>
              <w:bottom w:val="single" w:sz="6" w:space="0" w:color="auto"/>
              <w:right w:val="single" w:sz="6" w:space="0" w:color="auto"/>
            </w:tcBorders>
            <w:shd w:val="clear" w:color="auto" w:fill="auto"/>
            <w:vAlign w:val="center"/>
          </w:tcPr>
          <w:p w14:paraId="59F84F18" w14:textId="77777777" w:rsidR="004019A3" w:rsidRPr="005303F7" w:rsidRDefault="004019A3" w:rsidP="004019A3">
            <w:pPr>
              <w:tabs>
                <w:tab w:val="clear" w:pos="3825"/>
              </w:tabs>
              <w:overflowPunct/>
              <w:spacing w:before="0" w:after="0"/>
              <w:jc w:val="right"/>
              <w:textAlignment w:val="auto"/>
              <w:rPr>
                <w:rFonts w:ascii="Times New Roman" w:hAnsi="Times New Roman"/>
                <w:b/>
                <w:bCs/>
                <w:sz w:val="20"/>
                <w:lang w:val="sr-Cyrl-CS"/>
              </w:rPr>
            </w:pPr>
            <w:r w:rsidRPr="005303F7">
              <w:rPr>
                <w:rFonts w:ascii="Times New Roman" w:hAnsi="Times New Roman"/>
                <w:b/>
                <w:bCs/>
                <w:sz w:val="20"/>
                <w:lang w:val="sr-Cyrl-CS"/>
              </w:rPr>
              <w:t>1585</w:t>
            </w:r>
          </w:p>
        </w:tc>
      </w:tr>
      <w:tr w:rsidR="004019A3" w:rsidRPr="005303F7" w14:paraId="3110D6DB" w14:textId="77777777" w:rsidTr="00EB050F">
        <w:trPr>
          <w:trHeight w:val="405"/>
        </w:trPr>
        <w:tc>
          <w:tcPr>
            <w:tcW w:w="2921" w:type="pct"/>
            <w:tcBorders>
              <w:top w:val="single" w:sz="6" w:space="0" w:color="auto"/>
              <w:left w:val="single" w:sz="6" w:space="0" w:color="auto"/>
              <w:bottom w:val="single" w:sz="6" w:space="0" w:color="auto"/>
              <w:right w:val="nil"/>
            </w:tcBorders>
            <w:shd w:val="clear" w:color="auto" w:fill="auto"/>
            <w:vAlign w:val="center"/>
          </w:tcPr>
          <w:p w14:paraId="476ABAF8" w14:textId="759A41C9" w:rsidR="004019A3" w:rsidRPr="005303F7" w:rsidRDefault="00BF65FC" w:rsidP="004019A3">
            <w:pPr>
              <w:tabs>
                <w:tab w:val="clear" w:pos="3825"/>
              </w:tabs>
              <w:overflowPunct/>
              <w:spacing w:before="0" w:after="0"/>
              <w:jc w:val="left"/>
              <w:textAlignment w:val="auto"/>
              <w:rPr>
                <w:rFonts w:ascii="Times New Roman" w:hAnsi="Times New Roman"/>
                <w:b/>
                <w:bCs/>
                <w:sz w:val="20"/>
                <w:lang w:val="sr-Cyrl-CS"/>
              </w:rPr>
            </w:pPr>
            <w:r w:rsidRPr="005303F7">
              <w:rPr>
                <w:rFonts w:ascii="Times New Roman" w:hAnsi="Times New Roman"/>
                <w:b/>
                <w:bCs/>
                <w:sz w:val="20"/>
                <w:lang w:val="sr-Cyrl-CS"/>
              </w:rPr>
              <w:t>Отпад</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14:paraId="649385E5" w14:textId="77777777" w:rsidR="004019A3" w:rsidRPr="005303F7" w:rsidRDefault="004019A3" w:rsidP="004019A3">
            <w:pPr>
              <w:tabs>
                <w:tab w:val="clear" w:pos="3825"/>
              </w:tabs>
              <w:overflowPunct/>
              <w:spacing w:before="0" w:after="0"/>
              <w:jc w:val="right"/>
              <w:textAlignment w:val="auto"/>
              <w:rPr>
                <w:rFonts w:ascii="Times New Roman" w:hAnsi="Times New Roman"/>
                <w:b/>
                <w:bCs/>
                <w:sz w:val="20"/>
                <w:lang w:val="sr-Cyrl-CS"/>
              </w:rPr>
            </w:pPr>
            <w:r w:rsidRPr="005303F7">
              <w:rPr>
                <w:rFonts w:ascii="Times New Roman" w:hAnsi="Times New Roman"/>
                <w:b/>
                <w:bCs/>
                <w:sz w:val="20"/>
                <w:lang w:val="sr-Cyrl-CS"/>
              </w:rPr>
              <w:t>0</w:t>
            </w:r>
          </w:p>
        </w:tc>
        <w:tc>
          <w:tcPr>
            <w:tcW w:w="770" w:type="pct"/>
            <w:tcBorders>
              <w:top w:val="single" w:sz="6" w:space="0" w:color="auto"/>
              <w:left w:val="single" w:sz="6" w:space="0" w:color="auto"/>
              <w:bottom w:val="single" w:sz="6" w:space="0" w:color="auto"/>
              <w:right w:val="single" w:sz="6" w:space="0" w:color="auto"/>
            </w:tcBorders>
            <w:shd w:val="clear" w:color="auto" w:fill="auto"/>
            <w:vAlign w:val="center"/>
          </w:tcPr>
          <w:p w14:paraId="0A849F2D" w14:textId="77777777" w:rsidR="004019A3" w:rsidRPr="005303F7" w:rsidRDefault="004019A3" w:rsidP="004019A3">
            <w:pPr>
              <w:tabs>
                <w:tab w:val="clear" w:pos="3825"/>
              </w:tabs>
              <w:overflowPunct/>
              <w:spacing w:before="0" w:after="0"/>
              <w:jc w:val="right"/>
              <w:textAlignment w:val="auto"/>
              <w:rPr>
                <w:rFonts w:ascii="Times New Roman" w:hAnsi="Times New Roman"/>
                <w:b/>
                <w:bCs/>
                <w:sz w:val="20"/>
                <w:lang w:val="sr-Cyrl-CS"/>
              </w:rPr>
            </w:pPr>
            <w:r w:rsidRPr="005303F7">
              <w:rPr>
                <w:rFonts w:ascii="Times New Roman" w:hAnsi="Times New Roman"/>
                <w:b/>
                <w:bCs/>
                <w:sz w:val="20"/>
                <w:lang w:val="sr-Cyrl-CS"/>
              </w:rPr>
              <w:t>0</w:t>
            </w:r>
          </w:p>
        </w:tc>
        <w:tc>
          <w:tcPr>
            <w:tcW w:w="770" w:type="pct"/>
            <w:tcBorders>
              <w:top w:val="single" w:sz="6" w:space="0" w:color="auto"/>
              <w:left w:val="single" w:sz="6" w:space="0" w:color="auto"/>
              <w:bottom w:val="single" w:sz="6" w:space="0" w:color="auto"/>
              <w:right w:val="single" w:sz="6" w:space="0" w:color="auto"/>
            </w:tcBorders>
            <w:shd w:val="clear" w:color="auto" w:fill="auto"/>
            <w:vAlign w:val="center"/>
          </w:tcPr>
          <w:p w14:paraId="2063D5E1" w14:textId="77777777" w:rsidR="004019A3" w:rsidRPr="005303F7" w:rsidRDefault="004019A3" w:rsidP="004019A3">
            <w:pPr>
              <w:tabs>
                <w:tab w:val="clear" w:pos="3825"/>
              </w:tabs>
              <w:overflowPunct/>
              <w:spacing w:before="0" w:after="0"/>
              <w:jc w:val="right"/>
              <w:textAlignment w:val="auto"/>
              <w:rPr>
                <w:rFonts w:ascii="Times New Roman" w:hAnsi="Times New Roman"/>
                <w:b/>
                <w:bCs/>
                <w:sz w:val="20"/>
                <w:lang w:val="sr-Cyrl-CS"/>
              </w:rPr>
            </w:pPr>
            <w:r w:rsidRPr="005303F7">
              <w:rPr>
                <w:rFonts w:ascii="Times New Roman" w:hAnsi="Times New Roman"/>
                <w:b/>
                <w:bCs/>
                <w:sz w:val="20"/>
                <w:lang w:val="sr-Cyrl-CS"/>
              </w:rPr>
              <w:t>239</w:t>
            </w:r>
          </w:p>
        </w:tc>
      </w:tr>
      <w:tr w:rsidR="004019A3" w:rsidRPr="005303F7" w14:paraId="51C58FC0" w14:textId="77777777" w:rsidTr="00EB050F">
        <w:trPr>
          <w:trHeight w:val="410"/>
        </w:trPr>
        <w:tc>
          <w:tcPr>
            <w:tcW w:w="2921" w:type="pct"/>
            <w:tcBorders>
              <w:top w:val="single" w:sz="6" w:space="0" w:color="auto"/>
              <w:left w:val="single" w:sz="6" w:space="0" w:color="auto"/>
              <w:bottom w:val="double" w:sz="4" w:space="0" w:color="auto"/>
              <w:right w:val="nil"/>
            </w:tcBorders>
            <w:shd w:val="clear" w:color="auto" w:fill="auto"/>
            <w:vAlign w:val="center"/>
          </w:tcPr>
          <w:p w14:paraId="6E0F5949" w14:textId="39DAB687" w:rsidR="004019A3" w:rsidRPr="005303F7" w:rsidRDefault="00870E18" w:rsidP="004019A3">
            <w:pPr>
              <w:tabs>
                <w:tab w:val="clear" w:pos="3825"/>
              </w:tabs>
              <w:overflowPunct/>
              <w:spacing w:before="0" w:after="0"/>
              <w:jc w:val="left"/>
              <w:textAlignment w:val="auto"/>
              <w:rPr>
                <w:rFonts w:ascii="Times New Roman" w:hAnsi="Times New Roman"/>
                <w:b/>
                <w:bCs/>
                <w:sz w:val="20"/>
                <w:lang w:val="sr-Cyrl-CS"/>
              </w:rPr>
            </w:pPr>
            <w:r w:rsidRPr="005303F7">
              <w:rPr>
                <w:rFonts w:ascii="Times New Roman" w:hAnsi="Times New Roman"/>
                <w:b/>
                <w:bCs/>
                <w:sz w:val="20"/>
                <w:lang w:val="sr-Cyrl-CS"/>
              </w:rPr>
              <w:t>LULUCF</w:t>
            </w:r>
          </w:p>
        </w:tc>
        <w:tc>
          <w:tcPr>
            <w:tcW w:w="539" w:type="pct"/>
            <w:tcBorders>
              <w:top w:val="single" w:sz="6" w:space="0" w:color="auto"/>
              <w:left w:val="single" w:sz="6" w:space="0" w:color="auto"/>
              <w:bottom w:val="double" w:sz="4" w:space="0" w:color="auto"/>
              <w:right w:val="single" w:sz="6" w:space="0" w:color="auto"/>
            </w:tcBorders>
            <w:shd w:val="clear" w:color="auto" w:fill="auto"/>
            <w:vAlign w:val="center"/>
          </w:tcPr>
          <w:p w14:paraId="5DE13B88" w14:textId="1673BD69" w:rsidR="004019A3" w:rsidRPr="005303F7" w:rsidRDefault="004019A3" w:rsidP="004019A3">
            <w:pPr>
              <w:tabs>
                <w:tab w:val="clear" w:pos="3825"/>
              </w:tabs>
              <w:overflowPunct/>
              <w:spacing w:before="0" w:after="0"/>
              <w:jc w:val="right"/>
              <w:textAlignment w:val="auto"/>
              <w:rPr>
                <w:rFonts w:ascii="Times New Roman" w:hAnsi="Times New Roman"/>
                <w:b/>
                <w:bCs/>
                <w:sz w:val="20"/>
                <w:lang w:val="sr-Cyrl-CS"/>
              </w:rPr>
            </w:pPr>
            <w:r w:rsidRPr="005303F7">
              <w:rPr>
                <w:rFonts w:ascii="Times New Roman" w:hAnsi="Times New Roman"/>
                <w:b/>
                <w:bCs/>
                <w:sz w:val="20"/>
                <w:lang w:val="sr-Cyrl-CS"/>
              </w:rPr>
              <w:t>9</w:t>
            </w:r>
            <w:r w:rsidR="006D1B4B" w:rsidRPr="005303F7">
              <w:rPr>
                <w:rFonts w:ascii="Times New Roman" w:hAnsi="Times New Roman"/>
                <w:b/>
                <w:bCs/>
                <w:sz w:val="20"/>
                <w:lang w:val="sr-Cyrl-CS"/>
              </w:rPr>
              <w:t>2</w:t>
            </w:r>
          </w:p>
        </w:tc>
        <w:tc>
          <w:tcPr>
            <w:tcW w:w="770" w:type="pct"/>
            <w:tcBorders>
              <w:top w:val="single" w:sz="6" w:space="0" w:color="auto"/>
              <w:left w:val="single" w:sz="6" w:space="0" w:color="auto"/>
              <w:bottom w:val="double" w:sz="4" w:space="0" w:color="auto"/>
              <w:right w:val="single" w:sz="6" w:space="0" w:color="auto"/>
            </w:tcBorders>
            <w:shd w:val="clear" w:color="auto" w:fill="auto"/>
            <w:vAlign w:val="center"/>
          </w:tcPr>
          <w:p w14:paraId="24B5AD8B" w14:textId="71361F36" w:rsidR="004019A3" w:rsidRPr="005303F7" w:rsidRDefault="004019A3" w:rsidP="004019A3">
            <w:pPr>
              <w:tabs>
                <w:tab w:val="clear" w:pos="3825"/>
              </w:tabs>
              <w:overflowPunct/>
              <w:spacing w:before="0" w:after="0"/>
              <w:jc w:val="right"/>
              <w:textAlignment w:val="auto"/>
              <w:rPr>
                <w:rFonts w:ascii="Times New Roman" w:hAnsi="Times New Roman"/>
                <w:b/>
                <w:bCs/>
                <w:sz w:val="20"/>
                <w:lang w:val="sr-Cyrl-CS"/>
              </w:rPr>
            </w:pPr>
            <w:r w:rsidRPr="005303F7">
              <w:rPr>
                <w:rFonts w:ascii="Times New Roman" w:hAnsi="Times New Roman"/>
                <w:b/>
                <w:bCs/>
                <w:sz w:val="20"/>
                <w:lang w:val="sr-Cyrl-CS"/>
              </w:rPr>
              <w:t>18</w:t>
            </w:r>
            <w:r w:rsidR="006D1B4B" w:rsidRPr="005303F7">
              <w:rPr>
                <w:rFonts w:ascii="Times New Roman" w:hAnsi="Times New Roman"/>
                <w:b/>
                <w:bCs/>
                <w:sz w:val="20"/>
                <w:lang w:val="sr-Cyrl-CS"/>
              </w:rPr>
              <w:t>3</w:t>
            </w:r>
          </w:p>
        </w:tc>
        <w:tc>
          <w:tcPr>
            <w:tcW w:w="770" w:type="pct"/>
            <w:tcBorders>
              <w:top w:val="single" w:sz="6" w:space="0" w:color="auto"/>
              <w:left w:val="single" w:sz="6" w:space="0" w:color="auto"/>
              <w:bottom w:val="double" w:sz="4" w:space="0" w:color="auto"/>
              <w:right w:val="single" w:sz="6" w:space="0" w:color="auto"/>
            </w:tcBorders>
            <w:shd w:val="clear" w:color="auto" w:fill="auto"/>
            <w:vAlign w:val="center"/>
          </w:tcPr>
          <w:p w14:paraId="7B42EE86" w14:textId="44585D8E" w:rsidR="004019A3" w:rsidRPr="005303F7" w:rsidRDefault="006D1B4B" w:rsidP="004019A3">
            <w:pPr>
              <w:tabs>
                <w:tab w:val="clear" w:pos="3825"/>
              </w:tabs>
              <w:overflowPunct/>
              <w:spacing w:before="0" w:after="0"/>
              <w:jc w:val="right"/>
              <w:textAlignment w:val="auto"/>
              <w:rPr>
                <w:rFonts w:ascii="Times New Roman" w:hAnsi="Times New Roman"/>
                <w:b/>
                <w:bCs/>
                <w:sz w:val="20"/>
                <w:lang w:val="sr-Cyrl-CS"/>
              </w:rPr>
            </w:pPr>
            <w:r w:rsidRPr="005303F7">
              <w:rPr>
                <w:rFonts w:ascii="Times New Roman" w:hAnsi="Times New Roman"/>
                <w:b/>
                <w:bCs/>
                <w:sz w:val="20"/>
                <w:lang w:val="sr-Cyrl-CS"/>
              </w:rPr>
              <w:t>621</w:t>
            </w:r>
          </w:p>
        </w:tc>
      </w:tr>
      <w:tr w:rsidR="004019A3" w:rsidRPr="005303F7" w14:paraId="28A4025B" w14:textId="77777777" w:rsidTr="00353B06">
        <w:trPr>
          <w:trHeight w:val="526"/>
        </w:trPr>
        <w:tc>
          <w:tcPr>
            <w:tcW w:w="2921" w:type="pct"/>
            <w:tcBorders>
              <w:top w:val="double" w:sz="4" w:space="0" w:color="auto"/>
              <w:left w:val="single" w:sz="6" w:space="0" w:color="auto"/>
              <w:bottom w:val="single" w:sz="6" w:space="0" w:color="auto"/>
              <w:right w:val="single" w:sz="6" w:space="0" w:color="auto"/>
            </w:tcBorders>
            <w:vAlign w:val="center"/>
          </w:tcPr>
          <w:p w14:paraId="28ECAE39" w14:textId="392E83D7" w:rsidR="00BA4EAE" w:rsidRPr="005303F7" w:rsidRDefault="00BF65FC" w:rsidP="005B47AC">
            <w:pPr>
              <w:tabs>
                <w:tab w:val="clear" w:pos="3825"/>
              </w:tabs>
              <w:overflowPunct/>
              <w:spacing w:before="0" w:after="0"/>
              <w:jc w:val="left"/>
              <w:textAlignment w:val="auto"/>
              <w:rPr>
                <w:rFonts w:ascii="Times New Roman" w:hAnsi="Times New Roman"/>
                <w:b/>
                <w:bCs/>
                <w:color w:val="000000"/>
                <w:sz w:val="20"/>
                <w:lang w:val="sr-Cyrl-CS"/>
              </w:rPr>
            </w:pPr>
            <w:r w:rsidRPr="005303F7">
              <w:rPr>
                <w:rFonts w:ascii="Times New Roman" w:hAnsi="Times New Roman"/>
                <w:b/>
                <w:bCs/>
                <w:color w:val="000000"/>
                <w:sz w:val="20"/>
                <w:lang w:val="sr-Cyrl-CS"/>
              </w:rPr>
              <w:t>УКУПНИ</w:t>
            </w:r>
            <w:r w:rsidR="001B4770" w:rsidRPr="005303F7">
              <w:rPr>
                <w:rFonts w:ascii="Times New Roman" w:hAnsi="Times New Roman"/>
                <w:b/>
                <w:bCs/>
                <w:color w:val="000000"/>
                <w:sz w:val="20"/>
                <w:lang w:val="sr-Cyrl-CS"/>
              </w:rPr>
              <w:t xml:space="preserve"> </w:t>
            </w:r>
            <w:r w:rsidRPr="005303F7">
              <w:rPr>
                <w:rFonts w:ascii="Times New Roman" w:hAnsi="Times New Roman"/>
                <w:b/>
                <w:bCs/>
                <w:color w:val="000000"/>
                <w:sz w:val="20"/>
                <w:lang w:val="sr-Cyrl-CS"/>
              </w:rPr>
              <w:t>додатни</w:t>
            </w:r>
            <w:r w:rsidR="001B4770" w:rsidRPr="005303F7">
              <w:rPr>
                <w:rFonts w:ascii="Times New Roman" w:hAnsi="Times New Roman"/>
                <w:b/>
                <w:bCs/>
                <w:color w:val="000000"/>
                <w:sz w:val="20"/>
                <w:lang w:val="sr-Cyrl-CS"/>
              </w:rPr>
              <w:t xml:space="preserve"> </w:t>
            </w:r>
            <w:r w:rsidRPr="005303F7">
              <w:rPr>
                <w:rFonts w:ascii="Times New Roman" w:hAnsi="Times New Roman"/>
                <w:b/>
                <w:bCs/>
                <w:color w:val="000000"/>
                <w:sz w:val="20"/>
                <w:lang w:val="sr-Cyrl-CS"/>
              </w:rPr>
              <w:t>трошкови</w:t>
            </w:r>
            <w:r w:rsidR="004019A3" w:rsidRPr="005303F7">
              <w:rPr>
                <w:rFonts w:ascii="Times New Roman" w:hAnsi="Times New Roman"/>
                <w:b/>
                <w:bCs/>
                <w:color w:val="000000"/>
                <w:sz w:val="20"/>
                <w:lang w:val="sr-Cyrl-CS"/>
              </w:rPr>
              <w:t xml:space="preserve"> </w:t>
            </w:r>
          </w:p>
          <w:p w14:paraId="2328A95F" w14:textId="2E65FED3" w:rsidR="004019A3" w:rsidRPr="005303F7" w:rsidRDefault="004019A3" w:rsidP="005B47AC">
            <w:pPr>
              <w:tabs>
                <w:tab w:val="clear" w:pos="3825"/>
              </w:tabs>
              <w:overflowPunct/>
              <w:spacing w:before="0" w:after="0"/>
              <w:jc w:val="left"/>
              <w:textAlignment w:val="auto"/>
              <w:rPr>
                <w:rFonts w:ascii="Times New Roman" w:hAnsi="Times New Roman"/>
                <w:b/>
                <w:bCs/>
                <w:color w:val="000000"/>
                <w:sz w:val="20"/>
                <w:lang w:val="sr-Cyrl-CS"/>
              </w:rPr>
            </w:pPr>
            <w:r w:rsidRPr="005303F7">
              <w:rPr>
                <w:rFonts w:ascii="Times New Roman" w:hAnsi="Times New Roman"/>
                <w:b/>
                <w:bCs/>
                <w:color w:val="000000"/>
                <w:sz w:val="20"/>
                <w:lang w:val="sr-Cyrl-CS"/>
              </w:rPr>
              <w:t>(</w:t>
            </w:r>
            <w:r w:rsidR="00BF65FC" w:rsidRPr="005303F7">
              <w:rPr>
                <w:rFonts w:ascii="Times New Roman" w:hAnsi="Times New Roman"/>
                <w:b/>
                <w:bCs/>
                <w:color w:val="000000"/>
                <w:sz w:val="20"/>
                <w:lang w:val="sr-Cyrl-CS"/>
              </w:rPr>
              <w:t>у</w:t>
            </w:r>
            <w:r w:rsidR="001B4770" w:rsidRPr="005303F7">
              <w:rPr>
                <w:rFonts w:ascii="Times New Roman" w:hAnsi="Times New Roman"/>
                <w:b/>
                <w:bCs/>
                <w:color w:val="000000"/>
                <w:sz w:val="20"/>
                <w:lang w:val="sr-Cyrl-CS"/>
              </w:rPr>
              <w:t xml:space="preserve"> </w:t>
            </w:r>
            <w:r w:rsidR="00BF65FC" w:rsidRPr="005303F7">
              <w:rPr>
                <w:rFonts w:ascii="Times New Roman" w:hAnsi="Times New Roman"/>
                <w:b/>
                <w:bCs/>
                <w:color w:val="000000"/>
                <w:sz w:val="20"/>
                <w:lang w:val="sr-Cyrl-CS"/>
              </w:rPr>
              <w:t>поређењу</w:t>
            </w:r>
            <w:r w:rsidR="001B4770" w:rsidRPr="005303F7">
              <w:rPr>
                <w:rFonts w:ascii="Times New Roman" w:hAnsi="Times New Roman"/>
                <w:b/>
                <w:bCs/>
                <w:color w:val="000000"/>
                <w:sz w:val="20"/>
                <w:lang w:val="sr-Cyrl-CS"/>
              </w:rPr>
              <w:t xml:space="preserve"> </w:t>
            </w:r>
            <w:r w:rsidR="00BF65FC" w:rsidRPr="005303F7">
              <w:rPr>
                <w:rFonts w:ascii="Times New Roman" w:hAnsi="Times New Roman"/>
                <w:b/>
                <w:bCs/>
                <w:color w:val="000000"/>
                <w:sz w:val="20"/>
                <w:lang w:val="sr-Cyrl-CS"/>
              </w:rPr>
              <w:t>са</w:t>
            </w:r>
            <w:r w:rsidR="001B4770" w:rsidRPr="005303F7">
              <w:rPr>
                <w:rFonts w:ascii="Times New Roman" w:hAnsi="Times New Roman"/>
                <w:b/>
                <w:bCs/>
                <w:color w:val="000000"/>
                <w:sz w:val="20"/>
                <w:lang w:val="sr-Cyrl-CS"/>
              </w:rPr>
              <w:t xml:space="preserve"> </w:t>
            </w:r>
            <w:r w:rsidR="00BF65FC" w:rsidRPr="005303F7">
              <w:rPr>
                <w:rFonts w:ascii="Times New Roman" w:hAnsi="Times New Roman"/>
                <w:b/>
                <w:bCs/>
                <w:color w:val="000000"/>
                <w:sz w:val="20"/>
                <w:lang w:val="sr-Cyrl-CS"/>
              </w:rPr>
              <w:t>основним</w:t>
            </w:r>
            <w:r w:rsidR="001B4770" w:rsidRPr="005303F7">
              <w:rPr>
                <w:rFonts w:ascii="Times New Roman" w:hAnsi="Times New Roman"/>
                <w:b/>
                <w:bCs/>
                <w:color w:val="000000"/>
                <w:sz w:val="20"/>
                <w:lang w:val="sr-Cyrl-CS"/>
              </w:rPr>
              <w:t xml:space="preserve"> </w:t>
            </w:r>
            <w:r w:rsidR="00BF65FC" w:rsidRPr="005303F7">
              <w:rPr>
                <w:rFonts w:ascii="Times New Roman" w:hAnsi="Times New Roman"/>
                <w:b/>
                <w:bCs/>
                <w:color w:val="000000"/>
                <w:sz w:val="20"/>
                <w:lang w:val="sr-Cyrl-CS"/>
              </w:rPr>
              <w:t>сценариом</w:t>
            </w:r>
            <w:r w:rsidRPr="005303F7">
              <w:rPr>
                <w:rFonts w:ascii="Times New Roman" w:hAnsi="Times New Roman"/>
                <w:b/>
                <w:bCs/>
                <w:color w:val="000000"/>
                <w:sz w:val="20"/>
                <w:lang w:val="sr-Cyrl-CS"/>
              </w:rPr>
              <w:t>)</w:t>
            </w:r>
          </w:p>
        </w:tc>
        <w:tc>
          <w:tcPr>
            <w:tcW w:w="539" w:type="pct"/>
            <w:tcBorders>
              <w:top w:val="double" w:sz="4" w:space="0" w:color="auto"/>
              <w:left w:val="single" w:sz="6" w:space="0" w:color="auto"/>
              <w:bottom w:val="single" w:sz="6" w:space="0" w:color="auto"/>
              <w:right w:val="single" w:sz="6" w:space="0" w:color="auto"/>
            </w:tcBorders>
            <w:vAlign w:val="center"/>
          </w:tcPr>
          <w:p w14:paraId="69F65536" w14:textId="0D09E748" w:rsidR="004019A3" w:rsidRPr="005303F7" w:rsidRDefault="004019A3" w:rsidP="004019A3">
            <w:pPr>
              <w:tabs>
                <w:tab w:val="clear" w:pos="3825"/>
              </w:tabs>
              <w:overflowPunct/>
              <w:spacing w:before="0" w:after="0"/>
              <w:jc w:val="right"/>
              <w:textAlignment w:val="auto"/>
              <w:rPr>
                <w:rFonts w:ascii="Times New Roman" w:hAnsi="Times New Roman"/>
                <w:b/>
                <w:bCs/>
                <w:color w:val="000000"/>
                <w:sz w:val="20"/>
                <w:lang w:val="sr-Cyrl-CS"/>
              </w:rPr>
            </w:pPr>
            <w:r w:rsidRPr="005303F7">
              <w:rPr>
                <w:rFonts w:ascii="Times New Roman" w:hAnsi="Times New Roman"/>
                <w:b/>
                <w:bCs/>
                <w:color w:val="000000"/>
                <w:sz w:val="20"/>
                <w:lang w:val="sr-Cyrl-CS"/>
              </w:rPr>
              <w:t>6.51</w:t>
            </w:r>
            <w:r w:rsidR="006D1B4B" w:rsidRPr="005303F7">
              <w:rPr>
                <w:rFonts w:ascii="Times New Roman" w:hAnsi="Times New Roman"/>
                <w:b/>
                <w:bCs/>
                <w:color w:val="000000"/>
                <w:sz w:val="20"/>
                <w:lang w:val="sr-Cyrl-CS"/>
              </w:rPr>
              <w:t>1</w:t>
            </w:r>
          </w:p>
        </w:tc>
        <w:tc>
          <w:tcPr>
            <w:tcW w:w="770" w:type="pct"/>
            <w:tcBorders>
              <w:top w:val="double" w:sz="4" w:space="0" w:color="auto"/>
              <w:left w:val="single" w:sz="6" w:space="0" w:color="auto"/>
              <w:bottom w:val="single" w:sz="6" w:space="0" w:color="auto"/>
              <w:right w:val="single" w:sz="6" w:space="0" w:color="auto"/>
            </w:tcBorders>
            <w:vAlign w:val="center"/>
          </w:tcPr>
          <w:p w14:paraId="2A2FDF32" w14:textId="4FFA6EB3" w:rsidR="004019A3" w:rsidRPr="005303F7" w:rsidRDefault="004019A3" w:rsidP="004019A3">
            <w:pPr>
              <w:tabs>
                <w:tab w:val="clear" w:pos="3825"/>
              </w:tabs>
              <w:overflowPunct/>
              <w:spacing w:before="0" w:after="0"/>
              <w:jc w:val="right"/>
              <w:textAlignment w:val="auto"/>
              <w:rPr>
                <w:rFonts w:ascii="Times New Roman" w:hAnsi="Times New Roman"/>
                <w:b/>
                <w:bCs/>
                <w:color w:val="000000"/>
                <w:sz w:val="20"/>
                <w:lang w:val="sr-Cyrl-CS"/>
              </w:rPr>
            </w:pPr>
            <w:r w:rsidRPr="005303F7">
              <w:rPr>
                <w:rFonts w:ascii="Times New Roman" w:hAnsi="Times New Roman"/>
                <w:b/>
                <w:bCs/>
                <w:color w:val="000000"/>
                <w:sz w:val="20"/>
                <w:lang w:val="sr-Cyrl-CS"/>
              </w:rPr>
              <w:t>37.82</w:t>
            </w:r>
            <w:r w:rsidR="006D1B4B" w:rsidRPr="005303F7">
              <w:rPr>
                <w:rFonts w:ascii="Times New Roman" w:hAnsi="Times New Roman"/>
                <w:b/>
                <w:bCs/>
                <w:color w:val="000000"/>
                <w:sz w:val="20"/>
                <w:lang w:val="sr-Cyrl-CS"/>
              </w:rPr>
              <w:t>2</w:t>
            </w:r>
          </w:p>
        </w:tc>
        <w:tc>
          <w:tcPr>
            <w:tcW w:w="770" w:type="pct"/>
            <w:tcBorders>
              <w:top w:val="double" w:sz="4" w:space="0" w:color="auto"/>
              <w:left w:val="single" w:sz="6" w:space="0" w:color="auto"/>
              <w:bottom w:val="single" w:sz="6" w:space="0" w:color="auto"/>
              <w:right w:val="single" w:sz="6" w:space="0" w:color="auto"/>
            </w:tcBorders>
            <w:vAlign w:val="center"/>
          </w:tcPr>
          <w:p w14:paraId="4CCE7D26" w14:textId="5575B60C" w:rsidR="004019A3" w:rsidRPr="005303F7" w:rsidRDefault="004019A3" w:rsidP="004019A3">
            <w:pPr>
              <w:tabs>
                <w:tab w:val="clear" w:pos="3825"/>
              </w:tabs>
              <w:overflowPunct/>
              <w:spacing w:before="0" w:after="0"/>
              <w:jc w:val="right"/>
              <w:textAlignment w:val="auto"/>
              <w:rPr>
                <w:rFonts w:ascii="Times New Roman" w:hAnsi="Times New Roman"/>
                <w:b/>
                <w:bCs/>
                <w:color w:val="000000"/>
                <w:sz w:val="20"/>
                <w:lang w:val="sr-Cyrl-CS"/>
              </w:rPr>
            </w:pPr>
            <w:r w:rsidRPr="005303F7">
              <w:rPr>
                <w:rFonts w:ascii="Times New Roman" w:hAnsi="Times New Roman"/>
                <w:b/>
                <w:bCs/>
                <w:color w:val="000000"/>
                <w:sz w:val="20"/>
                <w:lang w:val="sr-Cyrl-CS"/>
              </w:rPr>
              <w:t>76.79</w:t>
            </w:r>
            <w:r w:rsidR="006D1B4B" w:rsidRPr="005303F7">
              <w:rPr>
                <w:rFonts w:ascii="Times New Roman" w:hAnsi="Times New Roman"/>
                <w:b/>
                <w:bCs/>
                <w:color w:val="000000"/>
                <w:sz w:val="20"/>
                <w:lang w:val="sr-Cyrl-CS"/>
              </w:rPr>
              <w:t>2</w:t>
            </w:r>
          </w:p>
        </w:tc>
      </w:tr>
    </w:tbl>
    <w:p w14:paraId="064978A5" w14:textId="72A881E6" w:rsidR="00CA5CD8" w:rsidRPr="005303F7" w:rsidRDefault="00DA7CD2" w:rsidP="00CA5CD8">
      <w:pPr>
        <w:rPr>
          <w:rFonts w:ascii="Times New Roman" w:hAnsi="Times New Roman"/>
          <w:iCs/>
          <w:szCs w:val="18"/>
          <w:lang w:val="sr-Cyrl-CS"/>
        </w:rPr>
      </w:pPr>
      <w:bookmarkStart w:id="330" w:name="_Ref12996244"/>
      <w:bookmarkEnd w:id="329"/>
      <w:r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Трошкови</w:t>
      </w:r>
      <w:r w:rsidR="00CD7AE3"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повезани</w:t>
      </w:r>
      <w:r w:rsidR="00CD7AE3"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са</w:t>
      </w:r>
      <w:r w:rsidR="00CD7AE3"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имплементацијом</w:t>
      </w:r>
      <w:r w:rsidR="00CD7AE3" w:rsidRPr="005303F7">
        <w:rPr>
          <w:rFonts w:ascii="Times New Roman" w:hAnsi="Times New Roman"/>
          <w:sz w:val="24"/>
          <w:szCs w:val="22"/>
          <w:lang w:val="sr-Cyrl-CS"/>
        </w:rPr>
        <w:t xml:space="preserve"> </w:t>
      </w:r>
      <w:r w:rsidR="00870E18" w:rsidRPr="005303F7">
        <w:rPr>
          <w:rFonts w:ascii="Times New Roman" w:hAnsi="Times New Roman"/>
          <w:sz w:val="24"/>
          <w:lang w:val="sr-Cyrl-CS"/>
        </w:rPr>
        <w:t>ЕU-ЕТS</w:t>
      </w:r>
      <w:r w:rsidR="00CD7AE3" w:rsidRPr="005303F7">
        <w:rPr>
          <w:rFonts w:ascii="Times New Roman" w:hAnsi="Times New Roman"/>
          <w:sz w:val="24"/>
          <w:szCs w:val="22"/>
          <w:lang w:val="sr-Cyrl-CS"/>
        </w:rPr>
        <w:t>-</w:t>
      </w:r>
      <w:r w:rsidR="00BF65FC" w:rsidRPr="005303F7">
        <w:rPr>
          <w:rFonts w:ascii="Times New Roman" w:hAnsi="Times New Roman"/>
          <w:sz w:val="24"/>
          <w:szCs w:val="22"/>
          <w:lang w:val="sr-Cyrl-CS"/>
        </w:rPr>
        <w:t>а</w:t>
      </w:r>
      <w:r w:rsidR="00CD7AE3" w:rsidRPr="005303F7">
        <w:rPr>
          <w:rFonts w:ascii="Times New Roman" w:hAnsi="Times New Roman"/>
          <w:sz w:val="24"/>
          <w:szCs w:val="22"/>
          <w:lang w:val="sr-Cyrl-CS"/>
        </w:rPr>
        <w:t xml:space="preserve"> </w:t>
      </w:r>
      <w:r w:rsidR="003F1615" w:rsidRPr="005303F7">
        <w:rPr>
          <w:rFonts w:ascii="Times New Roman" w:hAnsi="Times New Roman"/>
          <w:sz w:val="24"/>
          <w:szCs w:val="22"/>
          <w:lang w:val="sr-Cyrl-CS"/>
        </w:rPr>
        <w:t xml:space="preserve">или других инструмената одређивања цене угљеника </w:t>
      </w:r>
      <w:r w:rsidR="00BF65FC" w:rsidRPr="005303F7">
        <w:rPr>
          <w:rFonts w:ascii="Times New Roman" w:hAnsi="Times New Roman"/>
          <w:sz w:val="24"/>
          <w:szCs w:val="22"/>
          <w:lang w:val="sr-Cyrl-CS"/>
        </w:rPr>
        <w:t>у</w:t>
      </w:r>
      <w:r w:rsidR="00CD7AE3" w:rsidRPr="005303F7">
        <w:rPr>
          <w:rFonts w:ascii="Times New Roman" w:hAnsi="Times New Roman"/>
          <w:sz w:val="24"/>
          <w:szCs w:val="22"/>
          <w:lang w:val="sr-Cyrl-CS"/>
        </w:rPr>
        <w:t xml:space="preserve"> </w:t>
      </w:r>
      <w:r w:rsidR="00D73AAB" w:rsidRPr="005303F7">
        <w:rPr>
          <w:rFonts w:ascii="Times New Roman" w:hAnsi="Times New Roman"/>
          <w:sz w:val="24"/>
          <w:szCs w:val="22"/>
          <w:lang w:val="sr-Cyrl-CS"/>
        </w:rPr>
        <w:t>Републици Србији</w:t>
      </w:r>
      <w:r w:rsidR="00CD7AE3"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другачије</w:t>
      </w:r>
      <w:r w:rsidR="00CD7AE3"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су</w:t>
      </w:r>
      <w:r w:rsidR="00CD7AE3"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природе</w:t>
      </w:r>
      <w:r w:rsidR="00CD7AE3"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него</w:t>
      </w:r>
      <w:r w:rsidR="00CD7AE3"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трошкови</w:t>
      </w:r>
      <w:r w:rsidR="00CD7AE3"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који</w:t>
      </w:r>
      <w:r w:rsidR="00CD7AE3"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су</w:t>
      </w:r>
      <w:r w:rsidR="00CD7AE3"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повезани</w:t>
      </w:r>
      <w:r w:rsidR="00CD7AE3"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са</w:t>
      </w:r>
      <w:r w:rsidR="00CD7AE3"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другим</w:t>
      </w:r>
      <w:r w:rsidR="00CD7AE3"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мера</w:t>
      </w:r>
      <w:r w:rsidR="00BF65FC" w:rsidRPr="005303F7">
        <w:rPr>
          <w:rFonts w:ascii="Times New Roman" w:hAnsi="Times New Roman"/>
          <w:sz w:val="24"/>
          <w:lang w:val="sr-Cyrl-CS"/>
        </w:rPr>
        <w:t>ма</w:t>
      </w:r>
      <w:r w:rsidR="00F64BC2" w:rsidRPr="005303F7">
        <w:rPr>
          <w:rFonts w:ascii="Times New Roman" w:hAnsi="Times New Roman"/>
          <w:sz w:val="24"/>
          <w:lang w:val="sr-Cyrl-CS"/>
        </w:rPr>
        <w:t>:</w:t>
      </w:r>
      <w:r w:rsidR="0009177B" w:rsidRPr="005303F7">
        <w:rPr>
          <w:rFonts w:ascii="Times New Roman" w:hAnsi="Times New Roman"/>
          <w:sz w:val="24"/>
          <w:lang w:val="sr-Cyrl-CS"/>
        </w:rPr>
        <w:t xml:space="preserve"> д</w:t>
      </w:r>
      <w:r w:rsidR="00BF65FC" w:rsidRPr="005303F7">
        <w:rPr>
          <w:rFonts w:ascii="Times New Roman" w:hAnsi="Times New Roman"/>
          <w:sz w:val="24"/>
          <w:lang w:val="sr-Cyrl-CS"/>
        </w:rPr>
        <w:t>иректни</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трошкови</w:t>
      </w:r>
      <w:r w:rsidR="0009177B" w:rsidRPr="005303F7">
        <w:rPr>
          <w:rFonts w:ascii="Times New Roman" w:hAnsi="Times New Roman"/>
          <w:sz w:val="24"/>
          <w:lang w:val="sr-Cyrl-CS"/>
        </w:rPr>
        <w:t xml:space="preserve"> </w:t>
      </w:r>
      <w:r w:rsidR="00BD2F93" w:rsidRPr="005303F7">
        <w:rPr>
          <w:rFonts w:ascii="Times New Roman" w:hAnsi="Times New Roman"/>
          <w:sz w:val="24"/>
          <w:lang w:val="sr-Cyrl-CS"/>
        </w:rPr>
        <w:t xml:space="preserve">ових </w:t>
      </w:r>
      <w:r w:rsidR="0009177B" w:rsidRPr="005303F7">
        <w:rPr>
          <w:rFonts w:ascii="Times New Roman" w:hAnsi="Times New Roman"/>
          <w:sz w:val="24"/>
          <w:lang w:val="sr-Cyrl-CS"/>
        </w:rPr>
        <w:t>мера</w:t>
      </w:r>
      <w:r w:rsidR="00231370" w:rsidRPr="005303F7">
        <w:rPr>
          <w:rFonts w:ascii="Times New Roman" w:hAnsi="Times New Roman"/>
          <w:sz w:val="24"/>
          <w:lang w:val="sr-Cyrl-CS"/>
        </w:rPr>
        <w:t xml:space="preserve"> могу се исказати као </w:t>
      </w:r>
      <w:r w:rsidR="0009177B" w:rsidRPr="005303F7">
        <w:rPr>
          <w:rFonts w:ascii="Times New Roman" w:hAnsi="Times New Roman"/>
          <w:sz w:val="24"/>
          <w:lang w:val="sr-Cyrl-CS"/>
        </w:rPr>
        <w:t>потенцијалне угљеничне казне, ако</w:t>
      </w:r>
      <w:r w:rsidR="00231370" w:rsidRPr="005303F7">
        <w:rPr>
          <w:rFonts w:ascii="Times New Roman" w:hAnsi="Times New Roman"/>
          <w:sz w:val="24"/>
          <w:lang w:val="sr-Cyrl-CS"/>
        </w:rPr>
        <w:t xml:space="preserve"> захтеви  мера не буду</w:t>
      </w:r>
      <w:r w:rsidR="0009177B" w:rsidRPr="005303F7">
        <w:rPr>
          <w:rFonts w:ascii="Times New Roman" w:hAnsi="Times New Roman"/>
          <w:sz w:val="24"/>
          <w:lang w:val="sr-Cyrl-CS"/>
        </w:rPr>
        <w:t xml:space="preserve"> спроведени </w:t>
      </w:r>
      <w:r w:rsidR="00BF65FC" w:rsidRPr="005303F7">
        <w:rPr>
          <w:rFonts w:ascii="Times New Roman" w:hAnsi="Times New Roman"/>
          <w:sz w:val="24"/>
          <w:lang w:val="sr-Cyrl-CS"/>
        </w:rPr>
        <w:t>до</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ступања</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снагу</w:t>
      </w:r>
      <w:r w:rsidR="00CD7AE3" w:rsidRPr="005303F7">
        <w:rPr>
          <w:rFonts w:ascii="Times New Roman" w:hAnsi="Times New Roman"/>
          <w:sz w:val="24"/>
          <w:lang w:val="sr-Cyrl-CS"/>
        </w:rPr>
        <w:t xml:space="preserve"> </w:t>
      </w:r>
      <w:r w:rsidR="00870E18" w:rsidRPr="005303F7">
        <w:rPr>
          <w:rFonts w:ascii="Times New Roman" w:hAnsi="Times New Roman"/>
          <w:sz w:val="24"/>
          <w:lang w:val="sr-Cyrl-CS"/>
        </w:rPr>
        <w:t>ЕU-ЕТS</w:t>
      </w:r>
      <w:r w:rsidR="00CD7AE3" w:rsidRPr="005303F7">
        <w:rPr>
          <w:rFonts w:ascii="Times New Roman" w:hAnsi="Times New Roman"/>
          <w:sz w:val="24"/>
          <w:lang w:val="sr-Cyrl-CS"/>
        </w:rPr>
        <w:t>-</w:t>
      </w:r>
      <w:r w:rsidR="00BF65FC" w:rsidRPr="005303F7">
        <w:rPr>
          <w:rFonts w:ascii="Times New Roman" w:hAnsi="Times New Roman"/>
          <w:sz w:val="24"/>
          <w:lang w:val="sr-Cyrl-CS"/>
        </w:rPr>
        <w:t>а</w:t>
      </w:r>
      <w:r w:rsidR="00776D28" w:rsidRPr="005303F7">
        <w:rPr>
          <w:rStyle w:val="FootnoteReference"/>
          <w:lang w:val="sr-Cyrl-CS"/>
        </w:rPr>
        <w:footnoteReference w:id="58"/>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Ове</w:t>
      </w:r>
      <w:r w:rsidR="00CD7AE3" w:rsidRPr="005303F7">
        <w:rPr>
          <w:rFonts w:ascii="Times New Roman" w:hAnsi="Times New Roman"/>
          <w:sz w:val="24"/>
          <w:lang w:val="sr-Cyrl-CS"/>
        </w:rPr>
        <w:t xml:space="preserve"> </w:t>
      </w:r>
      <w:r w:rsidR="00CC6FBD" w:rsidRPr="005303F7">
        <w:rPr>
          <w:rFonts w:ascii="Times New Roman" w:hAnsi="Times New Roman"/>
          <w:sz w:val="24"/>
          <w:lang w:val="sr-Cyrl-CS"/>
        </w:rPr>
        <w:t>тзв „друге мере</w:t>
      </w:r>
      <w:r w:rsidR="0035174D" w:rsidRPr="005303F7">
        <w:rPr>
          <w:rFonts w:ascii="Times New Roman" w:hAnsi="Times New Roman"/>
          <w:sz w:val="24"/>
          <w:lang w:val="sr-Cyrl-CS"/>
        </w:rPr>
        <w:t>”</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имају</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циљ</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да</w:t>
      </w:r>
      <w:r w:rsidR="006A13A7" w:rsidRPr="005303F7">
        <w:rPr>
          <w:rFonts w:ascii="Times New Roman" w:hAnsi="Times New Roman"/>
          <w:sz w:val="24"/>
          <w:lang w:val="sr-Cyrl-CS"/>
        </w:rPr>
        <w:t xml:space="preserve"> </w:t>
      </w:r>
      <w:r w:rsidR="00BF65FC" w:rsidRPr="005303F7">
        <w:rPr>
          <w:rFonts w:ascii="Times New Roman" w:hAnsi="Times New Roman"/>
          <w:sz w:val="24"/>
          <w:lang w:val="sr-Cyrl-CS"/>
        </w:rPr>
        <w:t>постепено</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наговесте</w:t>
      </w:r>
      <w:r w:rsidR="00D545DA" w:rsidRPr="005303F7">
        <w:rPr>
          <w:rFonts w:ascii="Times New Roman" w:hAnsi="Times New Roman"/>
          <w:sz w:val="24"/>
          <w:lang w:val="sr-Cyrl-CS"/>
        </w:rPr>
        <w:t xml:space="preserve"> </w:t>
      </w:r>
      <w:r w:rsidR="00BF65FC" w:rsidRPr="005303F7">
        <w:rPr>
          <w:rFonts w:ascii="Times New Roman" w:hAnsi="Times New Roman"/>
          <w:sz w:val="24"/>
          <w:lang w:val="sr-Cyrl-CS"/>
        </w:rPr>
        <w:t>цене</w:t>
      </w:r>
      <w:r w:rsidR="006A13A7" w:rsidRPr="005303F7">
        <w:rPr>
          <w:rFonts w:ascii="Times New Roman" w:hAnsi="Times New Roman"/>
          <w:sz w:val="24"/>
          <w:lang w:val="sr-Cyrl-CS"/>
        </w:rPr>
        <w:t>,</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једнаке</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онима</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из</w:t>
      </w:r>
      <w:r w:rsidR="00CD7AE3" w:rsidRPr="005303F7">
        <w:rPr>
          <w:rFonts w:ascii="Times New Roman" w:hAnsi="Times New Roman"/>
          <w:sz w:val="24"/>
          <w:lang w:val="sr-Cyrl-CS"/>
        </w:rPr>
        <w:t xml:space="preserve"> </w:t>
      </w:r>
      <w:r w:rsidR="00870E18" w:rsidRPr="005303F7">
        <w:rPr>
          <w:rFonts w:ascii="Times New Roman" w:hAnsi="Times New Roman"/>
          <w:sz w:val="24"/>
          <w:lang w:val="sr-Cyrl-CS"/>
        </w:rPr>
        <w:t>ЕU-ЕТS</w:t>
      </w:r>
      <w:r w:rsidR="00CD7AE3" w:rsidRPr="005303F7">
        <w:rPr>
          <w:rFonts w:ascii="Times New Roman" w:hAnsi="Times New Roman"/>
          <w:sz w:val="24"/>
          <w:lang w:val="sr-Cyrl-CS"/>
        </w:rPr>
        <w:t>-</w:t>
      </w:r>
      <w:r w:rsidR="00BF65FC" w:rsidRPr="005303F7">
        <w:rPr>
          <w:rFonts w:ascii="Times New Roman" w:hAnsi="Times New Roman"/>
          <w:sz w:val="24"/>
          <w:lang w:val="sr-Cyrl-CS"/>
        </w:rPr>
        <w:t>а</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омогу</w:t>
      </w:r>
      <w:r w:rsidR="00016298" w:rsidRPr="005303F7">
        <w:rPr>
          <w:rFonts w:ascii="Times New Roman" w:hAnsi="Times New Roman"/>
          <w:sz w:val="24"/>
          <w:lang w:val="sr-Cyrl-CS"/>
        </w:rPr>
        <w:t>ћ</w:t>
      </w:r>
      <w:r w:rsidR="00BF65FC" w:rsidRPr="005303F7">
        <w:rPr>
          <w:rFonts w:ascii="Times New Roman" w:hAnsi="Times New Roman"/>
          <w:sz w:val="24"/>
          <w:lang w:val="sr-Cyrl-CS"/>
        </w:rPr>
        <w:t>авају</w:t>
      </w:r>
      <w:r w:rsidR="00016298" w:rsidRPr="005303F7">
        <w:rPr>
          <w:rFonts w:ascii="Times New Roman" w:hAnsi="Times New Roman"/>
          <w:sz w:val="24"/>
          <w:lang w:val="sr-Cyrl-CS"/>
        </w:rPr>
        <w:t>ћ</w:t>
      </w:r>
      <w:r w:rsidR="00BF65FC" w:rsidRPr="005303F7">
        <w:rPr>
          <w:rFonts w:ascii="Times New Roman" w:hAnsi="Times New Roman"/>
          <w:sz w:val="24"/>
          <w:lang w:val="sr-Cyrl-CS"/>
        </w:rPr>
        <w:t>и</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тако</w:t>
      </w:r>
      <w:r w:rsidR="00CC6FBD" w:rsidRPr="005303F7">
        <w:rPr>
          <w:rFonts w:ascii="Times New Roman" w:hAnsi="Times New Roman"/>
          <w:sz w:val="24"/>
          <w:lang w:val="sr-Cyrl-CS"/>
        </w:rPr>
        <w:t xml:space="preserve"> </w:t>
      </w:r>
      <w:r w:rsidR="0009177B" w:rsidRPr="005303F7">
        <w:rPr>
          <w:rFonts w:ascii="Times New Roman" w:hAnsi="Times New Roman"/>
          <w:sz w:val="24"/>
          <w:lang w:val="sr-Cyrl-CS"/>
        </w:rPr>
        <w:t xml:space="preserve">декарбонизацију и </w:t>
      </w:r>
      <w:r w:rsidR="00BF65FC" w:rsidRPr="005303F7">
        <w:rPr>
          <w:rFonts w:ascii="Times New Roman" w:hAnsi="Times New Roman"/>
          <w:sz w:val="24"/>
          <w:lang w:val="sr-Cyrl-CS"/>
        </w:rPr>
        <w:t>лакшу</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припрему</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за</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учеш</w:t>
      </w:r>
      <w:r w:rsidR="00016298" w:rsidRPr="005303F7">
        <w:rPr>
          <w:rFonts w:ascii="Times New Roman" w:hAnsi="Times New Roman"/>
          <w:sz w:val="24"/>
          <w:lang w:val="sr-Cyrl-CS"/>
        </w:rPr>
        <w:t>ћ</w:t>
      </w:r>
      <w:r w:rsidR="00BF65FC" w:rsidRPr="005303F7">
        <w:rPr>
          <w:rFonts w:ascii="Times New Roman" w:hAnsi="Times New Roman"/>
          <w:sz w:val="24"/>
          <w:lang w:val="sr-Cyrl-CS"/>
        </w:rPr>
        <w:t>е</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оператера</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постројења</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ЕТ</w:t>
      </w:r>
      <w:r w:rsidR="00870E18" w:rsidRPr="005303F7">
        <w:rPr>
          <w:rFonts w:ascii="Times New Roman" w:hAnsi="Times New Roman"/>
          <w:sz w:val="24"/>
          <w:lang w:val="sr-Cyrl-CS"/>
        </w:rPr>
        <w:t>S</w:t>
      </w:r>
      <w:r w:rsidR="00CD7AE3" w:rsidRPr="005303F7">
        <w:rPr>
          <w:rFonts w:ascii="Times New Roman" w:hAnsi="Times New Roman"/>
          <w:sz w:val="24"/>
          <w:lang w:val="sr-Cyrl-CS"/>
        </w:rPr>
        <w:t>-</w:t>
      </w:r>
      <w:r w:rsidR="00BF65FC" w:rsidRPr="005303F7">
        <w:rPr>
          <w:rFonts w:ascii="Times New Roman" w:hAnsi="Times New Roman"/>
          <w:sz w:val="24"/>
          <w:lang w:val="sr-Cyrl-CS"/>
        </w:rPr>
        <w:t>у</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Ови</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трошкови</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сматрају</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се</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теку</w:t>
      </w:r>
      <w:r w:rsidR="00016298" w:rsidRPr="005303F7">
        <w:rPr>
          <w:rFonts w:ascii="Times New Roman" w:hAnsi="Times New Roman"/>
          <w:sz w:val="24"/>
          <w:lang w:val="sr-Cyrl-CS"/>
        </w:rPr>
        <w:t>ћ</w:t>
      </w:r>
      <w:r w:rsidR="00BF65FC" w:rsidRPr="005303F7">
        <w:rPr>
          <w:rFonts w:ascii="Times New Roman" w:hAnsi="Times New Roman"/>
          <w:sz w:val="24"/>
          <w:lang w:val="sr-Cyrl-CS"/>
        </w:rPr>
        <w:t>им</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трошковима</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због</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тога</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нису</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укључени</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горњу</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табелу</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Међутим</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с</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обзиром</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на</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значај</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мере</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и</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висину</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трошкова</w:t>
      </w:r>
      <w:r w:rsidR="00CD7AE3" w:rsidRPr="005303F7">
        <w:rPr>
          <w:rFonts w:ascii="Times New Roman" w:hAnsi="Times New Roman"/>
          <w:sz w:val="24"/>
          <w:lang w:val="sr-Cyrl-CS"/>
        </w:rPr>
        <w:t xml:space="preserve"> </w:t>
      </w:r>
      <w:r w:rsidR="0009177B" w:rsidRPr="005303F7">
        <w:rPr>
          <w:rFonts w:ascii="Times New Roman" w:hAnsi="Times New Roman"/>
          <w:sz w:val="24"/>
          <w:lang w:val="sr-Cyrl-CS"/>
        </w:rPr>
        <w:t xml:space="preserve">изложености </w:t>
      </w:r>
      <w:r w:rsidR="00CC6FBD" w:rsidRPr="005303F7">
        <w:rPr>
          <w:rFonts w:ascii="Times New Roman" w:hAnsi="Times New Roman"/>
          <w:sz w:val="24"/>
          <w:lang w:val="sr-Cyrl-CS"/>
        </w:rPr>
        <w:t>овим мерама</w:t>
      </w:r>
      <w:r w:rsidR="0009177B" w:rsidRPr="005303F7">
        <w:rPr>
          <w:rFonts w:ascii="Times New Roman" w:hAnsi="Times New Roman"/>
          <w:sz w:val="24"/>
          <w:lang w:val="sr-Cyrl-CS"/>
        </w:rPr>
        <w:t xml:space="preserve"> и касније EU-ETS-у</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они</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су</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представљени</w:t>
      </w:r>
      <w:r w:rsidR="00CD7AE3"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CD7AE3" w:rsidRPr="005303F7">
        <w:rPr>
          <w:rFonts w:ascii="Times New Roman" w:hAnsi="Times New Roman"/>
          <w:sz w:val="24"/>
          <w:szCs w:val="22"/>
          <w:lang w:val="sr-Cyrl-CS"/>
        </w:rPr>
        <w:t xml:space="preserve"> </w:t>
      </w:r>
      <w:r w:rsidR="00BF65FC" w:rsidRPr="005303F7">
        <w:rPr>
          <w:rFonts w:ascii="Times New Roman" w:hAnsi="Times New Roman"/>
          <w:sz w:val="24"/>
          <w:szCs w:val="22"/>
          <w:lang w:val="sr-Cyrl-CS"/>
        </w:rPr>
        <w:t>Табели</w:t>
      </w:r>
      <w:r w:rsidR="00B13A06" w:rsidRPr="005303F7">
        <w:rPr>
          <w:rFonts w:ascii="Times New Roman" w:hAnsi="Times New Roman"/>
          <w:sz w:val="24"/>
          <w:szCs w:val="22"/>
          <w:lang w:val="sr-Cyrl-CS"/>
        </w:rPr>
        <w:t xml:space="preserve"> 14</w:t>
      </w:r>
      <w:r w:rsidR="00CA5CD8" w:rsidRPr="005303F7">
        <w:rPr>
          <w:rFonts w:ascii="Times New Roman" w:hAnsi="Times New Roman"/>
          <w:sz w:val="24"/>
          <w:szCs w:val="22"/>
          <w:lang w:val="sr-Cyrl-CS"/>
        </w:rPr>
        <w:t xml:space="preserve">, </w:t>
      </w:r>
      <w:r w:rsidR="00BF65FC" w:rsidRPr="005303F7">
        <w:rPr>
          <w:rFonts w:ascii="Times New Roman" w:hAnsi="Times New Roman"/>
          <w:iCs/>
          <w:sz w:val="24"/>
          <w:szCs w:val="22"/>
          <w:lang w:val="sr-Cyrl-CS"/>
        </w:rPr>
        <w:t>заједно</w:t>
      </w:r>
      <w:r w:rsidR="00CD7AE3" w:rsidRPr="005303F7">
        <w:rPr>
          <w:rFonts w:ascii="Times New Roman" w:hAnsi="Times New Roman"/>
          <w:iCs/>
          <w:sz w:val="24"/>
          <w:szCs w:val="22"/>
          <w:lang w:val="sr-Cyrl-CS"/>
        </w:rPr>
        <w:t xml:space="preserve"> </w:t>
      </w:r>
      <w:r w:rsidR="00BF65FC" w:rsidRPr="005303F7">
        <w:rPr>
          <w:rFonts w:ascii="Times New Roman" w:hAnsi="Times New Roman"/>
          <w:iCs/>
          <w:sz w:val="24"/>
          <w:szCs w:val="22"/>
          <w:lang w:val="sr-Cyrl-CS"/>
        </w:rPr>
        <w:t>с</w:t>
      </w:r>
      <w:r w:rsidR="00CD7AE3" w:rsidRPr="005303F7">
        <w:rPr>
          <w:rFonts w:ascii="Times New Roman" w:hAnsi="Times New Roman"/>
          <w:iCs/>
          <w:sz w:val="24"/>
          <w:szCs w:val="22"/>
          <w:lang w:val="sr-Cyrl-CS"/>
        </w:rPr>
        <w:t xml:space="preserve"> </w:t>
      </w:r>
      <w:r w:rsidR="00BF65FC" w:rsidRPr="005303F7">
        <w:rPr>
          <w:rFonts w:ascii="Times New Roman" w:hAnsi="Times New Roman"/>
          <w:iCs/>
          <w:sz w:val="24"/>
          <w:szCs w:val="22"/>
          <w:lang w:val="sr-Cyrl-CS"/>
        </w:rPr>
        <w:t>додатним</w:t>
      </w:r>
      <w:r w:rsidR="00CD7AE3" w:rsidRPr="005303F7">
        <w:rPr>
          <w:rFonts w:ascii="Times New Roman" w:hAnsi="Times New Roman"/>
          <w:iCs/>
          <w:sz w:val="24"/>
          <w:szCs w:val="22"/>
          <w:lang w:val="sr-Cyrl-CS"/>
        </w:rPr>
        <w:t xml:space="preserve"> </w:t>
      </w:r>
      <w:r w:rsidR="00BF65FC" w:rsidRPr="005303F7">
        <w:rPr>
          <w:rFonts w:ascii="Times New Roman" w:hAnsi="Times New Roman"/>
          <w:iCs/>
          <w:sz w:val="24"/>
          <w:szCs w:val="22"/>
          <w:lang w:val="sr-Cyrl-CS"/>
        </w:rPr>
        <w:t>трошковима</w:t>
      </w:r>
      <w:r w:rsidR="00CD7AE3" w:rsidRPr="005303F7">
        <w:rPr>
          <w:rFonts w:ascii="Times New Roman" w:hAnsi="Times New Roman"/>
          <w:iCs/>
          <w:sz w:val="24"/>
          <w:szCs w:val="22"/>
          <w:lang w:val="sr-Cyrl-CS"/>
        </w:rPr>
        <w:t xml:space="preserve"> </w:t>
      </w:r>
      <w:r w:rsidR="00BF65FC" w:rsidRPr="005303F7">
        <w:rPr>
          <w:rFonts w:ascii="Times New Roman" w:hAnsi="Times New Roman"/>
          <w:iCs/>
          <w:sz w:val="24"/>
          <w:szCs w:val="22"/>
          <w:lang w:val="sr-Cyrl-CS"/>
        </w:rPr>
        <w:t>улагања</w:t>
      </w:r>
      <w:r w:rsidR="00CD7AE3" w:rsidRPr="005303F7">
        <w:rPr>
          <w:rFonts w:ascii="Times New Roman" w:hAnsi="Times New Roman"/>
          <w:iCs/>
          <w:sz w:val="24"/>
          <w:szCs w:val="22"/>
          <w:lang w:val="sr-Cyrl-CS"/>
        </w:rPr>
        <w:t xml:space="preserve"> </w:t>
      </w:r>
      <w:r w:rsidR="00BF65FC" w:rsidRPr="005303F7">
        <w:rPr>
          <w:rFonts w:ascii="Times New Roman" w:hAnsi="Times New Roman"/>
          <w:iCs/>
          <w:sz w:val="24"/>
          <w:szCs w:val="22"/>
          <w:lang w:val="sr-Cyrl-CS"/>
        </w:rPr>
        <w:t>у</w:t>
      </w:r>
      <w:r w:rsidR="00CD7AE3" w:rsidRPr="005303F7">
        <w:rPr>
          <w:rFonts w:ascii="Times New Roman" w:hAnsi="Times New Roman"/>
          <w:iCs/>
          <w:sz w:val="24"/>
          <w:szCs w:val="22"/>
          <w:lang w:val="sr-Cyrl-CS"/>
        </w:rPr>
        <w:t xml:space="preserve"> </w:t>
      </w:r>
      <w:r w:rsidR="00BF65FC" w:rsidRPr="005303F7">
        <w:rPr>
          <w:rFonts w:ascii="Times New Roman" w:hAnsi="Times New Roman"/>
          <w:iCs/>
          <w:sz w:val="24"/>
          <w:szCs w:val="22"/>
          <w:lang w:val="sr-Cyrl-CS"/>
        </w:rPr>
        <w:t>енергетски</w:t>
      </w:r>
      <w:r w:rsidR="00CD7AE3" w:rsidRPr="005303F7">
        <w:rPr>
          <w:rFonts w:ascii="Times New Roman" w:hAnsi="Times New Roman"/>
          <w:iCs/>
          <w:sz w:val="24"/>
          <w:szCs w:val="22"/>
          <w:lang w:val="sr-Cyrl-CS"/>
        </w:rPr>
        <w:t xml:space="preserve"> </w:t>
      </w:r>
      <w:r w:rsidR="00BF65FC" w:rsidRPr="005303F7">
        <w:rPr>
          <w:rFonts w:ascii="Times New Roman" w:hAnsi="Times New Roman"/>
          <w:iCs/>
          <w:sz w:val="24"/>
          <w:szCs w:val="22"/>
          <w:lang w:val="sr-Cyrl-CS"/>
        </w:rPr>
        <w:t>сектор</w:t>
      </w:r>
      <w:r w:rsidR="007B1EBD" w:rsidRPr="005303F7">
        <w:rPr>
          <w:rFonts w:ascii="Times New Roman" w:hAnsi="Times New Roman"/>
          <w:iCs/>
          <w:sz w:val="24"/>
          <w:szCs w:val="22"/>
          <w:lang w:val="sr-Cyrl-CS"/>
        </w:rPr>
        <w:t>, а утврђени су на бази</w:t>
      </w:r>
      <w:r w:rsidR="00363769" w:rsidRPr="005303F7">
        <w:rPr>
          <w:rFonts w:ascii="Times New Roman" w:hAnsi="Times New Roman"/>
          <w:iCs/>
          <w:sz w:val="24"/>
          <w:szCs w:val="22"/>
          <w:lang w:val="sr-Cyrl-CS"/>
        </w:rPr>
        <w:t xml:space="preserve"> претпоставки наведених у овој с</w:t>
      </w:r>
      <w:r w:rsidR="007B1EBD" w:rsidRPr="005303F7">
        <w:rPr>
          <w:rFonts w:ascii="Times New Roman" w:hAnsi="Times New Roman"/>
          <w:iCs/>
          <w:sz w:val="24"/>
          <w:szCs w:val="22"/>
          <w:lang w:val="sr-Cyrl-CS"/>
        </w:rPr>
        <w:t>тратегији</w:t>
      </w:r>
      <w:r w:rsidR="00CD7AE3" w:rsidRPr="005303F7">
        <w:rPr>
          <w:rFonts w:ascii="Times New Roman" w:hAnsi="Times New Roman"/>
          <w:iCs/>
          <w:sz w:val="24"/>
          <w:szCs w:val="22"/>
          <w:lang w:val="sr-Cyrl-CS"/>
        </w:rPr>
        <w:t>.</w:t>
      </w:r>
    </w:p>
    <w:p w14:paraId="1906FFC2" w14:textId="2B4D8375" w:rsidR="003C4991" w:rsidRPr="005303F7" w:rsidRDefault="00BF65FC" w:rsidP="006204CB">
      <w:pPr>
        <w:spacing w:after="60"/>
        <w:ind w:left="993" w:hanging="993"/>
        <w:rPr>
          <w:rFonts w:ascii="Times New Roman" w:hAnsi="Times New Roman"/>
          <w:b/>
          <w:bCs/>
          <w:i/>
          <w:iCs/>
          <w:sz w:val="20"/>
          <w:szCs w:val="18"/>
          <w:lang w:val="sr-Cyrl-CS"/>
        </w:rPr>
      </w:pPr>
      <w:bookmarkStart w:id="331" w:name="_Toc26450886"/>
      <w:r w:rsidRPr="005303F7">
        <w:rPr>
          <w:rFonts w:ascii="Times New Roman" w:hAnsi="Times New Roman"/>
          <w:b/>
          <w:bCs/>
          <w:i/>
          <w:iCs/>
          <w:sz w:val="20"/>
          <w:szCs w:val="18"/>
          <w:lang w:val="sr-Cyrl-CS"/>
        </w:rPr>
        <w:t>Табела</w:t>
      </w:r>
      <w:r w:rsidR="006204CB" w:rsidRPr="005303F7">
        <w:rPr>
          <w:rFonts w:ascii="Times New Roman" w:hAnsi="Times New Roman"/>
          <w:b/>
          <w:bCs/>
          <w:i/>
          <w:iCs/>
          <w:sz w:val="20"/>
          <w:szCs w:val="18"/>
          <w:lang w:val="sr-Cyrl-CS"/>
        </w:rPr>
        <w:t xml:space="preserve"> </w:t>
      </w:r>
      <w:r w:rsidR="006204CB" w:rsidRPr="005303F7">
        <w:rPr>
          <w:rFonts w:ascii="Times New Roman" w:hAnsi="Times New Roman"/>
          <w:b/>
          <w:bCs/>
          <w:i/>
          <w:iCs/>
          <w:sz w:val="20"/>
          <w:szCs w:val="18"/>
          <w:lang w:val="sr-Cyrl-CS"/>
        </w:rPr>
        <w:fldChar w:fldCharType="begin"/>
      </w:r>
      <w:r w:rsidR="006204CB" w:rsidRPr="005303F7">
        <w:rPr>
          <w:rFonts w:ascii="Times New Roman" w:hAnsi="Times New Roman"/>
          <w:b/>
          <w:bCs/>
          <w:i/>
          <w:iCs/>
          <w:sz w:val="20"/>
          <w:szCs w:val="18"/>
          <w:lang w:val="sr-Cyrl-CS"/>
        </w:rPr>
        <w:instrText xml:space="preserve"> SEQ Table \* ARABIC </w:instrText>
      </w:r>
      <w:r w:rsidR="006204CB" w:rsidRPr="005303F7">
        <w:rPr>
          <w:rFonts w:ascii="Times New Roman" w:hAnsi="Times New Roman"/>
          <w:b/>
          <w:bCs/>
          <w:i/>
          <w:iCs/>
          <w:sz w:val="20"/>
          <w:szCs w:val="18"/>
          <w:lang w:val="sr-Cyrl-CS"/>
        </w:rPr>
        <w:fldChar w:fldCharType="separate"/>
      </w:r>
      <w:r w:rsidR="00DA2595" w:rsidRPr="005303F7">
        <w:rPr>
          <w:rFonts w:ascii="Times New Roman" w:hAnsi="Times New Roman"/>
          <w:b/>
          <w:bCs/>
          <w:i/>
          <w:iCs/>
          <w:noProof/>
          <w:sz w:val="20"/>
          <w:szCs w:val="18"/>
          <w:lang w:val="sr-Cyrl-CS"/>
        </w:rPr>
        <w:t>14</w:t>
      </w:r>
      <w:r w:rsidR="006204CB" w:rsidRPr="005303F7">
        <w:rPr>
          <w:rFonts w:ascii="Times New Roman" w:hAnsi="Times New Roman"/>
          <w:b/>
          <w:bCs/>
          <w:i/>
          <w:iCs/>
          <w:sz w:val="20"/>
          <w:szCs w:val="18"/>
          <w:lang w:val="sr-Cyrl-CS"/>
        </w:rPr>
        <w:fldChar w:fldCharType="end"/>
      </w:r>
      <w:r w:rsidR="006204CB"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Трошкови</w:t>
      </w:r>
      <w:r w:rsidR="00CD7AE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везани</w:t>
      </w:r>
      <w:r w:rsidR="00CD7AE3"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за</w:t>
      </w:r>
      <w:r w:rsidR="00007BC7" w:rsidRPr="005303F7">
        <w:rPr>
          <w:rFonts w:ascii="Times New Roman" w:hAnsi="Times New Roman"/>
          <w:b/>
          <w:bCs/>
          <w:i/>
          <w:iCs/>
          <w:sz w:val="20"/>
          <w:szCs w:val="18"/>
          <w:lang w:val="sr-Cyrl-CS"/>
        </w:rPr>
        <w:t xml:space="preserve"> </w:t>
      </w:r>
      <w:r w:rsidR="00C72BF0" w:rsidRPr="005303F7">
        <w:rPr>
          <w:rFonts w:ascii="Times New Roman" w:hAnsi="Times New Roman"/>
          <w:b/>
          <w:bCs/>
          <w:i/>
          <w:iCs/>
          <w:sz w:val="20"/>
          <w:szCs w:val="18"/>
          <w:lang w:val="sr-Cyrl-CS"/>
        </w:rPr>
        <w:t>за ЕU-ЕТS и друге мере одређивања цене угљеника</w:t>
      </w:r>
      <w:r w:rsidR="00C72BF0" w:rsidRPr="005303F7" w:rsidDel="00C72BF0">
        <w:rPr>
          <w:rFonts w:ascii="Times New Roman" w:hAnsi="Times New Roman"/>
          <w:b/>
          <w:bCs/>
          <w:i/>
          <w:iCs/>
          <w:sz w:val="20"/>
          <w:szCs w:val="18"/>
          <w:lang w:val="sr-Cyrl-CS"/>
        </w:rPr>
        <w:t xml:space="preserve"> </w:t>
      </w:r>
      <w:bookmarkEnd w:id="331"/>
      <w:r w:rsidR="00530B3F" w:rsidRPr="005303F7">
        <w:rPr>
          <w:rFonts w:ascii="Times New Roman" w:hAnsi="Times New Roman"/>
          <w:b/>
          <w:bCs/>
          <w:i/>
          <w:iCs/>
          <w:sz w:val="20"/>
          <w:szCs w:val="18"/>
          <w:lang w:val="sr-Cyrl-CS"/>
        </w:rPr>
        <w:t>(</w:t>
      </w:r>
      <w:r w:rsidR="00C72BF0" w:rsidRPr="005303F7">
        <w:rPr>
          <w:rFonts w:ascii="Times New Roman" w:hAnsi="Times New Roman"/>
          <w:b/>
          <w:bCs/>
          <w:i/>
          <w:iCs/>
          <w:sz w:val="20"/>
          <w:szCs w:val="18"/>
          <w:lang w:val="sr-Cyrl-CS"/>
        </w:rPr>
        <w:t>у милионима</w:t>
      </w:r>
      <w:r w:rsidR="00530B3F" w:rsidRPr="005303F7">
        <w:rPr>
          <w:rFonts w:ascii="Times New Roman" w:hAnsi="Times New Roman"/>
          <w:b/>
          <w:bCs/>
          <w:i/>
          <w:iCs/>
          <w:sz w:val="20"/>
          <w:szCs w:val="18"/>
          <w:lang w:val="sr-Cyrl-CS"/>
        </w:rPr>
        <w:t xml:space="preserve"> евра)</w:t>
      </w:r>
    </w:p>
    <w:tbl>
      <w:tblPr>
        <w:tblW w:w="9209" w:type="dxa"/>
        <w:tblLook w:val="04A0" w:firstRow="1" w:lastRow="0" w:firstColumn="1" w:lastColumn="0" w:noHBand="0" w:noVBand="1"/>
      </w:tblPr>
      <w:tblGrid>
        <w:gridCol w:w="5382"/>
        <w:gridCol w:w="992"/>
        <w:gridCol w:w="886"/>
        <w:gridCol w:w="1036"/>
        <w:gridCol w:w="913"/>
      </w:tblGrid>
      <w:tr w:rsidR="00682F18" w:rsidRPr="005303F7" w14:paraId="0D9150B0" w14:textId="77777777" w:rsidTr="0057451A">
        <w:trPr>
          <w:trHeight w:val="321"/>
        </w:trPr>
        <w:tc>
          <w:tcPr>
            <w:tcW w:w="5382"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14:paraId="2B56CDF9" w14:textId="77777777" w:rsidR="00682F18" w:rsidRPr="005303F7" w:rsidRDefault="00682F18" w:rsidP="00A17981">
            <w:pPr>
              <w:spacing w:after="0"/>
              <w:rPr>
                <w:rFonts w:ascii="Times New Roman" w:hAnsi="Times New Roman"/>
                <w:sz w:val="20"/>
                <w:lang w:val="sr-Cyrl-CS"/>
              </w:rPr>
            </w:pPr>
            <w:r w:rsidRPr="005303F7">
              <w:rPr>
                <w:rFonts w:ascii="Times New Roman" w:hAnsi="Times New Roman"/>
                <w:sz w:val="20"/>
                <w:lang w:val="sr-Cyrl-CS"/>
              </w:rPr>
              <w:t>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28A58B" w14:textId="7A30614D" w:rsidR="00682F18" w:rsidRPr="005303F7" w:rsidRDefault="00682F18" w:rsidP="00A17981">
            <w:pPr>
              <w:spacing w:after="0"/>
              <w:jc w:val="center"/>
              <w:rPr>
                <w:rFonts w:ascii="Times New Roman" w:hAnsi="Times New Roman"/>
                <w:sz w:val="20"/>
                <w:lang w:val="sr-Cyrl-CS"/>
              </w:rPr>
            </w:pPr>
            <w:r w:rsidRPr="005303F7">
              <w:rPr>
                <w:rFonts w:ascii="Times New Roman" w:hAnsi="Times New Roman"/>
                <w:sz w:val="20"/>
                <w:lang w:val="sr-Cyrl-CS"/>
              </w:rPr>
              <w:t>2020-2030</w:t>
            </w:r>
            <w:r w:rsidR="00CD7AE3" w:rsidRPr="005303F7">
              <w:rPr>
                <w:rFonts w:ascii="Times New Roman" w:hAnsi="Times New Roman"/>
                <w:sz w:val="20"/>
                <w:lang w:val="sr-Cyrl-CS"/>
              </w:rPr>
              <w:t>.</w:t>
            </w:r>
          </w:p>
        </w:tc>
        <w:tc>
          <w:tcPr>
            <w:tcW w:w="2835"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D21323E" w14:textId="2D11C335" w:rsidR="00682F18" w:rsidRPr="005303F7" w:rsidRDefault="00682F18" w:rsidP="00682F18">
            <w:pPr>
              <w:spacing w:after="0"/>
              <w:jc w:val="center"/>
              <w:rPr>
                <w:rFonts w:ascii="Times New Roman" w:hAnsi="Times New Roman"/>
                <w:sz w:val="20"/>
                <w:lang w:val="sr-Cyrl-CS"/>
              </w:rPr>
            </w:pPr>
            <w:r w:rsidRPr="005303F7">
              <w:rPr>
                <w:rFonts w:ascii="Times New Roman" w:hAnsi="Times New Roman"/>
                <w:sz w:val="20"/>
                <w:lang w:val="sr-Cyrl-CS"/>
              </w:rPr>
              <w:t>2030-2050</w:t>
            </w:r>
            <w:r w:rsidR="00CD7AE3" w:rsidRPr="005303F7">
              <w:rPr>
                <w:rFonts w:ascii="Times New Roman" w:hAnsi="Times New Roman"/>
                <w:sz w:val="20"/>
                <w:lang w:val="sr-Cyrl-CS"/>
              </w:rPr>
              <w:t>.</w:t>
            </w:r>
          </w:p>
        </w:tc>
      </w:tr>
      <w:tr w:rsidR="003C4991" w:rsidRPr="005303F7" w14:paraId="488943DB" w14:textId="77777777" w:rsidTr="0057451A">
        <w:trPr>
          <w:trHeight w:val="132"/>
        </w:trPr>
        <w:tc>
          <w:tcPr>
            <w:tcW w:w="538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AD13373" w14:textId="77777777" w:rsidR="003C4991" w:rsidRPr="005303F7" w:rsidRDefault="003C4991" w:rsidP="00614618">
            <w:pPr>
              <w:spacing w:before="0" w:after="0"/>
              <w:rPr>
                <w:rFonts w:ascii="Times New Roman" w:hAnsi="Times New Roman"/>
                <w:sz w:val="20"/>
                <w:lang w:val="sr-Cyrl-CS"/>
              </w:rPr>
            </w:pPr>
            <w:r w:rsidRPr="005303F7">
              <w:rPr>
                <w:rFonts w:ascii="Times New Roman" w:hAnsi="Times New Roman"/>
                <w:sz w:val="20"/>
                <w:lang w:val="sr-Cyrl-CS"/>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14:paraId="66AF8F80" w14:textId="3D898254" w:rsidR="003C4991" w:rsidRPr="005303F7" w:rsidRDefault="00BF65FC" w:rsidP="00614618">
            <w:pPr>
              <w:spacing w:before="60" w:after="60"/>
              <w:jc w:val="center"/>
              <w:rPr>
                <w:rFonts w:ascii="Times New Roman" w:hAnsi="Times New Roman"/>
                <w:b/>
                <w:sz w:val="20"/>
                <w:lang w:val="sr-Cyrl-CS" w:eastAsia="en-US"/>
              </w:rPr>
            </w:pPr>
            <w:r w:rsidRPr="005303F7">
              <w:rPr>
                <w:rFonts w:ascii="Times New Roman" w:hAnsi="Times New Roman"/>
                <w:sz w:val="20"/>
                <w:lang w:val="sr-Cyrl-CS"/>
              </w:rPr>
              <w:t>М</w:t>
            </w:r>
            <w:r w:rsidR="003C4991" w:rsidRPr="005303F7">
              <w:rPr>
                <w:rFonts w:ascii="Times New Roman" w:hAnsi="Times New Roman"/>
                <w:sz w:val="20"/>
                <w:lang w:val="sr-Cyrl-CS"/>
              </w:rPr>
              <w:t>2</w:t>
            </w:r>
          </w:p>
        </w:tc>
        <w:tc>
          <w:tcPr>
            <w:tcW w:w="886" w:type="dxa"/>
            <w:tcBorders>
              <w:top w:val="nil"/>
              <w:left w:val="nil"/>
              <w:bottom w:val="single" w:sz="4" w:space="0" w:color="auto"/>
              <w:right w:val="single" w:sz="4" w:space="0" w:color="auto"/>
            </w:tcBorders>
            <w:shd w:val="clear" w:color="auto" w:fill="D9D9D9" w:themeFill="background1" w:themeFillShade="D9"/>
            <w:noWrap/>
            <w:vAlign w:val="center"/>
            <w:hideMark/>
          </w:tcPr>
          <w:p w14:paraId="782121B3" w14:textId="5F59A4BC" w:rsidR="003C4991" w:rsidRPr="005303F7" w:rsidRDefault="00BF65FC" w:rsidP="00614618">
            <w:pPr>
              <w:spacing w:before="60" w:after="60"/>
              <w:jc w:val="center"/>
              <w:rPr>
                <w:rFonts w:ascii="Times New Roman" w:hAnsi="Times New Roman"/>
                <w:b/>
                <w:sz w:val="20"/>
                <w:lang w:val="sr-Cyrl-CS" w:eastAsia="en-US"/>
              </w:rPr>
            </w:pPr>
            <w:r w:rsidRPr="005303F7">
              <w:rPr>
                <w:rFonts w:ascii="Times New Roman" w:hAnsi="Times New Roman"/>
                <w:sz w:val="20"/>
                <w:lang w:val="sr-Cyrl-CS"/>
              </w:rPr>
              <w:t>М</w:t>
            </w:r>
            <w:r w:rsidR="003C4991" w:rsidRPr="005303F7">
              <w:rPr>
                <w:rFonts w:ascii="Times New Roman" w:hAnsi="Times New Roman"/>
                <w:sz w:val="20"/>
                <w:lang w:val="sr-Cyrl-CS"/>
              </w:rPr>
              <w:t>2</w:t>
            </w:r>
          </w:p>
        </w:tc>
        <w:tc>
          <w:tcPr>
            <w:tcW w:w="1036" w:type="dxa"/>
            <w:tcBorders>
              <w:top w:val="nil"/>
              <w:left w:val="nil"/>
              <w:bottom w:val="single" w:sz="4" w:space="0" w:color="auto"/>
              <w:right w:val="single" w:sz="4" w:space="0" w:color="auto"/>
            </w:tcBorders>
            <w:shd w:val="clear" w:color="auto" w:fill="D9D9D9" w:themeFill="background1" w:themeFillShade="D9"/>
            <w:noWrap/>
            <w:vAlign w:val="center"/>
            <w:hideMark/>
          </w:tcPr>
          <w:p w14:paraId="2A16C810" w14:textId="0D11A06F" w:rsidR="003C4991" w:rsidRPr="005303F7" w:rsidRDefault="00BF65FC" w:rsidP="00614618">
            <w:pPr>
              <w:spacing w:before="60" w:after="60"/>
              <w:jc w:val="center"/>
              <w:rPr>
                <w:rFonts w:ascii="Times New Roman" w:hAnsi="Times New Roman"/>
                <w:b/>
                <w:sz w:val="20"/>
                <w:lang w:val="sr-Cyrl-CS" w:eastAsia="en-US"/>
              </w:rPr>
            </w:pPr>
            <w:r w:rsidRPr="005303F7">
              <w:rPr>
                <w:rFonts w:ascii="Times New Roman" w:hAnsi="Times New Roman"/>
                <w:sz w:val="20"/>
                <w:lang w:val="sr-Cyrl-CS"/>
              </w:rPr>
              <w:t>М</w:t>
            </w:r>
            <w:r w:rsidR="003C4991" w:rsidRPr="005303F7">
              <w:rPr>
                <w:rFonts w:ascii="Times New Roman" w:hAnsi="Times New Roman"/>
                <w:sz w:val="20"/>
                <w:lang w:val="sr-Cyrl-CS"/>
              </w:rPr>
              <w:t>3</w:t>
            </w:r>
          </w:p>
        </w:tc>
        <w:tc>
          <w:tcPr>
            <w:tcW w:w="913" w:type="dxa"/>
            <w:tcBorders>
              <w:top w:val="nil"/>
              <w:left w:val="nil"/>
              <w:bottom w:val="single" w:sz="4" w:space="0" w:color="auto"/>
              <w:right w:val="single" w:sz="4" w:space="0" w:color="auto"/>
            </w:tcBorders>
            <w:shd w:val="clear" w:color="auto" w:fill="D9D9D9" w:themeFill="background1" w:themeFillShade="D9"/>
            <w:noWrap/>
            <w:vAlign w:val="center"/>
            <w:hideMark/>
          </w:tcPr>
          <w:p w14:paraId="4705E75A" w14:textId="78447785" w:rsidR="003C4991" w:rsidRPr="005303F7" w:rsidRDefault="00BF65FC" w:rsidP="00614618">
            <w:pPr>
              <w:spacing w:before="60" w:after="60"/>
              <w:jc w:val="center"/>
              <w:rPr>
                <w:rFonts w:ascii="Times New Roman" w:hAnsi="Times New Roman"/>
                <w:sz w:val="20"/>
                <w:lang w:val="sr-Cyrl-CS"/>
              </w:rPr>
            </w:pPr>
            <w:r w:rsidRPr="005303F7">
              <w:rPr>
                <w:rFonts w:ascii="Times New Roman" w:hAnsi="Times New Roman"/>
                <w:sz w:val="20"/>
                <w:lang w:val="sr-Cyrl-CS"/>
              </w:rPr>
              <w:t>М</w:t>
            </w:r>
            <w:r w:rsidR="003C4991" w:rsidRPr="005303F7">
              <w:rPr>
                <w:rFonts w:ascii="Times New Roman" w:hAnsi="Times New Roman"/>
                <w:sz w:val="20"/>
                <w:lang w:val="sr-Cyrl-CS"/>
              </w:rPr>
              <w:t>4</w:t>
            </w:r>
          </w:p>
        </w:tc>
      </w:tr>
      <w:tr w:rsidR="003C4991" w:rsidRPr="005303F7" w14:paraId="662A0369" w14:textId="77777777" w:rsidTr="0057451A">
        <w:trPr>
          <w:trHeight w:val="322"/>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4FD126E" w14:textId="0DFCA6C2" w:rsidR="003C4991" w:rsidRPr="005303F7" w:rsidRDefault="00BF65FC" w:rsidP="00D34627">
            <w:pPr>
              <w:spacing w:before="40" w:after="40"/>
              <w:rPr>
                <w:rFonts w:ascii="Times New Roman" w:hAnsi="Times New Roman"/>
                <w:sz w:val="20"/>
                <w:lang w:val="sr-Cyrl-CS"/>
              </w:rPr>
            </w:pPr>
            <w:r w:rsidRPr="005303F7">
              <w:rPr>
                <w:rFonts w:ascii="Times New Roman" w:hAnsi="Times New Roman"/>
                <w:sz w:val="20"/>
                <w:lang w:val="sr-Cyrl-CS"/>
              </w:rPr>
              <w:t>Трошкови</w:t>
            </w:r>
            <w:r w:rsidR="00CD7AE3" w:rsidRPr="005303F7">
              <w:rPr>
                <w:rFonts w:ascii="Times New Roman" w:hAnsi="Times New Roman"/>
                <w:sz w:val="20"/>
                <w:lang w:val="sr-Cyrl-CS"/>
              </w:rPr>
              <w:t xml:space="preserve"> </w:t>
            </w:r>
            <w:r w:rsidR="00007BC7" w:rsidRPr="005303F7">
              <w:rPr>
                <w:rFonts w:ascii="Times New Roman" w:hAnsi="Times New Roman"/>
                <w:sz w:val="20"/>
                <w:lang w:val="sr-Cyrl-CS"/>
              </w:rPr>
              <w:t xml:space="preserve">неусклађивања са </w:t>
            </w:r>
            <w:r w:rsidR="00D34627" w:rsidRPr="005303F7">
              <w:rPr>
                <w:rFonts w:ascii="Times New Roman" w:hAnsi="Times New Roman"/>
                <w:sz w:val="20"/>
                <w:lang w:val="sr-Cyrl-CS"/>
              </w:rPr>
              <w:t>другим мерама одређивања цене угљеника</w:t>
            </w:r>
            <w:r w:rsidR="00CD7AE3" w:rsidRPr="005303F7">
              <w:rPr>
                <w:rFonts w:ascii="Times New Roman" w:hAnsi="Times New Roman"/>
                <w:sz w:val="20"/>
                <w:lang w:val="sr-Cyrl-CS"/>
              </w:rPr>
              <w:t xml:space="preserve"> </w:t>
            </w:r>
            <w:r w:rsidR="003C4991" w:rsidRPr="005303F7">
              <w:rPr>
                <w:rFonts w:ascii="Times New Roman" w:hAnsi="Times New Roman"/>
                <w:sz w:val="20"/>
                <w:lang w:val="sr-Cyrl-CS"/>
              </w:rPr>
              <w:t>(</w:t>
            </w:r>
            <w:r w:rsidR="00E76F85" w:rsidRPr="005303F7">
              <w:rPr>
                <w:rFonts w:ascii="Times New Roman" w:hAnsi="Times New Roman"/>
                <w:sz w:val="20"/>
                <w:lang w:val="sr-Cyrl-CS"/>
              </w:rPr>
              <w:t>2026</w:t>
            </w:r>
            <w:r w:rsidR="003C4991" w:rsidRPr="005303F7">
              <w:rPr>
                <w:rFonts w:ascii="Times New Roman" w:hAnsi="Times New Roman"/>
                <w:sz w:val="20"/>
                <w:lang w:val="sr-Cyrl-CS"/>
              </w:rPr>
              <w:t>-202</w:t>
            </w:r>
            <w:r w:rsidR="00007BC7" w:rsidRPr="005303F7">
              <w:rPr>
                <w:rFonts w:ascii="Times New Roman" w:hAnsi="Times New Roman"/>
                <w:sz w:val="20"/>
                <w:lang w:val="sr-Cyrl-CS"/>
              </w:rPr>
              <w:t>9</w:t>
            </w:r>
            <w:r w:rsidR="00CD7AE3" w:rsidRPr="005303F7">
              <w:rPr>
                <w:rFonts w:ascii="Times New Roman" w:hAnsi="Times New Roman"/>
                <w:sz w:val="20"/>
                <w:lang w:val="sr-Cyrl-CS"/>
              </w:rPr>
              <w:t>.</w:t>
            </w:r>
            <w:r w:rsidR="003C4991" w:rsidRPr="005303F7">
              <w:rPr>
                <w:rFonts w:ascii="Times New Roman" w:hAnsi="Times New Roman"/>
                <w:sz w:val="20"/>
                <w:lang w:val="sr-Cyrl-CS"/>
              </w:rPr>
              <w:t>)</w:t>
            </w:r>
          </w:p>
        </w:tc>
        <w:tc>
          <w:tcPr>
            <w:tcW w:w="992" w:type="dxa"/>
            <w:tcBorders>
              <w:top w:val="nil"/>
              <w:left w:val="nil"/>
              <w:bottom w:val="nil"/>
              <w:right w:val="nil"/>
            </w:tcBorders>
            <w:shd w:val="clear" w:color="auto" w:fill="auto"/>
            <w:noWrap/>
            <w:vAlign w:val="center"/>
            <w:hideMark/>
          </w:tcPr>
          <w:p w14:paraId="0BB8F90E" w14:textId="1080C870" w:rsidR="003C4991" w:rsidRPr="005303F7" w:rsidRDefault="00007BC7" w:rsidP="004E2F5C">
            <w:pPr>
              <w:spacing w:before="40" w:after="40"/>
              <w:jc w:val="right"/>
              <w:rPr>
                <w:rFonts w:ascii="Times New Roman" w:hAnsi="Times New Roman"/>
                <w:color w:val="000000"/>
                <w:sz w:val="20"/>
                <w:lang w:val="sr-Cyrl-CS"/>
              </w:rPr>
            </w:pPr>
            <w:r w:rsidRPr="005303F7">
              <w:rPr>
                <w:rFonts w:ascii="Times New Roman" w:hAnsi="Times New Roman"/>
                <w:color w:val="000000"/>
                <w:sz w:val="20"/>
                <w:lang w:val="sr-Cyrl-CS"/>
              </w:rPr>
              <w:t>0 – 2.</w:t>
            </w:r>
            <w:r w:rsidR="00E76F85" w:rsidRPr="005303F7">
              <w:rPr>
                <w:rFonts w:ascii="Times New Roman" w:hAnsi="Times New Roman"/>
                <w:color w:val="000000"/>
                <w:sz w:val="20"/>
                <w:lang w:val="sr-Cyrl-CS"/>
              </w:rPr>
              <w:t>046</w:t>
            </w:r>
          </w:p>
        </w:tc>
        <w:tc>
          <w:tcPr>
            <w:tcW w:w="886" w:type="dxa"/>
            <w:tcBorders>
              <w:top w:val="nil"/>
              <w:left w:val="single" w:sz="4" w:space="0" w:color="auto"/>
              <w:bottom w:val="single" w:sz="4" w:space="0" w:color="auto"/>
              <w:right w:val="single" w:sz="4" w:space="0" w:color="auto"/>
            </w:tcBorders>
            <w:shd w:val="clear" w:color="auto" w:fill="auto"/>
            <w:noWrap/>
            <w:vAlign w:val="center"/>
            <w:hideMark/>
          </w:tcPr>
          <w:p w14:paraId="52374190" w14:textId="77777777" w:rsidR="003C4991" w:rsidRPr="005303F7" w:rsidRDefault="003C4991" w:rsidP="004E2F5C">
            <w:pPr>
              <w:spacing w:before="40" w:after="40"/>
              <w:jc w:val="center"/>
              <w:rPr>
                <w:rFonts w:ascii="Times New Roman" w:hAnsi="Times New Roman"/>
                <w:color w:val="000000"/>
                <w:sz w:val="20"/>
                <w:lang w:val="sr-Cyrl-CS"/>
              </w:rPr>
            </w:pPr>
            <w:r w:rsidRPr="005303F7">
              <w:rPr>
                <w:rFonts w:ascii="Times New Roman" w:hAnsi="Times New Roman"/>
                <w:color w:val="000000"/>
                <w:sz w:val="20"/>
                <w:lang w:val="sr-Cyrl-CS"/>
              </w:rPr>
              <w:t>-</w:t>
            </w:r>
          </w:p>
        </w:tc>
        <w:tc>
          <w:tcPr>
            <w:tcW w:w="1036" w:type="dxa"/>
            <w:tcBorders>
              <w:top w:val="nil"/>
              <w:left w:val="nil"/>
              <w:bottom w:val="single" w:sz="4" w:space="0" w:color="auto"/>
              <w:right w:val="single" w:sz="4" w:space="0" w:color="auto"/>
            </w:tcBorders>
            <w:shd w:val="clear" w:color="auto" w:fill="auto"/>
            <w:noWrap/>
            <w:vAlign w:val="center"/>
            <w:hideMark/>
          </w:tcPr>
          <w:p w14:paraId="2CDB02FC" w14:textId="77777777" w:rsidR="003C4991" w:rsidRPr="005303F7" w:rsidRDefault="003C4991" w:rsidP="004E2F5C">
            <w:pPr>
              <w:spacing w:before="40" w:after="40"/>
              <w:jc w:val="center"/>
              <w:rPr>
                <w:rFonts w:ascii="Times New Roman" w:hAnsi="Times New Roman"/>
                <w:color w:val="000000"/>
                <w:sz w:val="20"/>
                <w:lang w:val="sr-Cyrl-CS"/>
              </w:rPr>
            </w:pPr>
            <w:r w:rsidRPr="005303F7">
              <w:rPr>
                <w:rFonts w:ascii="Times New Roman" w:hAnsi="Times New Roman"/>
                <w:color w:val="000000"/>
                <w:sz w:val="20"/>
                <w:lang w:val="sr-Cyrl-CS"/>
              </w:rPr>
              <w:t>-</w:t>
            </w:r>
          </w:p>
        </w:tc>
        <w:tc>
          <w:tcPr>
            <w:tcW w:w="913" w:type="dxa"/>
            <w:tcBorders>
              <w:top w:val="nil"/>
              <w:left w:val="nil"/>
              <w:bottom w:val="single" w:sz="4" w:space="0" w:color="auto"/>
              <w:right w:val="single" w:sz="4" w:space="0" w:color="auto"/>
            </w:tcBorders>
            <w:shd w:val="clear" w:color="auto" w:fill="auto"/>
            <w:noWrap/>
            <w:vAlign w:val="center"/>
            <w:hideMark/>
          </w:tcPr>
          <w:p w14:paraId="690E56EF" w14:textId="77777777" w:rsidR="003C4991" w:rsidRPr="005303F7" w:rsidRDefault="003C4991" w:rsidP="004E2F5C">
            <w:pPr>
              <w:spacing w:before="40" w:after="40"/>
              <w:jc w:val="center"/>
              <w:rPr>
                <w:rFonts w:ascii="Times New Roman" w:hAnsi="Times New Roman"/>
                <w:color w:val="000000"/>
                <w:sz w:val="20"/>
                <w:lang w:val="sr-Cyrl-CS"/>
              </w:rPr>
            </w:pPr>
            <w:r w:rsidRPr="005303F7">
              <w:rPr>
                <w:rFonts w:ascii="Times New Roman" w:hAnsi="Times New Roman"/>
                <w:color w:val="000000"/>
                <w:sz w:val="20"/>
                <w:lang w:val="sr-Cyrl-CS"/>
              </w:rPr>
              <w:t>-</w:t>
            </w:r>
          </w:p>
        </w:tc>
      </w:tr>
      <w:tr w:rsidR="003C4991" w:rsidRPr="005303F7" w14:paraId="35CF7878" w14:textId="77777777" w:rsidTr="0057451A">
        <w:trPr>
          <w:trHeight w:val="227"/>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4D1C542" w14:textId="14853F63" w:rsidR="003C4991" w:rsidRPr="005303F7" w:rsidRDefault="00BF65FC" w:rsidP="004E2F5C">
            <w:pPr>
              <w:spacing w:before="40" w:after="40"/>
              <w:rPr>
                <w:rFonts w:ascii="Times New Roman" w:hAnsi="Times New Roman"/>
                <w:sz w:val="20"/>
                <w:lang w:val="sr-Cyrl-CS"/>
              </w:rPr>
            </w:pPr>
            <w:r w:rsidRPr="005303F7">
              <w:rPr>
                <w:rFonts w:ascii="Times New Roman" w:hAnsi="Times New Roman"/>
                <w:sz w:val="20"/>
                <w:lang w:val="sr-Cyrl-CS"/>
              </w:rPr>
              <w:t>Трошкови</w:t>
            </w:r>
            <w:r w:rsidR="00CD7AE3" w:rsidRPr="005303F7">
              <w:rPr>
                <w:rFonts w:ascii="Times New Roman" w:hAnsi="Times New Roman"/>
                <w:sz w:val="20"/>
                <w:lang w:val="sr-Cyrl-CS"/>
              </w:rPr>
              <w:t xml:space="preserve"> </w:t>
            </w:r>
            <w:r w:rsidRPr="005303F7">
              <w:rPr>
                <w:rFonts w:ascii="Times New Roman" w:hAnsi="Times New Roman"/>
                <w:sz w:val="20"/>
                <w:lang w:val="sr-Cyrl-CS"/>
              </w:rPr>
              <w:t>везани</w:t>
            </w:r>
            <w:r w:rsidR="00CD7AE3" w:rsidRPr="005303F7">
              <w:rPr>
                <w:rFonts w:ascii="Times New Roman" w:hAnsi="Times New Roman"/>
                <w:sz w:val="20"/>
                <w:lang w:val="sr-Cyrl-CS"/>
              </w:rPr>
              <w:t xml:space="preserve"> </w:t>
            </w:r>
            <w:r w:rsidRPr="005303F7">
              <w:rPr>
                <w:rFonts w:ascii="Times New Roman" w:hAnsi="Times New Roman"/>
                <w:sz w:val="20"/>
                <w:lang w:val="sr-Cyrl-CS"/>
              </w:rPr>
              <w:t>за</w:t>
            </w:r>
            <w:r w:rsidR="00CD7AE3" w:rsidRPr="005303F7">
              <w:rPr>
                <w:rFonts w:ascii="Times New Roman" w:hAnsi="Times New Roman"/>
                <w:sz w:val="20"/>
                <w:lang w:val="sr-Cyrl-CS"/>
              </w:rPr>
              <w:t xml:space="preserve"> </w:t>
            </w:r>
            <w:r w:rsidRPr="005303F7">
              <w:rPr>
                <w:rFonts w:ascii="Times New Roman" w:hAnsi="Times New Roman"/>
                <w:sz w:val="20"/>
                <w:lang w:val="sr-Cyrl-CS"/>
              </w:rPr>
              <w:t>цену</w:t>
            </w:r>
            <w:r w:rsidR="00CD7AE3" w:rsidRPr="005303F7">
              <w:rPr>
                <w:rFonts w:ascii="Times New Roman" w:hAnsi="Times New Roman"/>
                <w:sz w:val="20"/>
                <w:lang w:val="sr-Cyrl-CS"/>
              </w:rPr>
              <w:t xml:space="preserve"> </w:t>
            </w:r>
            <w:r w:rsidRPr="005303F7">
              <w:rPr>
                <w:rFonts w:ascii="Times New Roman" w:hAnsi="Times New Roman"/>
                <w:sz w:val="20"/>
                <w:lang w:val="sr-Cyrl-CS"/>
              </w:rPr>
              <w:t>угљеника</w:t>
            </w:r>
            <w:r w:rsidR="00216281" w:rsidRPr="005303F7">
              <w:rPr>
                <w:rFonts w:ascii="Times New Roman" w:hAnsi="Times New Roman"/>
                <w:sz w:val="20"/>
                <w:lang w:val="sr-Cyrl-CS"/>
              </w:rPr>
              <w:t xml:space="preserve"> </w:t>
            </w:r>
            <w:r w:rsidRPr="005303F7">
              <w:rPr>
                <w:rFonts w:ascii="Times New Roman" w:hAnsi="Times New Roman"/>
                <w:sz w:val="20"/>
                <w:lang w:val="sr-Cyrl-CS"/>
              </w:rPr>
              <w:t>у</w:t>
            </w:r>
            <w:r w:rsidR="00216281" w:rsidRPr="005303F7">
              <w:rPr>
                <w:rFonts w:ascii="Times New Roman" w:hAnsi="Times New Roman"/>
                <w:sz w:val="20"/>
                <w:lang w:val="sr-Cyrl-CS"/>
              </w:rPr>
              <w:t xml:space="preserve"> </w:t>
            </w:r>
            <w:r w:rsidRPr="005303F7">
              <w:rPr>
                <w:rFonts w:ascii="Times New Roman" w:hAnsi="Times New Roman"/>
                <w:sz w:val="20"/>
                <w:lang w:val="sr-Cyrl-CS"/>
              </w:rPr>
              <w:t>Е</w:t>
            </w:r>
            <w:r w:rsidR="00870E18" w:rsidRPr="005303F7">
              <w:rPr>
                <w:rFonts w:ascii="Times New Roman" w:hAnsi="Times New Roman"/>
                <w:sz w:val="20"/>
                <w:lang w:val="sr-Cyrl-CS"/>
              </w:rPr>
              <w:t>U</w:t>
            </w:r>
            <w:r w:rsidR="00216281" w:rsidRPr="005303F7">
              <w:rPr>
                <w:rFonts w:ascii="Times New Roman" w:hAnsi="Times New Roman"/>
                <w:sz w:val="20"/>
                <w:lang w:val="sr-Cyrl-CS"/>
              </w:rPr>
              <w:t>-</w:t>
            </w:r>
            <w:r w:rsidRPr="005303F7">
              <w:rPr>
                <w:rFonts w:ascii="Times New Roman" w:hAnsi="Times New Roman"/>
                <w:sz w:val="20"/>
                <w:lang w:val="sr-Cyrl-CS"/>
              </w:rPr>
              <w:t>ЕТ</w:t>
            </w:r>
            <w:r w:rsidR="00870E18" w:rsidRPr="005303F7">
              <w:rPr>
                <w:rFonts w:ascii="Times New Roman" w:hAnsi="Times New Roman"/>
                <w:sz w:val="20"/>
                <w:lang w:val="sr-Cyrl-CS"/>
              </w:rPr>
              <w:t>S</w:t>
            </w:r>
            <w:r w:rsidR="003C4991" w:rsidRPr="005303F7">
              <w:rPr>
                <w:rFonts w:ascii="Times New Roman" w:hAnsi="Times New Roman"/>
                <w:sz w:val="20"/>
                <w:lang w:val="sr-Cyrl-CS"/>
              </w:rPr>
              <w:t xml:space="preserve"> (</w:t>
            </w:r>
            <w:r w:rsidR="00BB0AA2" w:rsidRPr="005303F7">
              <w:rPr>
                <w:rFonts w:ascii="Times New Roman" w:hAnsi="Times New Roman"/>
                <w:sz w:val="20"/>
                <w:lang w:val="sr-Cyrl-CS"/>
              </w:rPr>
              <w:t>после</w:t>
            </w:r>
            <w:r w:rsidR="003C4991" w:rsidRPr="005303F7">
              <w:rPr>
                <w:rFonts w:ascii="Times New Roman" w:hAnsi="Times New Roman"/>
                <w:sz w:val="20"/>
                <w:lang w:val="sr-Cyrl-CS"/>
              </w:rPr>
              <w:t xml:space="preserve"> 202</w:t>
            </w:r>
            <w:r w:rsidR="00007BC7" w:rsidRPr="005303F7">
              <w:rPr>
                <w:rFonts w:ascii="Times New Roman" w:hAnsi="Times New Roman"/>
                <w:sz w:val="20"/>
                <w:lang w:val="sr-Cyrl-CS"/>
              </w:rPr>
              <w:t>9</w:t>
            </w:r>
            <w:r w:rsidR="00CD7AE3" w:rsidRPr="005303F7">
              <w:rPr>
                <w:rFonts w:ascii="Times New Roman" w:hAnsi="Times New Roman"/>
                <w:sz w:val="20"/>
                <w:lang w:val="sr-Cyrl-CS"/>
              </w:rPr>
              <w:t>.</w:t>
            </w:r>
            <w:r w:rsidR="003C4991" w:rsidRPr="005303F7">
              <w:rPr>
                <w:rFonts w:ascii="Times New Roman" w:hAnsi="Times New Roman"/>
                <w:sz w:val="20"/>
                <w:lang w:val="sr-Cyrl-CS"/>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E896752" w14:textId="3C653AAF" w:rsidR="003C4991" w:rsidRPr="005303F7" w:rsidRDefault="00007BC7" w:rsidP="004E2F5C">
            <w:pPr>
              <w:spacing w:before="40" w:after="40"/>
              <w:jc w:val="right"/>
              <w:rPr>
                <w:rFonts w:ascii="Times New Roman" w:hAnsi="Times New Roman"/>
                <w:color w:val="000000"/>
                <w:sz w:val="20"/>
                <w:lang w:val="sr-Cyrl-CS"/>
              </w:rPr>
            </w:pPr>
            <w:r w:rsidRPr="005303F7">
              <w:rPr>
                <w:rFonts w:ascii="Times New Roman" w:hAnsi="Times New Roman"/>
                <w:color w:val="000000"/>
                <w:sz w:val="20"/>
                <w:lang w:val="sr-Cyrl-CS"/>
              </w:rPr>
              <w:t>806</w:t>
            </w:r>
          </w:p>
        </w:tc>
        <w:tc>
          <w:tcPr>
            <w:tcW w:w="886" w:type="dxa"/>
            <w:tcBorders>
              <w:top w:val="nil"/>
              <w:left w:val="nil"/>
              <w:bottom w:val="single" w:sz="4" w:space="0" w:color="auto"/>
              <w:right w:val="single" w:sz="4" w:space="0" w:color="auto"/>
            </w:tcBorders>
            <w:shd w:val="clear" w:color="auto" w:fill="auto"/>
            <w:noWrap/>
            <w:vAlign w:val="center"/>
            <w:hideMark/>
          </w:tcPr>
          <w:p w14:paraId="684D6F75" w14:textId="77777777" w:rsidR="003C4991" w:rsidRPr="005303F7" w:rsidRDefault="003C4991" w:rsidP="004E2F5C">
            <w:pPr>
              <w:spacing w:before="40" w:after="40"/>
              <w:jc w:val="right"/>
              <w:rPr>
                <w:rFonts w:ascii="Times New Roman" w:hAnsi="Times New Roman"/>
                <w:color w:val="000000"/>
                <w:sz w:val="20"/>
                <w:lang w:val="sr-Cyrl-CS"/>
              </w:rPr>
            </w:pPr>
            <w:r w:rsidRPr="005303F7">
              <w:rPr>
                <w:rFonts w:ascii="Times New Roman" w:hAnsi="Times New Roman"/>
                <w:color w:val="000000"/>
                <w:sz w:val="20"/>
                <w:lang w:val="sr-Cyrl-CS"/>
              </w:rPr>
              <w:t>31.027</w:t>
            </w:r>
          </w:p>
        </w:tc>
        <w:tc>
          <w:tcPr>
            <w:tcW w:w="1036" w:type="dxa"/>
            <w:tcBorders>
              <w:top w:val="nil"/>
              <w:left w:val="nil"/>
              <w:bottom w:val="single" w:sz="4" w:space="0" w:color="auto"/>
              <w:right w:val="single" w:sz="4" w:space="0" w:color="auto"/>
            </w:tcBorders>
            <w:shd w:val="clear" w:color="auto" w:fill="auto"/>
            <w:noWrap/>
            <w:vAlign w:val="center"/>
            <w:hideMark/>
          </w:tcPr>
          <w:p w14:paraId="7DB9BDF5" w14:textId="77777777" w:rsidR="003C4991" w:rsidRPr="005303F7" w:rsidRDefault="003C4991" w:rsidP="004E2F5C">
            <w:pPr>
              <w:spacing w:before="40" w:after="40"/>
              <w:jc w:val="right"/>
              <w:rPr>
                <w:rFonts w:ascii="Times New Roman" w:hAnsi="Times New Roman"/>
                <w:color w:val="000000"/>
                <w:sz w:val="20"/>
                <w:lang w:val="sr-Cyrl-CS"/>
              </w:rPr>
            </w:pPr>
            <w:r w:rsidRPr="005303F7">
              <w:rPr>
                <w:rFonts w:ascii="Times New Roman" w:hAnsi="Times New Roman"/>
                <w:color w:val="000000"/>
                <w:sz w:val="20"/>
                <w:lang w:val="sr-Cyrl-CS"/>
              </w:rPr>
              <w:t>24.969</w:t>
            </w:r>
          </w:p>
        </w:tc>
        <w:tc>
          <w:tcPr>
            <w:tcW w:w="913" w:type="dxa"/>
            <w:tcBorders>
              <w:top w:val="nil"/>
              <w:left w:val="nil"/>
              <w:bottom w:val="single" w:sz="4" w:space="0" w:color="auto"/>
              <w:right w:val="single" w:sz="4" w:space="0" w:color="auto"/>
            </w:tcBorders>
            <w:shd w:val="clear" w:color="auto" w:fill="auto"/>
            <w:noWrap/>
            <w:vAlign w:val="center"/>
            <w:hideMark/>
          </w:tcPr>
          <w:p w14:paraId="59B953C4" w14:textId="77777777" w:rsidR="003C4991" w:rsidRPr="005303F7" w:rsidRDefault="003C4991" w:rsidP="004E2F5C">
            <w:pPr>
              <w:spacing w:before="40" w:after="40"/>
              <w:jc w:val="right"/>
              <w:rPr>
                <w:rFonts w:ascii="Times New Roman" w:hAnsi="Times New Roman"/>
                <w:color w:val="000000"/>
                <w:sz w:val="20"/>
                <w:lang w:val="sr-Cyrl-CS"/>
              </w:rPr>
            </w:pPr>
            <w:r w:rsidRPr="005303F7">
              <w:rPr>
                <w:rFonts w:ascii="Times New Roman" w:hAnsi="Times New Roman"/>
                <w:color w:val="000000"/>
                <w:sz w:val="20"/>
                <w:lang w:val="sr-Cyrl-CS"/>
              </w:rPr>
              <w:t>25.420</w:t>
            </w:r>
          </w:p>
        </w:tc>
      </w:tr>
      <w:tr w:rsidR="003C4991" w:rsidRPr="005303F7" w14:paraId="42D2C5EB" w14:textId="77777777" w:rsidTr="0057451A">
        <w:trPr>
          <w:trHeight w:val="148"/>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34D6D81" w14:textId="0DE3C88E" w:rsidR="003C4991" w:rsidRPr="005303F7" w:rsidRDefault="00BF65FC" w:rsidP="00D34627">
            <w:pPr>
              <w:spacing w:before="40" w:after="40"/>
              <w:rPr>
                <w:rFonts w:ascii="Times New Roman" w:hAnsi="Times New Roman"/>
                <w:b/>
                <w:bCs/>
                <w:sz w:val="20"/>
                <w:lang w:val="sr-Cyrl-CS"/>
              </w:rPr>
            </w:pPr>
            <w:r w:rsidRPr="005303F7">
              <w:rPr>
                <w:rFonts w:ascii="Times New Roman" w:hAnsi="Times New Roman"/>
                <w:b/>
                <w:bCs/>
                <w:sz w:val="20"/>
                <w:lang w:val="sr-Cyrl-CS"/>
              </w:rPr>
              <w:t>Укупни</w:t>
            </w:r>
            <w:r w:rsidR="00CD7AE3" w:rsidRPr="005303F7">
              <w:rPr>
                <w:rFonts w:ascii="Times New Roman" w:hAnsi="Times New Roman"/>
                <w:b/>
                <w:bCs/>
                <w:sz w:val="20"/>
                <w:lang w:val="sr-Cyrl-CS"/>
              </w:rPr>
              <w:t xml:space="preserve"> </w:t>
            </w:r>
            <w:r w:rsidRPr="005303F7">
              <w:rPr>
                <w:rFonts w:ascii="Times New Roman" w:hAnsi="Times New Roman"/>
                <w:b/>
                <w:bCs/>
                <w:sz w:val="20"/>
                <w:lang w:val="sr-Cyrl-CS"/>
              </w:rPr>
              <w:t>трошкови</w:t>
            </w:r>
            <w:r w:rsidR="00CD7AE3" w:rsidRPr="005303F7">
              <w:rPr>
                <w:rFonts w:ascii="Times New Roman" w:hAnsi="Times New Roman"/>
                <w:b/>
                <w:bCs/>
                <w:sz w:val="20"/>
                <w:lang w:val="sr-Cyrl-CS"/>
              </w:rPr>
              <w:t xml:space="preserve"> </w:t>
            </w:r>
            <w:r w:rsidRPr="005303F7">
              <w:rPr>
                <w:rFonts w:ascii="Times New Roman" w:hAnsi="Times New Roman"/>
                <w:b/>
                <w:bCs/>
                <w:sz w:val="20"/>
                <w:lang w:val="sr-Cyrl-CS"/>
              </w:rPr>
              <w:t>везани</w:t>
            </w:r>
            <w:r w:rsidR="00CD7AE3" w:rsidRPr="005303F7">
              <w:rPr>
                <w:rFonts w:ascii="Times New Roman" w:hAnsi="Times New Roman"/>
                <w:b/>
                <w:bCs/>
                <w:sz w:val="20"/>
                <w:lang w:val="sr-Cyrl-CS"/>
              </w:rPr>
              <w:t xml:space="preserve"> </w:t>
            </w:r>
            <w:r w:rsidRPr="005303F7">
              <w:rPr>
                <w:rFonts w:ascii="Times New Roman" w:hAnsi="Times New Roman"/>
                <w:b/>
                <w:bCs/>
                <w:sz w:val="20"/>
                <w:lang w:val="sr-Cyrl-CS"/>
              </w:rPr>
              <w:t>за</w:t>
            </w:r>
            <w:r w:rsidR="00CD7AE3" w:rsidRPr="005303F7">
              <w:rPr>
                <w:rFonts w:ascii="Times New Roman" w:hAnsi="Times New Roman"/>
                <w:b/>
                <w:bCs/>
                <w:sz w:val="20"/>
                <w:lang w:val="sr-Cyrl-CS"/>
              </w:rPr>
              <w:t xml:space="preserve"> </w:t>
            </w:r>
            <w:r w:rsidRPr="005303F7">
              <w:rPr>
                <w:rFonts w:ascii="Times New Roman" w:hAnsi="Times New Roman"/>
                <w:b/>
                <w:bCs/>
                <w:sz w:val="20"/>
                <w:lang w:val="sr-Cyrl-CS"/>
              </w:rPr>
              <w:t>Е</w:t>
            </w:r>
            <w:r w:rsidR="00870E18" w:rsidRPr="005303F7">
              <w:rPr>
                <w:rFonts w:ascii="Times New Roman" w:hAnsi="Times New Roman"/>
                <w:b/>
                <w:bCs/>
                <w:sz w:val="20"/>
                <w:lang w:val="sr-Cyrl-CS"/>
              </w:rPr>
              <w:t>U</w:t>
            </w:r>
            <w:r w:rsidR="00216281" w:rsidRPr="005303F7">
              <w:rPr>
                <w:rFonts w:ascii="Times New Roman" w:hAnsi="Times New Roman"/>
                <w:b/>
                <w:bCs/>
                <w:sz w:val="20"/>
                <w:lang w:val="sr-Cyrl-CS"/>
              </w:rPr>
              <w:t>-</w:t>
            </w:r>
            <w:r w:rsidRPr="005303F7">
              <w:rPr>
                <w:rFonts w:ascii="Times New Roman" w:hAnsi="Times New Roman"/>
                <w:b/>
                <w:bCs/>
                <w:sz w:val="20"/>
                <w:lang w:val="sr-Cyrl-CS"/>
              </w:rPr>
              <w:t>ЕТ</w:t>
            </w:r>
            <w:r w:rsidR="00870E18" w:rsidRPr="005303F7">
              <w:rPr>
                <w:rFonts w:ascii="Times New Roman" w:hAnsi="Times New Roman"/>
                <w:b/>
                <w:bCs/>
                <w:sz w:val="20"/>
                <w:lang w:val="sr-Cyrl-CS"/>
              </w:rPr>
              <w:t>S</w:t>
            </w:r>
            <w:r w:rsidR="00CD7AE3" w:rsidRPr="005303F7">
              <w:rPr>
                <w:rFonts w:ascii="Times New Roman" w:hAnsi="Times New Roman"/>
                <w:b/>
                <w:bCs/>
                <w:sz w:val="20"/>
                <w:lang w:val="sr-Cyrl-CS"/>
              </w:rPr>
              <w:t xml:space="preserve"> </w:t>
            </w:r>
            <w:r w:rsidRPr="005303F7">
              <w:rPr>
                <w:rFonts w:ascii="Times New Roman" w:hAnsi="Times New Roman"/>
                <w:b/>
                <w:bCs/>
                <w:sz w:val="20"/>
                <w:lang w:val="sr-Cyrl-CS"/>
              </w:rPr>
              <w:t>и</w:t>
            </w:r>
            <w:r w:rsidR="00CD7AE3" w:rsidRPr="005303F7">
              <w:rPr>
                <w:rFonts w:ascii="Times New Roman" w:hAnsi="Times New Roman"/>
                <w:b/>
                <w:bCs/>
                <w:sz w:val="20"/>
                <w:lang w:val="sr-Cyrl-CS"/>
              </w:rPr>
              <w:t xml:space="preserve"> </w:t>
            </w:r>
            <w:r w:rsidR="00D34627" w:rsidRPr="005303F7">
              <w:rPr>
                <w:rFonts w:ascii="Times New Roman" w:hAnsi="Times New Roman"/>
                <w:b/>
                <w:bCs/>
                <w:sz w:val="20"/>
                <w:lang w:val="sr-Cyrl-CS"/>
              </w:rPr>
              <w:t>друге мере одређивања цене угљеника</w:t>
            </w:r>
          </w:p>
        </w:tc>
        <w:tc>
          <w:tcPr>
            <w:tcW w:w="992" w:type="dxa"/>
            <w:tcBorders>
              <w:top w:val="nil"/>
              <w:left w:val="nil"/>
              <w:bottom w:val="single" w:sz="4" w:space="0" w:color="auto"/>
              <w:right w:val="single" w:sz="4" w:space="0" w:color="auto"/>
            </w:tcBorders>
            <w:shd w:val="clear" w:color="auto" w:fill="auto"/>
            <w:noWrap/>
            <w:vAlign w:val="center"/>
            <w:hideMark/>
          </w:tcPr>
          <w:p w14:paraId="7C6EECDD" w14:textId="168E8A14" w:rsidR="003C4991" w:rsidRPr="005303F7" w:rsidRDefault="00007BC7" w:rsidP="004E2F5C">
            <w:pPr>
              <w:spacing w:before="40" w:after="40"/>
              <w:jc w:val="right"/>
              <w:rPr>
                <w:rFonts w:ascii="Times New Roman" w:hAnsi="Times New Roman"/>
                <w:b/>
                <w:bCs/>
                <w:color w:val="000000"/>
                <w:sz w:val="20"/>
                <w:lang w:val="sr-Cyrl-CS"/>
              </w:rPr>
            </w:pPr>
            <w:r w:rsidRPr="005303F7">
              <w:rPr>
                <w:rFonts w:ascii="Times New Roman" w:hAnsi="Times New Roman"/>
                <w:b/>
                <w:bCs/>
                <w:color w:val="000000"/>
                <w:sz w:val="20"/>
                <w:lang w:val="sr-Cyrl-CS"/>
              </w:rPr>
              <w:t xml:space="preserve">806 – </w:t>
            </w:r>
            <w:r w:rsidR="00E76F85" w:rsidRPr="005303F7">
              <w:rPr>
                <w:rFonts w:ascii="Times New Roman" w:hAnsi="Times New Roman"/>
                <w:b/>
                <w:bCs/>
                <w:color w:val="000000"/>
                <w:sz w:val="20"/>
                <w:lang w:val="sr-Cyrl-CS"/>
              </w:rPr>
              <w:t>2</w:t>
            </w:r>
            <w:r w:rsidRPr="005303F7">
              <w:rPr>
                <w:rFonts w:ascii="Times New Roman" w:hAnsi="Times New Roman"/>
                <w:b/>
                <w:bCs/>
                <w:color w:val="000000"/>
                <w:sz w:val="20"/>
                <w:lang w:val="sr-Cyrl-CS"/>
              </w:rPr>
              <w:t>.</w:t>
            </w:r>
            <w:r w:rsidR="00E76F85" w:rsidRPr="005303F7">
              <w:rPr>
                <w:rFonts w:ascii="Times New Roman" w:hAnsi="Times New Roman"/>
                <w:b/>
                <w:bCs/>
                <w:color w:val="000000"/>
                <w:sz w:val="20"/>
                <w:lang w:val="sr-Cyrl-CS"/>
              </w:rPr>
              <w:t>852</w:t>
            </w:r>
          </w:p>
        </w:tc>
        <w:tc>
          <w:tcPr>
            <w:tcW w:w="886" w:type="dxa"/>
            <w:tcBorders>
              <w:top w:val="nil"/>
              <w:left w:val="nil"/>
              <w:bottom w:val="single" w:sz="4" w:space="0" w:color="auto"/>
              <w:right w:val="single" w:sz="4" w:space="0" w:color="auto"/>
            </w:tcBorders>
            <w:shd w:val="clear" w:color="auto" w:fill="auto"/>
            <w:noWrap/>
            <w:vAlign w:val="center"/>
            <w:hideMark/>
          </w:tcPr>
          <w:p w14:paraId="4681D5FE" w14:textId="77777777" w:rsidR="003C4991" w:rsidRPr="005303F7" w:rsidRDefault="003C4991" w:rsidP="004E2F5C">
            <w:pPr>
              <w:spacing w:before="40" w:after="40"/>
              <w:jc w:val="right"/>
              <w:rPr>
                <w:rFonts w:ascii="Times New Roman" w:hAnsi="Times New Roman"/>
                <w:b/>
                <w:bCs/>
                <w:color w:val="000000"/>
                <w:sz w:val="20"/>
                <w:lang w:val="sr-Cyrl-CS"/>
              </w:rPr>
            </w:pPr>
            <w:r w:rsidRPr="005303F7">
              <w:rPr>
                <w:rFonts w:ascii="Times New Roman" w:hAnsi="Times New Roman"/>
                <w:b/>
                <w:bCs/>
                <w:color w:val="000000"/>
                <w:sz w:val="20"/>
                <w:lang w:val="sr-Cyrl-CS"/>
              </w:rPr>
              <w:t>31.027</w:t>
            </w:r>
          </w:p>
        </w:tc>
        <w:tc>
          <w:tcPr>
            <w:tcW w:w="1036" w:type="dxa"/>
            <w:tcBorders>
              <w:top w:val="nil"/>
              <w:left w:val="nil"/>
              <w:bottom w:val="single" w:sz="4" w:space="0" w:color="auto"/>
              <w:right w:val="single" w:sz="4" w:space="0" w:color="auto"/>
            </w:tcBorders>
            <w:shd w:val="clear" w:color="auto" w:fill="auto"/>
            <w:noWrap/>
            <w:vAlign w:val="center"/>
            <w:hideMark/>
          </w:tcPr>
          <w:p w14:paraId="7DFB46EA" w14:textId="77777777" w:rsidR="003C4991" w:rsidRPr="005303F7" w:rsidRDefault="003C4991" w:rsidP="004E2F5C">
            <w:pPr>
              <w:spacing w:before="40" w:after="40"/>
              <w:jc w:val="right"/>
              <w:rPr>
                <w:rFonts w:ascii="Times New Roman" w:hAnsi="Times New Roman"/>
                <w:b/>
                <w:bCs/>
                <w:color w:val="000000"/>
                <w:sz w:val="20"/>
                <w:lang w:val="sr-Cyrl-CS"/>
              </w:rPr>
            </w:pPr>
            <w:r w:rsidRPr="005303F7">
              <w:rPr>
                <w:rFonts w:ascii="Times New Roman" w:hAnsi="Times New Roman"/>
                <w:b/>
                <w:bCs/>
                <w:color w:val="000000"/>
                <w:sz w:val="20"/>
                <w:lang w:val="sr-Cyrl-CS"/>
              </w:rPr>
              <w:t>24.969</w:t>
            </w:r>
          </w:p>
        </w:tc>
        <w:tc>
          <w:tcPr>
            <w:tcW w:w="913" w:type="dxa"/>
            <w:tcBorders>
              <w:top w:val="nil"/>
              <w:left w:val="nil"/>
              <w:bottom w:val="single" w:sz="4" w:space="0" w:color="auto"/>
              <w:right w:val="single" w:sz="4" w:space="0" w:color="auto"/>
            </w:tcBorders>
            <w:shd w:val="clear" w:color="auto" w:fill="auto"/>
            <w:noWrap/>
            <w:vAlign w:val="center"/>
            <w:hideMark/>
          </w:tcPr>
          <w:p w14:paraId="2BDC7073" w14:textId="77777777" w:rsidR="003C4991" w:rsidRPr="005303F7" w:rsidRDefault="003C4991" w:rsidP="004E2F5C">
            <w:pPr>
              <w:spacing w:before="40" w:after="40"/>
              <w:jc w:val="right"/>
              <w:rPr>
                <w:rFonts w:ascii="Times New Roman" w:hAnsi="Times New Roman"/>
                <w:b/>
                <w:bCs/>
                <w:color w:val="000000"/>
                <w:sz w:val="20"/>
                <w:lang w:val="sr-Cyrl-CS"/>
              </w:rPr>
            </w:pPr>
            <w:r w:rsidRPr="005303F7">
              <w:rPr>
                <w:rFonts w:ascii="Times New Roman" w:hAnsi="Times New Roman"/>
                <w:b/>
                <w:bCs/>
                <w:color w:val="000000"/>
                <w:sz w:val="20"/>
                <w:lang w:val="sr-Cyrl-CS"/>
              </w:rPr>
              <w:t>25.420</w:t>
            </w:r>
          </w:p>
        </w:tc>
      </w:tr>
    </w:tbl>
    <w:p w14:paraId="36169EFD" w14:textId="2889D02A" w:rsidR="003A7F5C" w:rsidRPr="005303F7" w:rsidRDefault="00BF65FC" w:rsidP="00D93231">
      <w:pPr>
        <w:pStyle w:val="Heading2"/>
        <w:numPr>
          <w:ilvl w:val="1"/>
          <w:numId w:val="40"/>
        </w:numPr>
        <w:tabs>
          <w:tab w:val="clear" w:pos="3825"/>
          <w:tab w:val="left" w:pos="1134"/>
        </w:tabs>
        <w:spacing w:after="120"/>
        <w:rPr>
          <w:rFonts w:ascii="Times New Roman" w:hAnsi="Times New Roman" w:cs="Times New Roman"/>
          <w:szCs w:val="22"/>
          <w:lang w:val="sr-Cyrl-CS"/>
        </w:rPr>
      </w:pPr>
      <w:bookmarkStart w:id="332" w:name="_Toc26686114"/>
      <w:bookmarkEnd w:id="330"/>
      <w:r w:rsidRPr="005303F7">
        <w:rPr>
          <w:rFonts w:ascii="Times New Roman" w:hAnsi="Times New Roman" w:cs="Times New Roman"/>
          <w:szCs w:val="22"/>
          <w:lang w:val="sr-Cyrl-CS"/>
        </w:rPr>
        <w:t>Могућности</w:t>
      </w:r>
      <w:r w:rsidR="00C358C0"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финансирањ</w:t>
      </w:r>
      <w:bookmarkEnd w:id="332"/>
      <w:r w:rsidRPr="005303F7">
        <w:rPr>
          <w:rFonts w:ascii="Times New Roman" w:hAnsi="Times New Roman" w:cs="Times New Roman"/>
          <w:szCs w:val="22"/>
          <w:lang w:val="sr-Cyrl-CS"/>
        </w:rPr>
        <w:t>а</w:t>
      </w:r>
    </w:p>
    <w:p w14:paraId="5F17F00F" w14:textId="59D78571" w:rsidR="00607807" w:rsidRPr="005303F7" w:rsidRDefault="00DA7CD2" w:rsidP="00607807">
      <w:pPr>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Неке</w:t>
      </w:r>
      <w:r w:rsidR="00B66E60" w:rsidRPr="005303F7">
        <w:rPr>
          <w:rFonts w:ascii="Times New Roman" w:hAnsi="Times New Roman"/>
          <w:sz w:val="24"/>
          <w:lang w:val="sr-Cyrl-CS"/>
        </w:rPr>
        <w:t xml:space="preserve"> </w:t>
      </w:r>
      <w:r w:rsidR="00BF65FC" w:rsidRPr="005303F7">
        <w:rPr>
          <w:rFonts w:ascii="Times New Roman" w:hAnsi="Times New Roman"/>
          <w:sz w:val="24"/>
          <w:lang w:val="sr-Cyrl-CS"/>
        </w:rPr>
        <w:t>од</w:t>
      </w:r>
      <w:r w:rsidR="001B03AA" w:rsidRPr="005303F7">
        <w:rPr>
          <w:rFonts w:ascii="Times New Roman" w:hAnsi="Times New Roman"/>
          <w:sz w:val="24"/>
          <w:lang w:val="sr-Cyrl-CS"/>
        </w:rPr>
        <w:t xml:space="preserve"> </w:t>
      </w:r>
      <w:r w:rsidR="00BF65FC" w:rsidRPr="005303F7">
        <w:rPr>
          <w:rFonts w:ascii="Times New Roman" w:hAnsi="Times New Roman"/>
          <w:sz w:val="24"/>
          <w:lang w:val="sr-Cyrl-CS"/>
        </w:rPr>
        <w:t>могућности</w:t>
      </w:r>
      <w:r w:rsidR="001B03AA" w:rsidRPr="005303F7">
        <w:rPr>
          <w:rFonts w:ascii="Times New Roman" w:hAnsi="Times New Roman"/>
          <w:sz w:val="24"/>
          <w:lang w:val="sr-Cyrl-CS"/>
        </w:rPr>
        <w:t xml:space="preserve"> </w:t>
      </w:r>
      <w:r w:rsidR="00BF65FC" w:rsidRPr="005303F7">
        <w:rPr>
          <w:rFonts w:ascii="Times New Roman" w:hAnsi="Times New Roman"/>
          <w:sz w:val="24"/>
          <w:lang w:val="sr-Cyrl-CS"/>
        </w:rPr>
        <w:t>финансирања</w:t>
      </w:r>
      <w:r w:rsidR="00B66E60" w:rsidRPr="005303F7">
        <w:rPr>
          <w:rFonts w:ascii="Times New Roman" w:hAnsi="Times New Roman"/>
          <w:sz w:val="24"/>
          <w:lang w:val="sr-Cyrl-CS"/>
        </w:rPr>
        <w:t xml:space="preserve"> </w:t>
      </w:r>
      <w:r w:rsidR="00BF65FC" w:rsidRPr="005303F7">
        <w:rPr>
          <w:rFonts w:ascii="Times New Roman" w:hAnsi="Times New Roman"/>
          <w:sz w:val="24"/>
          <w:lang w:val="sr-Cyrl-CS"/>
        </w:rPr>
        <w:t>спровођења</w:t>
      </w:r>
      <w:r w:rsidR="00B66E60" w:rsidRPr="005303F7">
        <w:rPr>
          <w:rFonts w:ascii="Times New Roman" w:hAnsi="Times New Roman"/>
          <w:sz w:val="24"/>
          <w:lang w:val="sr-Cyrl-CS"/>
        </w:rPr>
        <w:t xml:space="preserve"> </w:t>
      </w:r>
      <w:r w:rsidR="00BF65FC" w:rsidRPr="005303F7">
        <w:rPr>
          <w:rFonts w:ascii="Times New Roman" w:hAnsi="Times New Roman"/>
          <w:sz w:val="24"/>
          <w:lang w:val="sr-Cyrl-CS"/>
        </w:rPr>
        <w:t>Стратегије</w:t>
      </w:r>
      <w:r w:rsidR="00B66E60" w:rsidRPr="005303F7">
        <w:rPr>
          <w:rFonts w:ascii="Times New Roman" w:hAnsi="Times New Roman"/>
          <w:sz w:val="24"/>
          <w:lang w:val="sr-Cyrl-CS"/>
        </w:rPr>
        <w:t xml:space="preserve"> </w:t>
      </w:r>
      <w:r w:rsidR="00BF65FC" w:rsidRPr="005303F7">
        <w:rPr>
          <w:rFonts w:ascii="Times New Roman" w:hAnsi="Times New Roman"/>
          <w:sz w:val="24"/>
          <w:lang w:val="sr-Cyrl-CS"/>
        </w:rPr>
        <w:t>су</w:t>
      </w:r>
      <w:r w:rsidR="001B03AA" w:rsidRPr="005303F7">
        <w:rPr>
          <w:rFonts w:ascii="Times New Roman" w:hAnsi="Times New Roman"/>
          <w:sz w:val="24"/>
          <w:lang w:val="sr-Cyrl-CS"/>
        </w:rPr>
        <w:t xml:space="preserve"> </w:t>
      </w:r>
      <w:r w:rsidR="00BF65FC" w:rsidRPr="005303F7">
        <w:rPr>
          <w:rFonts w:ascii="Times New Roman" w:hAnsi="Times New Roman"/>
          <w:sz w:val="24"/>
          <w:lang w:val="sr-Cyrl-CS"/>
        </w:rPr>
        <w:t>описане</w:t>
      </w:r>
      <w:r w:rsidR="00B66E60" w:rsidRPr="005303F7">
        <w:rPr>
          <w:rFonts w:ascii="Times New Roman" w:hAnsi="Times New Roman"/>
          <w:sz w:val="24"/>
          <w:lang w:val="sr-Cyrl-CS"/>
        </w:rPr>
        <w:t xml:space="preserve"> </w:t>
      </w:r>
      <w:r w:rsidR="00BF65FC" w:rsidRPr="005303F7">
        <w:rPr>
          <w:rFonts w:ascii="Times New Roman" w:hAnsi="Times New Roman"/>
          <w:sz w:val="24"/>
          <w:lang w:val="sr-Cyrl-CS"/>
        </w:rPr>
        <w:t>у</w:t>
      </w:r>
      <w:r w:rsidR="00B66E60" w:rsidRPr="005303F7">
        <w:rPr>
          <w:rFonts w:ascii="Times New Roman" w:hAnsi="Times New Roman"/>
          <w:sz w:val="24"/>
          <w:lang w:val="sr-Cyrl-CS"/>
        </w:rPr>
        <w:t xml:space="preserve"> </w:t>
      </w:r>
      <w:r w:rsidR="00BF65FC" w:rsidRPr="005303F7">
        <w:rPr>
          <w:rFonts w:ascii="Times New Roman" w:hAnsi="Times New Roman"/>
          <w:sz w:val="24"/>
          <w:lang w:val="sr-Cyrl-CS"/>
        </w:rPr>
        <w:t>наредним</w:t>
      </w:r>
      <w:r w:rsidR="00B66E60" w:rsidRPr="005303F7">
        <w:rPr>
          <w:rFonts w:ascii="Times New Roman" w:hAnsi="Times New Roman"/>
          <w:sz w:val="24"/>
          <w:lang w:val="sr-Cyrl-CS"/>
        </w:rPr>
        <w:t xml:space="preserve"> </w:t>
      </w:r>
      <w:r w:rsidR="00BF65FC" w:rsidRPr="005303F7">
        <w:rPr>
          <w:rFonts w:ascii="Times New Roman" w:hAnsi="Times New Roman"/>
          <w:sz w:val="24"/>
          <w:lang w:val="sr-Cyrl-CS"/>
        </w:rPr>
        <w:t>поглављима</w:t>
      </w:r>
      <w:r w:rsidR="00B66E60" w:rsidRPr="005303F7">
        <w:rPr>
          <w:rFonts w:ascii="Times New Roman" w:hAnsi="Times New Roman"/>
          <w:sz w:val="24"/>
          <w:lang w:val="sr-Cyrl-CS"/>
        </w:rPr>
        <w:t>.</w:t>
      </w:r>
      <w:r w:rsidR="00607807" w:rsidRPr="005303F7">
        <w:rPr>
          <w:rFonts w:ascii="Times New Roman" w:hAnsi="Times New Roman"/>
          <w:sz w:val="24"/>
          <w:lang w:val="sr-Cyrl-CS"/>
        </w:rPr>
        <w:t xml:space="preserve"> </w:t>
      </w:r>
    </w:p>
    <w:p w14:paraId="3A6A5395" w14:textId="7FBA2E96" w:rsidR="00FA7573" w:rsidRPr="005303F7" w:rsidRDefault="00BF65FC" w:rsidP="00D93231">
      <w:pPr>
        <w:pStyle w:val="Heading2"/>
        <w:numPr>
          <w:ilvl w:val="2"/>
          <w:numId w:val="40"/>
        </w:numPr>
        <w:tabs>
          <w:tab w:val="clear" w:pos="3825"/>
          <w:tab w:val="left" w:pos="1134"/>
        </w:tabs>
        <w:rPr>
          <w:rFonts w:ascii="Times New Roman" w:hAnsi="Times New Roman" w:cs="Times New Roman"/>
          <w:szCs w:val="22"/>
          <w:lang w:val="sr-Cyrl-CS"/>
        </w:rPr>
      </w:pPr>
      <w:bookmarkStart w:id="333" w:name="_Toc12858135"/>
      <w:bookmarkStart w:id="334" w:name="_Toc12880466"/>
      <w:bookmarkStart w:id="335" w:name="_Toc13088812"/>
      <w:bookmarkStart w:id="336" w:name="_Toc13089757"/>
      <w:bookmarkStart w:id="337" w:name="_Toc12858136"/>
      <w:bookmarkStart w:id="338" w:name="_Toc12880467"/>
      <w:bookmarkStart w:id="339" w:name="_Toc13088813"/>
      <w:bookmarkStart w:id="340" w:name="_Toc13089758"/>
      <w:bookmarkStart w:id="341" w:name="_Toc12858137"/>
      <w:bookmarkStart w:id="342" w:name="_Toc12880468"/>
      <w:bookmarkStart w:id="343" w:name="_Toc13088814"/>
      <w:bookmarkStart w:id="344" w:name="_Toc13089759"/>
      <w:bookmarkStart w:id="345" w:name="_Toc12858138"/>
      <w:bookmarkStart w:id="346" w:name="_Toc12880469"/>
      <w:bookmarkStart w:id="347" w:name="_Toc13088815"/>
      <w:bookmarkStart w:id="348" w:name="_Toc13089760"/>
      <w:bookmarkStart w:id="349" w:name="_Toc12858139"/>
      <w:bookmarkStart w:id="350" w:name="_Toc12880470"/>
      <w:bookmarkStart w:id="351" w:name="_Toc13088816"/>
      <w:bookmarkStart w:id="352" w:name="_Toc13089761"/>
      <w:bookmarkStart w:id="353" w:name="_Toc12858140"/>
      <w:bookmarkStart w:id="354" w:name="_Toc12880471"/>
      <w:bookmarkStart w:id="355" w:name="_Toc13088817"/>
      <w:bookmarkStart w:id="356" w:name="_Toc13089762"/>
      <w:bookmarkStart w:id="357" w:name="_Toc12858141"/>
      <w:bookmarkStart w:id="358" w:name="_Toc12880472"/>
      <w:bookmarkStart w:id="359" w:name="_Toc13088818"/>
      <w:bookmarkStart w:id="360" w:name="_Toc13089763"/>
      <w:bookmarkStart w:id="361" w:name="_Toc12858142"/>
      <w:bookmarkStart w:id="362" w:name="_Toc12880473"/>
      <w:bookmarkStart w:id="363" w:name="_Toc13088819"/>
      <w:bookmarkStart w:id="364" w:name="_Toc13089764"/>
      <w:bookmarkStart w:id="365" w:name="_Toc12858143"/>
      <w:bookmarkStart w:id="366" w:name="_Toc12880474"/>
      <w:bookmarkStart w:id="367" w:name="_Toc13088820"/>
      <w:bookmarkStart w:id="368" w:name="_Toc13089765"/>
      <w:bookmarkStart w:id="369" w:name="_Toc12858144"/>
      <w:bookmarkStart w:id="370" w:name="_Toc12880475"/>
      <w:bookmarkStart w:id="371" w:name="_Toc13088821"/>
      <w:bookmarkStart w:id="372" w:name="_Toc13089766"/>
      <w:bookmarkStart w:id="373" w:name="_Toc2668611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5303F7">
        <w:rPr>
          <w:rFonts w:ascii="Times New Roman" w:hAnsi="Times New Roman" w:cs="Times New Roman"/>
          <w:szCs w:val="22"/>
          <w:lang w:val="sr-Cyrl-CS"/>
        </w:rPr>
        <w:t>Принцип</w:t>
      </w:r>
      <w:r w:rsidR="00C358C0" w:rsidRPr="005303F7">
        <w:rPr>
          <w:rFonts w:ascii="Times New Roman" w:hAnsi="Times New Roman" w:cs="Times New Roman"/>
          <w:szCs w:val="22"/>
          <w:lang w:val="sr-Cyrl-CS"/>
        </w:rPr>
        <w:t xml:space="preserve"> </w:t>
      </w:r>
      <w:r w:rsidR="0064136C" w:rsidRPr="005303F7">
        <w:rPr>
          <w:rFonts w:ascii="Times New Roman" w:hAnsi="Times New Roman" w:cs="Times New Roman"/>
          <w:szCs w:val="22"/>
          <w:lang w:val="sr-Cyrl-CS"/>
        </w:rPr>
        <w:t>„</w:t>
      </w:r>
      <w:r w:rsidRPr="005303F7">
        <w:rPr>
          <w:rFonts w:ascii="Times New Roman" w:hAnsi="Times New Roman" w:cs="Times New Roman"/>
          <w:szCs w:val="22"/>
          <w:lang w:val="sr-Cyrl-CS"/>
        </w:rPr>
        <w:t>загађивач</w:t>
      </w:r>
      <w:r w:rsidR="00C358C0"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плаћ</w:t>
      </w:r>
      <w:bookmarkEnd w:id="373"/>
      <w:r w:rsidRPr="005303F7">
        <w:rPr>
          <w:rFonts w:ascii="Times New Roman" w:hAnsi="Times New Roman" w:cs="Times New Roman"/>
          <w:szCs w:val="22"/>
          <w:lang w:val="sr-Cyrl-CS"/>
        </w:rPr>
        <w:t>а</w:t>
      </w:r>
      <w:r w:rsidR="0035174D" w:rsidRPr="005303F7">
        <w:rPr>
          <w:rFonts w:ascii="Times New Roman" w:hAnsi="Times New Roman" w:cs="Times New Roman"/>
          <w:szCs w:val="22"/>
          <w:lang w:val="sr-Cyrl-CS"/>
        </w:rPr>
        <w:t>”</w:t>
      </w:r>
    </w:p>
    <w:p w14:paraId="445C5D28" w14:textId="54D87EAD" w:rsidR="00FF6E4A" w:rsidRPr="005303F7" w:rsidRDefault="00DA7CD2" w:rsidP="00415F62">
      <w:pPr>
        <w:rPr>
          <w:rFonts w:ascii="Times New Roman" w:hAnsi="Times New Roman"/>
          <w:sz w:val="24"/>
          <w:lang w:val="sr-Cyrl-CS"/>
        </w:rPr>
      </w:pPr>
      <w:r w:rsidRPr="005303F7">
        <w:rPr>
          <w:rFonts w:ascii="Times New Roman" w:hAnsi="Times New Roman"/>
          <w:sz w:val="24"/>
          <w:lang w:val="sr-Cyrl-CS"/>
        </w:rPr>
        <w:t xml:space="preserve">              </w:t>
      </w:r>
      <w:r w:rsidR="00BF65FC" w:rsidRPr="005303F7">
        <w:rPr>
          <w:rFonts w:ascii="Times New Roman" w:hAnsi="Times New Roman"/>
          <w:sz w:val="24"/>
          <w:lang w:val="sr-Cyrl-CS"/>
        </w:rPr>
        <w:t>Начело</w:t>
      </w:r>
      <w:r w:rsidR="00FF6E4A" w:rsidRPr="005303F7">
        <w:rPr>
          <w:rFonts w:ascii="Times New Roman" w:hAnsi="Times New Roman"/>
          <w:sz w:val="24"/>
          <w:lang w:val="sr-Cyrl-CS"/>
        </w:rPr>
        <w:t xml:space="preserve"> </w:t>
      </w:r>
      <w:r w:rsidR="00BF65FC" w:rsidRPr="005303F7">
        <w:rPr>
          <w:rFonts w:ascii="Times New Roman" w:hAnsi="Times New Roman"/>
          <w:sz w:val="24"/>
          <w:lang w:val="sr-Cyrl-CS"/>
        </w:rPr>
        <w:t>да</w:t>
      </w:r>
      <w:r w:rsidR="00FF6E4A" w:rsidRPr="005303F7">
        <w:rPr>
          <w:rFonts w:ascii="Times New Roman" w:hAnsi="Times New Roman"/>
          <w:sz w:val="24"/>
          <w:lang w:val="sr-Cyrl-CS"/>
        </w:rPr>
        <w:t xml:space="preserve"> </w:t>
      </w:r>
      <w:r w:rsidR="00BF65FC" w:rsidRPr="005303F7">
        <w:rPr>
          <w:rFonts w:ascii="Times New Roman" w:hAnsi="Times New Roman"/>
          <w:sz w:val="24"/>
          <w:lang w:val="sr-Cyrl-CS"/>
        </w:rPr>
        <w:t>загађивач</w:t>
      </w:r>
      <w:r w:rsidR="00FF6E4A" w:rsidRPr="005303F7">
        <w:rPr>
          <w:rFonts w:ascii="Times New Roman" w:hAnsi="Times New Roman"/>
          <w:sz w:val="24"/>
          <w:lang w:val="sr-Cyrl-CS"/>
        </w:rPr>
        <w:t xml:space="preserve"> </w:t>
      </w:r>
      <w:r w:rsidR="00BF65FC" w:rsidRPr="005303F7">
        <w:rPr>
          <w:rFonts w:ascii="Times New Roman" w:hAnsi="Times New Roman"/>
          <w:sz w:val="24"/>
          <w:lang w:val="sr-Cyrl-CS"/>
        </w:rPr>
        <w:t>пла</w:t>
      </w:r>
      <w:r w:rsidR="00016298" w:rsidRPr="005303F7">
        <w:rPr>
          <w:rFonts w:ascii="Times New Roman" w:hAnsi="Times New Roman"/>
          <w:sz w:val="24"/>
          <w:lang w:val="sr-Cyrl-CS"/>
        </w:rPr>
        <w:t>ћ</w:t>
      </w:r>
      <w:r w:rsidR="00BF65FC" w:rsidRPr="005303F7">
        <w:rPr>
          <w:rFonts w:ascii="Times New Roman" w:hAnsi="Times New Roman"/>
          <w:sz w:val="24"/>
          <w:lang w:val="sr-Cyrl-CS"/>
        </w:rPr>
        <w:t>ања</w:t>
      </w:r>
      <w:r w:rsidR="00FF6E4A" w:rsidRPr="005303F7">
        <w:rPr>
          <w:rFonts w:ascii="Times New Roman" w:hAnsi="Times New Roman"/>
          <w:sz w:val="24"/>
          <w:lang w:val="sr-Cyrl-CS"/>
        </w:rPr>
        <w:t xml:space="preserve"> </w:t>
      </w:r>
      <w:r w:rsidR="00BF65FC" w:rsidRPr="005303F7">
        <w:rPr>
          <w:rFonts w:ascii="Times New Roman" w:hAnsi="Times New Roman"/>
          <w:sz w:val="24"/>
          <w:lang w:val="sr-Cyrl-CS"/>
        </w:rPr>
        <w:t>је</w:t>
      </w:r>
      <w:r w:rsidR="00FF6E4A" w:rsidRPr="005303F7">
        <w:rPr>
          <w:rFonts w:ascii="Times New Roman" w:hAnsi="Times New Roman"/>
          <w:sz w:val="24"/>
          <w:lang w:val="sr-Cyrl-CS"/>
        </w:rPr>
        <w:t xml:space="preserve"> </w:t>
      </w:r>
      <w:r w:rsidR="00BF65FC" w:rsidRPr="005303F7">
        <w:rPr>
          <w:rFonts w:ascii="Times New Roman" w:hAnsi="Times New Roman"/>
          <w:sz w:val="24"/>
          <w:lang w:val="sr-Cyrl-CS"/>
        </w:rPr>
        <w:t>утврђено</w:t>
      </w:r>
      <w:r w:rsidR="00FF6E4A" w:rsidRPr="005303F7">
        <w:rPr>
          <w:rFonts w:ascii="Times New Roman" w:hAnsi="Times New Roman"/>
          <w:sz w:val="24"/>
          <w:lang w:val="sr-Cyrl-CS"/>
        </w:rPr>
        <w:t xml:space="preserve"> </w:t>
      </w:r>
      <w:r w:rsidR="00BF65FC" w:rsidRPr="005303F7">
        <w:rPr>
          <w:rFonts w:ascii="Times New Roman" w:hAnsi="Times New Roman"/>
          <w:sz w:val="24"/>
          <w:lang w:val="sr-Cyrl-CS"/>
        </w:rPr>
        <w:t>Уговором</w:t>
      </w:r>
      <w:r w:rsidR="00FF6E4A" w:rsidRPr="005303F7">
        <w:rPr>
          <w:rFonts w:ascii="Times New Roman" w:hAnsi="Times New Roman"/>
          <w:sz w:val="24"/>
          <w:lang w:val="sr-Cyrl-CS"/>
        </w:rPr>
        <w:t xml:space="preserve"> </w:t>
      </w:r>
      <w:r w:rsidR="00BF65FC" w:rsidRPr="005303F7">
        <w:rPr>
          <w:rFonts w:ascii="Times New Roman" w:hAnsi="Times New Roman"/>
          <w:sz w:val="24"/>
          <w:lang w:val="sr-Cyrl-CS"/>
        </w:rPr>
        <w:t>о</w:t>
      </w:r>
      <w:r w:rsidR="00FF6E4A" w:rsidRPr="005303F7">
        <w:rPr>
          <w:rFonts w:ascii="Times New Roman" w:hAnsi="Times New Roman"/>
          <w:sz w:val="24"/>
          <w:lang w:val="sr-Cyrl-CS"/>
        </w:rPr>
        <w:t xml:space="preserve"> </w:t>
      </w:r>
      <w:r w:rsidR="00BF65FC" w:rsidRPr="005303F7">
        <w:rPr>
          <w:rFonts w:ascii="Times New Roman" w:hAnsi="Times New Roman"/>
          <w:sz w:val="24"/>
          <w:lang w:val="sr-Cyrl-CS"/>
        </w:rPr>
        <w:t>функционисању</w:t>
      </w:r>
      <w:r w:rsidR="00FF6E4A" w:rsidRPr="005303F7">
        <w:rPr>
          <w:rFonts w:ascii="Times New Roman" w:hAnsi="Times New Roman"/>
          <w:sz w:val="24"/>
          <w:lang w:val="sr-Cyrl-CS"/>
        </w:rPr>
        <w:t xml:space="preserve"> </w:t>
      </w:r>
      <w:r w:rsidR="00BF65FC" w:rsidRPr="005303F7">
        <w:rPr>
          <w:rFonts w:ascii="Times New Roman" w:hAnsi="Times New Roman"/>
          <w:sz w:val="24"/>
          <w:lang w:val="sr-Cyrl-CS"/>
        </w:rPr>
        <w:t>Европске</w:t>
      </w:r>
      <w:r w:rsidR="00FF6E4A" w:rsidRPr="005303F7">
        <w:rPr>
          <w:rFonts w:ascii="Times New Roman" w:hAnsi="Times New Roman"/>
          <w:sz w:val="24"/>
          <w:lang w:val="sr-Cyrl-CS"/>
        </w:rPr>
        <w:t xml:space="preserve"> </w:t>
      </w:r>
      <w:r w:rsidR="00BF65FC" w:rsidRPr="005303F7">
        <w:rPr>
          <w:rFonts w:ascii="Times New Roman" w:hAnsi="Times New Roman"/>
          <w:sz w:val="24"/>
          <w:lang w:val="sr-Cyrl-CS"/>
        </w:rPr>
        <w:t>уније</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члан</w:t>
      </w:r>
      <w:r w:rsidR="00FF6E4A" w:rsidRPr="005303F7">
        <w:rPr>
          <w:rFonts w:ascii="Times New Roman" w:hAnsi="Times New Roman"/>
          <w:sz w:val="24"/>
          <w:lang w:val="sr-Cyrl-CS"/>
        </w:rPr>
        <w:t xml:space="preserve"> 191 (2) </w:t>
      </w:r>
      <w:r w:rsidR="00341533" w:rsidRPr="005303F7">
        <w:rPr>
          <w:rFonts w:ascii="Times New Roman" w:hAnsi="Times New Roman"/>
          <w:sz w:val="24"/>
          <w:lang w:val="sr-Cyrl-CS"/>
        </w:rPr>
        <w:t>Уговора</w:t>
      </w:r>
      <w:r w:rsidR="00870E18" w:rsidRPr="005303F7">
        <w:rPr>
          <w:rFonts w:ascii="Times New Roman" w:hAnsi="Times New Roman"/>
          <w:sz w:val="24"/>
          <w:lang w:val="sr-Cyrl-CS"/>
        </w:rPr>
        <w:t xml:space="preserve"> </w:t>
      </w:r>
      <w:r w:rsidR="00341533" w:rsidRPr="005303F7">
        <w:rPr>
          <w:rFonts w:ascii="Times New Roman" w:hAnsi="Times New Roman"/>
          <w:sz w:val="24"/>
          <w:lang w:val="sr-Cyrl-CS"/>
        </w:rPr>
        <w:t>о</w:t>
      </w:r>
      <w:r w:rsidR="00870E18" w:rsidRPr="005303F7">
        <w:rPr>
          <w:rFonts w:ascii="Times New Roman" w:hAnsi="Times New Roman"/>
          <w:sz w:val="24"/>
          <w:lang w:val="sr-Cyrl-CS"/>
        </w:rPr>
        <w:t xml:space="preserve"> </w:t>
      </w:r>
      <w:r w:rsidR="00341533" w:rsidRPr="005303F7">
        <w:rPr>
          <w:rFonts w:ascii="Times New Roman" w:hAnsi="Times New Roman"/>
          <w:sz w:val="24"/>
          <w:lang w:val="sr-Cyrl-CS"/>
        </w:rPr>
        <w:t>функционисању</w:t>
      </w:r>
      <w:r w:rsidR="00870E18" w:rsidRPr="005303F7">
        <w:rPr>
          <w:rFonts w:ascii="Times New Roman" w:hAnsi="Times New Roman"/>
          <w:sz w:val="24"/>
          <w:lang w:val="sr-Cyrl-CS"/>
        </w:rPr>
        <w:t xml:space="preserve"> </w:t>
      </w:r>
      <w:r w:rsidR="00341533" w:rsidRPr="005303F7">
        <w:rPr>
          <w:rFonts w:ascii="Times New Roman" w:hAnsi="Times New Roman"/>
          <w:sz w:val="24"/>
          <w:lang w:val="sr-Cyrl-CS"/>
        </w:rPr>
        <w:t>Европске</w:t>
      </w:r>
      <w:r w:rsidR="00870E18" w:rsidRPr="005303F7">
        <w:rPr>
          <w:rFonts w:ascii="Times New Roman" w:hAnsi="Times New Roman"/>
          <w:sz w:val="24"/>
          <w:lang w:val="sr-Cyrl-CS"/>
        </w:rPr>
        <w:t xml:space="preserve"> </w:t>
      </w:r>
      <w:r w:rsidR="00341533" w:rsidRPr="005303F7">
        <w:rPr>
          <w:rFonts w:ascii="Times New Roman" w:hAnsi="Times New Roman"/>
          <w:sz w:val="24"/>
          <w:lang w:val="sr-Cyrl-CS"/>
        </w:rPr>
        <w:t>Уније</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и</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представља</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доминантан</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концепт</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ЕУ</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у</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борби</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против</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климатских</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промена</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и</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у</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финансирању</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дугорочног</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смањења</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емисија</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Овај</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принцип</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помаже</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потрошачима</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да</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препознају</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стварне</w:t>
      </w:r>
      <w:r w:rsidR="00FF6E4A" w:rsidRPr="005303F7">
        <w:rPr>
          <w:rFonts w:ascii="Times New Roman" w:hAnsi="Times New Roman"/>
          <w:sz w:val="24"/>
          <w:lang w:val="sr-Cyrl-CS"/>
        </w:rPr>
        <w:t xml:space="preserve"> </w:t>
      </w:r>
      <w:r w:rsidR="00341533" w:rsidRPr="005303F7">
        <w:rPr>
          <w:rFonts w:ascii="Times New Roman" w:hAnsi="Times New Roman"/>
          <w:sz w:val="24"/>
          <w:lang w:val="sr-Cyrl-CS"/>
        </w:rPr>
        <w:t>трошкове</w:t>
      </w:r>
      <w:r w:rsidR="00FF6E4A" w:rsidRPr="005303F7">
        <w:rPr>
          <w:rFonts w:ascii="Times New Roman" w:hAnsi="Times New Roman"/>
          <w:sz w:val="24"/>
          <w:lang w:val="sr-Cyrl-CS"/>
        </w:rPr>
        <w:t>.</w:t>
      </w:r>
    </w:p>
    <w:p w14:paraId="5D9D5220" w14:textId="249A35A4" w:rsidR="00415F62" w:rsidRPr="005303F7" w:rsidRDefault="00DA7CD2" w:rsidP="00415F62">
      <w:pPr>
        <w:rPr>
          <w:rFonts w:ascii="Times New Roman" w:hAnsi="Times New Roman"/>
          <w:sz w:val="24"/>
          <w:lang w:val="sr-Cyrl-CS"/>
        </w:rPr>
      </w:pPr>
      <w:r w:rsidRPr="005303F7">
        <w:rPr>
          <w:rFonts w:ascii="Times New Roman" w:hAnsi="Times New Roman"/>
          <w:sz w:val="24"/>
          <w:lang w:val="sr-Cyrl-CS"/>
        </w:rPr>
        <w:lastRenderedPageBreak/>
        <w:t xml:space="preserve">              </w:t>
      </w:r>
      <w:r w:rsidR="00341533" w:rsidRPr="005303F7">
        <w:rPr>
          <w:rFonts w:ascii="Times New Roman" w:hAnsi="Times New Roman"/>
          <w:sz w:val="24"/>
          <w:lang w:val="sr-Cyrl-CS"/>
        </w:rPr>
        <w:t>За</w:t>
      </w:r>
      <w:r w:rsidR="006B5CF1" w:rsidRPr="005303F7">
        <w:rPr>
          <w:rFonts w:ascii="Times New Roman" w:hAnsi="Times New Roman"/>
          <w:sz w:val="24"/>
          <w:lang w:val="sr-Cyrl-CS"/>
        </w:rPr>
        <w:t xml:space="preserve"> </w:t>
      </w:r>
      <w:r w:rsidR="00341533" w:rsidRPr="005303F7">
        <w:rPr>
          <w:rFonts w:ascii="Times New Roman" w:hAnsi="Times New Roman"/>
          <w:sz w:val="24"/>
          <w:lang w:val="sr-Cyrl-CS"/>
        </w:rPr>
        <w:t>финансирање</w:t>
      </w:r>
      <w:r w:rsidR="006B5CF1" w:rsidRPr="005303F7">
        <w:rPr>
          <w:rFonts w:ascii="Times New Roman" w:hAnsi="Times New Roman"/>
          <w:sz w:val="24"/>
          <w:lang w:val="sr-Cyrl-CS"/>
        </w:rPr>
        <w:t xml:space="preserve"> </w:t>
      </w:r>
      <w:r w:rsidR="00341533" w:rsidRPr="005303F7">
        <w:rPr>
          <w:rFonts w:ascii="Times New Roman" w:hAnsi="Times New Roman"/>
          <w:sz w:val="24"/>
          <w:lang w:val="sr-Cyrl-CS"/>
        </w:rPr>
        <w:t>Стратегије</w:t>
      </w:r>
      <w:r w:rsidR="006B5CF1" w:rsidRPr="005303F7">
        <w:rPr>
          <w:rFonts w:ascii="Times New Roman" w:hAnsi="Times New Roman"/>
          <w:sz w:val="24"/>
          <w:lang w:val="sr-Cyrl-CS"/>
        </w:rPr>
        <w:t xml:space="preserve"> </w:t>
      </w:r>
      <w:r w:rsidR="00341533" w:rsidRPr="005303F7">
        <w:rPr>
          <w:rFonts w:ascii="Times New Roman" w:hAnsi="Times New Roman"/>
          <w:sz w:val="24"/>
          <w:lang w:val="sr-Cyrl-CS"/>
        </w:rPr>
        <w:t>су</w:t>
      </w:r>
      <w:r w:rsidR="006B5CF1" w:rsidRPr="005303F7">
        <w:rPr>
          <w:rFonts w:ascii="Times New Roman" w:hAnsi="Times New Roman"/>
          <w:sz w:val="24"/>
          <w:lang w:val="sr-Cyrl-CS"/>
        </w:rPr>
        <w:t xml:space="preserve"> </w:t>
      </w:r>
      <w:r w:rsidR="00341533" w:rsidRPr="005303F7">
        <w:rPr>
          <w:rFonts w:ascii="Times New Roman" w:hAnsi="Times New Roman"/>
          <w:sz w:val="24"/>
          <w:lang w:val="sr-Cyrl-CS"/>
        </w:rPr>
        <w:t>доступне</w:t>
      </w:r>
      <w:r w:rsidR="006B5CF1" w:rsidRPr="005303F7">
        <w:rPr>
          <w:rFonts w:ascii="Times New Roman" w:hAnsi="Times New Roman"/>
          <w:sz w:val="24"/>
          <w:lang w:val="sr-Cyrl-CS"/>
        </w:rPr>
        <w:t xml:space="preserve"> </w:t>
      </w:r>
      <w:r w:rsidR="00776D28" w:rsidRPr="005303F7">
        <w:rPr>
          <w:rFonts w:ascii="Times New Roman" w:hAnsi="Times New Roman"/>
          <w:sz w:val="24"/>
          <w:lang w:val="sr-Cyrl-CS"/>
        </w:rPr>
        <w:t>три</w:t>
      </w:r>
      <w:r w:rsidR="006B5CF1" w:rsidRPr="005303F7">
        <w:rPr>
          <w:rFonts w:ascii="Times New Roman" w:hAnsi="Times New Roman"/>
          <w:sz w:val="24"/>
          <w:lang w:val="sr-Cyrl-CS"/>
        </w:rPr>
        <w:t xml:space="preserve"> </w:t>
      </w:r>
      <w:r w:rsidR="00341533" w:rsidRPr="005303F7">
        <w:rPr>
          <w:rFonts w:ascii="Times New Roman" w:hAnsi="Times New Roman"/>
          <w:sz w:val="24"/>
          <w:lang w:val="sr-Cyrl-CS"/>
        </w:rPr>
        <w:t>опције</w:t>
      </w:r>
      <w:r w:rsidR="006B5CF1" w:rsidRPr="005303F7">
        <w:rPr>
          <w:rFonts w:ascii="Times New Roman" w:hAnsi="Times New Roman"/>
          <w:sz w:val="24"/>
          <w:lang w:val="sr-Cyrl-CS"/>
        </w:rPr>
        <w:t xml:space="preserve"> </w:t>
      </w:r>
      <w:r w:rsidR="00341533" w:rsidRPr="005303F7">
        <w:rPr>
          <w:rFonts w:ascii="Times New Roman" w:hAnsi="Times New Roman"/>
          <w:sz w:val="24"/>
          <w:lang w:val="sr-Cyrl-CS"/>
        </w:rPr>
        <w:t>начела</w:t>
      </w:r>
      <w:r w:rsidR="006B5CF1" w:rsidRPr="005303F7">
        <w:rPr>
          <w:rFonts w:ascii="Times New Roman" w:hAnsi="Times New Roman"/>
          <w:sz w:val="24"/>
          <w:lang w:val="sr-Cyrl-CS"/>
        </w:rPr>
        <w:t xml:space="preserve"> </w:t>
      </w:r>
      <w:r w:rsidR="0064136C" w:rsidRPr="005303F7">
        <w:rPr>
          <w:rFonts w:ascii="Times New Roman" w:hAnsi="Times New Roman"/>
          <w:sz w:val="24"/>
          <w:lang w:val="sr-Cyrl-CS"/>
        </w:rPr>
        <w:t>„</w:t>
      </w:r>
      <w:r w:rsidR="00341533" w:rsidRPr="005303F7">
        <w:rPr>
          <w:rFonts w:ascii="Times New Roman" w:hAnsi="Times New Roman"/>
          <w:sz w:val="24"/>
          <w:lang w:val="sr-Cyrl-CS"/>
        </w:rPr>
        <w:t>загађивач</w:t>
      </w:r>
      <w:r w:rsidR="006B5CF1" w:rsidRPr="005303F7">
        <w:rPr>
          <w:rFonts w:ascii="Times New Roman" w:hAnsi="Times New Roman"/>
          <w:sz w:val="24"/>
          <w:lang w:val="sr-Cyrl-CS"/>
        </w:rPr>
        <w:t xml:space="preserve"> </w:t>
      </w:r>
      <w:r w:rsidR="00341533" w:rsidRPr="005303F7">
        <w:rPr>
          <w:rFonts w:ascii="Times New Roman" w:hAnsi="Times New Roman"/>
          <w:sz w:val="24"/>
          <w:lang w:val="sr-Cyrl-CS"/>
        </w:rPr>
        <w:t>плаћа</w:t>
      </w:r>
      <w:r w:rsidR="0035174D" w:rsidRPr="005303F7">
        <w:rPr>
          <w:rFonts w:ascii="Times New Roman" w:hAnsi="Times New Roman"/>
          <w:sz w:val="24"/>
          <w:lang w:val="sr-Cyrl-CS"/>
        </w:rPr>
        <w:t>”</w:t>
      </w:r>
      <w:r w:rsidR="00415F62" w:rsidRPr="005303F7">
        <w:rPr>
          <w:rFonts w:ascii="Times New Roman" w:hAnsi="Times New Roman"/>
          <w:sz w:val="24"/>
          <w:lang w:val="sr-Cyrl-CS"/>
        </w:rPr>
        <w:t>:</w:t>
      </w:r>
    </w:p>
    <w:p w14:paraId="665759C2" w14:textId="1D47876D" w:rsidR="00205139" w:rsidRPr="005303F7" w:rsidRDefault="00DA7F86" w:rsidP="00D93231">
      <w:pPr>
        <w:pStyle w:val="ListParagraph"/>
        <w:numPr>
          <w:ilvl w:val="0"/>
          <w:numId w:val="37"/>
        </w:numPr>
        <w:rPr>
          <w:rFonts w:ascii="Times New Roman" w:hAnsi="Times New Roman" w:cs="Times New Roman"/>
          <w:b/>
          <w:sz w:val="22"/>
          <w:lang w:val="sr-Cyrl-CS"/>
        </w:rPr>
      </w:pPr>
      <w:r w:rsidRPr="005303F7">
        <w:rPr>
          <w:rFonts w:ascii="Times New Roman" w:hAnsi="Times New Roman" w:cs="Times New Roman"/>
          <w:b/>
          <w:sz w:val="24"/>
          <w:lang w:val="sr-Cyrl-CS"/>
        </w:rPr>
        <w:t>к</w:t>
      </w:r>
      <w:r w:rsidR="00341533" w:rsidRPr="005303F7">
        <w:rPr>
          <w:rFonts w:ascii="Times New Roman" w:hAnsi="Times New Roman" w:cs="Times New Roman"/>
          <w:b/>
          <w:sz w:val="24"/>
          <w:lang w:val="sr-Cyrl-CS"/>
        </w:rPr>
        <w:t>оришћење</w:t>
      </w:r>
      <w:r w:rsidR="004550DE" w:rsidRPr="005303F7">
        <w:rPr>
          <w:rFonts w:ascii="Times New Roman" w:hAnsi="Times New Roman" w:cs="Times New Roman"/>
          <w:b/>
          <w:sz w:val="24"/>
          <w:lang w:val="sr-Cyrl-CS"/>
        </w:rPr>
        <w:t xml:space="preserve"> </w:t>
      </w:r>
      <w:r w:rsidR="00341533" w:rsidRPr="005303F7">
        <w:rPr>
          <w:rFonts w:ascii="Times New Roman" w:hAnsi="Times New Roman" w:cs="Times New Roman"/>
          <w:b/>
          <w:sz w:val="24"/>
          <w:lang w:val="sr-Cyrl-CS"/>
        </w:rPr>
        <w:t>прихода</w:t>
      </w:r>
      <w:r w:rsidR="004550DE" w:rsidRPr="005303F7">
        <w:rPr>
          <w:rFonts w:ascii="Times New Roman" w:hAnsi="Times New Roman" w:cs="Times New Roman"/>
          <w:b/>
          <w:sz w:val="24"/>
          <w:lang w:val="sr-Cyrl-CS"/>
        </w:rPr>
        <w:t xml:space="preserve"> </w:t>
      </w:r>
      <w:r w:rsidR="00341533" w:rsidRPr="005303F7">
        <w:rPr>
          <w:rFonts w:ascii="Times New Roman" w:hAnsi="Times New Roman" w:cs="Times New Roman"/>
          <w:b/>
          <w:sz w:val="24"/>
          <w:lang w:val="sr-Cyrl-CS"/>
        </w:rPr>
        <w:t>од</w:t>
      </w:r>
      <w:r w:rsidR="004550DE" w:rsidRPr="005303F7">
        <w:rPr>
          <w:rFonts w:ascii="Times New Roman" w:hAnsi="Times New Roman" w:cs="Times New Roman"/>
          <w:b/>
          <w:sz w:val="24"/>
          <w:lang w:val="sr-Cyrl-CS"/>
        </w:rPr>
        <w:t xml:space="preserve"> </w:t>
      </w:r>
      <w:r w:rsidR="00205139" w:rsidRPr="005303F7">
        <w:rPr>
          <w:rFonts w:ascii="Times New Roman" w:hAnsi="Times New Roman" w:cs="Times New Roman"/>
          <w:b/>
          <w:sz w:val="24"/>
          <w:lang w:val="sr-Cyrl-CS"/>
        </w:rPr>
        <w:t xml:space="preserve">неусклађивања са </w:t>
      </w:r>
      <w:r w:rsidR="00007B7E" w:rsidRPr="005303F7">
        <w:rPr>
          <w:rFonts w:ascii="Times New Roman" w:hAnsi="Times New Roman" w:cs="Times New Roman"/>
          <w:b/>
          <w:sz w:val="24"/>
          <w:lang w:val="sr-Cyrl-CS"/>
        </w:rPr>
        <w:t>другим мерама одређивања цене угљеника</w:t>
      </w:r>
    </w:p>
    <w:p w14:paraId="15241FB5" w14:textId="5F8F0B7B" w:rsidR="00205139" w:rsidRPr="005303F7" w:rsidRDefault="00DA7CD2" w:rsidP="00807599">
      <w:pPr>
        <w:rPr>
          <w:rFonts w:ascii="Times New Roman" w:hAnsi="Times New Roman"/>
          <w:sz w:val="24"/>
          <w:lang w:val="sr-Cyrl-CS"/>
        </w:rPr>
      </w:pPr>
      <w:r w:rsidRPr="005303F7">
        <w:rPr>
          <w:rFonts w:ascii="Times New Roman" w:hAnsi="Times New Roman"/>
          <w:sz w:val="24"/>
          <w:lang w:val="sr-Cyrl-CS"/>
        </w:rPr>
        <w:t xml:space="preserve">             </w:t>
      </w:r>
      <w:r w:rsidR="00205139" w:rsidRPr="005303F7">
        <w:rPr>
          <w:rFonts w:ascii="Times New Roman" w:hAnsi="Times New Roman"/>
          <w:sz w:val="24"/>
          <w:lang w:val="sr-Cyrl-CS"/>
        </w:rPr>
        <w:t xml:space="preserve">Приходи од неусклађивања могу једино бити разматране као потенцијални и ванредни извор финансирања мера из ове стратегије. Процене су да казне за неусклађеност уколико би </w:t>
      </w:r>
      <w:r w:rsidR="000E5461" w:rsidRPr="005303F7">
        <w:rPr>
          <w:rFonts w:ascii="Times New Roman" w:hAnsi="Times New Roman"/>
          <w:sz w:val="24"/>
          <w:lang w:val="sr-Cyrl-CS"/>
        </w:rPr>
        <w:t xml:space="preserve">се </w:t>
      </w:r>
      <w:r w:rsidR="00205139" w:rsidRPr="005303F7">
        <w:rPr>
          <w:rFonts w:ascii="Times New Roman" w:hAnsi="Times New Roman"/>
          <w:sz w:val="24"/>
          <w:lang w:val="sr-Cyrl-CS"/>
        </w:rPr>
        <w:t>по</w:t>
      </w:r>
      <w:r w:rsidR="00007B7E" w:rsidRPr="005303F7">
        <w:rPr>
          <w:rFonts w:ascii="Times New Roman" w:hAnsi="Times New Roman"/>
          <w:sz w:val="24"/>
          <w:lang w:val="sr-Cyrl-CS"/>
        </w:rPr>
        <w:t>с</w:t>
      </w:r>
      <w:r w:rsidR="00205139" w:rsidRPr="005303F7">
        <w:rPr>
          <w:rFonts w:ascii="Times New Roman" w:hAnsi="Times New Roman"/>
          <w:sz w:val="24"/>
          <w:lang w:val="sr-Cyrl-CS"/>
        </w:rPr>
        <w:t xml:space="preserve">тројења која поседују дозволе за емитовање GHG </w:t>
      </w:r>
      <w:r w:rsidR="000E5461" w:rsidRPr="005303F7">
        <w:rPr>
          <w:rFonts w:ascii="Times New Roman" w:hAnsi="Times New Roman"/>
          <w:sz w:val="24"/>
          <w:lang w:val="sr-Cyrl-CS"/>
        </w:rPr>
        <w:t xml:space="preserve">и изложена су </w:t>
      </w:r>
      <w:r w:rsidR="00007B7E" w:rsidRPr="005303F7">
        <w:rPr>
          <w:rFonts w:ascii="Times New Roman" w:hAnsi="Times New Roman"/>
          <w:sz w:val="24"/>
          <w:lang w:val="sr-Cyrl-CS"/>
        </w:rPr>
        <w:t>другим мерама</w:t>
      </w:r>
      <w:r w:rsidR="000E5461" w:rsidRPr="005303F7">
        <w:rPr>
          <w:rFonts w:ascii="Times New Roman" w:hAnsi="Times New Roman"/>
          <w:sz w:val="24"/>
          <w:lang w:val="sr-Cyrl-CS"/>
        </w:rPr>
        <w:t xml:space="preserve"> </w:t>
      </w:r>
      <w:r w:rsidR="00205139" w:rsidRPr="005303F7">
        <w:rPr>
          <w:rFonts w:ascii="Times New Roman" w:hAnsi="Times New Roman"/>
          <w:sz w:val="24"/>
          <w:lang w:val="sr-Cyrl-CS"/>
        </w:rPr>
        <w:t>одлучила за „неделовање</w:t>
      </w:r>
      <w:r w:rsidR="0035174D" w:rsidRPr="005303F7">
        <w:rPr>
          <w:rFonts w:ascii="Times New Roman" w:hAnsi="Times New Roman"/>
          <w:sz w:val="24"/>
          <w:lang w:val="sr-Cyrl-CS"/>
        </w:rPr>
        <w:t>”</w:t>
      </w:r>
      <w:r w:rsidR="00205139" w:rsidRPr="005303F7">
        <w:rPr>
          <w:rFonts w:ascii="Times New Roman" w:hAnsi="Times New Roman"/>
          <w:sz w:val="24"/>
          <w:lang w:val="sr-Cyrl-CS"/>
        </w:rPr>
        <w:t xml:space="preserve"> могле достић</w:t>
      </w:r>
      <w:r w:rsidR="009266E2" w:rsidRPr="005303F7">
        <w:rPr>
          <w:rFonts w:ascii="Times New Roman" w:hAnsi="Times New Roman"/>
          <w:sz w:val="24"/>
          <w:lang w:val="sr-Cyrl-CS"/>
        </w:rPr>
        <w:t>и</w:t>
      </w:r>
      <w:r w:rsidR="00205139" w:rsidRPr="005303F7">
        <w:rPr>
          <w:rFonts w:ascii="Times New Roman" w:hAnsi="Times New Roman"/>
          <w:sz w:val="24"/>
          <w:lang w:val="sr-Cyrl-CS"/>
        </w:rPr>
        <w:t xml:space="preserve"> до 2,</w:t>
      </w:r>
      <w:r w:rsidR="00E76F85" w:rsidRPr="005303F7">
        <w:rPr>
          <w:rFonts w:ascii="Times New Roman" w:hAnsi="Times New Roman"/>
          <w:sz w:val="24"/>
          <w:lang w:val="sr-Cyrl-CS"/>
        </w:rPr>
        <w:t>05</w:t>
      </w:r>
      <w:r w:rsidR="00205139" w:rsidRPr="005303F7">
        <w:rPr>
          <w:rFonts w:ascii="Times New Roman" w:hAnsi="Times New Roman"/>
          <w:sz w:val="24"/>
          <w:lang w:val="sr-Cyrl-CS"/>
        </w:rPr>
        <w:t xml:space="preserve"> </w:t>
      </w:r>
      <w:r w:rsidR="0039680D" w:rsidRPr="005303F7">
        <w:rPr>
          <w:rFonts w:ascii="Times New Roman" w:hAnsi="Times New Roman"/>
          <w:sz w:val="24"/>
          <w:lang w:val="sr-Cyrl-CS"/>
        </w:rPr>
        <w:t>милијарди</w:t>
      </w:r>
      <w:r w:rsidR="00205139" w:rsidRPr="005303F7">
        <w:rPr>
          <w:rFonts w:ascii="Times New Roman" w:hAnsi="Times New Roman"/>
          <w:sz w:val="24"/>
          <w:lang w:val="sr-Cyrl-CS"/>
        </w:rPr>
        <w:t xml:space="preserve"> евра у периоду 202</w:t>
      </w:r>
      <w:r w:rsidR="00E76F85" w:rsidRPr="005303F7">
        <w:rPr>
          <w:rFonts w:ascii="Times New Roman" w:hAnsi="Times New Roman"/>
          <w:sz w:val="24"/>
          <w:lang w:val="sr-Cyrl-CS"/>
        </w:rPr>
        <w:t>6</w:t>
      </w:r>
      <w:r w:rsidR="00205139" w:rsidRPr="005303F7">
        <w:rPr>
          <w:rFonts w:ascii="Times New Roman" w:hAnsi="Times New Roman"/>
          <w:sz w:val="24"/>
          <w:lang w:val="sr-Cyrl-CS"/>
        </w:rPr>
        <w:t>–2029</w:t>
      </w:r>
      <w:r w:rsidR="00205139" w:rsidRPr="005303F7">
        <w:rPr>
          <w:rStyle w:val="FootnoteReference"/>
          <w:lang w:val="sr-Cyrl-CS"/>
        </w:rPr>
        <w:footnoteReference w:id="59"/>
      </w:r>
      <w:r w:rsidR="00205139" w:rsidRPr="005303F7">
        <w:rPr>
          <w:rFonts w:ascii="Times New Roman" w:hAnsi="Times New Roman"/>
          <w:sz w:val="24"/>
          <w:lang w:val="sr-Cyrl-CS"/>
        </w:rPr>
        <w:t xml:space="preserve">. </w:t>
      </w:r>
    </w:p>
    <w:p w14:paraId="0D5B63BC" w14:textId="66B536A8" w:rsidR="00205139" w:rsidRPr="005303F7" w:rsidRDefault="00DA7F86" w:rsidP="00D93231">
      <w:pPr>
        <w:pStyle w:val="ListParagraph"/>
        <w:numPr>
          <w:ilvl w:val="0"/>
          <w:numId w:val="37"/>
        </w:numPr>
        <w:rPr>
          <w:rFonts w:ascii="Times New Roman" w:hAnsi="Times New Roman"/>
          <w:b/>
          <w:sz w:val="24"/>
          <w:lang w:val="sr-Cyrl-CS"/>
        </w:rPr>
      </w:pPr>
      <w:bookmarkStart w:id="374" w:name="_Hlk11743267"/>
      <w:r w:rsidRPr="005303F7">
        <w:rPr>
          <w:rFonts w:ascii="Times New Roman" w:hAnsi="Times New Roman" w:cs="Times New Roman"/>
          <w:b/>
          <w:sz w:val="24"/>
          <w:lang w:val="sr-Cyrl-CS"/>
        </w:rPr>
        <w:t>к</w:t>
      </w:r>
      <w:r w:rsidR="00476FA8" w:rsidRPr="005303F7">
        <w:rPr>
          <w:rFonts w:ascii="Times New Roman" w:hAnsi="Times New Roman" w:cs="Times New Roman"/>
          <w:b/>
          <w:sz w:val="24"/>
          <w:lang w:val="sr-Cyrl-CS"/>
        </w:rPr>
        <w:t>оришћење прихода од аукције од спровођења EU-EТS-а</w:t>
      </w:r>
      <w:r w:rsidR="00E41C76" w:rsidRPr="005303F7">
        <w:rPr>
          <w:rFonts w:ascii="Times New Roman" w:hAnsi="Times New Roman" w:cs="Times New Roman"/>
          <w:b/>
          <w:sz w:val="24"/>
          <w:lang w:val="sr-Cyrl-CS"/>
        </w:rPr>
        <w:t xml:space="preserve"> и/или других инструмената за  одређивање цене угљеника</w:t>
      </w:r>
    </w:p>
    <w:p w14:paraId="3D4EB5A6" w14:textId="2129EC3B" w:rsidR="00790AEB" w:rsidRPr="005303F7" w:rsidRDefault="00DA7CD2" w:rsidP="00807599">
      <w:pPr>
        <w:rPr>
          <w:rFonts w:ascii="Times New Roman" w:hAnsi="Times New Roman"/>
          <w:sz w:val="24"/>
          <w:szCs w:val="22"/>
          <w:lang w:val="sr-Cyrl-CS"/>
        </w:rPr>
      </w:pPr>
      <w:r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У</w:t>
      </w:r>
      <w:r w:rsidR="00DF6C06"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складу</w:t>
      </w:r>
      <w:r w:rsidR="00DF6C06"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са</w:t>
      </w:r>
      <w:r w:rsidR="00DF6C06"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правилима</w:t>
      </w:r>
      <w:r w:rsidR="00DF6C06"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Е</w:t>
      </w:r>
      <w:r w:rsidR="00965FFE" w:rsidRPr="005303F7">
        <w:rPr>
          <w:rFonts w:ascii="Times New Roman" w:hAnsi="Times New Roman"/>
          <w:sz w:val="24"/>
          <w:szCs w:val="22"/>
          <w:lang w:val="sr-Cyrl-CS"/>
        </w:rPr>
        <w:t>U</w:t>
      </w:r>
      <w:r w:rsidR="00216281"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ЕТS</w:t>
      </w:r>
      <w:r w:rsidR="00DF6C06" w:rsidRPr="005303F7">
        <w:rPr>
          <w:rFonts w:ascii="Times New Roman" w:hAnsi="Times New Roman"/>
          <w:sz w:val="24"/>
          <w:szCs w:val="22"/>
          <w:lang w:val="sr-Cyrl-CS"/>
        </w:rPr>
        <w:t>-</w:t>
      </w:r>
      <w:r w:rsidR="00341533" w:rsidRPr="005303F7">
        <w:rPr>
          <w:rFonts w:ascii="Times New Roman" w:hAnsi="Times New Roman"/>
          <w:sz w:val="24"/>
          <w:szCs w:val="22"/>
          <w:lang w:val="sr-Cyrl-CS"/>
        </w:rPr>
        <w:t>а</w:t>
      </w:r>
      <w:r w:rsidR="00DF6C06" w:rsidRPr="005303F7">
        <w:rPr>
          <w:rFonts w:ascii="Times New Roman" w:hAnsi="Times New Roman"/>
          <w:sz w:val="24"/>
          <w:szCs w:val="22"/>
          <w:lang w:val="sr-Cyrl-CS"/>
        </w:rPr>
        <w:t>,</w:t>
      </w:r>
      <w:r w:rsidR="000C3EC9" w:rsidRPr="005303F7">
        <w:rPr>
          <w:rFonts w:ascii="Times New Roman" w:hAnsi="Times New Roman"/>
          <w:sz w:val="24"/>
          <w:szCs w:val="22"/>
          <w:lang w:val="sr-Cyrl-CS"/>
        </w:rPr>
        <w:t xml:space="preserve"> и ЕУ праксом</w:t>
      </w:r>
      <w:r w:rsidR="00DF6C06"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најмање</w:t>
      </w:r>
      <w:r w:rsidR="00DF6C06" w:rsidRPr="005303F7">
        <w:rPr>
          <w:rFonts w:ascii="Times New Roman" w:hAnsi="Times New Roman"/>
          <w:sz w:val="24"/>
          <w:szCs w:val="22"/>
          <w:lang w:val="sr-Cyrl-CS"/>
        </w:rPr>
        <w:t xml:space="preserve"> 50% </w:t>
      </w:r>
      <w:r w:rsidR="00341533" w:rsidRPr="005303F7">
        <w:rPr>
          <w:rFonts w:ascii="Times New Roman" w:hAnsi="Times New Roman"/>
          <w:sz w:val="24"/>
          <w:szCs w:val="22"/>
          <w:lang w:val="sr-Cyrl-CS"/>
        </w:rPr>
        <w:t>прихода</w:t>
      </w:r>
      <w:r w:rsidR="00DF6C06"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остварених</w:t>
      </w:r>
      <w:r w:rsidR="00DF6C06"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на</w:t>
      </w:r>
      <w:r w:rsidR="00DF6C06"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аукцији</w:t>
      </w:r>
      <w:r w:rsidR="00DF6C06"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емисионих</w:t>
      </w:r>
      <w:r w:rsidR="00DF6C06"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јединица</w:t>
      </w:r>
      <w:r w:rsidR="00DF6C06"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требало</w:t>
      </w:r>
      <w:r w:rsidR="00DF6C06"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би</w:t>
      </w:r>
      <w:r w:rsidR="00DF6C06"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користити</w:t>
      </w:r>
      <w:r w:rsidR="00DF6C06"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за</w:t>
      </w:r>
      <w:r w:rsidR="00DF6C06"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финансирање</w:t>
      </w:r>
      <w:r w:rsidR="00DF6C06"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политика</w:t>
      </w:r>
      <w:r w:rsidR="00DF6C06"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и</w:t>
      </w:r>
      <w:r w:rsidR="00DF6C06"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мера</w:t>
      </w:r>
      <w:r w:rsidR="00DF6C06"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из</w:t>
      </w:r>
      <w:r w:rsidR="0054199B"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области</w:t>
      </w:r>
      <w:r w:rsidR="00ED14E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борбе</w:t>
      </w:r>
      <w:r w:rsidR="00ED14E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против</w:t>
      </w:r>
      <w:r w:rsidR="00ED14E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климатских</w:t>
      </w:r>
      <w:r w:rsidR="00ED14E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промена</w:t>
      </w:r>
      <w:r w:rsidR="00D553BE"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иначе</w:t>
      </w:r>
      <w:r w:rsidR="00ED14E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датих</w:t>
      </w:r>
      <w:r w:rsidR="00ED14E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у</w:t>
      </w:r>
      <w:r w:rsidR="00ED14E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овој</w:t>
      </w:r>
      <w:r w:rsidR="00DF6C06" w:rsidRPr="005303F7">
        <w:rPr>
          <w:rFonts w:ascii="Times New Roman" w:hAnsi="Times New Roman"/>
          <w:sz w:val="24"/>
          <w:szCs w:val="22"/>
          <w:lang w:val="sr-Cyrl-CS"/>
        </w:rPr>
        <w:t xml:space="preserve"> </w:t>
      </w:r>
      <w:r w:rsidR="00615D3A" w:rsidRPr="005303F7">
        <w:rPr>
          <w:rFonts w:ascii="Times New Roman" w:hAnsi="Times New Roman"/>
          <w:sz w:val="24"/>
          <w:szCs w:val="22"/>
          <w:lang w:val="sr-Cyrl-CS"/>
        </w:rPr>
        <w:t>с</w:t>
      </w:r>
      <w:r w:rsidR="00341533" w:rsidRPr="005303F7">
        <w:rPr>
          <w:rFonts w:ascii="Times New Roman" w:hAnsi="Times New Roman"/>
          <w:sz w:val="24"/>
          <w:szCs w:val="22"/>
          <w:lang w:val="sr-Cyrl-CS"/>
        </w:rPr>
        <w:t>тратегији</w:t>
      </w:r>
      <w:r w:rsidR="00ED14E7" w:rsidRPr="005303F7">
        <w:rPr>
          <w:rFonts w:ascii="Times New Roman" w:hAnsi="Times New Roman"/>
          <w:sz w:val="24"/>
          <w:szCs w:val="22"/>
          <w:lang w:val="sr-Cyrl-CS"/>
        </w:rPr>
        <w:t>)</w:t>
      </w:r>
      <w:r w:rsidR="00DF6C06"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као</w:t>
      </w:r>
      <w:r w:rsidR="00DF6C06"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што</w:t>
      </w:r>
      <w:r w:rsidR="00DF6C06"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су</w:t>
      </w:r>
      <w:r w:rsidR="005808D0" w:rsidRPr="005303F7">
        <w:rPr>
          <w:rFonts w:ascii="Times New Roman" w:hAnsi="Times New Roman"/>
          <w:sz w:val="24"/>
          <w:szCs w:val="22"/>
          <w:lang w:val="sr-Cyrl-CS"/>
        </w:rPr>
        <w:t>:</w:t>
      </w:r>
    </w:p>
    <w:p w14:paraId="2A955CCF" w14:textId="5A50118B" w:rsidR="007E4862" w:rsidRPr="005303F7" w:rsidRDefault="00341533" w:rsidP="00D93231">
      <w:pPr>
        <w:pStyle w:val="ListParagraph"/>
        <w:numPr>
          <w:ilvl w:val="0"/>
          <w:numId w:val="53"/>
        </w:numPr>
        <w:spacing w:before="0" w:after="0"/>
        <w:rPr>
          <w:rFonts w:ascii="Times New Roman" w:hAnsi="Times New Roman" w:cs="Times New Roman"/>
          <w:sz w:val="24"/>
          <w:lang w:val="sr-Cyrl-CS"/>
        </w:rPr>
      </w:pPr>
      <w:r w:rsidRPr="005303F7">
        <w:rPr>
          <w:rFonts w:ascii="Times New Roman" w:hAnsi="Times New Roman" w:cs="Times New Roman"/>
          <w:sz w:val="24"/>
          <w:lang w:val="sr-Cyrl-CS"/>
        </w:rPr>
        <w:t>развој</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обновљивих</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извора</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енергије</w:t>
      </w:r>
      <w:r w:rsidR="00207799" w:rsidRPr="005303F7">
        <w:rPr>
          <w:rFonts w:ascii="Times New Roman" w:hAnsi="Times New Roman" w:cs="Times New Roman"/>
          <w:sz w:val="24"/>
          <w:lang w:val="sr-Cyrl-CS"/>
        </w:rPr>
        <w:t>;</w:t>
      </w:r>
    </w:p>
    <w:p w14:paraId="29A56ABD" w14:textId="77D7D8FC" w:rsidR="0047263E" w:rsidRPr="005303F7" w:rsidRDefault="00341533" w:rsidP="008A373B">
      <w:pPr>
        <w:pStyle w:val="ListParagraph"/>
        <w:numPr>
          <w:ilvl w:val="0"/>
          <w:numId w:val="53"/>
        </w:numPr>
        <w:tabs>
          <w:tab w:val="clear" w:pos="3825"/>
        </w:tabs>
        <w:spacing w:before="0" w:after="0"/>
        <w:ind w:left="0" w:firstLine="284"/>
        <w:rPr>
          <w:rFonts w:ascii="Times New Roman" w:hAnsi="Times New Roman" w:cs="Times New Roman"/>
          <w:sz w:val="24"/>
          <w:lang w:val="sr-Cyrl-CS"/>
        </w:rPr>
      </w:pPr>
      <w:r w:rsidRPr="005303F7">
        <w:rPr>
          <w:rFonts w:ascii="Times New Roman" w:hAnsi="Times New Roman" w:cs="Times New Roman"/>
          <w:sz w:val="24"/>
          <w:lang w:val="sr-Cyrl-CS"/>
        </w:rPr>
        <w:t>побољшање</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енергетске</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ефикасности</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система</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даљинског</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грејања</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и</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унапређење</w:t>
      </w:r>
      <w:r w:rsidR="009748FB"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термалног</w:t>
      </w:r>
      <w:r w:rsidR="009748FB"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интегритета</w:t>
      </w:r>
      <w:r w:rsidR="009748FB"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зграда</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или</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пружање</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финансијске</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подршке</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у</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циљу</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решавања</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социјалних</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аспеката</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у</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дома</w:t>
      </w:r>
      <w:r w:rsidR="00016298" w:rsidRPr="005303F7">
        <w:rPr>
          <w:rFonts w:ascii="Times New Roman" w:hAnsi="Times New Roman" w:cs="Times New Roman"/>
          <w:sz w:val="24"/>
          <w:lang w:val="sr-Cyrl-CS"/>
        </w:rPr>
        <w:t>ћ</w:t>
      </w:r>
      <w:r w:rsidRPr="005303F7">
        <w:rPr>
          <w:rFonts w:ascii="Times New Roman" w:hAnsi="Times New Roman" w:cs="Times New Roman"/>
          <w:sz w:val="24"/>
          <w:lang w:val="sr-Cyrl-CS"/>
        </w:rPr>
        <w:t>инствима</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са</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нижим</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и</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средњим</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приходима</w:t>
      </w:r>
      <w:r w:rsidR="00207799" w:rsidRPr="005303F7">
        <w:rPr>
          <w:rFonts w:ascii="Times New Roman" w:hAnsi="Times New Roman" w:cs="Times New Roman"/>
          <w:sz w:val="24"/>
          <w:lang w:val="sr-Cyrl-CS"/>
        </w:rPr>
        <w:t>;</w:t>
      </w:r>
    </w:p>
    <w:p w14:paraId="1D902762" w14:textId="46ABC059" w:rsidR="007E4862" w:rsidRPr="005303F7" w:rsidRDefault="00341533" w:rsidP="00D93231">
      <w:pPr>
        <w:pStyle w:val="ListParagraph"/>
        <w:numPr>
          <w:ilvl w:val="0"/>
          <w:numId w:val="53"/>
        </w:numPr>
        <w:spacing w:before="0" w:after="0"/>
        <w:rPr>
          <w:rFonts w:ascii="Times New Roman" w:hAnsi="Times New Roman" w:cs="Times New Roman"/>
          <w:sz w:val="24"/>
          <w:lang w:val="sr-Cyrl-CS"/>
        </w:rPr>
      </w:pPr>
      <w:r w:rsidRPr="005303F7">
        <w:rPr>
          <w:rFonts w:ascii="Times New Roman" w:hAnsi="Times New Roman" w:cs="Times New Roman"/>
          <w:sz w:val="24"/>
          <w:lang w:val="sr-Cyrl-CS"/>
        </w:rPr>
        <w:t>подстицање</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преласка</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на</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јавни</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превоз</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и</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транспорт</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са</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ниским</w:t>
      </w:r>
      <w:r w:rsidR="0047263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садржајем</w:t>
      </w:r>
      <w:r w:rsidR="00616236"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угљеника</w:t>
      </w:r>
      <w:r w:rsidR="00207799" w:rsidRPr="005303F7">
        <w:rPr>
          <w:rFonts w:ascii="Times New Roman" w:hAnsi="Times New Roman" w:cs="Times New Roman"/>
          <w:sz w:val="24"/>
          <w:lang w:val="sr-Cyrl-CS"/>
        </w:rPr>
        <w:t>;</w:t>
      </w:r>
    </w:p>
    <w:p w14:paraId="27B5DF13" w14:textId="0321F74A" w:rsidR="009364D8" w:rsidRPr="005303F7" w:rsidRDefault="008A373B" w:rsidP="008A373B">
      <w:pPr>
        <w:pStyle w:val="ListParagraph"/>
        <w:numPr>
          <w:ilvl w:val="0"/>
          <w:numId w:val="53"/>
        </w:numPr>
        <w:tabs>
          <w:tab w:val="clear" w:pos="3825"/>
          <w:tab w:val="left" w:pos="567"/>
          <w:tab w:val="left" w:pos="709"/>
        </w:tabs>
        <w:spacing w:before="0" w:after="0"/>
        <w:ind w:left="0" w:firstLine="284"/>
        <w:rPr>
          <w:rFonts w:ascii="Times New Roman" w:hAnsi="Times New Roman" w:cs="Times New Roman"/>
          <w:sz w:val="24"/>
          <w:lang w:val="sr-Cyrl-CS"/>
        </w:rPr>
      </w:pPr>
      <w:r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промовисање</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развијања</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вештина</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и</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прерасподеле</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радне</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снаге</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како</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би</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улагање</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напора</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у</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смањење</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емисије</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у</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целој</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економији</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и</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друштву</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било</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праведније</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посебно</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у</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регионима</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који</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су</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у</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ве</w:t>
      </w:r>
      <w:r w:rsidR="00016298" w:rsidRPr="005303F7">
        <w:rPr>
          <w:rFonts w:ascii="Times New Roman" w:hAnsi="Times New Roman" w:cs="Times New Roman"/>
          <w:sz w:val="24"/>
          <w:lang w:val="sr-Cyrl-CS"/>
        </w:rPr>
        <w:t>ћ</w:t>
      </w:r>
      <w:r w:rsidR="00341533" w:rsidRPr="005303F7">
        <w:rPr>
          <w:rFonts w:ascii="Times New Roman" w:hAnsi="Times New Roman" w:cs="Times New Roman"/>
          <w:sz w:val="24"/>
          <w:lang w:val="sr-Cyrl-CS"/>
        </w:rPr>
        <w:t>ој</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мери</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погођени</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транзицијом</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радних</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места</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у</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уској</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координацији</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са</w:t>
      </w:r>
      <w:r w:rsidR="009364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друштвеним</w:t>
      </w:r>
      <w:r w:rsidR="00425ED8" w:rsidRPr="005303F7">
        <w:rPr>
          <w:rFonts w:ascii="Times New Roman" w:hAnsi="Times New Roman" w:cs="Times New Roman"/>
          <w:sz w:val="24"/>
          <w:lang w:val="sr-Cyrl-CS"/>
        </w:rPr>
        <w:t xml:space="preserve"> </w:t>
      </w:r>
      <w:r w:rsidR="00341533" w:rsidRPr="005303F7">
        <w:rPr>
          <w:rFonts w:ascii="Times New Roman" w:hAnsi="Times New Roman" w:cs="Times New Roman"/>
          <w:sz w:val="24"/>
          <w:lang w:val="sr-Cyrl-CS"/>
        </w:rPr>
        <w:t>партнерима</w:t>
      </w:r>
      <w:r w:rsidR="00207799" w:rsidRPr="005303F7">
        <w:rPr>
          <w:rFonts w:ascii="Times New Roman" w:hAnsi="Times New Roman" w:cs="Times New Roman"/>
          <w:sz w:val="24"/>
          <w:lang w:val="sr-Cyrl-CS"/>
        </w:rPr>
        <w:t>.</w:t>
      </w:r>
    </w:p>
    <w:bookmarkEnd w:id="374"/>
    <w:p w14:paraId="401BCD89" w14:textId="58A554D5" w:rsidR="007E4862" w:rsidRPr="005303F7" w:rsidRDefault="00DA7CD2" w:rsidP="006A45E0">
      <w:pPr>
        <w:rPr>
          <w:rFonts w:ascii="Times New Roman" w:hAnsi="Times New Roman"/>
          <w:sz w:val="24"/>
          <w:lang w:val="sr-Cyrl-CS"/>
        </w:rPr>
      </w:pPr>
      <w:r w:rsidRPr="005303F7">
        <w:rPr>
          <w:rFonts w:ascii="Times New Roman" w:hAnsi="Times New Roman"/>
          <w:sz w:val="24"/>
          <w:lang w:val="sr-Cyrl-CS"/>
        </w:rPr>
        <w:t xml:space="preserve">            </w:t>
      </w:r>
      <w:r w:rsidR="00341533" w:rsidRPr="005303F7">
        <w:rPr>
          <w:rFonts w:ascii="Times New Roman" w:hAnsi="Times New Roman"/>
          <w:sz w:val="24"/>
          <w:lang w:val="sr-Cyrl-CS"/>
        </w:rPr>
        <w:t>Приход</w:t>
      </w:r>
      <w:r w:rsidR="004145D6" w:rsidRPr="005303F7">
        <w:rPr>
          <w:rFonts w:ascii="Times New Roman" w:hAnsi="Times New Roman"/>
          <w:sz w:val="24"/>
          <w:lang w:val="sr-Cyrl-CS"/>
        </w:rPr>
        <w:t xml:space="preserve"> </w:t>
      </w:r>
      <w:r w:rsidR="00341533" w:rsidRPr="005303F7">
        <w:rPr>
          <w:rFonts w:ascii="Times New Roman" w:hAnsi="Times New Roman"/>
          <w:sz w:val="24"/>
          <w:lang w:val="sr-Cyrl-CS"/>
        </w:rPr>
        <w:t>од</w:t>
      </w:r>
      <w:r w:rsidR="004145D6" w:rsidRPr="005303F7">
        <w:rPr>
          <w:rFonts w:ascii="Times New Roman" w:hAnsi="Times New Roman"/>
          <w:sz w:val="24"/>
          <w:lang w:val="sr-Cyrl-CS"/>
        </w:rPr>
        <w:t xml:space="preserve"> </w:t>
      </w:r>
      <w:r w:rsidR="00341533" w:rsidRPr="005303F7">
        <w:rPr>
          <w:rFonts w:ascii="Times New Roman" w:hAnsi="Times New Roman"/>
          <w:sz w:val="24"/>
          <w:lang w:val="sr-Cyrl-CS"/>
        </w:rPr>
        <w:t>аукција</w:t>
      </w:r>
      <w:r w:rsidR="004145D6" w:rsidRPr="005303F7">
        <w:rPr>
          <w:rFonts w:ascii="Times New Roman" w:hAnsi="Times New Roman"/>
          <w:sz w:val="24"/>
          <w:lang w:val="sr-Cyrl-CS"/>
        </w:rPr>
        <w:t xml:space="preserve"> </w:t>
      </w:r>
      <w:r w:rsidR="00341533" w:rsidRPr="005303F7">
        <w:rPr>
          <w:rFonts w:ascii="Times New Roman" w:hAnsi="Times New Roman"/>
          <w:sz w:val="24"/>
          <w:lang w:val="sr-Cyrl-CS"/>
        </w:rPr>
        <w:t>може</w:t>
      </w:r>
      <w:r w:rsidR="004145D6" w:rsidRPr="005303F7">
        <w:rPr>
          <w:rFonts w:ascii="Times New Roman" w:hAnsi="Times New Roman"/>
          <w:sz w:val="24"/>
          <w:lang w:val="sr-Cyrl-CS"/>
        </w:rPr>
        <w:t xml:space="preserve"> </w:t>
      </w:r>
      <w:r w:rsidR="00341533" w:rsidRPr="005303F7">
        <w:rPr>
          <w:rFonts w:ascii="Times New Roman" w:hAnsi="Times New Roman"/>
          <w:sz w:val="24"/>
          <w:lang w:val="sr-Cyrl-CS"/>
        </w:rPr>
        <w:t>у</w:t>
      </w:r>
      <w:r w:rsidR="004145D6" w:rsidRPr="005303F7">
        <w:rPr>
          <w:rFonts w:ascii="Times New Roman" w:hAnsi="Times New Roman"/>
          <w:sz w:val="24"/>
          <w:lang w:val="sr-Cyrl-CS"/>
        </w:rPr>
        <w:t xml:space="preserve"> </w:t>
      </w:r>
      <w:r w:rsidR="00341533" w:rsidRPr="005303F7">
        <w:rPr>
          <w:rFonts w:ascii="Times New Roman" w:hAnsi="Times New Roman"/>
          <w:sz w:val="24"/>
          <w:lang w:val="sr-Cyrl-CS"/>
        </w:rPr>
        <w:t>сценарију</w:t>
      </w:r>
      <w:r w:rsidR="004145D6" w:rsidRPr="005303F7">
        <w:rPr>
          <w:rFonts w:ascii="Times New Roman" w:hAnsi="Times New Roman"/>
          <w:sz w:val="24"/>
          <w:lang w:val="sr-Cyrl-CS"/>
        </w:rPr>
        <w:t xml:space="preserve"> </w:t>
      </w:r>
      <w:r w:rsidR="00341533" w:rsidRPr="005303F7">
        <w:rPr>
          <w:rFonts w:ascii="Times New Roman" w:hAnsi="Times New Roman"/>
          <w:sz w:val="24"/>
          <w:lang w:val="sr-Cyrl-CS"/>
        </w:rPr>
        <w:t>М</w:t>
      </w:r>
      <w:r w:rsidR="004145D6" w:rsidRPr="005303F7">
        <w:rPr>
          <w:rFonts w:ascii="Times New Roman" w:hAnsi="Times New Roman"/>
          <w:sz w:val="24"/>
          <w:lang w:val="sr-Cyrl-CS"/>
        </w:rPr>
        <w:t xml:space="preserve">2 </w:t>
      </w:r>
      <w:r w:rsidR="00341533" w:rsidRPr="005303F7">
        <w:rPr>
          <w:rFonts w:ascii="Times New Roman" w:hAnsi="Times New Roman"/>
          <w:sz w:val="24"/>
          <w:lang w:val="sr-Cyrl-CS"/>
        </w:rPr>
        <w:t>износити</w:t>
      </w:r>
      <w:r w:rsidR="004145D6" w:rsidRPr="005303F7">
        <w:rPr>
          <w:rFonts w:ascii="Times New Roman" w:hAnsi="Times New Roman"/>
          <w:sz w:val="24"/>
          <w:lang w:val="sr-Cyrl-CS"/>
        </w:rPr>
        <w:t xml:space="preserve"> </w:t>
      </w:r>
      <w:r w:rsidR="00341533" w:rsidRPr="005303F7">
        <w:rPr>
          <w:rFonts w:ascii="Times New Roman" w:hAnsi="Times New Roman"/>
          <w:sz w:val="24"/>
          <w:lang w:val="sr-Cyrl-CS"/>
        </w:rPr>
        <w:t>до</w:t>
      </w:r>
      <w:r w:rsidR="004145D6" w:rsidRPr="005303F7">
        <w:rPr>
          <w:rFonts w:ascii="Times New Roman" w:hAnsi="Times New Roman"/>
          <w:sz w:val="24"/>
          <w:lang w:val="sr-Cyrl-CS"/>
        </w:rPr>
        <w:t xml:space="preserve"> </w:t>
      </w:r>
      <w:r w:rsidR="00DE7515" w:rsidRPr="005303F7">
        <w:rPr>
          <w:rFonts w:ascii="Times New Roman" w:hAnsi="Times New Roman"/>
          <w:sz w:val="24"/>
          <w:lang w:val="sr-Cyrl-CS"/>
        </w:rPr>
        <w:t>2</w:t>
      </w:r>
      <w:r w:rsidR="00476FA8" w:rsidRPr="005303F7">
        <w:rPr>
          <w:rFonts w:ascii="Times New Roman" w:hAnsi="Times New Roman"/>
          <w:sz w:val="24"/>
          <w:lang w:val="sr-Cyrl-CS"/>
        </w:rPr>
        <w:t>2</w:t>
      </w:r>
      <w:r w:rsidR="00DE7515" w:rsidRPr="005303F7">
        <w:rPr>
          <w:rFonts w:ascii="Times New Roman" w:hAnsi="Times New Roman"/>
          <w:sz w:val="24"/>
          <w:lang w:val="sr-Cyrl-CS"/>
        </w:rPr>
        <w:t>,</w:t>
      </w:r>
      <w:r w:rsidR="004145D6" w:rsidRPr="005303F7">
        <w:rPr>
          <w:rFonts w:ascii="Times New Roman" w:hAnsi="Times New Roman"/>
          <w:sz w:val="24"/>
          <w:lang w:val="sr-Cyrl-CS"/>
        </w:rPr>
        <w:t>4</w:t>
      </w:r>
      <w:r w:rsidR="00476FA8" w:rsidRPr="005303F7">
        <w:rPr>
          <w:rFonts w:ascii="Times New Roman" w:hAnsi="Times New Roman"/>
          <w:sz w:val="24"/>
          <w:lang w:val="sr-Cyrl-CS"/>
        </w:rPr>
        <w:t>1</w:t>
      </w:r>
      <w:r w:rsidR="004145D6" w:rsidRPr="005303F7">
        <w:rPr>
          <w:rFonts w:ascii="Times New Roman" w:hAnsi="Times New Roman"/>
          <w:sz w:val="24"/>
          <w:lang w:val="sr-Cyrl-CS"/>
        </w:rPr>
        <w:t xml:space="preserve"> </w:t>
      </w:r>
      <w:r w:rsidR="00341533" w:rsidRPr="005303F7">
        <w:rPr>
          <w:rFonts w:ascii="Times New Roman" w:hAnsi="Times New Roman"/>
          <w:sz w:val="24"/>
          <w:lang w:val="sr-Cyrl-CS"/>
        </w:rPr>
        <w:t>милијарди</w:t>
      </w:r>
      <w:r w:rsidR="007B60BA" w:rsidRPr="005303F7">
        <w:rPr>
          <w:rFonts w:ascii="Times New Roman" w:hAnsi="Times New Roman"/>
          <w:sz w:val="24"/>
          <w:lang w:val="sr-Cyrl-CS"/>
        </w:rPr>
        <w:t xml:space="preserve"> </w:t>
      </w:r>
      <w:r w:rsidR="00341533" w:rsidRPr="005303F7">
        <w:rPr>
          <w:rFonts w:ascii="Times New Roman" w:hAnsi="Times New Roman"/>
          <w:sz w:val="24"/>
          <w:lang w:val="sr-Cyrl-CS"/>
        </w:rPr>
        <w:t>евра</w:t>
      </w:r>
      <w:r w:rsidR="004145D6" w:rsidRPr="005303F7">
        <w:rPr>
          <w:rFonts w:ascii="Times New Roman" w:hAnsi="Times New Roman"/>
          <w:sz w:val="24"/>
          <w:lang w:val="sr-Cyrl-CS"/>
        </w:rPr>
        <w:t xml:space="preserve"> </w:t>
      </w:r>
      <w:r w:rsidR="00341533" w:rsidRPr="005303F7">
        <w:rPr>
          <w:rFonts w:ascii="Times New Roman" w:hAnsi="Times New Roman"/>
          <w:sz w:val="24"/>
          <w:lang w:val="sr-Cyrl-CS"/>
        </w:rPr>
        <w:t>у</w:t>
      </w:r>
      <w:r w:rsidR="004145D6" w:rsidRPr="005303F7">
        <w:rPr>
          <w:rFonts w:ascii="Times New Roman" w:hAnsi="Times New Roman"/>
          <w:sz w:val="24"/>
          <w:lang w:val="sr-Cyrl-CS"/>
        </w:rPr>
        <w:t xml:space="preserve"> </w:t>
      </w:r>
      <w:r w:rsidR="00341533" w:rsidRPr="005303F7">
        <w:rPr>
          <w:rFonts w:ascii="Times New Roman" w:hAnsi="Times New Roman"/>
          <w:sz w:val="24"/>
          <w:lang w:val="sr-Cyrl-CS"/>
        </w:rPr>
        <w:t>периоду</w:t>
      </w:r>
      <w:r w:rsidR="004145D6" w:rsidRPr="005303F7">
        <w:rPr>
          <w:rFonts w:ascii="Times New Roman" w:hAnsi="Times New Roman"/>
          <w:sz w:val="24"/>
          <w:lang w:val="sr-Cyrl-CS"/>
        </w:rPr>
        <w:t xml:space="preserve"> 20</w:t>
      </w:r>
      <w:r w:rsidR="00476FA8" w:rsidRPr="005303F7">
        <w:rPr>
          <w:rFonts w:ascii="Times New Roman" w:hAnsi="Times New Roman"/>
          <w:sz w:val="24"/>
          <w:lang w:val="sr-Cyrl-CS"/>
        </w:rPr>
        <w:t>30</w:t>
      </w:r>
      <w:r w:rsidR="004145D6" w:rsidRPr="005303F7">
        <w:rPr>
          <w:rFonts w:ascii="Times New Roman" w:hAnsi="Times New Roman"/>
          <w:sz w:val="24"/>
          <w:lang w:val="sr-Cyrl-CS"/>
        </w:rPr>
        <w:t>-2050.</w:t>
      </w:r>
      <w:r w:rsidR="009326B3" w:rsidRPr="005303F7">
        <w:rPr>
          <w:rFonts w:ascii="Times New Roman" w:hAnsi="Times New Roman"/>
          <w:sz w:val="24"/>
          <w:lang w:val="sr-Cyrl-CS"/>
        </w:rPr>
        <w:t xml:space="preserve"> </w:t>
      </w:r>
      <w:r w:rsidR="00341533" w:rsidRPr="005303F7">
        <w:rPr>
          <w:rFonts w:ascii="Times New Roman" w:hAnsi="Times New Roman"/>
          <w:sz w:val="24"/>
          <w:lang w:val="sr-Cyrl-CS"/>
        </w:rPr>
        <w:t>године</w:t>
      </w:r>
      <w:r w:rsidR="00D02116" w:rsidRPr="005303F7">
        <w:rPr>
          <w:rFonts w:ascii="Times New Roman" w:hAnsi="Times New Roman"/>
          <w:sz w:val="24"/>
          <w:lang w:val="sr-Cyrl-CS"/>
        </w:rPr>
        <w:t>.</w:t>
      </w:r>
      <w:r w:rsidR="00033EDD" w:rsidRPr="005303F7">
        <w:rPr>
          <w:rFonts w:ascii="Times New Roman" w:hAnsi="Times New Roman"/>
          <w:sz w:val="24"/>
          <w:lang w:val="sr-Cyrl-CS"/>
        </w:rPr>
        <w:t xml:space="preserve"> </w:t>
      </w:r>
    </w:p>
    <w:p w14:paraId="57175C17" w14:textId="07D43FD2" w:rsidR="00242FAB" w:rsidRPr="005303F7" w:rsidRDefault="00744C26" w:rsidP="00D93231">
      <w:pPr>
        <w:pStyle w:val="ListParagraph"/>
        <w:numPr>
          <w:ilvl w:val="0"/>
          <w:numId w:val="37"/>
        </w:numPr>
        <w:rPr>
          <w:rFonts w:ascii="Times New Roman" w:hAnsi="Times New Roman" w:cs="Times New Roman"/>
          <w:b/>
          <w:sz w:val="22"/>
          <w:lang w:val="sr-Cyrl-CS"/>
        </w:rPr>
      </w:pPr>
      <w:r w:rsidRPr="005303F7">
        <w:rPr>
          <w:rFonts w:ascii="Times New Roman" w:hAnsi="Times New Roman" w:cs="Times New Roman"/>
          <w:b/>
          <w:sz w:val="24"/>
          <w:lang w:val="sr-Cyrl-CS"/>
        </w:rPr>
        <w:t>п</w:t>
      </w:r>
      <w:r w:rsidR="00341533" w:rsidRPr="005303F7">
        <w:rPr>
          <w:rFonts w:ascii="Times New Roman" w:hAnsi="Times New Roman" w:cs="Times New Roman"/>
          <w:b/>
          <w:sz w:val="24"/>
          <w:lang w:val="sr-Cyrl-CS"/>
        </w:rPr>
        <w:t>римена</w:t>
      </w:r>
      <w:r w:rsidR="00AD6C1F" w:rsidRPr="005303F7">
        <w:rPr>
          <w:rFonts w:ascii="Times New Roman" w:hAnsi="Times New Roman" w:cs="Times New Roman"/>
          <w:b/>
          <w:sz w:val="24"/>
          <w:lang w:val="sr-Cyrl-CS"/>
        </w:rPr>
        <w:t xml:space="preserve"> </w:t>
      </w:r>
      <w:r w:rsidR="000E5461" w:rsidRPr="005303F7">
        <w:rPr>
          <w:rFonts w:ascii="Times New Roman" w:hAnsi="Times New Roman" w:cs="Times New Roman"/>
          <w:b/>
          <w:sz w:val="24"/>
          <w:lang w:val="sr-Cyrl-CS"/>
        </w:rPr>
        <w:t>увођења цене на угљеник</w:t>
      </w:r>
      <w:r w:rsidR="00AD6C1F" w:rsidRPr="005303F7">
        <w:rPr>
          <w:rFonts w:ascii="Times New Roman" w:hAnsi="Times New Roman" w:cs="Times New Roman"/>
          <w:b/>
          <w:sz w:val="24"/>
          <w:lang w:val="sr-Cyrl-CS"/>
        </w:rPr>
        <w:t xml:space="preserve"> </w:t>
      </w:r>
      <w:r w:rsidR="00341533" w:rsidRPr="005303F7">
        <w:rPr>
          <w:rFonts w:ascii="Times New Roman" w:hAnsi="Times New Roman" w:cs="Times New Roman"/>
          <w:b/>
          <w:sz w:val="24"/>
          <w:lang w:val="sr-Cyrl-CS"/>
        </w:rPr>
        <w:t>за</w:t>
      </w:r>
      <w:r w:rsidR="00AD6C1F" w:rsidRPr="005303F7">
        <w:rPr>
          <w:rFonts w:ascii="Times New Roman" w:hAnsi="Times New Roman" w:cs="Times New Roman"/>
          <w:b/>
          <w:sz w:val="24"/>
          <w:lang w:val="sr-Cyrl-CS"/>
        </w:rPr>
        <w:t xml:space="preserve"> </w:t>
      </w:r>
      <w:r w:rsidR="00341533" w:rsidRPr="005303F7">
        <w:rPr>
          <w:rFonts w:ascii="Times New Roman" w:hAnsi="Times New Roman" w:cs="Times New Roman"/>
          <w:b/>
          <w:sz w:val="24"/>
          <w:lang w:val="sr-Cyrl-CS"/>
        </w:rPr>
        <w:t>горива</w:t>
      </w:r>
      <w:r w:rsidR="00AD6C1F" w:rsidRPr="005303F7">
        <w:rPr>
          <w:rFonts w:ascii="Times New Roman" w:hAnsi="Times New Roman" w:cs="Times New Roman"/>
          <w:b/>
          <w:sz w:val="24"/>
          <w:lang w:val="sr-Cyrl-CS"/>
        </w:rPr>
        <w:t xml:space="preserve"> </w:t>
      </w:r>
      <w:r w:rsidR="00341533" w:rsidRPr="005303F7">
        <w:rPr>
          <w:rFonts w:ascii="Times New Roman" w:hAnsi="Times New Roman" w:cs="Times New Roman"/>
          <w:b/>
          <w:sz w:val="24"/>
          <w:lang w:val="sr-Cyrl-CS"/>
        </w:rPr>
        <w:t>за</w:t>
      </w:r>
      <w:r w:rsidR="00AD6C1F" w:rsidRPr="005303F7">
        <w:rPr>
          <w:rFonts w:ascii="Times New Roman" w:hAnsi="Times New Roman" w:cs="Times New Roman"/>
          <w:b/>
          <w:sz w:val="24"/>
          <w:lang w:val="sr-Cyrl-CS"/>
        </w:rPr>
        <w:t xml:space="preserve"> </w:t>
      </w:r>
      <w:r w:rsidR="00341533" w:rsidRPr="005303F7">
        <w:rPr>
          <w:rFonts w:ascii="Times New Roman" w:hAnsi="Times New Roman" w:cs="Times New Roman"/>
          <w:b/>
          <w:sz w:val="24"/>
          <w:lang w:val="sr-Cyrl-CS"/>
        </w:rPr>
        <w:t>финалну</w:t>
      </w:r>
      <w:r w:rsidR="00AD6C1F" w:rsidRPr="005303F7">
        <w:rPr>
          <w:rFonts w:ascii="Times New Roman" w:hAnsi="Times New Roman" w:cs="Times New Roman"/>
          <w:b/>
          <w:sz w:val="24"/>
          <w:lang w:val="sr-Cyrl-CS"/>
        </w:rPr>
        <w:t xml:space="preserve"> </w:t>
      </w:r>
      <w:r w:rsidR="00341533" w:rsidRPr="005303F7">
        <w:rPr>
          <w:rFonts w:ascii="Times New Roman" w:hAnsi="Times New Roman" w:cs="Times New Roman"/>
          <w:b/>
          <w:sz w:val="24"/>
          <w:lang w:val="sr-Cyrl-CS"/>
        </w:rPr>
        <w:t>потрошњу</w:t>
      </w:r>
      <w:r w:rsidR="005743DD" w:rsidRPr="005303F7">
        <w:rPr>
          <w:rStyle w:val="FootnoteReference"/>
          <w:rFonts w:ascii="Times New Roman" w:hAnsi="Times New Roman" w:cs="Times New Roman"/>
          <w:b/>
          <w:iCs/>
          <w:sz w:val="24"/>
          <w:szCs w:val="22"/>
          <w:vertAlign w:val="superscript"/>
          <w:lang w:val="sr-Cyrl-CS"/>
        </w:rPr>
        <w:footnoteReference w:id="60"/>
      </w:r>
    </w:p>
    <w:p w14:paraId="6F310F0F" w14:textId="228D2996" w:rsidR="00854EFF" w:rsidRPr="005303F7" w:rsidRDefault="00DA7CD2" w:rsidP="006A45E0">
      <w:pPr>
        <w:rPr>
          <w:rFonts w:ascii="Times New Roman" w:hAnsi="Times New Roman"/>
          <w:sz w:val="24"/>
          <w:lang w:val="sr-Cyrl-CS"/>
        </w:rPr>
      </w:pPr>
      <w:r w:rsidRPr="005303F7">
        <w:rPr>
          <w:rFonts w:ascii="Times New Roman" w:hAnsi="Times New Roman"/>
          <w:sz w:val="24"/>
          <w:lang w:val="sr-Cyrl-CS"/>
        </w:rPr>
        <w:t xml:space="preserve">            </w:t>
      </w:r>
      <w:r w:rsidR="00C372F8" w:rsidRPr="005303F7">
        <w:rPr>
          <w:rFonts w:ascii="Times New Roman" w:hAnsi="Times New Roman"/>
          <w:sz w:val="24"/>
          <w:lang w:val="sr-Cyrl-CS"/>
        </w:rPr>
        <w:t>У</w:t>
      </w:r>
      <w:r w:rsidR="000E5461" w:rsidRPr="005303F7">
        <w:rPr>
          <w:rFonts w:ascii="Times New Roman" w:hAnsi="Times New Roman"/>
          <w:sz w:val="24"/>
          <w:lang w:val="sr-Cyrl-CS"/>
        </w:rPr>
        <w:t>вођењ</w:t>
      </w:r>
      <w:r w:rsidR="00C372F8" w:rsidRPr="005303F7">
        <w:rPr>
          <w:rFonts w:ascii="Times New Roman" w:hAnsi="Times New Roman"/>
          <w:sz w:val="24"/>
          <w:lang w:val="sr-Cyrl-CS"/>
        </w:rPr>
        <w:t>е</w:t>
      </w:r>
      <w:r w:rsidR="000E5461" w:rsidRPr="005303F7">
        <w:rPr>
          <w:rFonts w:ascii="Times New Roman" w:hAnsi="Times New Roman"/>
          <w:sz w:val="24"/>
          <w:lang w:val="sr-Cyrl-CS"/>
        </w:rPr>
        <w:t xml:space="preserve"> цене на угљеник </w:t>
      </w:r>
      <w:r w:rsidR="00341533" w:rsidRPr="005303F7">
        <w:rPr>
          <w:rFonts w:ascii="Times New Roman" w:hAnsi="Times New Roman"/>
          <w:sz w:val="24"/>
          <w:lang w:val="sr-Cyrl-CS"/>
        </w:rPr>
        <w:t>мора</w:t>
      </w:r>
      <w:r w:rsidR="00854EFF" w:rsidRPr="005303F7">
        <w:rPr>
          <w:rFonts w:ascii="Times New Roman" w:hAnsi="Times New Roman"/>
          <w:sz w:val="24"/>
          <w:lang w:val="sr-Cyrl-CS"/>
        </w:rPr>
        <w:t xml:space="preserve"> </w:t>
      </w:r>
      <w:r w:rsidR="00341533" w:rsidRPr="005303F7">
        <w:rPr>
          <w:rFonts w:ascii="Times New Roman" w:hAnsi="Times New Roman"/>
          <w:sz w:val="24"/>
          <w:lang w:val="sr-Cyrl-CS"/>
        </w:rPr>
        <w:t>се</w:t>
      </w:r>
      <w:r w:rsidR="00854EFF" w:rsidRPr="005303F7">
        <w:rPr>
          <w:rFonts w:ascii="Times New Roman" w:hAnsi="Times New Roman"/>
          <w:sz w:val="24"/>
          <w:lang w:val="sr-Cyrl-CS"/>
        </w:rPr>
        <w:t xml:space="preserve"> </w:t>
      </w:r>
      <w:r w:rsidR="008025E1" w:rsidRPr="005303F7">
        <w:rPr>
          <w:rFonts w:ascii="Times New Roman" w:hAnsi="Times New Roman"/>
          <w:sz w:val="24"/>
          <w:lang w:val="sr-Cyrl-CS"/>
        </w:rPr>
        <w:t xml:space="preserve">у принципу </w:t>
      </w:r>
      <w:r w:rsidR="00341533" w:rsidRPr="005303F7">
        <w:rPr>
          <w:rFonts w:ascii="Times New Roman" w:hAnsi="Times New Roman"/>
          <w:sz w:val="24"/>
          <w:lang w:val="sr-Cyrl-CS"/>
        </w:rPr>
        <w:t>постепено</w:t>
      </w:r>
      <w:r w:rsidR="00854EFF" w:rsidRPr="005303F7">
        <w:rPr>
          <w:rFonts w:ascii="Times New Roman" w:hAnsi="Times New Roman"/>
          <w:sz w:val="24"/>
          <w:lang w:val="sr-Cyrl-CS"/>
        </w:rPr>
        <w:t xml:space="preserve"> </w:t>
      </w:r>
      <w:r w:rsidR="00341533" w:rsidRPr="005303F7">
        <w:rPr>
          <w:rFonts w:ascii="Times New Roman" w:hAnsi="Times New Roman"/>
          <w:sz w:val="24"/>
          <w:lang w:val="sr-Cyrl-CS"/>
        </w:rPr>
        <w:t>примењивати</w:t>
      </w:r>
      <w:r w:rsidR="00854EFF" w:rsidRPr="005303F7">
        <w:rPr>
          <w:rFonts w:ascii="Times New Roman" w:hAnsi="Times New Roman"/>
          <w:sz w:val="24"/>
          <w:lang w:val="sr-Cyrl-CS"/>
        </w:rPr>
        <w:t xml:space="preserve"> </w:t>
      </w:r>
      <w:r w:rsidR="00341533" w:rsidRPr="005303F7">
        <w:rPr>
          <w:rFonts w:ascii="Times New Roman" w:hAnsi="Times New Roman"/>
          <w:sz w:val="24"/>
          <w:lang w:val="sr-Cyrl-CS"/>
        </w:rPr>
        <w:t>у</w:t>
      </w:r>
      <w:r w:rsidR="00854EFF" w:rsidRPr="005303F7">
        <w:rPr>
          <w:rFonts w:ascii="Times New Roman" w:hAnsi="Times New Roman"/>
          <w:sz w:val="24"/>
          <w:lang w:val="sr-Cyrl-CS"/>
        </w:rPr>
        <w:t xml:space="preserve"> </w:t>
      </w:r>
      <w:r w:rsidR="00341533" w:rsidRPr="005303F7">
        <w:rPr>
          <w:rFonts w:ascii="Times New Roman" w:hAnsi="Times New Roman"/>
          <w:sz w:val="24"/>
          <w:lang w:val="sr-Cyrl-CS"/>
        </w:rPr>
        <w:t>секторима</w:t>
      </w:r>
      <w:r w:rsidR="00854EFF" w:rsidRPr="005303F7">
        <w:rPr>
          <w:rFonts w:ascii="Times New Roman" w:hAnsi="Times New Roman"/>
          <w:sz w:val="24"/>
          <w:lang w:val="sr-Cyrl-CS"/>
        </w:rPr>
        <w:t xml:space="preserve"> </w:t>
      </w:r>
      <w:r w:rsidR="00341533" w:rsidRPr="005303F7">
        <w:rPr>
          <w:rFonts w:ascii="Times New Roman" w:hAnsi="Times New Roman"/>
          <w:sz w:val="24"/>
          <w:lang w:val="sr-Cyrl-CS"/>
        </w:rPr>
        <w:t>који</w:t>
      </w:r>
      <w:r w:rsidR="00854EFF" w:rsidRPr="005303F7">
        <w:rPr>
          <w:rFonts w:ascii="Times New Roman" w:hAnsi="Times New Roman"/>
          <w:sz w:val="24"/>
          <w:lang w:val="sr-Cyrl-CS"/>
        </w:rPr>
        <w:t xml:space="preserve"> </w:t>
      </w:r>
      <w:r w:rsidR="00341533" w:rsidRPr="005303F7">
        <w:rPr>
          <w:rFonts w:ascii="Times New Roman" w:hAnsi="Times New Roman"/>
          <w:sz w:val="24"/>
          <w:lang w:val="sr-Cyrl-CS"/>
        </w:rPr>
        <w:t>нису</w:t>
      </w:r>
      <w:r w:rsidR="00854EFF" w:rsidRPr="005303F7">
        <w:rPr>
          <w:rFonts w:ascii="Times New Roman" w:hAnsi="Times New Roman"/>
          <w:sz w:val="24"/>
          <w:lang w:val="sr-Cyrl-CS"/>
        </w:rPr>
        <w:t xml:space="preserve"> </w:t>
      </w:r>
      <w:r w:rsidR="00341533" w:rsidRPr="005303F7">
        <w:rPr>
          <w:rFonts w:ascii="Times New Roman" w:hAnsi="Times New Roman"/>
          <w:sz w:val="24"/>
          <w:lang w:val="sr-Cyrl-CS"/>
        </w:rPr>
        <w:t>обухва</w:t>
      </w:r>
      <w:r w:rsidR="00016298" w:rsidRPr="005303F7">
        <w:rPr>
          <w:rFonts w:ascii="Times New Roman" w:hAnsi="Times New Roman"/>
          <w:sz w:val="24"/>
          <w:lang w:val="sr-Cyrl-CS"/>
        </w:rPr>
        <w:t>ћ</w:t>
      </w:r>
      <w:r w:rsidR="00341533" w:rsidRPr="005303F7">
        <w:rPr>
          <w:rFonts w:ascii="Times New Roman" w:hAnsi="Times New Roman"/>
          <w:sz w:val="24"/>
          <w:lang w:val="sr-Cyrl-CS"/>
        </w:rPr>
        <w:t>ени</w:t>
      </w:r>
      <w:r w:rsidR="00854EFF" w:rsidRPr="005303F7">
        <w:rPr>
          <w:rFonts w:ascii="Times New Roman" w:hAnsi="Times New Roman"/>
          <w:sz w:val="24"/>
          <w:lang w:val="sr-Cyrl-CS"/>
        </w:rPr>
        <w:t xml:space="preserve"> </w:t>
      </w:r>
      <w:r w:rsidR="00341533" w:rsidRPr="005303F7">
        <w:rPr>
          <w:rFonts w:ascii="Times New Roman" w:hAnsi="Times New Roman"/>
          <w:sz w:val="24"/>
          <w:lang w:val="sr-Cyrl-CS"/>
        </w:rPr>
        <w:t>ЕU</w:t>
      </w:r>
      <w:r w:rsidR="00854EFF" w:rsidRPr="005303F7">
        <w:rPr>
          <w:rFonts w:ascii="Times New Roman" w:hAnsi="Times New Roman"/>
          <w:sz w:val="24"/>
          <w:lang w:val="sr-Cyrl-CS"/>
        </w:rPr>
        <w:t>-</w:t>
      </w:r>
      <w:r w:rsidR="00341533" w:rsidRPr="005303F7">
        <w:rPr>
          <w:rFonts w:ascii="Times New Roman" w:hAnsi="Times New Roman"/>
          <w:sz w:val="24"/>
          <w:lang w:val="sr-Cyrl-CS"/>
        </w:rPr>
        <w:t>ЕТS</w:t>
      </w:r>
      <w:r w:rsidR="00854EFF" w:rsidRPr="005303F7">
        <w:rPr>
          <w:rFonts w:ascii="Times New Roman" w:hAnsi="Times New Roman"/>
          <w:sz w:val="24"/>
          <w:lang w:val="sr-Cyrl-CS"/>
        </w:rPr>
        <w:t>-</w:t>
      </w:r>
      <w:r w:rsidR="00341533" w:rsidRPr="005303F7">
        <w:rPr>
          <w:rFonts w:ascii="Times New Roman" w:hAnsi="Times New Roman"/>
          <w:sz w:val="24"/>
          <w:lang w:val="sr-Cyrl-CS"/>
        </w:rPr>
        <w:t>ом</w:t>
      </w:r>
      <w:r w:rsidR="000E5461" w:rsidRPr="005303F7">
        <w:rPr>
          <w:rFonts w:ascii="Times New Roman" w:hAnsi="Times New Roman"/>
          <w:sz w:val="24"/>
          <w:lang w:val="sr-Cyrl-CS"/>
        </w:rPr>
        <w:t xml:space="preserve"> (стога постројења која су изложена </w:t>
      </w:r>
      <w:r w:rsidR="00C372F8" w:rsidRPr="005303F7">
        <w:rPr>
          <w:rFonts w:ascii="Times New Roman" w:hAnsi="Times New Roman"/>
          <w:sz w:val="24"/>
          <w:lang w:val="sr-Cyrl-CS"/>
        </w:rPr>
        <w:t>другим инструментима за одређивање цене угљеника</w:t>
      </w:r>
      <w:r w:rsidR="000E5461" w:rsidRPr="005303F7">
        <w:rPr>
          <w:rFonts w:ascii="Times New Roman" w:hAnsi="Times New Roman"/>
          <w:sz w:val="24"/>
          <w:lang w:val="sr-Cyrl-CS"/>
        </w:rPr>
        <w:t xml:space="preserve"> нису изложена механизму цене на угљеник)</w:t>
      </w:r>
      <w:r w:rsidR="00854EFF" w:rsidRPr="005303F7">
        <w:rPr>
          <w:rFonts w:ascii="Times New Roman" w:hAnsi="Times New Roman"/>
          <w:sz w:val="24"/>
          <w:lang w:val="sr-Cyrl-CS"/>
        </w:rPr>
        <w:t xml:space="preserve"> </w:t>
      </w:r>
      <w:r w:rsidR="00341533" w:rsidRPr="005303F7">
        <w:rPr>
          <w:rFonts w:ascii="Times New Roman" w:hAnsi="Times New Roman"/>
          <w:sz w:val="24"/>
          <w:lang w:val="sr-Cyrl-CS"/>
        </w:rPr>
        <w:t>како</w:t>
      </w:r>
      <w:r w:rsidR="00854EFF" w:rsidRPr="005303F7">
        <w:rPr>
          <w:rFonts w:ascii="Times New Roman" w:hAnsi="Times New Roman"/>
          <w:sz w:val="24"/>
          <w:lang w:val="sr-Cyrl-CS"/>
        </w:rPr>
        <w:t xml:space="preserve"> </w:t>
      </w:r>
      <w:r w:rsidR="00341533" w:rsidRPr="005303F7">
        <w:rPr>
          <w:rFonts w:ascii="Times New Roman" w:hAnsi="Times New Roman"/>
          <w:sz w:val="24"/>
          <w:lang w:val="sr-Cyrl-CS"/>
        </w:rPr>
        <w:t>би</w:t>
      </w:r>
      <w:r w:rsidR="00854EFF" w:rsidRPr="005303F7">
        <w:rPr>
          <w:rFonts w:ascii="Times New Roman" w:hAnsi="Times New Roman"/>
          <w:sz w:val="24"/>
          <w:lang w:val="sr-Cyrl-CS"/>
        </w:rPr>
        <w:t xml:space="preserve"> </w:t>
      </w:r>
      <w:r w:rsidR="00341533" w:rsidRPr="005303F7">
        <w:rPr>
          <w:rFonts w:ascii="Times New Roman" w:hAnsi="Times New Roman"/>
          <w:sz w:val="24"/>
          <w:lang w:val="sr-Cyrl-CS"/>
        </w:rPr>
        <w:t>се</w:t>
      </w:r>
      <w:r w:rsidR="00854EFF" w:rsidRPr="005303F7">
        <w:rPr>
          <w:rFonts w:ascii="Times New Roman" w:hAnsi="Times New Roman"/>
          <w:sz w:val="24"/>
          <w:lang w:val="sr-Cyrl-CS"/>
        </w:rPr>
        <w:t xml:space="preserve"> </w:t>
      </w:r>
      <w:r w:rsidR="00341533" w:rsidRPr="005303F7">
        <w:rPr>
          <w:rFonts w:ascii="Times New Roman" w:hAnsi="Times New Roman"/>
          <w:sz w:val="24"/>
          <w:lang w:val="sr-Cyrl-CS"/>
        </w:rPr>
        <w:t>одразили</w:t>
      </w:r>
      <w:r w:rsidR="00854EFF" w:rsidRPr="005303F7">
        <w:rPr>
          <w:rFonts w:ascii="Times New Roman" w:hAnsi="Times New Roman"/>
          <w:sz w:val="24"/>
          <w:lang w:val="sr-Cyrl-CS"/>
        </w:rPr>
        <w:t xml:space="preserve">  </w:t>
      </w:r>
      <w:r w:rsidR="00341533" w:rsidRPr="005303F7">
        <w:rPr>
          <w:rFonts w:ascii="Times New Roman" w:hAnsi="Times New Roman"/>
          <w:sz w:val="24"/>
          <w:lang w:val="sr-Cyrl-CS"/>
        </w:rPr>
        <w:t>трошкови</w:t>
      </w:r>
      <w:r w:rsidR="00854EFF" w:rsidRPr="005303F7">
        <w:rPr>
          <w:rFonts w:ascii="Times New Roman" w:hAnsi="Times New Roman"/>
          <w:sz w:val="24"/>
          <w:lang w:val="sr-Cyrl-CS"/>
        </w:rPr>
        <w:t xml:space="preserve"> </w:t>
      </w:r>
      <w:r w:rsidR="00341533" w:rsidRPr="005303F7">
        <w:rPr>
          <w:rFonts w:ascii="Times New Roman" w:hAnsi="Times New Roman"/>
          <w:sz w:val="24"/>
          <w:lang w:val="sr-Cyrl-CS"/>
        </w:rPr>
        <w:t>емисија</w:t>
      </w:r>
      <w:r w:rsidR="00854EFF" w:rsidRPr="005303F7">
        <w:rPr>
          <w:rFonts w:ascii="Times New Roman" w:hAnsi="Times New Roman"/>
          <w:sz w:val="24"/>
          <w:lang w:val="sr-Cyrl-CS"/>
        </w:rPr>
        <w:t xml:space="preserve"> </w:t>
      </w:r>
      <w:r w:rsidR="00341533" w:rsidRPr="005303F7">
        <w:rPr>
          <w:rFonts w:ascii="Times New Roman" w:hAnsi="Times New Roman"/>
          <w:sz w:val="24"/>
          <w:lang w:val="sr-Cyrl-CS"/>
        </w:rPr>
        <w:t>гасова</w:t>
      </w:r>
      <w:r w:rsidR="00854EFF" w:rsidRPr="005303F7">
        <w:rPr>
          <w:rFonts w:ascii="Times New Roman" w:hAnsi="Times New Roman"/>
          <w:sz w:val="24"/>
          <w:lang w:val="sr-Cyrl-CS"/>
        </w:rPr>
        <w:t xml:space="preserve"> </w:t>
      </w:r>
      <w:r w:rsidR="00341533" w:rsidRPr="005303F7">
        <w:rPr>
          <w:rFonts w:ascii="Times New Roman" w:hAnsi="Times New Roman"/>
          <w:sz w:val="24"/>
          <w:lang w:val="sr-Cyrl-CS"/>
        </w:rPr>
        <w:t>са</w:t>
      </w:r>
      <w:r w:rsidR="00854EFF" w:rsidRPr="005303F7">
        <w:rPr>
          <w:rFonts w:ascii="Times New Roman" w:hAnsi="Times New Roman"/>
          <w:sz w:val="24"/>
          <w:lang w:val="sr-Cyrl-CS"/>
        </w:rPr>
        <w:t xml:space="preserve"> </w:t>
      </w:r>
      <w:r w:rsidR="00341533" w:rsidRPr="005303F7">
        <w:rPr>
          <w:rFonts w:ascii="Times New Roman" w:hAnsi="Times New Roman"/>
          <w:sz w:val="24"/>
          <w:lang w:val="sr-Cyrl-CS"/>
        </w:rPr>
        <w:t>ефектом</w:t>
      </w:r>
      <w:r w:rsidR="00854EFF" w:rsidRPr="005303F7">
        <w:rPr>
          <w:rFonts w:ascii="Times New Roman" w:hAnsi="Times New Roman"/>
          <w:sz w:val="24"/>
          <w:lang w:val="sr-Cyrl-CS"/>
        </w:rPr>
        <w:t xml:space="preserve"> </w:t>
      </w:r>
      <w:r w:rsidR="00341533" w:rsidRPr="005303F7">
        <w:rPr>
          <w:rFonts w:ascii="Times New Roman" w:hAnsi="Times New Roman"/>
          <w:sz w:val="24"/>
          <w:lang w:val="sr-Cyrl-CS"/>
        </w:rPr>
        <w:t>стаклене</w:t>
      </w:r>
      <w:r w:rsidR="00854EFF" w:rsidRPr="005303F7">
        <w:rPr>
          <w:rFonts w:ascii="Times New Roman" w:hAnsi="Times New Roman"/>
          <w:sz w:val="24"/>
          <w:lang w:val="sr-Cyrl-CS"/>
        </w:rPr>
        <w:t xml:space="preserve"> </w:t>
      </w:r>
      <w:r w:rsidR="00341533" w:rsidRPr="005303F7">
        <w:rPr>
          <w:rFonts w:ascii="Times New Roman" w:hAnsi="Times New Roman"/>
          <w:sz w:val="24"/>
          <w:lang w:val="sr-Cyrl-CS"/>
        </w:rPr>
        <w:t>баште</w:t>
      </w:r>
      <w:r w:rsidR="00854EFF" w:rsidRPr="005303F7">
        <w:rPr>
          <w:rFonts w:ascii="Times New Roman" w:hAnsi="Times New Roman"/>
          <w:sz w:val="24"/>
          <w:lang w:val="sr-Cyrl-CS"/>
        </w:rPr>
        <w:t xml:space="preserve"> </w:t>
      </w:r>
      <w:r w:rsidR="00341533" w:rsidRPr="005303F7">
        <w:rPr>
          <w:rFonts w:ascii="Times New Roman" w:hAnsi="Times New Roman"/>
          <w:sz w:val="24"/>
          <w:lang w:val="sr-Cyrl-CS"/>
        </w:rPr>
        <w:t>и</w:t>
      </w:r>
      <w:r w:rsidR="00854EFF" w:rsidRPr="005303F7">
        <w:rPr>
          <w:rFonts w:ascii="Times New Roman" w:hAnsi="Times New Roman"/>
          <w:sz w:val="24"/>
          <w:lang w:val="sr-Cyrl-CS"/>
        </w:rPr>
        <w:t xml:space="preserve"> </w:t>
      </w:r>
      <w:r w:rsidR="00341533" w:rsidRPr="005303F7">
        <w:rPr>
          <w:rFonts w:ascii="Times New Roman" w:hAnsi="Times New Roman"/>
          <w:sz w:val="24"/>
          <w:lang w:val="sr-Cyrl-CS"/>
        </w:rPr>
        <w:t>стога</w:t>
      </w:r>
      <w:r w:rsidR="00854EFF" w:rsidRPr="005303F7">
        <w:rPr>
          <w:rFonts w:ascii="Times New Roman" w:hAnsi="Times New Roman"/>
          <w:sz w:val="24"/>
          <w:lang w:val="sr-Cyrl-CS"/>
        </w:rPr>
        <w:t xml:space="preserve"> </w:t>
      </w:r>
      <w:r w:rsidR="00341533" w:rsidRPr="005303F7">
        <w:rPr>
          <w:rFonts w:ascii="Times New Roman" w:hAnsi="Times New Roman"/>
          <w:sz w:val="24"/>
          <w:lang w:val="sr-Cyrl-CS"/>
        </w:rPr>
        <w:t>смањиле</w:t>
      </w:r>
      <w:r w:rsidR="00EB472B" w:rsidRPr="005303F7">
        <w:rPr>
          <w:rFonts w:ascii="Times New Roman" w:hAnsi="Times New Roman"/>
          <w:sz w:val="24"/>
          <w:lang w:val="sr-Cyrl-CS"/>
        </w:rPr>
        <w:t xml:space="preserve"> </w:t>
      </w:r>
      <w:r w:rsidR="00341533" w:rsidRPr="005303F7">
        <w:rPr>
          <w:rFonts w:ascii="Times New Roman" w:hAnsi="Times New Roman"/>
          <w:sz w:val="24"/>
          <w:lang w:val="sr-Cyrl-CS"/>
        </w:rPr>
        <w:t>емисије</w:t>
      </w:r>
      <w:r w:rsidR="007006FA" w:rsidRPr="005303F7">
        <w:rPr>
          <w:rFonts w:ascii="Times New Roman" w:hAnsi="Times New Roman"/>
          <w:sz w:val="24"/>
          <w:lang w:val="sr-Cyrl-CS"/>
        </w:rPr>
        <w:t xml:space="preserve">, </w:t>
      </w:r>
      <w:r w:rsidR="00341533" w:rsidRPr="005303F7">
        <w:rPr>
          <w:rFonts w:ascii="Times New Roman" w:hAnsi="Times New Roman"/>
          <w:sz w:val="24"/>
          <w:lang w:val="sr-Cyrl-CS"/>
        </w:rPr>
        <w:t>чиме</w:t>
      </w:r>
      <w:r w:rsidR="007523D5" w:rsidRPr="005303F7">
        <w:rPr>
          <w:rFonts w:ascii="Times New Roman" w:hAnsi="Times New Roman"/>
          <w:sz w:val="24"/>
          <w:lang w:val="sr-Cyrl-CS"/>
        </w:rPr>
        <w:t xml:space="preserve"> </w:t>
      </w:r>
      <w:r w:rsidR="00341533" w:rsidRPr="005303F7">
        <w:rPr>
          <w:rFonts w:ascii="Times New Roman" w:hAnsi="Times New Roman"/>
          <w:sz w:val="24"/>
          <w:lang w:val="sr-Cyrl-CS"/>
        </w:rPr>
        <w:t>ће</w:t>
      </w:r>
      <w:r w:rsidR="007523D5" w:rsidRPr="005303F7">
        <w:rPr>
          <w:rFonts w:ascii="Times New Roman" w:hAnsi="Times New Roman"/>
          <w:sz w:val="24"/>
          <w:lang w:val="sr-Cyrl-CS"/>
        </w:rPr>
        <w:t xml:space="preserve"> </w:t>
      </w:r>
      <w:r w:rsidR="00341533" w:rsidRPr="005303F7">
        <w:rPr>
          <w:rFonts w:ascii="Times New Roman" w:hAnsi="Times New Roman"/>
          <w:sz w:val="24"/>
          <w:lang w:val="sr-Cyrl-CS"/>
        </w:rPr>
        <w:t>се</w:t>
      </w:r>
      <w:r w:rsidR="007523D5" w:rsidRPr="005303F7">
        <w:rPr>
          <w:rFonts w:ascii="Times New Roman" w:hAnsi="Times New Roman"/>
          <w:sz w:val="24"/>
          <w:lang w:val="sr-Cyrl-CS"/>
        </w:rPr>
        <w:t xml:space="preserve"> </w:t>
      </w:r>
      <w:r w:rsidR="00341533" w:rsidRPr="005303F7">
        <w:rPr>
          <w:rFonts w:ascii="Times New Roman" w:hAnsi="Times New Roman"/>
          <w:sz w:val="24"/>
          <w:lang w:val="sr-Cyrl-CS"/>
        </w:rPr>
        <w:t>допринети</w:t>
      </w:r>
      <w:r w:rsidR="007523D5" w:rsidRPr="005303F7">
        <w:rPr>
          <w:rFonts w:ascii="Times New Roman" w:hAnsi="Times New Roman"/>
          <w:sz w:val="24"/>
          <w:lang w:val="sr-Cyrl-CS"/>
        </w:rPr>
        <w:t xml:space="preserve"> </w:t>
      </w:r>
      <w:r w:rsidR="00341533" w:rsidRPr="005303F7">
        <w:rPr>
          <w:rFonts w:ascii="Times New Roman" w:hAnsi="Times New Roman"/>
          <w:sz w:val="24"/>
          <w:lang w:val="sr-Cyrl-CS"/>
        </w:rPr>
        <w:t>будућим</w:t>
      </w:r>
      <w:r w:rsidR="007523D5" w:rsidRPr="005303F7">
        <w:rPr>
          <w:rFonts w:ascii="Times New Roman" w:hAnsi="Times New Roman"/>
          <w:sz w:val="24"/>
          <w:lang w:val="sr-Cyrl-CS"/>
        </w:rPr>
        <w:t xml:space="preserve"> </w:t>
      </w:r>
      <w:r w:rsidR="00341533" w:rsidRPr="005303F7">
        <w:rPr>
          <w:rFonts w:ascii="Times New Roman" w:hAnsi="Times New Roman"/>
          <w:sz w:val="24"/>
          <w:lang w:val="sr-Cyrl-CS"/>
        </w:rPr>
        <w:t>обавезама</w:t>
      </w:r>
      <w:r w:rsidR="007523D5" w:rsidRPr="005303F7">
        <w:rPr>
          <w:rFonts w:ascii="Times New Roman" w:hAnsi="Times New Roman"/>
          <w:sz w:val="24"/>
          <w:lang w:val="sr-Cyrl-CS"/>
        </w:rPr>
        <w:t xml:space="preserve"> </w:t>
      </w:r>
      <w:r w:rsidR="00D73AAB" w:rsidRPr="005303F7">
        <w:rPr>
          <w:rFonts w:ascii="Times New Roman" w:hAnsi="Times New Roman"/>
          <w:sz w:val="24"/>
          <w:lang w:val="sr-Cyrl-CS"/>
        </w:rPr>
        <w:t>Републике Србије</w:t>
      </w:r>
      <w:r w:rsidR="007523D5" w:rsidRPr="005303F7">
        <w:rPr>
          <w:rFonts w:ascii="Times New Roman" w:hAnsi="Times New Roman"/>
          <w:sz w:val="24"/>
          <w:lang w:val="sr-Cyrl-CS"/>
        </w:rPr>
        <w:t xml:space="preserve"> </w:t>
      </w:r>
      <w:r w:rsidR="00341533" w:rsidRPr="005303F7">
        <w:rPr>
          <w:rFonts w:ascii="Times New Roman" w:hAnsi="Times New Roman"/>
          <w:sz w:val="24"/>
          <w:lang w:val="sr-Cyrl-CS"/>
        </w:rPr>
        <w:t>у</w:t>
      </w:r>
      <w:r w:rsidR="007523D5" w:rsidRPr="005303F7">
        <w:rPr>
          <w:rFonts w:ascii="Times New Roman" w:hAnsi="Times New Roman"/>
          <w:sz w:val="24"/>
          <w:lang w:val="sr-Cyrl-CS"/>
        </w:rPr>
        <w:t xml:space="preserve"> </w:t>
      </w:r>
      <w:r w:rsidR="00341533" w:rsidRPr="005303F7">
        <w:rPr>
          <w:rFonts w:ascii="Times New Roman" w:hAnsi="Times New Roman"/>
          <w:sz w:val="24"/>
          <w:lang w:val="sr-Cyrl-CS"/>
        </w:rPr>
        <w:t>оквиру</w:t>
      </w:r>
      <w:r w:rsidR="007523D5" w:rsidRPr="005303F7">
        <w:rPr>
          <w:rFonts w:ascii="Times New Roman" w:hAnsi="Times New Roman"/>
          <w:sz w:val="24"/>
          <w:lang w:val="sr-Cyrl-CS"/>
        </w:rPr>
        <w:t xml:space="preserve"> </w:t>
      </w:r>
      <w:r w:rsidR="00341533" w:rsidRPr="005303F7">
        <w:rPr>
          <w:rFonts w:ascii="Times New Roman" w:hAnsi="Times New Roman"/>
          <w:sz w:val="24"/>
          <w:lang w:val="sr-Cyrl-CS"/>
        </w:rPr>
        <w:t>Уредбе</w:t>
      </w:r>
      <w:r w:rsidR="007523D5" w:rsidRPr="005303F7">
        <w:rPr>
          <w:rFonts w:ascii="Times New Roman" w:hAnsi="Times New Roman"/>
          <w:sz w:val="24"/>
          <w:lang w:val="sr-Cyrl-CS"/>
        </w:rPr>
        <w:t xml:space="preserve"> </w:t>
      </w:r>
      <w:r w:rsidR="001F7E80" w:rsidRPr="005303F7">
        <w:rPr>
          <w:rFonts w:ascii="Times New Roman" w:hAnsi="Times New Roman"/>
          <w:sz w:val="24"/>
          <w:lang w:val="sr-Cyrl-CS"/>
        </w:rPr>
        <w:t>(E</w:t>
      </w:r>
      <w:r w:rsidR="00437485" w:rsidRPr="005303F7">
        <w:rPr>
          <w:rFonts w:ascii="Times New Roman" w:hAnsi="Times New Roman"/>
          <w:sz w:val="24"/>
          <w:lang w:val="sr-Cyrl-CS"/>
        </w:rPr>
        <w:t>У</w:t>
      </w:r>
      <w:r w:rsidR="001F7E80" w:rsidRPr="005303F7">
        <w:rPr>
          <w:rFonts w:ascii="Times New Roman" w:hAnsi="Times New Roman"/>
          <w:sz w:val="24"/>
          <w:lang w:val="sr-Cyrl-CS"/>
        </w:rPr>
        <w:t xml:space="preserve">) </w:t>
      </w:r>
      <w:r w:rsidR="00341533" w:rsidRPr="005303F7">
        <w:rPr>
          <w:rFonts w:ascii="Times New Roman" w:hAnsi="Times New Roman"/>
          <w:sz w:val="24"/>
          <w:lang w:val="sr-Cyrl-CS"/>
        </w:rPr>
        <w:t>о</w:t>
      </w:r>
      <w:r w:rsidR="007523D5" w:rsidRPr="005303F7">
        <w:rPr>
          <w:rFonts w:ascii="Times New Roman" w:hAnsi="Times New Roman"/>
          <w:sz w:val="24"/>
          <w:lang w:val="sr-Cyrl-CS"/>
        </w:rPr>
        <w:t xml:space="preserve"> </w:t>
      </w:r>
      <w:r w:rsidR="00341533" w:rsidRPr="005303F7">
        <w:rPr>
          <w:rFonts w:ascii="Times New Roman" w:hAnsi="Times New Roman"/>
          <w:sz w:val="24"/>
          <w:lang w:val="sr-Cyrl-CS"/>
        </w:rPr>
        <w:t>заједничком</w:t>
      </w:r>
      <w:r w:rsidR="007523D5" w:rsidRPr="005303F7">
        <w:rPr>
          <w:rFonts w:ascii="Times New Roman" w:hAnsi="Times New Roman"/>
          <w:sz w:val="24"/>
          <w:lang w:val="sr-Cyrl-CS"/>
        </w:rPr>
        <w:t xml:space="preserve"> </w:t>
      </w:r>
      <w:r w:rsidR="00341533" w:rsidRPr="005303F7">
        <w:rPr>
          <w:rFonts w:ascii="Times New Roman" w:hAnsi="Times New Roman"/>
          <w:sz w:val="24"/>
          <w:lang w:val="sr-Cyrl-CS"/>
        </w:rPr>
        <w:t>напору</w:t>
      </w:r>
      <w:r w:rsidR="00524124" w:rsidRPr="005303F7">
        <w:rPr>
          <w:rFonts w:ascii="Times New Roman" w:hAnsi="Times New Roman"/>
          <w:sz w:val="24"/>
          <w:lang w:val="sr-Cyrl-CS"/>
        </w:rPr>
        <w:t xml:space="preserve"> 2018/842.</w:t>
      </w:r>
      <w:r w:rsidR="00524124" w:rsidRPr="005303F7" w:rsidDel="00524124">
        <w:rPr>
          <w:rFonts w:ascii="Times New Roman" w:hAnsi="Times New Roman"/>
          <w:sz w:val="24"/>
          <w:lang w:val="sr-Cyrl-CS"/>
        </w:rPr>
        <w:t xml:space="preserve"> </w:t>
      </w:r>
    </w:p>
    <w:p w14:paraId="55669875" w14:textId="1C813643" w:rsidR="00B0503A" w:rsidRPr="005303F7" w:rsidRDefault="00DA7CD2" w:rsidP="00B0503A">
      <w:pPr>
        <w:rPr>
          <w:rFonts w:ascii="Times New Roman" w:hAnsi="Times New Roman"/>
          <w:sz w:val="24"/>
          <w:lang w:val="sr-Cyrl-CS"/>
        </w:rPr>
      </w:pPr>
      <w:r w:rsidRPr="005303F7">
        <w:rPr>
          <w:rFonts w:ascii="Times New Roman" w:hAnsi="Times New Roman"/>
          <w:sz w:val="24"/>
          <w:lang w:val="sr-Cyrl-CS"/>
        </w:rPr>
        <w:t xml:space="preserve">             </w:t>
      </w:r>
      <w:r w:rsidR="000E5461" w:rsidRPr="005303F7">
        <w:rPr>
          <w:rFonts w:ascii="Times New Roman" w:hAnsi="Times New Roman"/>
          <w:sz w:val="24"/>
          <w:lang w:val="sr-Cyrl-CS"/>
        </w:rPr>
        <w:t xml:space="preserve">Увођење цене на угљеник за </w:t>
      </w:r>
      <w:r w:rsidR="00341533" w:rsidRPr="005303F7">
        <w:rPr>
          <w:rFonts w:ascii="Times New Roman" w:hAnsi="Times New Roman"/>
          <w:sz w:val="24"/>
          <w:lang w:val="sr-Cyrl-CS"/>
        </w:rPr>
        <w:t>горива</w:t>
      </w:r>
      <w:r w:rsidR="00B0503A" w:rsidRPr="005303F7">
        <w:rPr>
          <w:rFonts w:ascii="Times New Roman" w:hAnsi="Times New Roman"/>
          <w:sz w:val="24"/>
          <w:lang w:val="sr-Cyrl-CS"/>
        </w:rPr>
        <w:t xml:space="preserve"> </w:t>
      </w:r>
      <w:r w:rsidR="00341533" w:rsidRPr="005303F7">
        <w:rPr>
          <w:rFonts w:ascii="Times New Roman" w:hAnsi="Times New Roman"/>
          <w:sz w:val="24"/>
          <w:lang w:val="sr-Cyrl-CS"/>
        </w:rPr>
        <w:t>која</w:t>
      </w:r>
      <w:r w:rsidR="00B0503A" w:rsidRPr="005303F7">
        <w:rPr>
          <w:rFonts w:ascii="Times New Roman" w:hAnsi="Times New Roman"/>
          <w:sz w:val="24"/>
          <w:lang w:val="sr-Cyrl-CS"/>
        </w:rPr>
        <w:t xml:space="preserve"> </w:t>
      </w:r>
      <w:r w:rsidR="00341533" w:rsidRPr="005303F7">
        <w:rPr>
          <w:rFonts w:ascii="Times New Roman" w:hAnsi="Times New Roman"/>
          <w:sz w:val="24"/>
          <w:lang w:val="sr-Cyrl-CS"/>
        </w:rPr>
        <w:t>се</w:t>
      </w:r>
      <w:r w:rsidR="00B0503A" w:rsidRPr="005303F7">
        <w:rPr>
          <w:rFonts w:ascii="Times New Roman" w:hAnsi="Times New Roman"/>
          <w:sz w:val="24"/>
          <w:lang w:val="sr-Cyrl-CS"/>
        </w:rPr>
        <w:t xml:space="preserve"> </w:t>
      </w:r>
      <w:r w:rsidR="00341533" w:rsidRPr="005303F7">
        <w:rPr>
          <w:rFonts w:ascii="Times New Roman" w:hAnsi="Times New Roman"/>
          <w:sz w:val="24"/>
          <w:lang w:val="sr-Cyrl-CS"/>
        </w:rPr>
        <w:t>користе</w:t>
      </w:r>
      <w:r w:rsidR="00B0503A" w:rsidRPr="005303F7">
        <w:rPr>
          <w:rFonts w:ascii="Times New Roman" w:hAnsi="Times New Roman"/>
          <w:sz w:val="24"/>
          <w:lang w:val="sr-Cyrl-CS"/>
        </w:rPr>
        <w:t xml:space="preserve"> </w:t>
      </w:r>
      <w:r w:rsidR="00341533" w:rsidRPr="005303F7">
        <w:rPr>
          <w:rFonts w:ascii="Times New Roman" w:hAnsi="Times New Roman"/>
          <w:sz w:val="24"/>
          <w:lang w:val="sr-Cyrl-CS"/>
        </w:rPr>
        <w:t>у</w:t>
      </w:r>
      <w:r w:rsidR="00B0503A" w:rsidRPr="005303F7">
        <w:rPr>
          <w:rFonts w:ascii="Times New Roman" w:hAnsi="Times New Roman"/>
          <w:sz w:val="24"/>
          <w:lang w:val="sr-Cyrl-CS"/>
        </w:rPr>
        <w:t xml:space="preserve"> </w:t>
      </w:r>
      <w:r w:rsidR="00341533" w:rsidRPr="005303F7">
        <w:rPr>
          <w:rFonts w:ascii="Times New Roman" w:hAnsi="Times New Roman"/>
          <w:sz w:val="24"/>
          <w:lang w:val="sr-Cyrl-CS"/>
        </w:rPr>
        <w:t>финалној</w:t>
      </w:r>
      <w:r w:rsidR="007523D5" w:rsidRPr="005303F7">
        <w:rPr>
          <w:rFonts w:ascii="Times New Roman" w:hAnsi="Times New Roman"/>
          <w:sz w:val="24"/>
          <w:lang w:val="sr-Cyrl-CS"/>
        </w:rPr>
        <w:t xml:space="preserve"> </w:t>
      </w:r>
      <w:r w:rsidR="00341533" w:rsidRPr="005303F7">
        <w:rPr>
          <w:rFonts w:ascii="Times New Roman" w:hAnsi="Times New Roman"/>
          <w:sz w:val="24"/>
          <w:lang w:val="sr-Cyrl-CS"/>
        </w:rPr>
        <w:t>потрошњи</w:t>
      </w:r>
      <w:r w:rsidR="00B0503A" w:rsidRPr="005303F7">
        <w:rPr>
          <w:rFonts w:ascii="Times New Roman" w:hAnsi="Times New Roman"/>
          <w:sz w:val="24"/>
          <w:lang w:val="sr-Cyrl-CS"/>
        </w:rPr>
        <w:t xml:space="preserve"> (</w:t>
      </w:r>
      <w:r w:rsidR="00341533" w:rsidRPr="005303F7">
        <w:rPr>
          <w:rFonts w:ascii="Times New Roman" w:hAnsi="Times New Roman"/>
          <w:sz w:val="24"/>
          <w:lang w:val="sr-Cyrl-CS"/>
        </w:rPr>
        <w:t>искључујући</w:t>
      </w:r>
      <w:r w:rsidR="007523D5" w:rsidRPr="005303F7">
        <w:rPr>
          <w:rFonts w:ascii="Times New Roman" w:hAnsi="Times New Roman"/>
          <w:sz w:val="24"/>
          <w:lang w:val="sr-Cyrl-CS"/>
        </w:rPr>
        <w:t xml:space="preserve"> </w:t>
      </w:r>
      <w:r w:rsidR="00D553BE" w:rsidRPr="005303F7">
        <w:rPr>
          <w:rFonts w:ascii="Times New Roman" w:hAnsi="Times New Roman"/>
          <w:sz w:val="24"/>
          <w:lang w:val="sr-Cyrl-CS"/>
        </w:rPr>
        <w:t>саобраћ</w:t>
      </w:r>
      <w:r w:rsidR="00341533" w:rsidRPr="005303F7">
        <w:rPr>
          <w:rFonts w:ascii="Times New Roman" w:hAnsi="Times New Roman"/>
          <w:sz w:val="24"/>
          <w:lang w:val="sr-Cyrl-CS"/>
        </w:rPr>
        <w:t>ај</w:t>
      </w:r>
      <w:r w:rsidR="00B0503A" w:rsidRPr="005303F7">
        <w:rPr>
          <w:rFonts w:ascii="Times New Roman" w:hAnsi="Times New Roman"/>
          <w:sz w:val="24"/>
          <w:lang w:val="sr-Cyrl-CS"/>
        </w:rPr>
        <w:t xml:space="preserve">) </w:t>
      </w:r>
      <w:r w:rsidR="00341533" w:rsidRPr="005303F7">
        <w:rPr>
          <w:rFonts w:ascii="Times New Roman" w:hAnsi="Times New Roman"/>
          <w:sz w:val="24"/>
          <w:lang w:val="sr-Cyrl-CS"/>
        </w:rPr>
        <w:t>може</w:t>
      </w:r>
      <w:r w:rsidR="00B0503A" w:rsidRPr="005303F7">
        <w:rPr>
          <w:rFonts w:ascii="Times New Roman" w:hAnsi="Times New Roman"/>
          <w:sz w:val="24"/>
          <w:lang w:val="sr-Cyrl-CS"/>
        </w:rPr>
        <w:t xml:space="preserve"> </w:t>
      </w:r>
      <w:r w:rsidR="00341533" w:rsidRPr="005303F7">
        <w:rPr>
          <w:rFonts w:ascii="Times New Roman" w:hAnsi="Times New Roman"/>
          <w:sz w:val="24"/>
          <w:lang w:val="sr-Cyrl-CS"/>
        </w:rPr>
        <w:t>да</w:t>
      </w:r>
      <w:r w:rsidR="00B0503A" w:rsidRPr="005303F7">
        <w:rPr>
          <w:rFonts w:ascii="Times New Roman" w:hAnsi="Times New Roman"/>
          <w:sz w:val="24"/>
          <w:lang w:val="sr-Cyrl-CS"/>
        </w:rPr>
        <w:t xml:space="preserve"> </w:t>
      </w:r>
      <w:r w:rsidR="00341533" w:rsidRPr="005303F7">
        <w:rPr>
          <w:rFonts w:ascii="Times New Roman" w:hAnsi="Times New Roman"/>
          <w:sz w:val="24"/>
          <w:lang w:val="sr-Cyrl-CS"/>
        </w:rPr>
        <w:t>створи</w:t>
      </w:r>
      <w:r w:rsidR="00B0503A" w:rsidRPr="005303F7">
        <w:rPr>
          <w:rFonts w:ascii="Times New Roman" w:hAnsi="Times New Roman"/>
          <w:sz w:val="24"/>
          <w:lang w:val="sr-Cyrl-CS"/>
        </w:rPr>
        <w:t xml:space="preserve"> </w:t>
      </w:r>
      <w:r w:rsidR="00341533" w:rsidRPr="005303F7">
        <w:rPr>
          <w:rFonts w:ascii="Times New Roman" w:hAnsi="Times New Roman"/>
          <w:sz w:val="24"/>
          <w:lang w:val="sr-Cyrl-CS"/>
        </w:rPr>
        <w:t>додатних</w:t>
      </w:r>
      <w:r w:rsidR="00B0503A" w:rsidRPr="005303F7">
        <w:rPr>
          <w:rFonts w:ascii="Times New Roman" w:hAnsi="Times New Roman"/>
          <w:sz w:val="24"/>
          <w:lang w:val="sr-Cyrl-CS"/>
        </w:rPr>
        <w:t xml:space="preserve"> </w:t>
      </w:r>
      <w:r w:rsidR="00E76F85" w:rsidRPr="005303F7">
        <w:rPr>
          <w:rFonts w:ascii="Times New Roman" w:hAnsi="Times New Roman"/>
          <w:sz w:val="24"/>
          <w:lang w:val="sr-Cyrl-CS"/>
        </w:rPr>
        <w:t>0,9</w:t>
      </w:r>
      <w:r w:rsidR="00B0503A" w:rsidRPr="005303F7">
        <w:rPr>
          <w:rFonts w:ascii="Times New Roman" w:hAnsi="Times New Roman"/>
          <w:sz w:val="24"/>
          <w:lang w:val="sr-Cyrl-CS"/>
        </w:rPr>
        <w:t xml:space="preserve"> </w:t>
      </w:r>
      <w:r w:rsidR="00341533" w:rsidRPr="005303F7">
        <w:rPr>
          <w:rFonts w:ascii="Times New Roman" w:hAnsi="Times New Roman"/>
          <w:sz w:val="24"/>
          <w:lang w:val="sr-Cyrl-CS"/>
        </w:rPr>
        <w:t>милијард</w:t>
      </w:r>
      <w:r w:rsidR="00E76F85" w:rsidRPr="005303F7">
        <w:rPr>
          <w:rFonts w:ascii="Times New Roman" w:hAnsi="Times New Roman"/>
          <w:sz w:val="24"/>
          <w:lang w:val="sr-Cyrl-CS"/>
        </w:rPr>
        <w:t>и</w:t>
      </w:r>
      <w:r w:rsidR="00B0503A" w:rsidRPr="005303F7">
        <w:rPr>
          <w:rFonts w:ascii="Times New Roman" w:hAnsi="Times New Roman"/>
          <w:sz w:val="24"/>
          <w:lang w:val="sr-Cyrl-CS"/>
        </w:rPr>
        <w:t xml:space="preserve"> </w:t>
      </w:r>
      <w:r w:rsidR="00341533" w:rsidRPr="005303F7">
        <w:rPr>
          <w:rFonts w:ascii="Times New Roman" w:hAnsi="Times New Roman"/>
          <w:sz w:val="24"/>
          <w:lang w:val="sr-Cyrl-CS"/>
        </w:rPr>
        <w:t>евра</w:t>
      </w:r>
      <w:r w:rsidR="00B0503A" w:rsidRPr="005303F7">
        <w:rPr>
          <w:rFonts w:ascii="Times New Roman" w:hAnsi="Times New Roman"/>
          <w:sz w:val="24"/>
          <w:lang w:val="sr-Cyrl-CS"/>
        </w:rPr>
        <w:t xml:space="preserve"> </w:t>
      </w:r>
      <w:r w:rsidR="00341533" w:rsidRPr="005303F7">
        <w:rPr>
          <w:rFonts w:ascii="Times New Roman" w:hAnsi="Times New Roman"/>
          <w:sz w:val="24"/>
          <w:lang w:val="sr-Cyrl-CS"/>
        </w:rPr>
        <w:t>прихода</w:t>
      </w:r>
      <w:r w:rsidR="00BD29C6" w:rsidRPr="005303F7">
        <w:rPr>
          <w:rFonts w:ascii="Times New Roman" w:hAnsi="Times New Roman"/>
          <w:sz w:val="24"/>
          <w:lang w:val="sr-Cyrl-CS"/>
        </w:rPr>
        <w:t xml:space="preserve">, уколико би се применило </w:t>
      </w:r>
      <w:r w:rsidR="00EB472B" w:rsidRPr="005303F7">
        <w:rPr>
          <w:rFonts w:ascii="Times New Roman" w:hAnsi="Times New Roman"/>
          <w:sz w:val="24"/>
          <w:lang w:val="sr-Cyrl-CS"/>
        </w:rPr>
        <w:t xml:space="preserve"> </w:t>
      </w:r>
      <w:r w:rsidR="00341533" w:rsidRPr="005303F7">
        <w:rPr>
          <w:rFonts w:ascii="Times New Roman" w:hAnsi="Times New Roman"/>
          <w:sz w:val="24"/>
          <w:lang w:val="sr-Cyrl-CS"/>
        </w:rPr>
        <w:t>у</w:t>
      </w:r>
      <w:r w:rsidR="00B0503A" w:rsidRPr="005303F7">
        <w:rPr>
          <w:rFonts w:ascii="Times New Roman" w:hAnsi="Times New Roman"/>
          <w:sz w:val="24"/>
          <w:lang w:val="sr-Cyrl-CS"/>
        </w:rPr>
        <w:t xml:space="preserve"> </w:t>
      </w:r>
      <w:r w:rsidR="00341533" w:rsidRPr="005303F7">
        <w:rPr>
          <w:rFonts w:ascii="Times New Roman" w:hAnsi="Times New Roman"/>
          <w:sz w:val="24"/>
          <w:lang w:val="sr-Cyrl-CS"/>
        </w:rPr>
        <w:t>периоду</w:t>
      </w:r>
      <w:r w:rsidR="00B0503A" w:rsidRPr="005303F7">
        <w:rPr>
          <w:rFonts w:ascii="Times New Roman" w:hAnsi="Times New Roman"/>
          <w:sz w:val="24"/>
          <w:lang w:val="sr-Cyrl-CS"/>
        </w:rPr>
        <w:t xml:space="preserve"> </w:t>
      </w:r>
      <w:r w:rsidR="00E76F85" w:rsidRPr="005303F7">
        <w:rPr>
          <w:rFonts w:ascii="Times New Roman" w:hAnsi="Times New Roman"/>
          <w:sz w:val="24"/>
          <w:lang w:val="sr-Cyrl-CS"/>
        </w:rPr>
        <w:t>2026</w:t>
      </w:r>
      <w:r w:rsidR="00B0503A" w:rsidRPr="005303F7">
        <w:rPr>
          <w:rFonts w:ascii="Times New Roman" w:hAnsi="Times New Roman"/>
          <w:sz w:val="24"/>
          <w:lang w:val="sr-Cyrl-CS"/>
        </w:rPr>
        <w:t>-2050</w:t>
      </w:r>
      <w:r w:rsidR="00A16787" w:rsidRPr="005303F7">
        <w:rPr>
          <w:rFonts w:ascii="Times New Roman" w:hAnsi="Times New Roman"/>
          <w:sz w:val="24"/>
          <w:lang w:val="sr-Cyrl-CS"/>
        </w:rPr>
        <w:t xml:space="preserve">. </w:t>
      </w:r>
      <w:r w:rsidR="00341533" w:rsidRPr="005303F7">
        <w:rPr>
          <w:rFonts w:ascii="Times New Roman" w:hAnsi="Times New Roman"/>
          <w:sz w:val="24"/>
          <w:lang w:val="sr-Cyrl-CS"/>
        </w:rPr>
        <w:t>годин</w:t>
      </w:r>
      <w:r w:rsidR="00CC58B4" w:rsidRPr="005303F7">
        <w:rPr>
          <w:rFonts w:ascii="Times New Roman" w:hAnsi="Times New Roman"/>
          <w:sz w:val="24"/>
          <w:lang w:val="sr-Cyrl-CS"/>
        </w:rPr>
        <w:t>е</w:t>
      </w:r>
      <w:r w:rsidR="00B0503A" w:rsidRPr="005303F7">
        <w:rPr>
          <w:rFonts w:ascii="Times New Roman" w:hAnsi="Times New Roman"/>
          <w:sz w:val="24"/>
          <w:lang w:val="sr-Cyrl-CS"/>
        </w:rPr>
        <w:t xml:space="preserve">, </w:t>
      </w:r>
      <w:r w:rsidR="00341533" w:rsidRPr="005303F7">
        <w:rPr>
          <w:rFonts w:ascii="Times New Roman" w:hAnsi="Times New Roman"/>
          <w:sz w:val="24"/>
          <w:lang w:val="sr-Cyrl-CS"/>
        </w:rPr>
        <w:t>као</w:t>
      </w:r>
      <w:r w:rsidR="00BD29C6" w:rsidRPr="005303F7">
        <w:rPr>
          <w:rFonts w:ascii="Times New Roman" w:hAnsi="Times New Roman"/>
          <w:sz w:val="24"/>
          <w:lang w:val="sr-Cyrl-CS"/>
        </w:rPr>
        <w:t xml:space="preserve"> што је претпостављено </w:t>
      </w:r>
      <w:r w:rsidR="00B0503A" w:rsidRPr="005303F7">
        <w:rPr>
          <w:rFonts w:ascii="Times New Roman" w:hAnsi="Times New Roman"/>
          <w:sz w:val="24"/>
          <w:lang w:val="sr-Cyrl-CS"/>
        </w:rPr>
        <w:t xml:space="preserve"> </w:t>
      </w:r>
      <w:r w:rsidR="00341533" w:rsidRPr="005303F7">
        <w:rPr>
          <w:rFonts w:ascii="Times New Roman" w:hAnsi="Times New Roman"/>
          <w:sz w:val="24"/>
          <w:lang w:val="sr-Cyrl-CS"/>
        </w:rPr>
        <w:t>у</w:t>
      </w:r>
      <w:r w:rsidR="00B0503A" w:rsidRPr="005303F7">
        <w:rPr>
          <w:rFonts w:ascii="Times New Roman" w:hAnsi="Times New Roman"/>
          <w:sz w:val="24"/>
          <w:lang w:val="sr-Cyrl-CS"/>
        </w:rPr>
        <w:t xml:space="preserve"> </w:t>
      </w:r>
      <w:r w:rsidR="00341533" w:rsidRPr="005303F7">
        <w:rPr>
          <w:rFonts w:ascii="Times New Roman" w:hAnsi="Times New Roman"/>
          <w:sz w:val="24"/>
          <w:lang w:val="sr-Cyrl-CS"/>
        </w:rPr>
        <w:t>сценарију</w:t>
      </w:r>
      <w:r w:rsidR="00B0503A" w:rsidRPr="005303F7">
        <w:rPr>
          <w:rFonts w:ascii="Times New Roman" w:hAnsi="Times New Roman"/>
          <w:sz w:val="24"/>
          <w:lang w:val="sr-Cyrl-CS"/>
        </w:rPr>
        <w:t xml:space="preserve"> </w:t>
      </w:r>
      <w:r w:rsidR="00341533" w:rsidRPr="005303F7">
        <w:rPr>
          <w:rFonts w:ascii="Times New Roman" w:hAnsi="Times New Roman"/>
          <w:sz w:val="24"/>
          <w:lang w:val="sr-Cyrl-CS"/>
        </w:rPr>
        <w:t>М</w:t>
      </w:r>
      <w:r w:rsidR="00B0503A" w:rsidRPr="005303F7">
        <w:rPr>
          <w:rFonts w:ascii="Times New Roman" w:hAnsi="Times New Roman"/>
          <w:sz w:val="24"/>
          <w:lang w:val="sr-Cyrl-CS"/>
        </w:rPr>
        <w:t>2.</w:t>
      </w:r>
    </w:p>
    <w:p w14:paraId="2CDF2359" w14:textId="4C5D7A06" w:rsidR="00B0503A" w:rsidRPr="005303F7" w:rsidRDefault="00DA7CD2" w:rsidP="00CF5541">
      <w:pPr>
        <w:rPr>
          <w:rFonts w:ascii="Times New Roman" w:hAnsi="Times New Roman"/>
          <w:sz w:val="24"/>
          <w:lang w:val="sr-Cyrl-CS"/>
        </w:rPr>
      </w:pPr>
      <w:r w:rsidRPr="005303F7">
        <w:rPr>
          <w:rFonts w:ascii="Times New Roman" w:hAnsi="Times New Roman"/>
          <w:sz w:val="24"/>
          <w:lang w:val="sr-Cyrl-CS"/>
        </w:rPr>
        <w:t xml:space="preserve">             </w:t>
      </w:r>
      <w:r w:rsidR="00341533" w:rsidRPr="005303F7">
        <w:rPr>
          <w:rFonts w:ascii="Times New Roman" w:hAnsi="Times New Roman"/>
          <w:sz w:val="24"/>
          <w:lang w:val="sr-Cyrl-CS"/>
        </w:rPr>
        <w:t>Ова</w:t>
      </w:r>
      <w:r w:rsidR="00CF5541" w:rsidRPr="005303F7">
        <w:rPr>
          <w:rFonts w:ascii="Times New Roman" w:hAnsi="Times New Roman"/>
          <w:sz w:val="24"/>
          <w:lang w:val="sr-Cyrl-CS"/>
        </w:rPr>
        <w:t xml:space="preserve"> </w:t>
      </w:r>
      <w:r w:rsidR="001F7E80" w:rsidRPr="005303F7">
        <w:rPr>
          <w:rFonts w:ascii="Times New Roman" w:hAnsi="Times New Roman"/>
          <w:sz w:val="24"/>
          <w:lang w:val="sr-Cyrl-CS"/>
        </w:rPr>
        <w:t>с</w:t>
      </w:r>
      <w:r w:rsidR="00341533" w:rsidRPr="005303F7">
        <w:rPr>
          <w:rFonts w:ascii="Times New Roman" w:hAnsi="Times New Roman"/>
          <w:sz w:val="24"/>
          <w:lang w:val="sr-Cyrl-CS"/>
        </w:rPr>
        <w:t>тратегија</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предвиђа</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да</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се</w:t>
      </w:r>
      <w:r w:rsidR="00CF5541" w:rsidRPr="005303F7">
        <w:rPr>
          <w:rFonts w:ascii="Times New Roman" w:hAnsi="Times New Roman"/>
          <w:sz w:val="24"/>
          <w:lang w:val="sr-Cyrl-CS"/>
        </w:rPr>
        <w:t xml:space="preserve"> </w:t>
      </w:r>
      <w:r w:rsidR="000E5461" w:rsidRPr="005303F7">
        <w:rPr>
          <w:rFonts w:ascii="Times New Roman" w:hAnsi="Times New Roman"/>
          <w:sz w:val="24"/>
          <w:lang w:val="sr-Cyrl-CS"/>
        </w:rPr>
        <w:t>приходи од увођења цене на угљеник</w:t>
      </w:r>
      <w:r w:rsidR="00AF23CB" w:rsidRPr="005303F7">
        <w:rPr>
          <w:rFonts w:ascii="Times New Roman" w:hAnsi="Times New Roman"/>
          <w:sz w:val="24"/>
          <w:lang w:val="sr-Cyrl-CS"/>
        </w:rPr>
        <w:t>, у скла</w:t>
      </w:r>
      <w:r w:rsidR="00104C41" w:rsidRPr="005303F7">
        <w:rPr>
          <w:rFonts w:ascii="Times New Roman" w:hAnsi="Times New Roman"/>
          <w:sz w:val="24"/>
          <w:lang w:val="sr-Cyrl-CS"/>
        </w:rPr>
        <w:t>ду са ЕУ регулативом и праксом</w:t>
      </w:r>
      <w:r w:rsidR="000E5461" w:rsidRPr="005303F7">
        <w:rPr>
          <w:rFonts w:ascii="Times New Roman" w:hAnsi="Times New Roman"/>
          <w:sz w:val="24"/>
          <w:lang w:val="sr-Cyrl-CS"/>
        </w:rPr>
        <w:t xml:space="preserve"> и н</w:t>
      </w:r>
      <w:r w:rsidR="00341533" w:rsidRPr="005303F7">
        <w:rPr>
          <w:rFonts w:ascii="Times New Roman" w:hAnsi="Times New Roman"/>
          <w:sz w:val="24"/>
          <w:lang w:val="sr-Cyrl-CS"/>
        </w:rPr>
        <w:t>ајмање</w:t>
      </w:r>
      <w:r w:rsidR="00CF5541" w:rsidRPr="005303F7">
        <w:rPr>
          <w:rFonts w:ascii="Times New Roman" w:hAnsi="Times New Roman"/>
          <w:sz w:val="24"/>
          <w:lang w:val="sr-Cyrl-CS"/>
        </w:rPr>
        <w:t xml:space="preserve"> 50% </w:t>
      </w:r>
      <w:r w:rsidR="00341533" w:rsidRPr="005303F7">
        <w:rPr>
          <w:rFonts w:ascii="Times New Roman" w:hAnsi="Times New Roman"/>
          <w:sz w:val="24"/>
          <w:lang w:val="sr-Cyrl-CS"/>
        </w:rPr>
        <w:t>прихода</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од</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аукције</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ЕТS</w:t>
      </w:r>
      <w:r w:rsidR="00813A2A" w:rsidRPr="005303F7">
        <w:rPr>
          <w:rFonts w:ascii="Times New Roman" w:hAnsi="Times New Roman"/>
          <w:sz w:val="24"/>
          <w:lang w:val="sr-Cyrl-CS"/>
        </w:rPr>
        <w:t>-</w:t>
      </w:r>
      <w:r w:rsidR="00341533" w:rsidRPr="005303F7">
        <w:rPr>
          <w:rFonts w:ascii="Times New Roman" w:hAnsi="Times New Roman"/>
          <w:sz w:val="24"/>
          <w:lang w:val="sr-Cyrl-CS"/>
        </w:rPr>
        <w:t>а</w:t>
      </w:r>
      <w:r w:rsidR="00813A2A" w:rsidRPr="005303F7">
        <w:rPr>
          <w:rFonts w:ascii="Times New Roman" w:hAnsi="Times New Roman"/>
          <w:sz w:val="24"/>
          <w:lang w:val="sr-Cyrl-CS"/>
        </w:rPr>
        <w:t xml:space="preserve"> </w:t>
      </w:r>
      <w:r w:rsidR="00341533" w:rsidRPr="005303F7">
        <w:rPr>
          <w:rFonts w:ascii="Times New Roman" w:hAnsi="Times New Roman"/>
          <w:sz w:val="24"/>
          <w:lang w:val="sr-Cyrl-CS"/>
        </w:rPr>
        <w:t>искористи</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како</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би</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се</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подржало</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спровођење</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мера</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за</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смањење</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емисиј</w:t>
      </w:r>
      <w:r w:rsidR="00AF23CB" w:rsidRPr="005303F7">
        <w:rPr>
          <w:rFonts w:ascii="Times New Roman" w:hAnsi="Times New Roman"/>
          <w:sz w:val="24"/>
          <w:lang w:val="sr-Cyrl-CS"/>
        </w:rPr>
        <w:t>а</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Преосталих</w:t>
      </w:r>
      <w:r w:rsidR="00CF5541" w:rsidRPr="005303F7">
        <w:rPr>
          <w:rFonts w:ascii="Times New Roman" w:hAnsi="Times New Roman"/>
          <w:sz w:val="24"/>
          <w:lang w:val="sr-Cyrl-CS"/>
        </w:rPr>
        <w:t xml:space="preserve"> 50% </w:t>
      </w:r>
      <w:r w:rsidR="00341533" w:rsidRPr="005303F7">
        <w:rPr>
          <w:rFonts w:ascii="Times New Roman" w:hAnsi="Times New Roman"/>
          <w:sz w:val="24"/>
          <w:lang w:val="sr-Cyrl-CS"/>
        </w:rPr>
        <w:t>треба</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да</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се</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искористи</w:t>
      </w:r>
      <w:r w:rsidR="00A80994" w:rsidRPr="005303F7">
        <w:rPr>
          <w:rFonts w:ascii="Times New Roman" w:hAnsi="Times New Roman"/>
          <w:sz w:val="24"/>
          <w:lang w:val="sr-Cyrl-CS"/>
        </w:rPr>
        <w:t xml:space="preserve"> за</w:t>
      </w:r>
      <w:r w:rsidR="00CF5541" w:rsidRPr="005303F7">
        <w:rPr>
          <w:rFonts w:ascii="Times New Roman" w:hAnsi="Times New Roman"/>
          <w:sz w:val="24"/>
          <w:lang w:val="sr-Cyrl-CS"/>
        </w:rPr>
        <w:t xml:space="preserve"> </w:t>
      </w:r>
      <w:r w:rsidR="00191DE2" w:rsidRPr="005303F7">
        <w:rPr>
          <w:rFonts w:ascii="Times New Roman" w:hAnsi="Times New Roman"/>
          <w:sz w:val="24"/>
          <w:lang w:val="sr-Cyrl-CS"/>
        </w:rPr>
        <w:t xml:space="preserve">остале трошкове у процесу декарбонизације укључујући трошкове последица процеса </w:t>
      </w:r>
      <w:r w:rsidR="00191DE2" w:rsidRPr="005303F7">
        <w:rPr>
          <w:rFonts w:ascii="Times New Roman" w:hAnsi="Times New Roman"/>
          <w:sz w:val="24"/>
          <w:lang w:val="sr-Cyrl-CS"/>
        </w:rPr>
        <w:lastRenderedPageBreak/>
        <w:t>декарбонизације у регионима који се претежно баве производњом угља.</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То</w:t>
      </w:r>
      <w:r w:rsidR="00CF5541" w:rsidRPr="005303F7">
        <w:rPr>
          <w:rFonts w:ascii="Times New Roman" w:hAnsi="Times New Roman"/>
          <w:sz w:val="24"/>
          <w:lang w:val="sr-Cyrl-CS"/>
        </w:rPr>
        <w:t xml:space="preserve"> </w:t>
      </w:r>
      <w:r w:rsidR="00016298" w:rsidRPr="005303F7">
        <w:rPr>
          <w:rFonts w:ascii="Times New Roman" w:hAnsi="Times New Roman"/>
          <w:sz w:val="24"/>
          <w:lang w:val="sr-Cyrl-CS"/>
        </w:rPr>
        <w:t>ћ</w:t>
      </w:r>
      <w:r w:rsidR="00341533" w:rsidRPr="005303F7">
        <w:rPr>
          <w:rFonts w:ascii="Times New Roman" w:hAnsi="Times New Roman"/>
          <w:sz w:val="24"/>
          <w:lang w:val="sr-Cyrl-CS"/>
        </w:rPr>
        <w:t>е</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ублажити</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утицај</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имплементације</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ове</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стратегије</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на</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БДП</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запосленост</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и</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енергетско</w:t>
      </w:r>
      <w:r w:rsidR="00CF5541" w:rsidRPr="005303F7">
        <w:rPr>
          <w:rFonts w:ascii="Times New Roman" w:hAnsi="Times New Roman"/>
          <w:sz w:val="24"/>
          <w:lang w:val="sr-Cyrl-CS"/>
        </w:rPr>
        <w:t xml:space="preserve"> </w:t>
      </w:r>
      <w:r w:rsidR="00341533" w:rsidRPr="005303F7">
        <w:rPr>
          <w:rFonts w:ascii="Times New Roman" w:hAnsi="Times New Roman"/>
          <w:sz w:val="24"/>
          <w:lang w:val="sr-Cyrl-CS"/>
        </w:rPr>
        <w:t>сиромаштво</w:t>
      </w:r>
      <w:r w:rsidR="00CF5541" w:rsidRPr="005303F7">
        <w:rPr>
          <w:rFonts w:ascii="Times New Roman" w:hAnsi="Times New Roman"/>
          <w:sz w:val="24"/>
          <w:lang w:val="sr-Cyrl-CS"/>
        </w:rPr>
        <w:t>.</w:t>
      </w:r>
      <w:r w:rsidR="009C3A83" w:rsidRPr="005303F7">
        <w:rPr>
          <w:rFonts w:ascii="Times New Roman" w:hAnsi="Times New Roman"/>
          <w:sz w:val="24"/>
          <w:lang w:val="sr-Cyrl-CS"/>
        </w:rPr>
        <w:t xml:space="preserve"> </w:t>
      </w:r>
      <w:r w:rsidR="00CC58B4" w:rsidRPr="005303F7">
        <w:rPr>
          <w:rFonts w:ascii="Times New Roman" w:hAnsi="Times New Roman"/>
          <w:sz w:val="24"/>
          <w:lang w:val="sr-Cyrl-CS"/>
        </w:rPr>
        <w:t xml:space="preserve"> </w:t>
      </w:r>
    </w:p>
    <w:p w14:paraId="1468618B" w14:textId="7C70D9DA" w:rsidR="003A7F5C" w:rsidRPr="005303F7" w:rsidRDefault="00341533" w:rsidP="00D93231">
      <w:pPr>
        <w:pStyle w:val="Heading2"/>
        <w:numPr>
          <w:ilvl w:val="2"/>
          <w:numId w:val="40"/>
        </w:numPr>
        <w:tabs>
          <w:tab w:val="clear" w:pos="3825"/>
          <w:tab w:val="left" w:pos="1134"/>
        </w:tabs>
        <w:rPr>
          <w:rFonts w:ascii="Times New Roman" w:hAnsi="Times New Roman" w:cs="Times New Roman"/>
          <w:szCs w:val="22"/>
          <w:lang w:val="sr-Cyrl-CS"/>
        </w:rPr>
      </w:pPr>
      <w:bookmarkStart w:id="375" w:name="_Toc12858146"/>
      <w:bookmarkStart w:id="376" w:name="_Toc12880477"/>
      <w:bookmarkStart w:id="377" w:name="_Toc13088823"/>
      <w:bookmarkStart w:id="378" w:name="_Toc13089768"/>
      <w:bookmarkStart w:id="379" w:name="_Toc26686116"/>
      <w:bookmarkEnd w:id="375"/>
      <w:bookmarkEnd w:id="376"/>
      <w:bookmarkEnd w:id="377"/>
      <w:bookmarkEnd w:id="378"/>
      <w:r w:rsidRPr="005303F7">
        <w:rPr>
          <w:rFonts w:ascii="Times New Roman" w:hAnsi="Times New Roman" w:cs="Times New Roman"/>
          <w:szCs w:val="22"/>
          <w:lang w:val="sr-Cyrl-CS"/>
        </w:rPr>
        <w:t>Јавно</w:t>
      </w:r>
      <w:r w:rsidR="002C6E2A"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финансирањ</w:t>
      </w:r>
      <w:bookmarkEnd w:id="379"/>
      <w:r w:rsidRPr="005303F7">
        <w:rPr>
          <w:rFonts w:ascii="Times New Roman" w:hAnsi="Times New Roman" w:cs="Times New Roman"/>
          <w:szCs w:val="22"/>
          <w:lang w:val="sr-Cyrl-CS"/>
        </w:rPr>
        <w:t>е</w:t>
      </w:r>
    </w:p>
    <w:p w14:paraId="64F6ED10" w14:textId="41DCEB37" w:rsidR="00D85F52" w:rsidRPr="005303F7" w:rsidRDefault="00DA7CD2" w:rsidP="00CB6727">
      <w:pPr>
        <w:spacing w:before="0" w:after="0"/>
        <w:rPr>
          <w:rFonts w:ascii="Times New Roman" w:hAnsi="Times New Roman"/>
          <w:sz w:val="24"/>
          <w:lang w:val="sr-Cyrl-CS"/>
        </w:rPr>
      </w:pPr>
      <w:r w:rsidRPr="005303F7">
        <w:rPr>
          <w:rFonts w:ascii="Times New Roman" w:hAnsi="Times New Roman"/>
          <w:sz w:val="24"/>
          <w:lang w:val="sr-Cyrl-CS"/>
        </w:rPr>
        <w:t xml:space="preserve">             </w:t>
      </w:r>
      <w:r w:rsidR="00341533" w:rsidRPr="005303F7">
        <w:rPr>
          <w:rFonts w:ascii="Times New Roman" w:hAnsi="Times New Roman"/>
          <w:sz w:val="24"/>
          <w:lang w:val="sr-Cyrl-CS"/>
        </w:rPr>
        <w:t>Јавно</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финансирање</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је</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катализатор</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имплементације</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Стратегије</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као</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последица</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тога</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дугорочног</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преласка</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на</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економију</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са</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ниским</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садржајем</w:t>
      </w:r>
      <w:r w:rsidR="00616236" w:rsidRPr="005303F7">
        <w:rPr>
          <w:rFonts w:ascii="Times New Roman" w:hAnsi="Times New Roman"/>
          <w:sz w:val="24"/>
          <w:lang w:val="sr-Cyrl-CS"/>
        </w:rPr>
        <w:t xml:space="preserve"> </w:t>
      </w:r>
      <w:r w:rsidR="00341533" w:rsidRPr="005303F7">
        <w:rPr>
          <w:rFonts w:ascii="Times New Roman" w:hAnsi="Times New Roman"/>
          <w:sz w:val="24"/>
          <w:lang w:val="sr-Cyrl-CS"/>
        </w:rPr>
        <w:t>угљеника</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Као</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катализатор</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јавно</w:t>
      </w:r>
      <w:r w:rsidR="00855C10" w:rsidRPr="005303F7">
        <w:rPr>
          <w:rFonts w:ascii="Times New Roman" w:hAnsi="Times New Roman"/>
          <w:sz w:val="24"/>
          <w:lang w:val="sr-Cyrl-CS"/>
        </w:rPr>
        <w:t xml:space="preserve"> </w:t>
      </w:r>
      <w:r w:rsidR="00341533" w:rsidRPr="005303F7">
        <w:rPr>
          <w:rFonts w:ascii="Times New Roman" w:hAnsi="Times New Roman"/>
          <w:sz w:val="24"/>
          <w:lang w:val="sr-Cyrl-CS"/>
        </w:rPr>
        <w:t>финансирање</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не</w:t>
      </w:r>
      <w:r w:rsidR="00016298" w:rsidRPr="005303F7">
        <w:rPr>
          <w:rFonts w:ascii="Times New Roman" w:hAnsi="Times New Roman"/>
          <w:sz w:val="24"/>
          <w:lang w:val="sr-Cyrl-CS"/>
        </w:rPr>
        <w:t>ћ</w:t>
      </w:r>
      <w:r w:rsidR="00341533" w:rsidRPr="005303F7">
        <w:rPr>
          <w:rFonts w:ascii="Times New Roman" w:hAnsi="Times New Roman"/>
          <w:sz w:val="24"/>
          <w:lang w:val="sr-Cyrl-CS"/>
        </w:rPr>
        <w:t>е</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само</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финансирати</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имплементацију</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и</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није</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нужно</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најве</w:t>
      </w:r>
      <w:r w:rsidR="00016298" w:rsidRPr="005303F7">
        <w:rPr>
          <w:rFonts w:ascii="Times New Roman" w:hAnsi="Times New Roman"/>
          <w:sz w:val="24"/>
          <w:lang w:val="sr-Cyrl-CS"/>
        </w:rPr>
        <w:t>ћ</w:t>
      </w:r>
      <w:r w:rsidR="00341533" w:rsidRPr="005303F7">
        <w:rPr>
          <w:rFonts w:ascii="Times New Roman" w:hAnsi="Times New Roman"/>
          <w:sz w:val="24"/>
          <w:lang w:val="sr-Cyrl-CS"/>
        </w:rPr>
        <w:t>и</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финансијер</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сваке</w:t>
      </w:r>
      <w:r w:rsidR="007169ED" w:rsidRPr="005303F7">
        <w:rPr>
          <w:rFonts w:ascii="Times New Roman" w:hAnsi="Times New Roman"/>
          <w:sz w:val="24"/>
          <w:lang w:val="sr-Cyrl-CS"/>
        </w:rPr>
        <w:t xml:space="preserve"> </w:t>
      </w:r>
      <w:r w:rsidR="00341533" w:rsidRPr="005303F7">
        <w:rPr>
          <w:rFonts w:ascii="Times New Roman" w:hAnsi="Times New Roman"/>
          <w:sz w:val="24"/>
          <w:lang w:val="sr-Cyrl-CS"/>
        </w:rPr>
        <w:t>од</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мера</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Јавне</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финансије</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могу</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обезбедити</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основна</w:t>
      </w:r>
      <w:r w:rsidR="005362BF" w:rsidRPr="005303F7">
        <w:rPr>
          <w:rFonts w:ascii="Times New Roman" w:hAnsi="Times New Roman"/>
          <w:sz w:val="24"/>
          <w:lang w:val="sr-Cyrl-CS"/>
        </w:rPr>
        <w:t xml:space="preserve"> </w:t>
      </w:r>
      <w:r w:rsidR="00341533" w:rsidRPr="005303F7">
        <w:rPr>
          <w:rFonts w:ascii="Times New Roman" w:hAnsi="Times New Roman"/>
          <w:sz w:val="24"/>
          <w:lang w:val="sr-Cyrl-CS"/>
        </w:rPr>
        <w:t>средства</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за</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мобилизацију</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других</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извора</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финансирања</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из</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приватног</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сектора</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и</w:t>
      </w:r>
      <w:r w:rsidR="00D85F52" w:rsidRPr="005303F7">
        <w:rPr>
          <w:rFonts w:ascii="Times New Roman" w:hAnsi="Times New Roman"/>
          <w:sz w:val="24"/>
          <w:lang w:val="sr-Cyrl-CS"/>
        </w:rPr>
        <w:t>/</w:t>
      </w:r>
      <w:r w:rsidR="00341533" w:rsidRPr="005303F7">
        <w:rPr>
          <w:rFonts w:ascii="Times New Roman" w:hAnsi="Times New Roman"/>
          <w:sz w:val="24"/>
          <w:lang w:val="sr-Cyrl-CS"/>
        </w:rPr>
        <w:t>или</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од</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међународних</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партнера</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као</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што</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су</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ЕУ</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UNFCCC</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или</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друге</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билатералне</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и</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мултилатералне</w:t>
      </w:r>
      <w:r w:rsidR="00D85F52" w:rsidRPr="005303F7">
        <w:rPr>
          <w:rFonts w:ascii="Times New Roman" w:hAnsi="Times New Roman"/>
          <w:sz w:val="24"/>
          <w:lang w:val="sr-Cyrl-CS"/>
        </w:rPr>
        <w:t xml:space="preserve"> </w:t>
      </w:r>
      <w:r w:rsidR="00341533" w:rsidRPr="005303F7">
        <w:rPr>
          <w:rFonts w:ascii="Times New Roman" w:hAnsi="Times New Roman"/>
          <w:sz w:val="24"/>
          <w:lang w:val="sr-Cyrl-CS"/>
        </w:rPr>
        <w:t>организације</w:t>
      </w:r>
      <w:r w:rsidR="00D85F52" w:rsidRPr="005303F7">
        <w:rPr>
          <w:rFonts w:ascii="Times New Roman" w:hAnsi="Times New Roman"/>
          <w:sz w:val="24"/>
          <w:lang w:val="sr-Cyrl-CS"/>
        </w:rPr>
        <w:t>.</w:t>
      </w:r>
    </w:p>
    <w:p w14:paraId="42B73385" w14:textId="77777777" w:rsidR="00F64BC2" w:rsidRPr="005303F7" w:rsidRDefault="00F64BC2" w:rsidP="00CB6727">
      <w:pPr>
        <w:spacing w:before="0" w:after="0"/>
        <w:rPr>
          <w:rFonts w:ascii="Times New Roman" w:hAnsi="Times New Roman"/>
          <w:sz w:val="24"/>
          <w:lang w:val="sr-Cyrl-CS"/>
        </w:rPr>
      </w:pPr>
    </w:p>
    <w:p w14:paraId="434FD2A2" w14:textId="78750BAF" w:rsidR="00F64BC2" w:rsidRPr="005303F7" w:rsidRDefault="00207799" w:rsidP="00807599">
      <w:pPr>
        <w:rPr>
          <w:rFonts w:ascii="Times New Roman" w:hAnsi="Times New Roman"/>
          <w:b/>
          <w:bCs/>
          <w:iCs/>
          <w:sz w:val="24"/>
          <w:szCs w:val="22"/>
          <w:lang w:val="sr-Cyrl-CS"/>
        </w:rPr>
      </w:pPr>
      <w:r w:rsidRPr="005303F7">
        <w:rPr>
          <w:rFonts w:ascii="Times New Roman" w:hAnsi="Times New Roman"/>
          <w:b/>
          <w:bCs/>
          <w:iCs/>
          <w:sz w:val="24"/>
          <w:szCs w:val="22"/>
          <w:lang w:val="sr-Cyrl-CS"/>
        </w:rPr>
        <w:t>О</w:t>
      </w:r>
      <w:r w:rsidR="00F64BC2" w:rsidRPr="005303F7">
        <w:rPr>
          <w:rFonts w:ascii="Times New Roman" w:hAnsi="Times New Roman"/>
          <w:b/>
          <w:bCs/>
          <w:iCs/>
          <w:sz w:val="24"/>
          <w:szCs w:val="22"/>
          <w:lang w:val="sr-Cyrl-CS"/>
        </w:rPr>
        <w:t>квир за зелене обвезнице</w:t>
      </w:r>
    </w:p>
    <w:p w14:paraId="685059D4" w14:textId="79856171" w:rsidR="00F64BC2" w:rsidRPr="005303F7" w:rsidRDefault="00DA7CD2" w:rsidP="00FE2D5B">
      <w:pPr>
        <w:rPr>
          <w:rFonts w:ascii="Times New Roman" w:hAnsi="Times New Roman"/>
          <w:bCs/>
          <w:iCs/>
          <w:sz w:val="24"/>
          <w:szCs w:val="22"/>
          <w:lang w:val="sr-Cyrl-CS"/>
        </w:rPr>
      </w:pPr>
      <w:r w:rsidRPr="005303F7">
        <w:rPr>
          <w:rFonts w:ascii="Times New Roman" w:hAnsi="Times New Roman"/>
          <w:bCs/>
          <w:iCs/>
          <w:sz w:val="24"/>
          <w:szCs w:val="22"/>
          <w:lang w:val="sr-Cyrl-CS"/>
        </w:rPr>
        <w:t xml:space="preserve">             </w:t>
      </w:r>
      <w:r w:rsidR="00F64BC2" w:rsidRPr="005303F7">
        <w:rPr>
          <w:rFonts w:ascii="Times New Roman" w:hAnsi="Times New Roman"/>
          <w:bCs/>
          <w:iCs/>
          <w:sz w:val="24"/>
          <w:szCs w:val="22"/>
          <w:lang w:val="sr-Cyrl-CS"/>
        </w:rPr>
        <w:t xml:space="preserve">Оквир за зелене обвезнице ће подржати амбициозну посвећеност </w:t>
      </w:r>
      <w:r w:rsidR="00D73AAB" w:rsidRPr="005303F7">
        <w:rPr>
          <w:rFonts w:ascii="Times New Roman" w:hAnsi="Times New Roman"/>
          <w:bCs/>
          <w:iCs/>
          <w:sz w:val="24"/>
          <w:szCs w:val="22"/>
          <w:lang w:val="sr-Cyrl-CS"/>
        </w:rPr>
        <w:t>Републике Србије</w:t>
      </w:r>
      <w:r w:rsidR="00CC58B4" w:rsidRPr="005303F7">
        <w:rPr>
          <w:rFonts w:ascii="Times New Roman" w:hAnsi="Times New Roman"/>
          <w:bCs/>
          <w:iCs/>
          <w:sz w:val="24"/>
          <w:szCs w:val="22"/>
          <w:lang w:val="sr-Cyrl-CS"/>
        </w:rPr>
        <w:t xml:space="preserve"> у</w:t>
      </w:r>
      <w:r w:rsidR="00F64BC2" w:rsidRPr="005303F7">
        <w:rPr>
          <w:rFonts w:ascii="Times New Roman" w:hAnsi="Times New Roman"/>
          <w:bCs/>
          <w:iCs/>
          <w:sz w:val="24"/>
          <w:szCs w:val="22"/>
          <w:lang w:val="sr-Cyrl-CS"/>
        </w:rPr>
        <w:t xml:space="preserve"> борби против глобалних проблема везаних за животну средину и добити део неопходног финансирања кроз међународно тржиште капитала.</w:t>
      </w:r>
    </w:p>
    <w:p w14:paraId="6D931712" w14:textId="66B02992" w:rsidR="00F64BC2" w:rsidRPr="005303F7" w:rsidRDefault="00DA7CD2" w:rsidP="00FE004C">
      <w:pPr>
        <w:rPr>
          <w:rFonts w:ascii="Times New Roman" w:hAnsi="Times New Roman"/>
          <w:bCs/>
          <w:iCs/>
          <w:sz w:val="24"/>
          <w:szCs w:val="22"/>
          <w:lang w:val="sr-Cyrl-CS"/>
        </w:rPr>
      </w:pPr>
      <w:r w:rsidRPr="005303F7">
        <w:rPr>
          <w:rFonts w:ascii="Times New Roman" w:hAnsi="Times New Roman"/>
          <w:bCs/>
          <w:iCs/>
          <w:sz w:val="24"/>
          <w:szCs w:val="22"/>
          <w:lang w:val="sr-Cyrl-CS"/>
        </w:rPr>
        <w:t xml:space="preserve">             </w:t>
      </w:r>
      <w:r w:rsidR="00F64BC2" w:rsidRPr="005303F7">
        <w:rPr>
          <w:rFonts w:ascii="Times New Roman" w:hAnsi="Times New Roman"/>
          <w:bCs/>
          <w:iCs/>
          <w:sz w:val="24"/>
          <w:szCs w:val="22"/>
          <w:lang w:val="sr-Cyrl-CS"/>
        </w:rPr>
        <w:t>Средства обезбеђе</w:t>
      </w:r>
      <w:r w:rsidR="00CC58B4" w:rsidRPr="005303F7">
        <w:rPr>
          <w:rFonts w:ascii="Times New Roman" w:hAnsi="Times New Roman"/>
          <w:bCs/>
          <w:iCs/>
          <w:sz w:val="24"/>
          <w:szCs w:val="22"/>
          <w:lang w:val="sr-Cyrl-CS"/>
        </w:rPr>
        <w:t>н</w:t>
      </w:r>
      <w:r w:rsidR="00F64BC2" w:rsidRPr="005303F7">
        <w:rPr>
          <w:rFonts w:ascii="Times New Roman" w:hAnsi="Times New Roman"/>
          <w:bCs/>
          <w:iCs/>
          <w:sz w:val="24"/>
          <w:szCs w:val="22"/>
          <w:lang w:val="sr-Cyrl-CS"/>
        </w:rPr>
        <w:t>а кроз из</w:t>
      </w:r>
      <w:r w:rsidR="00CC58B4" w:rsidRPr="005303F7">
        <w:rPr>
          <w:rFonts w:ascii="Times New Roman" w:hAnsi="Times New Roman"/>
          <w:bCs/>
          <w:iCs/>
          <w:sz w:val="24"/>
          <w:szCs w:val="22"/>
          <w:lang w:val="sr-Cyrl-CS"/>
        </w:rPr>
        <w:t>д</w:t>
      </w:r>
      <w:r w:rsidR="00F64BC2" w:rsidRPr="005303F7">
        <w:rPr>
          <w:rFonts w:ascii="Times New Roman" w:hAnsi="Times New Roman"/>
          <w:bCs/>
          <w:iCs/>
          <w:sz w:val="24"/>
          <w:szCs w:val="22"/>
          <w:lang w:val="sr-Cyrl-CS"/>
        </w:rPr>
        <w:t>авање државних обвезница укључујући зелен</w:t>
      </w:r>
      <w:r w:rsidR="00CC58B4" w:rsidRPr="005303F7">
        <w:rPr>
          <w:rFonts w:ascii="Times New Roman" w:hAnsi="Times New Roman"/>
          <w:bCs/>
          <w:iCs/>
          <w:sz w:val="24"/>
          <w:szCs w:val="22"/>
          <w:lang w:val="sr-Cyrl-CS"/>
        </w:rPr>
        <w:t>е</w:t>
      </w:r>
      <w:r w:rsidR="00F64BC2" w:rsidRPr="005303F7">
        <w:rPr>
          <w:rFonts w:ascii="Times New Roman" w:hAnsi="Times New Roman"/>
          <w:bCs/>
          <w:iCs/>
          <w:sz w:val="24"/>
          <w:szCs w:val="22"/>
          <w:lang w:val="sr-Cyrl-CS"/>
        </w:rPr>
        <w:t xml:space="preserve"> обвезниц</w:t>
      </w:r>
      <w:r w:rsidR="00CC58B4" w:rsidRPr="005303F7">
        <w:rPr>
          <w:rFonts w:ascii="Times New Roman" w:hAnsi="Times New Roman"/>
          <w:bCs/>
          <w:iCs/>
          <w:sz w:val="24"/>
          <w:szCs w:val="22"/>
          <w:lang w:val="sr-Cyrl-CS"/>
        </w:rPr>
        <w:t>е</w:t>
      </w:r>
      <w:r w:rsidR="00F64BC2" w:rsidRPr="005303F7">
        <w:rPr>
          <w:rFonts w:ascii="Times New Roman" w:hAnsi="Times New Roman"/>
          <w:bCs/>
          <w:iCs/>
          <w:sz w:val="24"/>
          <w:szCs w:val="22"/>
          <w:lang w:val="sr-Cyrl-CS"/>
        </w:rPr>
        <w:t>, ће допринети финансирању целокупног јавног буџета. Износ еквивалентан средствима обезбеђеним кроз издавање зелених обвезница ће бити приписан</w:t>
      </w:r>
      <w:r w:rsidR="00CC58B4" w:rsidRPr="005303F7">
        <w:rPr>
          <w:rFonts w:ascii="Times New Roman" w:hAnsi="Times New Roman"/>
          <w:bCs/>
          <w:iCs/>
          <w:sz w:val="24"/>
          <w:szCs w:val="22"/>
          <w:lang w:val="sr-Cyrl-CS"/>
        </w:rPr>
        <w:t xml:space="preserve"> </w:t>
      </w:r>
      <w:r w:rsidR="00F64BC2" w:rsidRPr="005303F7">
        <w:rPr>
          <w:rFonts w:ascii="Times New Roman" w:hAnsi="Times New Roman"/>
          <w:bCs/>
          <w:iCs/>
          <w:sz w:val="24"/>
          <w:szCs w:val="22"/>
          <w:lang w:val="sr-Cyrl-CS"/>
        </w:rPr>
        <w:t>квалификованим зеленим расходима, у следећим зеленим категорија</w:t>
      </w:r>
      <w:r w:rsidR="00CC58B4" w:rsidRPr="005303F7">
        <w:rPr>
          <w:rFonts w:ascii="Times New Roman" w:hAnsi="Times New Roman"/>
          <w:bCs/>
          <w:iCs/>
          <w:sz w:val="24"/>
          <w:szCs w:val="22"/>
          <w:lang w:val="sr-Cyrl-CS"/>
        </w:rPr>
        <w:t>ма</w:t>
      </w:r>
      <w:r w:rsidR="00F64BC2" w:rsidRPr="005303F7">
        <w:rPr>
          <w:rFonts w:ascii="Times New Roman" w:hAnsi="Times New Roman"/>
          <w:bCs/>
          <w:iCs/>
          <w:sz w:val="24"/>
          <w:szCs w:val="22"/>
          <w:lang w:val="sr-Cyrl-CS"/>
        </w:rPr>
        <w:t>: обновљиви извори енергије, енергетска ефикасност, транспорт, одржива вода и управљање отпадним водама, спречавање загађења и циркуларна економија, заштита животне средине и биодиверзитета и одржива пољопривреда.</w:t>
      </w:r>
    </w:p>
    <w:p w14:paraId="2F152445" w14:textId="2741E4CE" w:rsidR="00F64BC2" w:rsidRPr="005303F7" w:rsidRDefault="00DA7CD2" w:rsidP="00FE2D5B">
      <w:pPr>
        <w:rPr>
          <w:rFonts w:ascii="Times New Roman" w:hAnsi="Times New Roman"/>
          <w:bCs/>
          <w:iCs/>
          <w:sz w:val="24"/>
          <w:szCs w:val="22"/>
          <w:lang w:val="sr-Cyrl-CS"/>
        </w:rPr>
      </w:pPr>
      <w:r w:rsidRPr="005303F7">
        <w:rPr>
          <w:rFonts w:ascii="Times New Roman" w:hAnsi="Times New Roman"/>
          <w:bCs/>
          <w:iCs/>
          <w:sz w:val="24"/>
          <w:szCs w:val="22"/>
          <w:lang w:val="sr-Cyrl-CS"/>
        </w:rPr>
        <w:t xml:space="preserve">             </w:t>
      </w:r>
      <w:r w:rsidR="00D73AAB" w:rsidRPr="005303F7">
        <w:rPr>
          <w:rFonts w:ascii="Times New Roman" w:hAnsi="Times New Roman"/>
          <w:bCs/>
          <w:iCs/>
          <w:sz w:val="24"/>
          <w:szCs w:val="22"/>
          <w:lang w:val="sr-Cyrl-CS"/>
        </w:rPr>
        <w:t>Република Србија</w:t>
      </w:r>
      <w:r w:rsidR="00F64BC2" w:rsidRPr="005303F7">
        <w:rPr>
          <w:rFonts w:ascii="Times New Roman" w:hAnsi="Times New Roman"/>
          <w:bCs/>
          <w:iCs/>
          <w:sz w:val="24"/>
          <w:szCs w:val="22"/>
          <w:lang w:val="sr-Cyrl-CS"/>
        </w:rPr>
        <w:t xml:space="preserve"> је прикупила 1 милијарду евра током прве аукције зелених обвезница у септембру 2021. Ова средст</w:t>
      </w:r>
      <w:r w:rsidR="00786EDD" w:rsidRPr="005303F7">
        <w:rPr>
          <w:rFonts w:ascii="Times New Roman" w:hAnsi="Times New Roman"/>
          <w:bCs/>
          <w:iCs/>
          <w:sz w:val="24"/>
          <w:szCs w:val="22"/>
          <w:lang w:val="sr-Cyrl-CS"/>
        </w:rPr>
        <w:t>в</w:t>
      </w:r>
      <w:r w:rsidR="00F64BC2" w:rsidRPr="005303F7">
        <w:rPr>
          <w:rFonts w:ascii="Times New Roman" w:hAnsi="Times New Roman"/>
          <w:bCs/>
          <w:iCs/>
          <w:sz w:val="24"/>
          <w:szCs w:val="22"/>
          <w:lang w:val="sr-Cyrl-CS"/>
        </w:rPr>
        <w:t xml:space="preserve">а треба да буду доступна током периода имплементације ове </w:t>
      </w:r>
      <w:r w:rsidR="00287E88" w:rsidRPr="005303F7">
        <w:rPr>
          <w:rFonts w:ascii="Times New Roman" w:hAnsi="Times New Roman"/>
          <w:bCs/>
          <w:iCs/>
          <w:sz w:val="24"/>
          <w:szCs w:val="22"/>
          <w:lang w:val="sr-Cyrl-CS"/>
        </w:rPr>
        <w:t>с</w:t>
      </w:r>
      <w:r w:rsidR="00F64BC2" w:rsidRPr="005303F7">
        <w:rPr>
          <w:rFonts w:ascii="Times New Roman" w:hAnsi="Times New Roman"/>
          <w:bCs/>
          <w:iCs/>
          <w:sz w:val="24"/>
          <w:szCs w:val="22"/>
          <w:lang w:val="sr-Cyrl-CS"/>
        </w:rPr>
        <w:t>тратегије.</w:t>
      </w:r>
    </w:p>
    <w:p w14:paraId="5D94550D" w14:textId="3F0469F7" w:rsidR="00F64BC2" w:rsidRPr="005303F7" w:rsidRDefault="00F64BC2" w:rsidP="00807599">
      <w:pPr>
        <w:pStyle w:val="Standard6"/>
        <w:rPr>
          <w:b/>
          <w:bCs/>
          <w:lang w:val="sr-Cyrl-CS"/>
        </w:rPr>
      </w:pPr>
      <w:r w:rsidRPr="005303F7">
        <w:rPr>
          <w:rFonts w:ascii="Times New Roman" w:hAnsi="Times New Roman"/>
          <w:b/>
          <w:bCs/>
          <w:sz w:val="24"/>
          <w:szCs w:val="22"/>
          <w:lang w:val="sr-Cyrl-CS"/>
        </w:rPr>
        <w:t>Буџетска средства и програмске активности</w:t>
      </w:r>
    </w:p>
    <w:p w14:paraId="3EE61A3C" w14:textId="32A206B4" w:rsidR="00CB6727" w:rsidRPr="005303F7" w:rsidRDefault="00DA7CD2" w:rsidP="00807599">
      <w:pPr>
        <w:pStyle w:val="Standard6"/>
        <w:rPr>
          <w:rFonts w:ascii="Times New Roman" w:hAnsi="Times New Roman"/>
          <w:sz w:val="24"/>
          <w:szCs w:val="22"/>
          <w:lang w:val="sr-Cyrl-CS"/>
        </w:rPr>
      </w:pPr>
      <w:r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Расположива</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буџетска</w:t>
      </w:r>
      <w:r w:rsidR="007169ED"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средства</w:t>
      </w:r>
      <w:r w:rsidR="00FB3882" w:rsidRPr="005303F7">
        <w:rPr>
          <w:rFonts w:ascii="Times New Roman" w:hAnsi="Times New Roman"/>
          <w:sz w:val="24"/>
          <w:szCs w:val="22"/>
          <w:lang w:val="sr-Cyrl-CS"/>
        </w:rPr>
        <w:t xml:space="preserve"> </w:t>
      </w:r>
      <w:r w:rsidR="00B502B7" w:rsidRPr="005303F7">
        <w:rPr>
          <w:rFonts w:ascii="Times New Roman" w:hAnsi="Times New Roman"/>
          <w:sz w:val="24"/>
          <w:szCs w:val="22"/>
          <w:lang w:val="sr-Cyrl-CS"/>
        </w:rPr>
        <w:t xml:space="preserve">за </w:t>
      </w:r>
      <w:r w:rsidR="00FB3882" w:rsidRPr="005303F7">
        <w:rPr>
          <w:rFonts w:ascii="Times New Roman" w:hAnsi="Times New Roman"/>
          <w:sz w:val="24"/>
          <w:szCs w:val="22"/>
          <w:lang w:val="sr-Cyrl-CS"/>
        </w:rPr>
        <w:t>програмске активности</w:t>
      </w:r>
      <w:r w:rsidR="007169ED" w:rsidRPr="005303F7">
        <w:rPr>
          <w:rFonts w:ascii="Times New Roman" w:hAnsi="Times New Roman"/>
          <w:sz w:val="24"/>
          <w:szCs w:val="22"/>
          <w:lang w:val="sr-Cyrl-CS"/>
        </w:rPr>
        <w:t xml:space="preserve"> </w:t>
      </w:r>
      <w:r w:rsidR="00B502B7" w:rsidRPr="005303F7">
        <w:rPr>
          <w:rFonts w:ascii="Times New Roman" w:hAnsi="Times New Roman"/>
          <w:sz w:val="24"/>
          <w:szCs w:val="22"/>
          <w:lang w:val="sr-Cyrl-CS"/>
        </w:rPr>
        <w:t xml:space="preserve">које се односе на </w:t>
      </w:r>
      <w:r w:rsidR="00C72DFD"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мера</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енергетске</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ефикасности</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пове</w:t>
      </w:r>
      <w:r w:rsidR="00016298" w:rsidRPr="005303F7">
        <w:rPr>
          <w:rFonts w:ascii="Times New Roman" w:hAnsi="Times New Roman"/>
          <w:sz w:val="24"/>
          <w:szCs w:val="22"/>
          <w:lang w:val="sr-Cyrl-CS"/>
        </w:rPr>
        <w:t>ћ</w:t>
      </w:r>
      <w:r w:rsidR="00341533" w:rsidRPr="005303F7">
        <w:rPr>
          <w:rFonts w:ascii="Times New Roman" w:hAnsi="Times New Roman"/>
          <w:sz w:val="24"/>
          <w:szCs w:val="22"/>
          <w:lang w:val="sr-Cyrl-CS"/>
        </w:rPr>
        <w:t>ања</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понора</w:t>
      </w:r>
      <w:r w:rsidR="00855C10"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угљеника</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и</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смањења</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емисија</w:t>
      </w:r>
      <w:r w:rsidR="005D542F" w:rsidRPr="005303F7">
        <w:rPr>
          <w:rFonts w:ascii="Times New Roman" w:hAnsi="Times New Roman"/>
          <w:sz w:val="24"/>
          <w:szCs w:val="22"/>
          <w:lang w:val="sr-Cyrl-CS"/>
        </w:rPr>
        <w:t>,</w:t>
      </w:r>
      <w:r w:rsidR="00AB026F" w:rsidRPr="005303F7">
        <w:rPr>
          <w:rFonts w:ascii="Times New Roman" w:hAnsi="Times New Roman"/>
          <w:sz w:val="24"/>
          <w:lang w:val="sr-Cyrl-CS"/>
        </w:rPr>
        <w:t xml:space="preserve"> </w:t>
      </w:r>
      <w:r w:rsidR="00B502B7" w:rsidRPr="005303F7">
        <w:rPr>
          <w:rFonts w:ascii="Times New Roman" w:hAnsi="Times New Roman"/>
          <w:sz w:val="24"/>
          <w:szCs w:val="22"/>
          <w:lang w:val="sr-Cyrl-CS"/>
        </w:rPr>
        <w:t>су</w:t>
      </w:r>
      <w:r w:rsidR="00635A53"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у</w:t>
      </w:r>
      <w:r w:rsidR="00635A53" w:rsidRPr="005303F7">
        <w:rPr>
          <w:rFonts w:ascii="Times New Roman" w:hAnsi="Times New Roman"/>
          <w:sz w:val="24"/>
          <w:szCs w:val="22"/>
          <w:lang w:val="sr-Cyrl-CS"/>
        </w:rPr>
        <w:t xml:space="preserve"> 20</w:t>
      </w:r>
      <w:r w:rsidR="00FB3882" w:rsidRPr="005303F7">
        <w:rPr>
          <w:rFonts w:ascii="Times New Roman" w:hAnsi="Times New Roman"/>
          <w:sz w:val="24"/>
          <w:szCs w:val="22"/>
          <w:lang w:val="sr-Cyrl-CS"/>
        </w:rPr>
        <w:t>20</w:t>
      </w:r>
      <w:r w:rsidR="00635A53"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години</w:t>
      </w:r>
      <w:r w:rsidR="005D542F"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из</w:t>
      </w:r>
      <w:r w:rsidR="00B502B7" w:rsidRPr="005303F7">
        <w:rPr>
          <w:rFonts w:ascii="Times New Roman" w:hAnsi="Times New Roman"/>
          <w:sz w:val="24"/>
          <w:szCs w:val="22"/>
          <w:lang w:val="sr-Cyrl-CS"/>
        </w:rPr>
        <w:t>носила</w:t>
      </w:r>
      <w:r w:rsidR="00D553BE" w:rsidRPr="005303F7">
        <w:rPr>
          <w:rFonts w:ascii="Times New Roman" w:hAnsi="Times New Roman"/>
          <w:sz w:val="24"/>
          <w:szCs w:val="22"/>
          <w:lang w:val="sr-Cyrl-CS"/>
        </w:rPr>
        <w:t>:</w:t>
      </w:r>
    </w:p>
    <w:p w14:paraId="0170F3FA" w14:textId="01ABBC0D" w:rsidR="00CB6727" w:rsidRPr="005303F7" w:rsidRDefault="00565CBE" w:rsidP="00D93231">
      <w:pPr>
        <w:pStyle w:val="ListParagraph"/>
        <w:numPr>
          <w:ilvl w:val="0"/>
          <w:numId w:val="50"/>
        </w:numPr>
        <w:rPr>
          <w:rFonts w:ascii="Times New Roman" w:hAnsi="Times New Roman"/>
          <w:sz w:val="24"/>
          <w:szCs w:val="22"/>
          <w:lang w:val="sr-Cyrl-CS"/>
        </w:rPr>
      </w:pPr>
      <w:r w:rsidRPr="005303F7">
        <w:rPr>
          <w:rFonts w:ascii="Times New Roman" w:hAnsi="Times New Roman"/>
          <w:sz w:val="24"/>
          <w:szCs w:val="22"/>
          <w:lang w:val="sr-Cyrl-CS"/>
        </w:rPr>
        <w:t>Програмске активности</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за</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енергетску</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ефикасност</w:t>
      </w:r>
      <w:r w:rsidR="00CB6727" w:rsidRPr="005303F7">
        <w:rPr>
          <w:rFonts w:ascii="Times New Roman" w:hAnsi="Times New Roman"/>
          <w:sz w:val="24"/>
          <w:szCs w:val="22"/>
          <w:lang w:val="sr-Cyrl-CS"/>
        </w:rPr>
        <w:t xml:space="preserve"> (</w:t>
      </w:r>
      <w:r w:rsidR="00FB3882" w:rsidRPr="005303F7">
        <w:rPr>
          <w:rFonts w:ascii="Times New Roman" w:hAnsi="Times New Roman"/>
          <w:sz w:val="24"/>
          <w:szCs w:val="22"/>
          <w:lang w:val="sr-Cyrl-CS"/>
        </w:rPr>
        <w:t>500,2</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милиона</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динара</w:t>
      </w:r>
      <w:r w:rsidR="00CB6727" w:rsidRPr="005303F7">
        <w:rPr>
          <w:rFonts w:ascii="Times New Roman" w:hAnsi="Times New Roman"/>
          <w:sz w:val="24"/>
          <w:szCs w:val="22"/>
          <w:lang w:val="sr-Cyrl-CS"/>
        </w:rPr>
        <w:t>)</w:t>
      </w:r>
      <w:r w:rsidR="00FC1DBA" w:rsidRPr="005303F7">
        <w:rPr>
          <w:rFonts w:ascii="Times New Roman" w:hAnsi="Times New Roman"/>
          <w:sz w:val="24"/>
          <w:szCs w:val="22"/>
          <w:lang w:val="sr-Cyrl-CS"/>
        </w:rPr>
        <w:t>;</w:t>
      </w:r>
    </w:p>
    <w:p w14:paraId="654C7CC2" w14:textId="325C6B63" w:rsidR="00CB6727" w:rsidRPr="005303F7" w:rsidRDefault="00FC1DBA" w:rsidP="00FC1DBA">
      <w:pPr>
        <w:pStyle w:val="ListParagraph"/>
        <w:numPr>
          <w:ilvl w:val="0"/>
          <w:numId w:val="50"/>
        </w:numPr>
        <w:tabs>
          <w:tab w:val="clear" w:pos="3825"/>
          <w:tab w:val="left" w:pos="709"/>
        </w:tabs>
        <w:ind w:left="0" w:firstLine="420"/>
        <w:rPr>
          <w:rFonts w:ascii="Times New Roman" w:hAnsi="Times New Roman"/>
          <w:sz w:val="24"/>
          <w:szCs w:val="22"/>
          <w:lang w:val="sr-Cyrl-CS"/>
        </w:rPr>
      </w:pPr>
      <w:r w:rsidRPr="005303F7">
        <w:rPr>
          <w:rFonts w:ascii="Times New Roman" w:hAnsi="Times New Roman"/>
          <w:sz w:val="24"/>
          <w:szCs w:val="22"/>
          <w:lang w:val="sr-Cyrl-CS"/>
        </w:rPr>
        <w:t xml:space="preserve"> </w:t>
      </w:r>
      <w:r w:rsidR="00565CBE" w:rsidRPr="005303F7">
        <w:rPr>
          <w:rFonts w:ascii="Times New Roman" w:hAnsi="Times New Roman"/>
          <w:sz w:val="24"/>
          <w:szCs w:val="22"/>
          <w:lang w:val="sr-Cyrl-CS"/>
        </w:rPr>
        <w:t xml:space="preserve">Програмске активности </w:t>
      </w:r>
      <w:r w:rsidR="00341533" w:rsidRPr="005303F7">
        <w:rPr>
          <w:rFonts w:ascii="Times New Roman" w:hAnsi="Times New Roman"/>
          <w:sz w:val="24"/>
          <w:szCs w:val="22"/>
          <w:lang w:val="sr-Cyrl-CS"/>
        </w:rPr>
        <w:t>за</w:t>
      </w:r>
      <w:r w:rsidR="005D542F"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шуме</w:t>
      </w:r>
      <w:r w:rsidR="00CB6727" w:rsidRPr="005303F7">
        <w:rPr>
          <w:rFonts w:ascii="Times New Roman" w:hAnsi="Times New Roman"/>
          <w:sz w:val="24"/>
          <w:szCs w:val="22"/>
          <w:lang w:val="sr-Cyrl-CS"/>
        </w:rPr>
        <w:t xml:space="preserve"> (</w:t>
      </w:r>
      <w:r w:rsidR="00FB3882" w:rsidRPr="005303F7">
        <w:rPr>
          <w:rFonts w:ascii="Times New Roman" w:hAnsi="Times New Roman"/>
          <w:sz w:val="24"/>
          <w:szCs w:val="22"/>
          <w:lang w:val="sr-Cyrl-CS"/>
        </w:rPr>
        <w:t>80</w:t>
      </w:r>
      <w:r w:rsidR="00CB6727" w:rsidRPr="005303F7">
        <w:rPr>
          <w:rFonts w:ascii="Times New Roman" w:hAnsi="Times New Roman"/>
          <w:sz w:val="24"/>
          <w:szCs w:val="22"/>
          <w:lang w:val="sr-Cyrl-CS"/>
        </w:rPr>
        <w:t>0</w:t>
      </w:r>
      <w:r w:rsidR="00EB472B"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милиона</w:t>
      </w:r>
      <w:r w:rsidR="00EB472B"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динара</w:t>
      </w:r>
      <w:r w:rsidR="00CB6727" w:rsidRPr="005303F7">
        <w:rPr>
          <w:rFonts w:ascii="Times New Roman" w:hAnsi="Times New Roman"/>
          <w:sz w:val="24"/>
          <w:szCs w:val="22"/>
          <w:lang w:val="sr-Cyrl-CS"/>
        </w:rPr>
        <w:t xml:space="preserve">) / </w:t>
      </w:r>
      <w:r w:rsidR="00565CBE" w:rsidRPr="005303F7">
        <w:rPr>
          <w:rFonts w:ascii="Times New Roman" w:hAnsi="Times New Roman"/>
          <w:sz w:val="24"/>
          <w:szCs w:val="22"/>
          <w:lang w:val="sr-Cyrl-CS"/>
        </w:rPr>
        <w:t>Програмске активности</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за</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шуме</w:t>
      </w:r>
      <w:r w:rsidR="00CB6727" w:rsidRPr="005303F7">
        <w:rPr>
          <w:rFonts w:ascii="Times New Roman" w:hAnsi="Times New Roman"/>
          <w:sz w:val="24"/>
          <w:szCs w:val="22"/>
          <w:lang w:val="sr-Cyrl-CS"/>
        </w:rPr>
        <w:t xml:space="preserve"> </w:t>
      </w:r>
      <w:r w:rsidR="001F7E80" w:rsidRPr="005303F7">
        <w:rPr>
          <w:rFonts w:ascii="Times New Roman" w:hAnsi="Times New Roman"/>
          <w:sz w:val="24"/>
          <w:szCs w:val="22"/>
          <w:lang w:val="sr-Cyrl-CS"/>
        </w:rPr>
        <w:t>АП</w:t>
      </w:r>
      <w:r w:rsidR="005D542F"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Војводине</w:t>
      </w:r>
      <w:r w:rsidR="00CB6727" w:rsidRPr="005303F7">
        <w:rPr>
          <w:rFonts w:ascii="Times New Roman" w:hAnsi="Times New Roman"/>
          <w:sz w:val="24"/>
          <w:szCs w:val="22"/>
          <w:lang w:val="sr-Cyrl-CS"/>
        </w:rPr>
        <w:t xml:space="preserve"> (1</w:t>
      </w:r>
      <w:r w:rsidR="00FB3882" w:rsidRPr="005303F7">
        <w:rPr>
          <w:rFonts w:ascii="Times New Roman" w:hAnsi="Times New Roman"/>
          <w:sz w:val="24"/>
          <w:szCs w:val="22"/>
          <w:lang w:val="sr-Cyrl-CS"/>
        </w:rPr>
        <w:t>23</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милиона</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динара</w:t>
      </w:r>
      <w:r w:rsidR="00CB6727" w:rsidRPr="005303F7">
        <w:rPr>
          <w:rFonts w:ascii="Times New Roman" w:hAnsi="Times New Roman"/>
          <w:sz w:val="24"/>
          <w:szCs w:val="22"/>
          <w:lang w:val="sr-Cyrl-CS"/>
        </w:rPr>
        <w:t>)</w:t>
      </w:r>
      <w:r w:rsidR="00FB3882" w:rsidRPr="005303F7">
        <w:rPr>
          <w:rStyle w:val="FootnoteReference"/>
          <w:szCs w:val="22"/>
          <w:lang w:val="sr-Cyrl-CS"/>
        </w:rPr>
        <w:footnoteReference w:id="61"/>
      </w:r>
      <w:r w:rsidRPr="005303F7">
        <w:rPr>
          <w:rFonts w:ascii="Times New Roman" w:hAnsi="Times New Roman"/>
          <w:sz w:val="24"/>
          <w:szCs w:val="22"/>
          <w:lang w:val="sr-Cyrl-CS"/>
        </w:rPr>
        <w:t>;</w:t>
      </w:r>
    </w:p>
    <w:p w14:paraId="425B0E7F" w14:textId="161E9489" w:rsidR="00CB6727" w:rsidRPr="005303F7" w:rsidRDefault="00F64BC2" w:rsidP="00D93231">
      <w:pPr>
        <w:pStyle w:val="ListParagraph"/>
        <w:numPr>
          <w:ilvl w:val="0"/>
          <w:numId w:val="50"/>
        </w:numPr>
        <w:rPr>
          <w:rFonts w:ascii="Times New Roman" w:hAnsi="Times New Roman"/>
          <w:sz w:val="24"/>
          <w:szCs w:val="22"/>
          <w:lang w:val="sr-Cyrl-CS"/>
        </w:rPr>
      </w:pPr>
      <w:r w:rsidRPr="005303F7">
        <w:rPr>
          <w:rFonts w:ascii="Times New Roman" w:hAnsi="Times New Roman"/>
          <w:sz w:val="24"/>
          <w:szCs w:val="22"/>
          <w:lang w:val="sr-Cyrl-CS"/>
        </w:rPr>
        <w:t>Зелен</w:t>
      </w:r>
      <w:r w:rsidR="00B502B7" w:rsidRPr="005303F7">
        <w:rPr>
          <w:rFonts w:ascii="Times New Roman" w:hAnsi="Times New Roman"/>
          <w:sz w:val="24"/>
          <w:szCs w:val="22"/>
          <w:lang w:val="sr-Cyrl-CS"/>
        </w:rPr>
        <w:t>и фонд</w:t>
      </w:r>
      <w:r w:rsidR="00627AEB" w:rsidRPr="005303F7">
        <w:rPr>
          <w:rFonts w:ascii="Times New Roman" w:hAnsi="Times New Roman"/>
          <w:sz w:val="24"/>
          <w:szCs w:val="22"/>
          <w:lang w:val="sr-Cyrl-CS"/>
        </w:rPr>
        <w:t xml:space="preserve"> </w:t>
      </w:r>
      <w:r w:rsidR="00FB3882" w:rsidRPr="005303F7">
        <w:rPr>
          <w:rFonts w:ascii="Times New Roman" w:hAnsi="Times New Roman"/>
          <w:sz w:val="24"/>
          <w:szCs w:val="22"/>
          <w:lang w:val="sr-Cyrl-CS"/>
        </w:rPr>
        <w:t>(</w:t>
      </w:r>
      <w:r w:rsidRPr="005303F7">
        <w:rPr>
          <w:rFonts w:ascii="Times New Roman" w:hAnsi="Times New Roman"/>
          <w:sz w:val="24"/>
          <w:szCs w:val="22"/>
          <w:lang w:val="sr-Cyrl-CS"/>
        </w:rPr>
        <w:t>4</w:t>
      </w:r>
      <w:r w:rsidR="00786EDD" w:rsidRPr="005303F7">
        <w:rPr>
          <w:rFonts w:ascii="Times New Roman" w:hAnsi="Times New Roman"/>
          <w:sz w:val="24"/>
          <w:szCs w:val="22"/>
          <w:lang w:val="sr-Cyrl-CS"/>
        </w:rPr>
        <w:t xml:space="preserve"> </w:t>
      </w:r>
      <w:r w:rsidRPr="005303F7">
        <w:rPr>
          <w:rFonts w:ascii="Times New Roman" w:hAnsi="Times New Roman"/>
          <w:sz w:val="24"/>
          <w:szCs w:val="22"/>
          <w:lang w:val="sr-Cyrl-CS"/>
        </w:rPr>
        <w:t>341 милијарди</w:t>
      </w:r>
      <w:r w:rsidR="00FC1DBA" w:rsidRPr="005303F7">
        <w:rPr>
          <w:rFonts w:ascii="Times New Roman" w:hAnsi="Times New Roman"/>
          <w:sz w:val="24"/>
          <w:szCs w:val="22"/>
          <w:lang w:val="sr-Cyrl-CS"/>
        </w:rPr>
        <w:t xml:space="preserve"> динара);</w:t>
      </w:r>
    </w:p>
    <w:p w14:paraId="21EEAC74" w14:textId="5C97B894" w:rsidR="00CB6727" w:rsidRPr="005303F7" w:rsidRDefault="00041758" w:rsidP="00041758">
      <w:pPr>
        <w:pStyle w:val="ListParagraph"/>
        <w:numPr>
          <w:ilvl w:val="0"/>
          <w:numId w:val="50"/>
        </w:numPr>
        <w:tabs>
          <w:tab w:val="clear" w:pos="3825"/>
          <w:tab w:val="left" w:pos="709"/>
        </w:tabs>
        <w:ind w:left="0" w:firstLine="420"/>
        <w:rPr>
          <w:rFonts w:ascii="Times New Roman" w:hAnsi="Times New Roman"/>
          <w:sz w:val="24"/>
          <w:szCs w:val="22"/>
          <w:lang w:val="sr-Cyrl-CS"/>
        </w:rPr>
      </w:pPr>
      <w:r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Буџетског</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фонда</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за</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воде</w:t>
      </w:r>
      <w:r w:rsidR="00CB6727" w:rsidRPr="005303F7">
        <w:rPr>
          <w:rFonts w:ascii="Times New Roman" w:hAnsi="Times New Roman"/>
          <w:sz w:val="24"/>
          <w:szCs w:val="22"/>
          <w:lang w:val="sr-Cyrl-CS"/>
        </w:rPr>
        <w:t xml:space="preserve"> </w:t>
      </w:r>
      <w:r w:rsidR="00D73AAB" w:rsidRPr="005303F7">
        <w:rPr>
          <w:rFonts w:ascii="Times New Roman" w:hAnsi="Times New Roman"/>
          <w:sz w:val="24"/>
          <w:szCs w:val="22"/>
          <w:lang w:val="sr-Cyrl-CS"/>
        </w:rPr>
        <w:t>Републике Србије</w:t>
      </w:r>
      <w:r w:rsidR="00CB6727" w:rsidRPr="005303F7">
        <w:rPr>
          <w:rFonts w:ascii="Times New Roman" w:hAnsi="Times New Roman"/>
          <w:sz w:val="24"/>
          <w:szCs w:val="22"/>
          <w:lang w:val="sr-Cyrl-CS"/>
        </w:rPr>
        <w:t xml:space="preserve"> (3</w:t>
      </w:r>
      <w:r w:rsidR="007B60BA" w:rsidRPr="005303F7">
        <w:rPr>
          <w:rFonts w:ascii="Times New Roman" w:hAnsi="Times New Roman"/>
          <w:sz w:val="24"/>
          <w:szCs w:val="22"/>
          <w:lang w:val="sr-Cyrl-CS"/>
        </w:rPr>
        <w:t>,</w:t>
      </w:r>
      <w:r w:rsidR="00FB3882" w:rsidRPr="005303F7">
        <w:rPr>
          <w:rFonts w:ascii="Times New Roman" w:hAnsi="Times New Roman"/>
          <w:sz w:val="24"/>
          <w:szCs w:val="22"/>
          <w:lang w:val="sr-Cyrl-CS"/>
        </w:rPr>
        <w:t>880</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милијарди</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динара</w:t>
      </w:r>
      <w:r w:rsidR="00CB6727" w:rsidRPr="005303F7">
        <w:rPr>
          <w:rFonts w:ascii="Times New Roman" w:hAnsi="Times New Roman"/>
          <w:sz w:val="24"/>
          <w:szCs w:val="22"/>
          <w:lang w:val="sr-Cyrl-CS"/>
        </w:rPr>
        <w:t xml:space="preserve">) / </w:t>
      </w:r>
      <w:r w:rsidR="00341533" w:rsidRPr="005303F7">
        <w:rPr>
          <w:rFonts w:ascii="Times New Roman" w:hAnsi="Times New Roman"/>
          <w:sz w:val="24"/>
          <w:szCs w:val="22"/>
          <w:lang w:val="sr-Cyrl-CS"/>
        </w:rPr>
        <w:t>Буџетског</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фонда</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за</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воде</w:t>
      </w:r>
      <w:r w:rsidR="00CB6727" w:rsidRPr="005303F7">
        <w:rPr>
          <w:rFonts w:ascii="Times New Roman" w:hAnsi="Times New Roman"/>
          <w:sz w:val="24"/>
          <w:szCs w:val="22"/>
          <w:lang w:val="sr-Cyrl-CS"/>
        </w:rPr>
        <w:t xml:space="preserve"> </w:t>
      </w:r>
      <w:r w:rsidR="001F7E80" w:rsidRPr="005303F7">
        <w:rPr>
          <w:rFonts w:ascii="Times New Roman" w:hAnsi="Times New Roman"/>
          <w:sz w:val="24"/>
          <w:szCs w:val="22"/>
          <w:lang w:val="sr-Cyrl-CS"/>
        </w:rPr>
        <w:t xml:space="preserve">АП </w:t>
      </w:r>
      <w:r w:rsidR="00341533" w:rsidRPr="005303F7">
        <w:rPr>
          <w:rFonts w:ascii="Times New Roman" w:hAnsi="Times New Roman"/>
          <w:sz w:val="24"/>
          <w:szCs w:val="22"/>
          <w:lang w:val="sr-Cyrl-CS"/>
        </w:rPr>
        <w:t>Војводине</w:t>
      </w:r>
      <w:r w:rsidR="00CB6727" w:rsidRPr="005303F7">
        <w:rPr>
          <w:rFonts w:ascii="Times New Roman" w:hAnsi="Times New Roman"/>
          <w:sz w:val="24"/>
          <w:szCs w:val="22"/>
          <w:lang w:val="sr-Cyrl-CS"/>
        </w:rPr>
        <w:t xml:space="preserve"> (4</w:t>
      </w:r>
      <w:r w:rsidR="007B60BA" w:rsidRPr="005303F7">
        <w:rPr>
          <w:rFonts w:ascii="Times New Roman" w:hAnsi="Times New Roman"/>
          <w:sz w:val="24"/>
          <w:szCs w:val="22"/>
          <w:lang w:val="sr-Cyrl-CS"/>
        </w:rPr>
        <w:t>,</w:t>
      </w:r>
      <w:r w:rsidR="00FB3882" w:rsidRPr="005303F7">
        <w:rPr>
          <w:rFonts w:ascii="Times New Roman" w:hAnsi="Times New Roman"/>
          <w:sz w:val="24"/>
          <w:szCs w:val="22"/>
          <w:lang w:val="sr-Cyrl-CS"/>
        </w:rPr>
        <w:t>435</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милијарди</w:t>
      </w:r>
      <w:r w:rsidR="00CB6727" w:rsidRPr="005303F7">
        <w:rPr>
          <w:rFonts w:ascii="Times New Roman" w:hAnsi="Times New Roman"/>
          <w:sz w:val="24"/>
          <w:szCs w:val="22"/>
          <w:lang w:val="sr-Cyrl-CS"/>
        </w:rPr>
        <w:t xml:space="preserve"> </w:t>
      </w:r>
      <w:r w:rsidR="00341533" w:rsidRPr="005303F7">
        <w:rPr>
          <w:rFonts w:ascii="Times New Roman" w:hAnsi="Times New Roman"/>
          <w:sz w:val="24"/>
          <w:szCs w:val="22"/>
          <w:lang w:val="sr-Cyrl-CS"/>
        </w:rPr>
        <w:t>динара</w:t>
      </w:r>
      <w:r w:rsidR="00CB6727" w:rsidRPr="005303F7">
        <w:rPr>
          <w:rFonts w:ascii="Times New Roman" w:hAnsi="Times New Roman"/>
          <w:sz w:val="24"/>
          <w:szCs w:val="22"/>
          <w:lang w:val="sr-Cyrl-CS"/>
        </w:rPr>
        <w:t>)</w:t>
      </w:r>
      <w:r w:rsidR="00D553BE" w:rsidRPr="005303F7">
        <w:rPr>
          <w:rFonts w:ascii="Times New Roman" w:hAnsi="Times New Roman"/>
          <w:sz w:val="24"/>
          <w:szCs w:val="22"/>
          <w:lang w:val="sr-Cyrl-CS"/>
        </w:rPr>
        <w:t>.</w:t>
      </w:r>
    </w:p>
    <w:p w14:paraId="6D13F0B0" w14:textId="2AC407E4" w:rsidR="00CB6727" w:rsidRPr="005303F7" w:rsidRDefault="00DA7CD2" w:rsidP="00CB6727">
      <w:pPr>
        <w:ind w:left="60"/>
        <w:rPr>
          <w:rFonts w:ascii="Times New Roman" w:hAnsi="Times New Roman"/>
          <w:sz w:val="24"/>
          <w:lang w:val="sr-Cyrl-CS"/>
        </w:rPr>
      </w:pPr>
      <w:r w:rsidRPr="005303F7">
        <w:rPr>
          <w:rFonts w:ascii="Times New Roman" w:hAnsi="Times New Roman"/>
          <w:sz w:val="24"/>
          <w:lang w:val="sr-Cyrl-CS"/>
        </w:rPr>
        <w:t xml:space="preserve">            </w:t>
      </w:r>
      <w:r w:rsidR="00341533" w:rsidRPr="005303F7">
        <w:rPr>
          <w:rFonts w:ascii="Times New Roman" w:hAnsi="Times New Roman"/>
          <w:sz w:val="24"/>
          <w:lang w:val="sr-Cyrl-CS"/>
        </w:rPr>
        <w:t>Укупан</w:t>
      </w:r>
      <w:r w:rsidR="005C36BB" w:rsidRPr="005303F7">
        <w:rPr>
          <w:rFonts w:ascii="Times New Roman" w:hAnsi="Times New Roman"/>
          <w:sz w:val="24"/>
          <w:lang w:val="sr-Cyrl-CS"/>
        </w:rPr>
        <w:t xml:space="preserve"> </w:t>
      </w:r>
      <w:r w:rsidR="00341533" w:rsidRPr="005303F7">
        <w:rPr>
          <w:rFonts w:ascii="Times New Roman" w:hAnsi="Times New Roman"/>
          <w:sz w:val="24"/>
          <w:lang w:val="sr-Cyrl-CS"/>
        </w:rPr>
        <w:t>износ</w:t>
      </w:r>
      <w:r w:rsidR="005C36BB" w:rsidRPr="005303F7">
        <w:rPr>
          <w:rFonts w:ascii="Times New Roman" w:hAnsi="Times New Roman"/>
          <w:sz w:val="24"/>
          <w:lang w:val="sr-Cyrl-CS"/>
        </w:rPr>
        <w:t xml:space="preserve"> </w:t>
      </w:r>
      <w:r w:rsidR="00341533" w:rsidRPr="005303F7">
        <w:rPr>
          <w:rFonts w:ascii="Times New Roman" w:hAnsi="Times New Roman"/>
          <w:sz w:val="24"/>
          <w:lang w:val="sr-Cyrl-CS"/>
        </w:rPr>
        <w:t>у</w:t>
      </w:r>
      <w:r w:rsidR="005C36BB" w:rsidRPr="005303F7">
        <w:rPr>
          <w:rFonts w:ascii="Times New Roman" w:hAnsi="Times New Roman"/>
          <w:sz w:val="24"/>
          <w:lang w:val="sr-Cyrl-CS"/>
        </w:rPr>
        <w:t xml:space="preserve"> 20</w:t>
      </w:r>
      <w:r w:rsidR="00FB3882" w:rsidRPr="005303F7">
        <w:rPr>
          <w:rFonts w:ascii="Times New Roman" w:hAnsi="Times New Roman"/>
          <w:sz w:val="24"/>
          <w:lang w:val="sr-Cyrl-CS"/>
        </w:rPr>
        <w:t>20</w:t>
      </w:r>
      <w:r w:rsidR="005C36BB" w:rsidRPr="005303F7">
        <w:rPr>
          <w:rFonts w:ascii="Times New Roman" w:hAnsi="Times New Roman"/>
          <w:sz w:val="24"/>
          <w:lang w:val="sr-Cyrl-CS"/>
        </w:rPr>
        <w:t xml:space="preserve">. </w:t>
      </w:r>
      <w:r w:rsidR="00341533" w:rsidRPr="005303F7">
        <w:rPr>
          <w:rFonts w:ascii="Times New Roman" w:hAnsi="Times New Roman"/>
          <w:sz w:val="24"/>
          <w:lang w:val="sr-Cyrl-CS"/>
        </w:rPr>
        <w:t>години</w:t>
      </w:r>
      <w:r w:rsidR="005C36BB" w:rsidRPr="005303F7">
        <w:rPr>
          <w:rFonts w:ascii="Times New Roman" w:hAnsi="Times New Roman"/>
          <w:sz w:val="24"/>
          <w:lang w:val="sr-Cyrl-CS"/>
        </w:rPr>
        <w:t xml:space="preserve"> </w:t>
      </w:r>
      <w:r w:rsidR="00341533" w:rsidRPr="005303F7">
        <w:rPr>
          <w:rFonts w:ascii="Times New Roman" w:hAnsi="Times New Roman"/>
          <w:sz w:val="24"/>
          <w:lang w:val="sr-Cyrl-CS"/>
        </w:rPr>
        <w:t>износио</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је</w:t>
      </w:r>
      <w:r w:rsidR="00CB6727" w:rsidRPr="005303F7">
        <w:rPr>
          <w:rFonts w:ascii="Times New Roman" w:hAnsi="Times New Roman"/>
          <w:sz w:val="24"/>
          <w:lang w:val="sr-Cyrl-CS"/>
        </w:rPr>
        <w:t xml:space="preserve"> </w:t>
      </w:r>
      <w:r w:rsidR="00F64BC2" w:rsidRPr="005303F7">
        <w:rPr>
          <w:rFonts w:ascii="Times New Roman" w:hAnsi="Times New Roman"/>
          <w:sz w:val="24"/>
          <w:lang w:val="sr-Cyrl-CS"/>
        </w:rPr>
        <w:t>14</w:t>
      </w:r>
      <w:r w:rsidR="00786EDD" w:rsidRPr="005303F7">
        <w:rPr>
          <w:rFonts w:ascii="Times New Roman" w:hAnsi="Times New Roman"/>
          <w:sz w:val="24"/>
          <w:lang w:val="sr-Cyrl-CS"/>
        </w:rPr>
        <w:t xml:space="preserve"> </w:t>
      </w:r>
      <w:r w:rsidR="00F64BC2" w:rsidRPr="005303F7">
        <w:rPr>
          <w:rFonts w:ascii="Times New Roman" w:hAnsi="Times New Roman"/>
          <w:sz w:val="24"/>
          <w:lang w:val="sr-Cyrl-CS"/>
        </w:rPr>
        <w:t>179</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милијарди</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динара</w:t>
      </w:r>
      <w:r w:rsidR="005C36BB" w:rsidRPr="005303F7">
        <w:rPr>
          <w:rFonts w:ascii="Times New Roman" w:hAnsi="Times New Roman"/>
          <w:sz w:val="24"/>
          <w:lang w:val="sr-Cyrl-CS"/>
        </w:rPr>
        <w:t>,</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односно</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око</w:t>
      </w:r>
      <w:r w:rsidR="00CB6727" w:rsidRPr="005303F7">
        <w:rPr>
          <w:rFonts w:ascii="Times New Roman" w:hAnsi="Times New Roman"/>
          <w:sz w:val="24"/>
          <w:lang w:val="sr-Cyrl-CS"/>
        </w:rPr>
        <w:t xml:space="preserve"> </w:t>
      </w:r>
      <w:r w:rsidR="00F64BC2" w:rsidRPr="005303F7">
        <w:rPr>
          <w:rFonts w:ascii="Times New Roman" w:hAnsi="Times New Roman"/>
          <w:sz w:val="24"/>
          <w:lang w:val="sr-Cyrl-CS"/>
        </w:rPr>
        <w:t>102-103</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милиона</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евра</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што</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тренутно</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представља</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само</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мали</w:t>
      </w:r>
      <w:r w:rsidR="00EB472B" w:rsidRPr="005303F7">
        <w:rPr>
          <w:rFonts w:ascii="Times New Roman" w:hAnsi="Times New Roman"/>
          <w:sz w:val="24"/>
          <w:lang w:val="sr-Cyrl-CS"/>
        </w:rPr>
        <w:t xml:space="preserve"> </w:t>
      </w:r>
      <w:r w:rsidR="00341533" w:rsidRPr="005303F7">
        <w:rPr>
          <w:rFonts w:ascii="Times New Roman" w:hAnsi="Times New Roman"/>
          <w:sz w:val="24"/>
          <w:lang w:val="sr-Cyrl-CS"/>
        </w:rPr>
        <w:t>део</w:t>
      </w:r>
      <w:r w:rsidR="00EB472B" w:rsidRPr="005303F7">
        <w:rPr>
          <w:rFonts w:ascii="Times New Roman" w:hAnsi="Times New Roman"/>
          <w:sz w:val="24"/>
          <w:lang w:val="sr-Cyrl-CS"/>
        </w:rPr>
        <w:t xml:space="preserve"> </w:t>
      </w:r>
      <w:r w:rsidR="00CB6727" w:rsidRPr="005303F7">
        <w:rPr>
          <w:rFonts w:ascii="Times New Roman" w:hAnsi="Times New Roman"/>
          <w:sz w:val="24"/>
          <w:lang w:val="sr-Cyrl-CS"/>
        </w:rPr>
        <w:t>(</w:t>
      </w:r>
      <w:r w:rsidR="00F64BC2" w:rsidRPr="005303F7">
        <w:rPr>
          <w:rFonts w:ascii="Times New Roman" w:hAnsi="Times New Roman"/>
          <w:sz w:val="24"/>
          <w:lang w:val="sr-Cyrl-CS"/>
        </w:rPr>
        <w:t>3-4</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потребних</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ресурса</w:t>
      </w:r>
      <w:r w:rsidR="00CB6727" w:rsidRPr="005303F7">
        <w:rPr>
          <w:rFonts w:ascii="Times New Roman" w:hAnsi="Times New Roman"/>
          <w:sz w:val="24"/>
          <w:lang w:val="sr-Cyrl-CS"/>
        </w:rPr>
        <w:t>.</w:t>
      </w:r>
      <w:r w:rsidR="00565CBE" w:rsidRPr="005303F7">
        <w:rPr>
          <w:rFonts w:ascii="Times New Roman" w:hAnsi="Times New Roman"/>
          <w:sz w:val="24"/>
          <w:lang w:val="sr-Cyrl-CS"/>
        </w:rPr>
        <w:t xml:space="preserve"> </w:t>
      </w:r>
      <w:r w:rsidR="00B502B7" w:rsidRPr="005303F7">
        <w:rPr>
          <w:rFonts w:ascii="Times New Roman" w:hAnsi="Times New Roman"/>
          <w:sz w:val="24"/>
          <w:lang w:val="sr-Cyrl-CS"/>
        </w:rPr>
        <w:t xml:space="preserve">Иако су </w:t>
      </w:r>
      <w:r w:rsidR="00565CBE" w:rsidRPr="005303F7">
        <w:rPr>
          <w:rFonts w:ascii="Times New Roman" w:hAnsi="Times New Roman"/>
          <w:sz w:val="24"/>
          <w:lang w:val="sr-Cyrl-CS"/>
        </w:rPr>
        <w:t>у 2021. и 2022. години, буџетск</w:t>
      </w:r>
      <w:r w:rsidR="00B502B7" w:rsidRPr="005303F7">
        <w:rPr>
          <w:rFonts w:ascii="Times New Roman" w:hAnsi="Times New Roman"/>
          <w:sz w:val="24"/>
          <w:lang w:val="sr-Cyrl-CS"/>
        </w:rPr>
        <w:t xml:space="preserve">а средства за ове </w:t>
      </w:r>
      <w:r w:rsidR="00565CBE" w:rsidRPr="005303F7">
        <w:rPr>
          <w:rFonts w:ascii="Times New Roman" w:hAnsi="Times New Roman"/>
          <w:sz w:val="24"/>
          <w:lang w:val="sr-Cyrl-CS"/>
        </w:rPr>
        <w:t>програмске активности значајно  повећан</w:t>
      </w:r>
      <w:r w:rsidR="00B502B7" w:rsidRPr="005303F7">
        <w:rPr>
          <w:rFonts w:ascii="Times New Roman" w:hAnsi="Times New Roman"/>
          <w:sz w:val="24"/>
          <w:lang w:val="sr-Cyrl-CS"/>
        </w:rPr>
        <w:t>а, она и даље нису довољна да би се постигли циљеви</w:t>
      </w:r>
      <w:r w:rsidR="009F5BD2" w:rsidRPr="005303F7">
        <w:rPr>
          <w:rFonts w:ascii="Times New Roman" w:hAnsi="Times New Roman"/>
          <w:sz w:val="24"/>
          <w:lang w:val="sr-Cyrl-CS"/>
        </w:rPr>
        <w:t>.</w:t>
      </w:r>
      <w:r w:rsidR="00B502B7" w:rsidRPr="005303F7">
        <w:rPr>
          <w:rFonts w:ascii="Times New Roman" w:hAnsi="Times New Roman"/>
          <w:sz w:val="24"/>
          <w:lang w:val="sr-Cyrl-CS"/>
        </w:rPr>
        <w:t xml:space="preserve"> </w:t>
      </w:r>
    </w:p>
    <w:p w14:paraId="556913D8" w14:textId="0D3E413C" w:rsidR="003107A6" w:rsidRPr="005303F7" w:rsidRDefault="004F4501">
      <w:pPr>
        <w:ind w:left="60"/>
        <w:rPr>
          <w:rFonts w:ascii="Times New Roman" w:hAnsi="Times New Roman"/>
          <w:sz w:val="24"/>
          <w:lang w:val="sr-Cyrl-CS"/>
        </w:rPr>
      </w:pPr>
      <w:r w:rsidRPr="005303F7">
        <w:rPr>
          <w:rFonts w:ascii="Times New Roman" w:hAnsi="Times New Roman"/>
          <w:sz w:val="24"/>
          <w:lang w:val="sr-Cyrl-CS"/>
        </w:rPr>
        <w:lastRenderedPageBreak/>
        <w:t xml:space="preserve">            </w:t>
      </w:r>
      <w:r w:rsidR="00565CBE" w:rsidRPr="005303F7">
        <w:rPr>
          <w:rFonts w:ascii="Times New Roman" w:hAnsi="Times New Roman"/>
          <w:sz w:val="24"/>
          <w:lang w:val="sr-Cyrl-CS"/>
        </w:rPr>
        <w:t>Уз то,</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потребно</w:t>
      </w:r>
      <w:r w:rsidR="004208E6" w:rsidRPr="005303F7">
        <w:rPr>
          <w:rFonts w:ascii="Times New Roman" w:hAnsi="Times New Roman"/>
          <w:sz w:val="24"/>
          <w:lang w:val="sr-Cyrl-CS"/>
        </w:rPr>
        <w:t xml:space="preserve"> </w:t>
      </w:r>
      <w:r w:rsidR="00D27C09" w:rsidRPr="005303F7">
        <w:rPr>
          <w:rFonts w:ascii="Times New Roman" w:hAnsi="Times New Roman"/>
          <w:sz w:val="24"/>
          <w:lang w:val="sr-Cyrl-CS"/>
        </w:rPr>
        <w:t xml:space="preserve">је </w:t>
      </w:r>
      <w:r w:rsidR="00341533" w:rsidRPr="005303F7">
        <w:rPr>
          <w:rFonts w:ascii="Times New Roman" w:hAnsi="Times New Roman"/>
          <w:sz w:val="24"/>
          <w:lang w:val="sr-Cyrl-CS"/>
        </w:rPr>
        <w:t>унапређење</w:t>
      </w:r>
      <w:r w:rsidR="004208E6" w:rsidRPr="005303F7">
        <w:rPr>
          <w:rFonts w:ascii="Times New Roman" w:hAnsi="Times New Roman"/>
          <w:sz w:val="24"/>
          <w:lang w:val="sr-Cyrl-CS"/>
        </w:rPr>
        <w:t xml:space="preserve"> </w:t>
      </w:r>
      <w:r w:rsidR="00341533" w:rsidRPr="005303F7">
        <w:rPr>
          <w:rFonts w:ascii="Times New Roman" w:hAnsi="Times New Roman"/>
          <w:sz w:val="24"/>
          <w:lang w:val="sr-Cyrl-CS"/>
        </w:rPr>
        <w:t>и</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рационализација</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ових</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инструмената</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како</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би</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се</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осигурало</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ефикасно</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управљање</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приходима</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који</w:t>
      </w:r>
      <w:r w:rsidR="00CB6727" w:rsidRPr="005303F7">
        <w:rPr>
          <w:rFonts w:ascii="Times New Roman" w:hAnsi="Times New Roman"/>
          <w:sz w:val="24"/>
          <w:lang w:val="sr-Cyrl-CS"/>
        </w:rPr>
        <w:t xml:space="preserve"> </w:t>
      </w:r>
      <w:r w:rsidR="00016298" w:rsidRPr="005303F7">
        <w:rPr>
          <w:rFonts w:ascii="Times New Roman" w:hAnsi="Times New Roman"/>
          <w:sz w:val="24"/>
          <w:lang w:val="sr-Cyrl-CS"/>
        </w:rPr>
        <w:t>ћ</w:t>
      </w:r>
      <w:r w:rsidR="00341533" w:rsidRPr="005303F7">
        <w:rPr>
          <w:rFonts w:ascii="Times New Roman" w:hAnsi="Times New Roman"/>
          <w:sz w:val="24"/>
          <w:lang w:val="sr-Cyrl-CS"/>
        </w:rPr>
        <w:t>е</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се</w:t>
      </w:r>
      <w:r w:rsidR="004208E6" w:rsidRPr="005303F7">
        <w:rPr>
          <w:rFonts w:ascii="Times New Roman" w:hAnsi="Times New Roman"/>
          <w:sz w:val="24"/>
          <w:lang w:val="sr-Cyrl-CS"/>
        </w:rPr>
        <w:t xml:space="preserve"> </w:t>
      </w:r>
      <w:r w:rsidR="00341533" w:rsidRPr="005303F7">
        <w:rPr>
          <w:rFonts w:ascii="Times New Roman" w:hAnsi="Times New Roman"/>
          <w:sz w:val="24"/>
          <w:lang w:val="sr-Cyrl-CS"/>
        </w:rPr>
        <w:t>у</w:t>
      </w:r>
      <w:r w:rsidR="004208E6" w:rsidRPr="005303F7">
        <w:rPr>
          <w:rFonts w:ascii="Times New Roman" w:hAnsi="Times New Roman"/>
          <w:sz w:val="24"/>
          <w:lang w:val="sr-Cyrl-CS"/>
        </w:rPr>
        <w:t xml:space="preserve"> </w:t>
      </w:r>
      <w:r w:rsidR="00341533" w:rsidRPr="005303F7">
        <w:rPr>
          <w:rFonts w:ascii="Times New Roman" w:hAnsi="Times New Roman"/>
          <w:sz w:val="24"/>
          <w:lang w:val="sr-Cyrl-CS"/>
        </w:rPr>
        <w:t>будућности</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генерисати</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и</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њихова</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благовремена</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употреба</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за</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подршку</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спровођењу</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мера</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обухва</w:t>
      </w:r>
      <w:r w:rsidR="00016298" w:rsidRPr="005303F7">
        <w:rPr>
          <w:rFonts w:ascii="Times New Roman" w:hAnsi="Times New Roman"/>
          <w:sz w:val="24"/>
          <w:lang w:val="sr-Cyrl-CS"/>
        </w:rPr>
        <w:t>ћ</w:t>
      </w:r>
      <w:r w:rsidR="00341533" w:rsidRPr="005303F7">
        <w:rPr>
          <w:rFonts w:ascii="Times New Roman" w:hAnsi="Times New Roman"/>
          <w:sz w:val="24"/>
          <w:lang w:val="sr-Cyrl-CS"/>
        </w:rPr>
        <w:t>ених</w:t>
      </w:r>
      <w:r w:rsidR="00CB6727" w:rsidRPr="005303F7">
        <w:rPr>
          <w:rFonts w:ascii="Times New Roman" w:hAnsi="Times New Roman"/>
          <w:sz w:val="24"/>
          <w:lang w:val="sr-Cyrl-CS"/>
        </w:rPr>
        <w:t xml:space="preserve"> </w:t>
      </w:r>
      <w:r w:rsidR="00341533" w:rsidRPr="005303F7">
        <w:rPr>
          <w:rFonts w:ascii="Times New Roman" w:hAnsi="Times New Roman"/>
          <w:sz w:val="24"/>
          <w:lang w:val="sr-Cyrl-CS"/>
        </w:rPr>
        <w:t>овом</w:t>
      </w:r>
      <w:r w:rsidR="00CB6727" w:rsidRPr="005303F7">
        <w:rPr>
          <w:rFonts w:ascii="Times New Roman" w:hAnsi="Times New Roman"/>
          <w:sz w:val="24"/>
          <w:lang w:val="sr-Cyrl-CS"/>
        </w:rPr>
        <w:t xml:space="preserve"> </w:t>
      </w:r>
      <w:r w:rsidR="006F792F" w:rsidRPr="005303F7">
        <w:rPr>
          <w:rFonts w:ascii="Times New Roman" w:hAnsi="Times New Roman"/>
          <w:sz w:val="24"/>
          <w:lang w:val="sr-Cyrl-CS"/>
        </w:rPr>
        <w:t>с</w:t>
      </w:r>
      <w:r w:rsidR="00341533" w:rsidRPr="005303F7">
        <w:rPr>
          <w:rFonts w:ascii="Times New Roman" w:hAnsi="Times New Roman"/>
          <w:sz w:val="24"/>
          <w:lang w:val="sr-Cyrl-CS"/>
        </w:rPr>
        <w:t>тратегијом</w:t>
      </w:r>
      <w:r w:rsidR="00CB6727" w:rsidRPr="005303F7">
        <w:rPr>
          <w:rFonts w:ascii="Times New Roman" w:hAnsi="Times New Roman"/>
          <w:sz w:val="24"/>
          <w:lang w:val="sr-Cyrl-CS"/>
        </w:rPr>
        <w:t>.</w:t>
      </w:r>
    </w:p>
    <w:p w14:paraId="24785323" w14:textId="30EBDD71" w:rsidR="003A7F5C" w:rsidRPr="005303F7" w:rsidRDefault="00341533" w:rsidP="00D93231">
      <w:pPr>
        <w:pStyle w:val="Heading2"/>
        <w:numPr>
          <w:ilvl w:val="2"/>
          <w:numId w:val="40"/>
        </w:numPr>
        <w:tabs>
          <w:tab w:val="clear" w:pos="3825"/>
          <w:tab w:val="left" w:pos="1134"/>
        </w:tabs>
        <w:rPr>
          <w:rFonts w:ascii="Times New Roman" w:hAnsi="Times New Roman" w:cs="Times New Roman"/>
          <w:szCs w:val="22"/>
          <w:lang w:val="sr-Cyrl-CS"/>
        </w:rPr>
      </w:pPr>
      <w:bookmarkStart w:id="380" w:name="_Toc13163026"/>
      <w:bookmarkStart w:id="381" w:name="_Toc26686117"/>
      <w:bookmarkEnd w:id="380"/>
      <w:r w:rsidRPr="005303F7">
        <w:rPr>
          <w:rFonts w:ascii="Times New Roman" w:hAnsi="Times New Roman" w:cs="Times New Roman"/>
          <w:szCs w:val="22"/>
          <w:lang w:val="sr-Cyrl-CS"/>
        </w:rPr>
        <w:t>Финансирање</w:t>
      </w:r>
      <w:r w:rsidR="00866C15"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из</w:t>
      </w:r>
      <w:r w:rsidR="00866C15"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приватног</w:t>
      </w:r>
      <w:r w:rsidR="00866C15"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сектор</w:t>
      </w:r>
      <w:bookmarkEnd w:id="381"/>
      <w:r w:rsidRPr="005303F7">
        <w:rPr>
          <w:rFonts w:ascii="Times New Roman" w:hAnsi="Times New Roman" w:cs="Times New Roman"/>
          <w:szCs w:val="22"/>
          <w:lang w:val="sr-Cyrl-CS"/>
        </w:rPr>
        <w:t>а</w:t>
      </w:r>
    </w:p>
    <w:p w14:paraId="11FB5881" w14:textId="7A8B3877" w:rsidR="003A7F5C" w:rsidRPr="005303F7" w:rsidRDefault="004F4501" w:rsidP="003A7F5C">
      <w:pPr>
        <w:rPr>
          <w:rFonts w:ascii="Times New Roman" w:hAnsi="Times New Roman"/>
          <w:sz w:val="24"/>
          <w:lang w:val="sr-Cyrl-CS"/>
        </w:rPr>
      </w:pPr>
      <w:r w:rsidRPr="005303F7">
        <w:rPr>
          <w:rFonts w:ascii="Times New Roman" w:hAnsi="Times New Roman"/>
          <w:sz w:val="24"/>
          <w:lang w:val="sr-Cyrl-CS"/>
        </w:rPr>
        <w:t xml:space="preserve">             </w:t>
      </w:r>
      <w:r w:rsidR="00341533" w:rsidRPr="005303F7">
        <w:rPr>
          <w:rFonts w:ascii="Times New Roman" w:hAnsi="Times New Roman"/>
          <w:sz w:val="24"/>
          <w:lang w:val="sr-Cyrl-CS"/>
        </w:rPr>
        <w:t>Приватни</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сектор</w:t>
      </w:r>
      <w:r w:rsidR="008A5237" w:rsidRPr="005303F7">
        <w:rPr>
          <w:rFonts w:ascii="Times New Roman" w:hAnsi="Times New Roman"/>
          <w:sz w:val="24"/>
          <w:lang w:val="sr-Cyrl-CS"/>
        </w:rPr>
        <w:t xml:space="preserve">, </w:t>
      </w:r>
      <w:r w:rsidR="00341533" w:rsidRPr="005303F7">
        <w:rPr>
          <w:rFonts w:ascii="Times New Roman" w:hAnsi="Times New Roman"/>
          <w:sz w:val="24"/>
          <w:lang w:val="sr-Cyrl-CS"/>
        </w:rPr>
        <w:t>укључујући</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и</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компаније</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у</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државном</w:t>
      </w:r>
      <w:r w:rsidR="000E6CB8" w:rsidRPr="005303F7">
        <w:rPr>
          <w:rFonts w:ascii="Times New Roman" w:hAnsi="Times New Roman"/>
          <w:sz w:val="24"/>
          <w:lang w:val="sr-Cyrl-CS"/>
        </w:rPr>
        <w:t xml:space="preserve"> </w:t>
      </w:r>
      <w:r w:rsidR="00341533" w:rsidRPr="005303F7">
        <w:rPr>
          <w:rFonts w:ascii="Times New Roman" w:hAnsi="Times New Roman"/>
          <w:sz w:val="24"/>
          <w:lang w:val="sr-Cyrl-CS"/>
        </w:rPr>
        <w:t>власништву</w:t>
      </w:r>
      <w:r w:rsidR="008A5237" w:rsidRPr="005303F7">
        <w:rPr>
          <w:rFonts w:ascii="Times New Roman" w:hAnsi="Times New Roman"/>
          <w:sz w:val="24"/>
          <w:lang w:val="sr-Cyrl-CS"/>
        </w:rPr>
        <w:t xml:space="preserve">, </w:t>
      </w:r>
      <w:r w:rsidR="00341533" w:rsidRPr="005303F7">
        <w:rPr>
          <w:rFonts w:ascii="Times New Roman" w:hAnsi="Times New Roman"/>
          <w:sz w:val="24"/>
          <w:lang w:val="sr-Cyrl-CS"/>
        </w:rPr>
        <w:t>преузе</w:t>
      </w:r>
      <w:r w:rsidR="00016298" w:rsidRPr="005303F7">
        <w:rPr>
          <w:rFonts w:ascii="Times New Roman" w:hAnsi="Times New Roman"/>
          <w:sz w:val="24"/>
          <w:lang w:val="sr-Cyrl-CS"/>
        </w:rPr>
        <w:t>ћ</w:t>
      </w:r>
      <w:r w:rsidR="00341533" w:rsidRPr="005303F7">
        <w:rPr>
          <w:rFonts w:ascii="Times New Roman" w:hAnsi="Times New Roman"/>
          <w:sz w:val="24"/>
          <w:lang w:val="sr-Cyrl-CS"/>
        </w:rPr>
        <w:t>е</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на</w:t>
      </w:r>
      <w:r w:rsidR="000E6CB8" w:rsidRPr="005303F7">
        <w:rPr>
          <w:rFonts w:ascii="Times New Roman" w:hAnsi="Times New Roman"/>
          <w:sz w:val="24"/>
          <w:lang w:val="sr-Cyrl-CS"/>
        </w:rPr>
        <w:t xml:space="preserve"> </w:t>
      </w:r>
      <w:r w:rsidR="00341533" w:rsidRPr="005303F7">
        <w:rPr>
          <w:rFonts w:ascii="Times New Roman" w:hAnsi="Times New Roman"/>
          <w:sz w:val="24"/>
          <w:lang w:val="sr-Cyrl-CS"/>
        </w:rPr>
        <w:t>себе</w:t>
      </w:r>
      <w:r w:rsidR="000E6CB8" w:rsidRPr="005303F7">
        <w:rPr>
          <w:rFonts w:ascii="Times New Roman" w:hAnsi="Times New Roman"/>
          <w:sz w:val="24"/>
          <w:lang w:val="sr-Cyrl-CS"/>
        </w:rPr>
        <w:t xml:space="preserve"> </w:t>
      </w:r>
      <w:r w:rsidR="00341533" w:rsidRPr="005303F7">
        <w:rPr>
          <w:rFonts w:ascii="Times New Roman" w:hAnsi="Times New Roman"/>
          <w:sz w:val="24"/>
          <w:lang w:val="sr-Cyrl-CS"/>
        </w:rPr>
        <w:t>део</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потребних</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инвестиција</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за</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пове</w:t>
      </w:r>
      <w:r w:rsidR="00016298" w:rsidRPr="005303F7">
        <w:rPr>
          <w:rFonts w:ascii="Times New Roman" w:hAnsi="Times New Roman"/>
          <w:sz w:val="24"/>
          <w:lang w:val="sr-Cyrl-CS"/>
        </w:rPr>
        <w:t>ћ</w:t>
      </w:r>
      <w:r w:rsidR="00341533" w:rsidRPr="005303F7">
        <w:rPr>
          <w:rFonts w:ascii="Times New Roman" w:hAnsi="Times New Roman"/>
          <w:sz w:val="24"/>
          <w:lang w:val="sr-Cyrl-CS"/>
        </w:rPr>
        <w:t>ање</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енергетске</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ефикасности</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и</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смањењ</w:t>
      </w:r>
      <w:r w:rsidR="00786EDD" w:rsidRPr="005303F7">
        <w:rPr>
          <w:rFonts w:ascii="Times New Roman" w:hAnsi="Times New Roman"/>
          <w:sz w:val="24"/>
          <w:lang w:val="sr-Cyrl-CS"/>
        </w:rPr>
        <w:t>е</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емисија</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гасова</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са</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ефектом</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стаклене</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баште</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Да</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би</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се</w:t>
      </w:r>
      <w:r w:rsidR="000E6CB8" w:rsidRPr="005303F7">
        <w:rPr>
          <w:rFonts w:ascii="Times New Roman" w:hAnsi="Times New Roman"/>
          <w:sz w:val="24"/>
          <w:lang w:val="sr-Cyrl-CS"/>
        </w:rPr>
        <w:t xml:space="preserve"> </w:t>
      </w:r>
      <w:r w:rsidR="00341533" w:rsidRPr="005303F7">
        <w:rPr>
          <w:rFonts w:ascii="Times New Roman" w:hAnsi="Times New Roman"/>
          <w:sz w:val="24"/>
          <w:lang w:val="sr-Cyrl-CS"/>
        </w:rPr>
        <w:t>таква</w:t>
      </w:r>
      <w:r w:rsidR="000E6CB8" w:rsidRPr="005303F7">
        <w:rPr>
          <w:rFonts w:ascii="Times New Roman" w:hAnsi="Times New Roman"/>
          <w:sz w:val="24"/>
          <w:lang w:val="sr-Cyrl-CS"/>
        </w:rPr>
        <w:t xml:space="preserve"> </w:t>
      </w:r>
      <w:r w:rsidR="00341533" w:rsidRPr="005303F7">
        <w:rPr>
          <w:rFonts w:ascii="Times New Roman" w:hAnsi="Times New Roman"/>
          <w:sz w:val="24"/>
          <w:lang w:val="sr-Cyrl-CS"/>
        </w:rPr>
        <w:t>улагања</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подржала</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и</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промовисала</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у</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приватном</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сектору</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развијен</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је</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сет</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инструмената</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зелених</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финансија</w:t>
      </w:r>
      <w:r w:rsidR="0035174D" w:rsidRPr="005303F7">
        <w:rPr>
          <w:rFonts w:ascii="Times New Roman" w:hAnsi="Times New Roman"/>
          <w:sz w:val="24"/>
          <w:lang w:val="sr-Cyrl-CS"/>
        </w:rPr>
        <w:t>”</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који</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су</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доступни</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на</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европском</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нивоу</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и</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за</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које</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се</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очекује</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да</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буду</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доступни</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актерима</w:t>
      </w:r>
      <w:r w:rsidR="00911083" w:rsidRPr="005303F7">
        <w:rPr>
          <w:rFonts w:ascii="Times New Roman" w:hAnsi="Times New Roman"/>
          <w:sz w:val="24"/>
          <w:lang w:val="sr-Cyrl-CS"/>
        </w:rPr>
        <w:t xml:space="preserve"> </w:t>
      </w:r>
      <w:r w:rsidR="00341533" w:rsidRPr="005303F7">
        <w:rPr>
          <w:rFonts w:ascii="Times New Roman" w:hAnsi="Times New Roman"/>
          <w:sz w:val="24"/>
          <w:lang w:val="sr-Cyrl-CS"/>
        </w:rPr>
        <w:t>у</w:t>
      </w:r>
      <w:r w:rsidR="00911083" w:rsidRPr="005303F7">
        <w:rPr>
          <w:rFonts w:ascii="Times New Roman" w:hAnsi="Times New Roman"/>
          <w:sz w:val="24"/>
          <w:lang w:val="sr-Cyrl-CS"/>
        </w:rPr>
        <w:t xml:space="preserve"> </w:t>
      </w:r>
      <w:r w:rsidR="00D73AAB" w:rsidRPr="005303F7">
        <w:rPr>
          <w:rFonts w:ascii="Times New Roman" w:hAnsi="Times New Roman"/>
          <w:sz w:val="24"/>
          <w:lang w:val="sr-Cyrl-CS"/>
        </w:rPr>
        <w:t>Републици Србији</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Такви</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инструменти</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обухватају</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зелене</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обвезнице</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зелене</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зајмове</w:t>
      </w:r>
      <w:r w:rsidR="001B127C" w:rsidRPr="005303F7">
        <w:rPr>
          <w:rFonts w:ascii="Times New Roman" w:hAnsi="Times New Roman"/>
          <w:sz w:val="24"/>
          <w:lang w:val="sr-Cyrl-CS"/>
        </w:rPr>
        <w:t xml:space="preserve">, </w:t>
      </w:r>
      <w:r w:rsidR="00341533" w:rsidRPr="005303F7">
        <w:rPr>
          <w:rFonts w:ascii="Times New Roman" w:hAnsi="Times New Roman"/>
          <w:sz w:val="24"/>
          <w:lang w:val="sr-Cyrl-CS"/>
        </w:rPr>
        <w:t>мешовито</w:t>
      </w:r>
      <w:r w:rsidR="001B127C" w:rsidRPr="005303F7">
        <w:rPr>
          <w:rFonts w:ascii="Times New Roman" w:hAnsi="Times New Roman"/>
          <w:sz w:val="24"/>
          <w:lang w:val="sr-Cyrl-CS"/>
        </w:rPr>
        <w:t xml:space="preserve"> </w:t>
      </w:r>
      <w:r w:rsidR="00341533" w:rsidRPr="005303F7">
        <w:rPr>
          <w:rFonts w:ascii="Times New Roman" w:hAnsi="Times New Roman"/>
          <w:sz w:val="24"/>
          <w:lang w:val="sr-Cyrl-CS"/>
        </w:rPr>
        <w:t>финансирање</w:t>
      </w:r>
      <w:r w:rsidR="00D26402" w:rsidRPr="005303F7">
        <w:rPr>
          <w:rFonts w:ascii="Times New Roman" w:hAnsi="Times New Roman"/>
          <w:sz w:val="24"/>
          <w:lang w:val="sr-Cyrl-CS"/>
        </w:rPr>
        <w:t xml:space="preserve"> (енгл. </w:t>
      </w:r>
      <w:r w:rsidR="00D26402" w:rsidRPr="005303F7">
        <w:rPr>
          <w:rFonts w:ascii="Times New Roman" w:hAnsi="Times New Roman"/>
          <w:i/>
          <w:sz w:val="24"/>
          <w:lang w:val="sr-Cyrl-CS"/>
        </w:rPr>
        <w:t>Blended finance</w:t>
      </w:r>
      <w:r w:rsidR="00D26402" w:rsidRPr="005303F7">
        <w:rPr>
          <w:rFonts w:ascii="Times New Roman" w:hAnsi="Times New Roman"/>
          <w:sz w:val="24"/>
          <w:lang w:val="sr-Cyrl-CS"/>
        </w:rPr>
        <w:t>), одрживе</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инвестиционе</w:t>
      </w:r>
      <w:r w:rsidR="00866C15" w:rsidRPr="005303F7">
        <w:rPr>
          <w:rFonts w:ascii="Times New Roman" w:hAnsi="Times New Roman"/>
          <w:sz w:val="24"/>
          <w:lang w:val="sr-Cyrl-CS"/>
        </w:rPr>
        <w:t xml:space="preserve"> </w:t>
      </w:r>
      <w:r w:rsidR="00341533" w:rsidRPr="005303F7">
        <w:rPr>
          <w:rFonts w:ascii="Times New Roman" w:hAnsi="Times New Roman"/>
          <w:sz w:val="24"/>
          <w:lang w:val="sr-Cyrl-CS"/>
        </w:rPr>
        <w:t>фондове</w:t>
      </w:r>
      <w:r w:rsidR="00866C15" w:rsidRPr="005303F7">
        <w:rPr>
          <w:rFonts w:ascii="Times New Roman" w:hAnsi="Times New Roman"/>
          <w:sz w:val="24"/>
          <w:lang w:val="sr-Cyrl-CS"/>
        </w:rPr>
        <w:t xml:space="preserve">, </w:t>
      </w:r>
      <w:r w:rsidR="00D26402" w:rsidRPr="005303F7">
        <w:rPr>
          <w:rFonts w:ascii="Times New Roman" w:hAnsi="Times New Roman"/>
          <w:sz w:val="24"/>
          <w:lang w:val="sr-Cyrl-CS"/>
        </w:rPr>
        <w:t xml:space="preserve">impact </w:t>
      </w:r>
      <w:r w:rsidR="00341533" w:rsidRPr="005303F7">
        <w:rPr>
          <w:rFonts w:ascii="Times New Roman" w:hAnsi="Times New Roman"/>
          <w:sz w:val="24"/>
          <w:lang w:val="sr-Cyrl-CS"/>
        </w:rPr>
        <w:t>фондов</w:t>
      </w:r>
      <w:r w:rsidR="003863AD" w:rsidRPr="005303F7">
        <w:rPr>
          <w:rFonts w:ascii="Times New Roman" w:hAnsi="Times New Roman"/>
          <w:sz w:val="24"/>
          <w:lang w:val="sr-Cyrl-CS"/>
        </w:rPr>
        <w:t>и/impact инвестиције</w:t>
      </w:r>
      <w:r w:rsidR="001106DF" w:rsidRPr="005303F7">
        <w:rPr>
          <w:rFonts w:ascii="Times New Roman" w:hAnsi="Times New Roman"/>
          <w:sz w:val="24"/>
          <w:lang w:val="sr-Cyrl-CS"/>
        </w:rPr>
        <w:t>.</w:t>
      </w:r>
    </w:p>
    <w:p w14:paraId="727F02E2" w14:textId="33C822AF" w:rsidR="003A7F5C" w:rsidRPr="005303F7" w:rsidRDefault="00341533" w:rsidP="00D93231">
      <w:pPr>
        <w:pStyle w:val="Heading2"/>
        <w:numPr>
          <w:ilvl w:val="2"/>
          <w:numId w:val="40"/>
        </w:numPr>
        <w:tabs>
          <w:tab w:val="clear" w:pos="3825"/>
          <w:tab w:val="left" w:pos="1134"/>
        </w:tabs>
        <w:rPr>
          <w:rFonts w:ascii="Times New Roman" w:hAnsi="Times New Roman" w:cs="Times New Roman"/>
          <w:szCs w:val="22"/>
          <w:lang w:val="sr-Cyrl-CS"/>
        </w:rPr>
      </w:pPr>
      <w:bookmarkStart w:id="382" w:name="_Toc26686118"/>
      <w:r w:rsidRPr="005303F7">
        <w:rPr>
          <w:rFonts w:ascii="Times New Roman" w:hAnsi="Times New Roman" w:cs="Times New Roman"/>
          <w:szCs w:val="22"/>
          <w:lang w:val="sr-Cyrl-CS"/>
        </w:rPr>
        <w:t>Међународно</w:t>
      </w:r>
      <w:r w:rsidR="00DC312D" w:rsidRPr="005303F7">
        <w:rPr>
          <w:rFonts w:ascii="Times New Roman" w:hAnsi="Times New Roman" w:cs="Times New Roman"/>
          <w:szCs w:val="22"/>
          <w:lang w:val="sr-Cyrl-CS"/>
        </w:rPr>
        <w:t xml:space="preserve"> </w:t>
      </w:r>
      <w:r w:rsidRPr="005303F7">
        <w:rPr>
          <w:rFonts w:ascii="Times New Roman" w:hAnsi="Times New Roman" w:cs="Times New Roman"/>
          <w:szCs w:val="22"/>
          <w:lang w:val="sr-Cyrl-CS"/>
        </w:rPr>
        <w:t>финансирањ</w:t>
      </w:r>
      <w:bookmarkEnd w:id="382"/>
      <w:r w:rsidRPr="005303F7">
        <w:rPr>
          <w:rFonts w:ascii="Times New Roman" w:hAnsi="Times New Roman" w:cs="Times New Roman"/>
          <w:szCs w:val="22"/>
          <w:lang w:val="sr-Cyrl-CS"/>
        </w:rPr>
        <w:t>е</w:t>
      </w:r>
    </w:p>
    <w:p w14:paraId="0D9E96E2" w14:textId="6FAE80E7" w:rsidR="003A7F5C" w:rsidRPr="005303F7" w:rsidRDefault="00341533" w:rsidP="00EC62C7">
      <w:pPr>
        <w:rPr>
          <w:rFonts w:ascii="Times New Roman" w:hAnsi="Times New Roman"/>
          <w:b/>
          <w:i/>
          <w:sz w:val="24"/>
          <w:szCs w:val="22"/>
          <w:lang w:val="sr-Cyrl-CS"/>
        </w:rPr>
      </w:pPr>
      <w:r w:rsidRPr="005303F7">
        <w:rPr>
          <w:rFonts w:ascii="Times New Roman" w:hAnsi="Times New Roman"/>
          <w:b/>
          <w:i/>
          <w:sz w:val="24"/>
          <w:szCs w:val="22"/>
          <w:lang w:val="sr-Cyrl-CS"/>
        </w:rPr>
        <w:t>Финансирање</w:t>
      </w:r>
      <w:r w:rsidR="00DC312D" w:rsidRPr="005303F7">
        <w:rPr>
          <w:rFonts w:ascii="Times New Roman" w:hAnsi="Times New Roman"/>
          <w:b/>
          <w:i/>
          <w:sz w:val="24"/>
          <w:szCs w:val="22"/>
          <w:lang w:val="sr-Cyrl-CS"/>
        </w:rPr>
        <w:t xml:space="preserve"> </w:t>
      </w:r>
      <w:r w:rsidRPr="005303F7">
        <w:rPr>
          <w:rFonts w:ascii="Times New Roman" w:hAnsi="Times New Roman"/>
          <w:b/>
          <w:i/>
          <w:sz w:val="24"/>
          <w:szCs w:val="22"/>
          <w:lang w:val="sr-Cyrl-CS"/>
        </w:rPr>
        <w:t>ЕУ</w:t>
      </w:r>
    </w:p>
    <w:p w14:paraId="293DB13C" w14:textId="06DFDEAD" w:rsidR="00BA7CB5" w:rsidRPr="005303F7" w:rsidRDefault="004F4501" w:rsidP="00EC62C7">
      <w:pPr>
        <w:rPr>
          <w:rFonts w:ascii="Times New Roman" w:hAnsi="Times New Roman"/>
          <w:sz w:val="24"/>
          <w:szCs w:val="22"/>
          <w:lang w:val="sr-Cyrl-CS"/>
        </w:rPr>
      </w:pPr>
      <w:r w:rsidRPr="005303F7">
        <w:rPr>
          <w:rFonts w:ascii="Times New Roman" w:hAnsi="Times New Roman"/>
          <w:sz w:val="24"/>
          <w:szCs w:val="22"/>
          <w:lang w:val="sr-Cyrl-CS"/>
        </w:rPr>
        <w:t xml:space="preserve">            </w:t>
      </w:r>
      <w:r w:rsidR="00BA7CB5" w:rsidRPr="005303F7">
        <w:rPr>
          <w:rFonts w:ascii="Times New Roman" w:hAnsi="Times New Roman"/>
          <w:sz w:val="24"/>
          <w:szCs w:val="22"/>
          <w:lang w:val="sr-Cyrl-CS"/>
        </w:rPr>
        <w:t>Кључни извори финансирања ЕУ</w:t>
      </w:r>
      <w:r w:rsidR="00FA0703" w:rsidRPr="005303F7">
        <w:rPr>
          <w:rFonts w:ascii="Times New Roman" w:hAnsi="Times New Roman"/>
          <w:sz w:val="24"/>
          <w:szCs w:val="22"/>
          <w:lang w:val="sr-Cyrl-CS"/>
        </w:rPr>
        <w:t xml:space="preserve"> за потребе економске конвергенције мање развијених региона, запошљавања, социјалне инклузије и доброг управљања, пољопривреде, регионалног и урбаног развоја, истраживања, иновације и модернизације као и одрживог развоја су:</w:t>
      </w:r>
    </w:p>
    <w:p w14:paraId="020B04EF" w14:textId="7F593F24" w:rsidR="003A7F5C" w:rsidRPr="005303F7" w:rsidRDefault="00341533" w:rsidP="00D93231">
      <w:pPr>
        <w:pStyle w:val="ListParagraph"/>
        <w:numPr>
          <w:ilvl w:val="0"/>
          <w:numId w:val="33"/>
        </w:numPr>
        <w:spacing w:before="0" w:after="0"/>
        <w:rPr>
          <w:rFonts w:ascii="Times New Roman" w:hAnsi="Times New Roman" w:cs="Times New Roman"/>
          <w:sz w:val="24"/>
          <w:szCs w:val="22"/>
          <w:lang w:val="sr-Cyrl-CS"/>
        </w:rPr>
      </w:pPr>
      <w:r w:rsidRPr="005303F7">
        <w:rPr>
          <w:rFonts w:ascii="Times New Roman" w:hAnsi="Times New Roman" w:cs="Times New Roman"/>
          <w:sz w:val="24"/>
          <w:szCs w:val="22"/>
          <w:lang w:val="sr-Cyrl-CS"/>
        </w:rPr>
        <w:t>Инструмент</w:t>
      </w:r>
      <w:r w:rsidR="001532D1"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за</w:t>
      </w:r>
      <w:r w:rsidR="001532D1"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претприступну</w:t>
      </w:r>
      <w:r w:rsidR="001532D1" w:rsidRPr="005303F7">
        <w:rPr>
          <w:rFonts w:ascii="Times New Roman" w:hAnsi="Times New Roman" w:cs="Times New Roman"/>
          <w:sz w:val="24"/>
          <w:szCs w:val="22"/>
          <w:lang w:val="sr-Cyrl-CS"/>
        </w:rPr>
        <w:t xml:space="preserve"> </w:t>
      </w:r>
      <w:r w:rsidRPr="005303F7">
        <w:rPr>
          <w:rFonts w:ascii="Times New Roman" w:hAnsi="Times New Roman" w:cs="Times New Roman"/>
          <w:sz w:val="24"/>
          <w:szCs w:val="22"/>
          <w:lang w:val="sr-Cyrl-CS"/>
        </w:rPr>
        <w:t>помоћ</w:t>
      </w:r>
      <w:r w:rsidR="001532D1" w:rsidRPr="005303F7" w:rsidDel="001532D1">
        <w:rPr>
          <w:rFonts w:ascii="Times New Roman" w:hAnsi="Times New Roman" w:cs="Times New Roman"/>
          <w:sz w:val="24"/>
          <w:szCs w:val="22"/>
          <w:lang w:val="sr-Cyrl-CS"/>
        </w:rPr>
        <w:t xml:space="preserve"> </w:t>
      </w:r>
      <w:r w:rsidR="00F5289C" w:rsidRPr="005303F7">
        <w:rPr>
          <w:rFonts w:ascii="Times New Roman" w:hAnsi="Times New Roman" w:cs="Times New Roman"/>
          <w:sz w:val="24"/>
          <w:szCs w:val="22"/>
          <w:lang w:val="sr-Cyrl-CS"/>
        </w:rPr>
        <w:t>–</w:t>
      </w:r>
      <w:r w:rsidR="00EB16E9" w:rsidRPr="005303F7">
        <w:rPr>
          <w:rFonts w:ascii="Times New Roman" w:hAnsi="Times New Roman" w:cs="Times New Roman"/>
          <w:sz w:val="24"/>
          <w:szCs w:val="22"/>
          <w:lang w:val="sr-Cyrl-CS"/>
        </w:rPr>
        <w:t xml:space="preserve"> </w:t>
      </w:r>
      <w:r w:rsidR="00F5289C" w:rsidRPr="005303F7">
        <w:rPr>
          <w:rFonts w:ascii="Times New Roman" w:hAnsi="Times New Roman" w:cs="Times New Roman"/>
          <w:sz w:val="24"/>
          <w:szCs w:val="22"/>
          <w:lang w:val="sr-Cyrl-CS"/>
        </w:rPr>
        <w:t xml:space="preserve">(engl. Instrument for Pre-accession – </w:t>
      </w:r>
      <w:r w:rsidR="0059172D" w:rsidRPr="005303F7">
        <w:rPr>
          <w:rFonts w:ascii="Times New Roman" w:hAnsi="Times New Roman" w:cs="Times New Roman"/>
          <w:sz w:val="24"/>
          <w:szCs w:val="22"/>
          <w:lang w:val="sr-Cyrl-CS"/>
        </w:rPr>
        <w:t>IPA</w:t>
      </w:r>
      <w:r w:rsidR="00F5289C" w:rsidRPr="005303F7">
        <w:rPr>
          <w:rFonts w:ascii="Times New Roman" w:hAnsi="Times New Roman" w:cs="Times New Roman"/>
          <w:sz w:val="24"/>
          <w:szCs w:val="22"/>
          <w:lang w:val="sr-Cyrl-CS"/>
        </w:rPr>
        <w:t>)</w:t>
      </w:r>
      <w:r w:rsidR="003A7B11" w:rsidRPr="005303F7">
        <w:rPr>
          <w:rStyle w:val="FootnoteReference"/>
          <w:rFonts w:cs="Times New Roman"/>
          <w:szCs w:val="22"/>
          <w:lang w:val="sr-Cyrl-CS"/>
        </w:rPr>
        <w:footnoteReference w:id="62"/>
      </w:r>
      <w:r w:rsidR="000015F4" w:rsidRPr="005303F7">
        <w:rPr>
          <w:rFonts w:ascii="Times New Roman" w:hAnsi="Times New Roman" w:cs="Times New Roman"/>
          <w:sz w:val="24"/>
          <w:szCs w:val="22"/>
          <w:lang w:val="sr-Cyrl-CS"/>
        </w:rPr>
        <w:t>;</w:t>
      </w:r>
    </w:p>
    <w:p w14:paraId="6CDE95BB" w14:textId="5DDEADA2" w:rsidR="00FA0703" w:rsidRPr="005303F7" w:rsidRDefault="00FA0703" w:rsidP="00D93231">
      <w:pPr>
        <w:pStyle w:val="ListParagraph"/>
        <w:numPr>
          <w:ilvl w:val="0"/>
          <w:numId w:val="33"/>
        </w:numPr>
        <w:spacing w:before="0" w:after="0"/>
        <w:rPr>
          <w:rFonts w:ascii="Times New Roman" w:hAnsi="Times New Roman" w:cs="Times New Roman"/>
          <w:sz w:val="24"/>
          <w:szCs w:val="22"/>
          <w:lang w:val="sr-Cyrl-CS"/>
        </w:rPr>
      </w:pPr>
      <w:r w:rsidRPr="005303F7">
        <w:rPr>
          <w:rFonts w:ascii="Times New Roman" w:hAnsi="Times New Roman" w:cs="Times New Roman"/>
          <w:sz w:val="24"/>
          <w:szCs w:val="22"/>
          <w:lang w:val="sr-Cyrl-CS"/>
        </w:rPr>
        <w:t>Кохезиони фонд</w:t>
      </w:r>
      <w:r w:rsidR="000015F4" w:rsidRPr="005303F7">
        <w:rPr>
          <w:rFonts w:ascii="Times New Roman" w:hAnsi="Times New Roman" w:cs="Times New Roman"/>
          <w:sz w:val="24"/>
          <w:szCs w:val="22"/>
          <w:lang w:val="sr-Cyrl-CS"/>
        </w:rPr>
        <w:t>;</w:t>
      </w:r>
    </w:p>
    <w:p w14:paraId="2B537FDC" w14:textId="479B029D" w:rsidR="003A7F5C" w:rsidRPr="005303F7" w:rsidRDefault="0059172D" w:rsidP="001A5E88">
      <w:pPr>
        <w:pStyle w:val="ListParagraph"/>
        <w:numPr>
          <w:ilvl w:val="0"/>
          <w:numId w:val="33"/>
        </w:numPr>
        <w:tabs>
          <w:tab w:val="clear" w:pos="3825"/>
          <w:tab w:val="left" w:pos="709"/>
        </w:tabs>
        <w:spacing w:before="0" w:after="0"/>
        <w:ind w:left="0" w:firstLine="360"/>
        <w:rPr>
          <w:rStyle w:val="st"/>
          <w:rFonts w:ascii="Times New Roman" w:hAnsi="Times New Roman" w:cs="Times New Roman"/>
          <w:sz w:val="24"/>
          <w:szCs w:val="24"/>
          <w:lang w:val="sr-Cyrl-CS"/>
        </w:rPr>
      </w:pPr>
      <w:r w:rsidRPr="005303F7">
        <w:rPr>
          <w:rFonts w:ascii="Times New Roman" w:hAnsi="Times New Roman" w:cs="Times New Roman"/>
          <w:sz w:val="24"/>
          <w:szCs w:val="24"/>
          <w:lang w:val="sr-Cyrl-CS"/>
        </w:rPr>
        <w:t>IPA</w:t>
      </w:r>
      <w:r w:rsidR="003A7F5C" w:rsidRPr="005303F7">
        <w:rPr>
          <w:rFonts w:ascii="Times New Roman" w:hAnsi="Times New Roman" w:cs="Times New Roman"/>
          <w:sz w:val="24"/>
          <w:szCs w:val="24"/>
          <w:lang w:val="sr-Cyrl-CS"/>
        </w:rPr>
        <w:t>RD</w:t>
      </w:r>
      <w:r w:rsidR="00341533" w:rsidRPr="005303F7">
        <w:rPr>
          <w:rFonts w:ascii="Times New Roman" w:hAnsi="Times New Roman" w:cs="Times New Roman"/>
          <w:sz w:val="24"/>
          <w:szCs w:val="24"/>
          <w:lang w:val="sr-Cyrl-CS"/>
        </w:rPr>
        <w:t xml:space="preserve"> – </w:t>
      </w:r>
      <w:r w:rsidR="00341533" w:rsidRPr="005303F7">
        <w:rPr>
          <w:rStyle w:val="st"/>
          <w:rFonts w:ascii="Times New Roman" w:hAnsi="Times New Roman" w:cs="Times New Roman"/>
          <w:sz w:val="24"/>
          <w:szCs w:val="24"/>
          <w:lang w:val="sr-Cyrl-CS"/>
        </w:rPr>
        <w:t>Инструмент претприступне помоћи за рурални развој (engl. Instrument for Pre-</w:t>
      </w:r>
      <w:r w:rsidR="00D553BE" w:rsidRPr="005303F7">
        <w:rPr>
          <w:rStyle w:val="st"/>
          <w:rFonts w:ascii="Times New Roman" w:hAnsi="Times New Roman" w:cs="Times New Roman"/>
          <w:sz w:val="24"/>
          <w:szCs w:val="24"/>
          <w:lang w:val="sr-Cyrl-CS"/>
        </w:rPr>
        <w:t>Accession in Rural Development),</w:t>
      </w:r>
      <w:r w:rsidR="00FA0703" w:rsidRPr="005303F7">
        <w:rPr>
          <w:rStyle w:val="st"/>
          <w:rFonts w:ascii="Times New Roman" w:hAnsi="Times New Roman" w:cs="Times New Roman"/>
          <w:sz w:val="24"/>
          <w:szCs w:val="24"/>
          <w:lang w:val="sr-Cyrl-CS"/>
        </w:rPr>
        <w:t xml:space="preserve"> до приступања ЕУ</w:t>
      </w:r>
      <w:r w:rsidR="003A7B11" w:rsidRPr="005303F7">
        <w:rPr>
          <w:rStyle w:val="st"/>
          <w:rFonts w:ascii="Times New Roman" w:hAnsi="Times New Roman" w:cs="Times New Roman"/>
          <w:sz w:val="24"/>
          <w:szCs w:val="24"/>
          <w:lang w:val="sr-Cyrl-CS"/>
        </w:rPr>
        <w:t xml:space="preserve">, а </w:t>
      </w:r>
      <w:r w:rsidR="00BB0AA2" w:rsidRPr="005303F7">
        <w:rPr>
          <w:rStyle w:val="st"/>
          <w:rFonts w:ascii="Times New Roman" w:hAnsi="Times New Roman" w:cs="Times New Roman"/>
          <w:sz w:val="24"/>
          <w:szCs w:val="24"/>
          <w:lang w:val="sr-Cyrl-CS"/>
        </w:rPr>
        <w:t>после</w:t>
      </w:r>
      <w:r w:rsidR="003A7B11" w:rsidRPr="005303F7">
        <w:rPr>
          <w:rStyle w:val="st"/>
          <w:rFonts w:ascii="Times New Roman" w:hAnsi="Times New Roman" w:cs="Times New Roman"/>
          <w:sz w:val="24"/>
          <w:szCs w:val="24"/>
          <w:lang w:val="sr-Cyrl-CS"/>
        </w:rPr>
        <w:t xml:space="preserve"> приступања ЕУ:</w:t>
      </w:r>
    </w:p>
    <w:p w14:paraId="266FB3E8" w14:textId="79553E99" w:rsidR="003A7B11" w:rsidRPr="005303F7" w:rsidRDefault="003A7B11" w:rsidP="00D93231">
      <w:pPr>
        <w:pStyle w:val="ListParagraph"/>
        <w:numPr>
          <w:ilvl w:val="1"/>
          <w:numId w:val="33"/>
        </w:numPr>
        <w:spacing w:before="0" w:after="0"/>
        <w:rPr>
          <w:rFonts w:ascii="Times New Roman" w:hAnsi="Times New Roman" w:cs="Times New Roman"/>
          <w:sz w:val="24"/>
          <w:szCs w:val="24"/>
          <w:lang w:val="sr-Cyrl-CS"/>
        </w:rPr>
      </w:pPr>
      <w:r w:rsidRPr="005303F7">
        <w:rPr>
          <w:rFonts w:ascii="Times New Roman" w:hAnsi="Times New Roman" w:cs="Times New Roman"/>
          <w:sz w:val="24"/>
          <w:szCs w:val="24"/>
          <w:lang w:val="sr-Cyrl-CS"/>
        </w:rPr>
        <w:t>Европски фонд за гаранције у пољопривреди (EAGF)</w:t>
      </w:r>
      <w:r w:rsidR="00BD7DEB" w:rsidRPr="005303F7">
        <w:rPr>
          <w:rFonts w:ascii="Times New Roman" w:hAnsi="Times New Roman" w:cs="Times New Roman"/>
          <w:sz w:val="24"/>
          <w:szCs w:val="24"/>
          <w:lang w:val="sr-Cyrl-CS"/>
        </w:rPr>
        <w:t>,</w:t>
      </w:r>
    </w:p>
    <w:p w14:paraId="38B93166" w14:textId="373DCA31" w:rsidR="003A7B11" w:rsidRPr="005303F7" w:rsidRDefault="003A7B11" w:rsidP="00D93231">
      <w:pPr>
        <w:pStyle w:val="ListParagraph"/>
        <w:numPr>
          <w:ilvl w:val="1"/>
          <w:numId w:val="33"/>
        </w:numPr>
        <w:spacing w:before="0" w:after="0"/>
        <w:rPr>
          <w:rFonts w:ascii="Times New Roman" w:hAnsi="Times New Roman" w:cs="Times New Roman"/>
          <w:sz w:val="24"/>
          <w:szCs w:val="24"/>
          <w:lang w:val="sr-Cyrl-CS"/>
        </w:rPr>
      </w:pPr>
      <w:r w:rsidRPr="005303F7">
        <w:rPr>
          <w:rFonts w:ascii="Times New Roman" w:hAnsi="Times New Roman" w:cs="Times New Roman"/>
          <w:sz w:val="24"/>
          <w:szCs w:val="24"/>
          <w:lang w:val="sr-Cyrl-CS"/>
        </w:rPr>
        <w:t>Европски пољопривредни фонд за рурални развој (EAFRD) – регионални и урбани развој</w:t>
      </w:r>
      <w:r w:rsidR="000015F4" w:rsidRPr="005303F7">
        <w:rPr>
          <w:rFonts w:ascii="Times New Roman" w:hAnsi="Times New Roman" w:cs="Times New Roman"/>
          <w:sz w:val="24"/>
          <w:szCs w:val="24"/>
          <w:lang w:val="sr-Cyrl-CS"/>
        </w:rPr>
        <w:t>;</w:t>
      </w:r>
    </w:p>
    <w:p w14:paraId="3F49DA7B" w14:textId="67C4EC48" w:rsidR="003A7B11" w:rsidRPr="005303F7" w:rsidRDefault="003A7B11" w:rsidP="00D93231">
      <w:pPr>
        <w:pStyle w:val="ListParagraph"/>
        <w:numPr>
          <w:ilvl w:val="0"/>
          <w:numId w:val="33"/>
        </w:numPr>
        <w:spacing w:before="0" w:after="0"/>
        <w:rPr>
          <w:rFonts w:ascii="Times New Roman" w:hAnsi="Times New Roman" w:cs="Times New Roman"/>
          <w:sz w:val="24"/>
          <w:szCs w:val="22"/>
          <w:lang w:val="sr-Cyrl-CS"/>
        </w:rPr>
      </w:pPr>
      <w:r w:rsidRPr="005303F7">
        <w:rPr>
          <w:rFonts w:ascii="Times New Roman" w:hAnsi="Times New Roman" w:cs="Times New Roman"/>
          <w:sz w:val="24"/>
          <w:szCs w:val="22"/>
          <w:lang w:val="sr-Cyrl-CS"/>
        </w:rPr>
        <w:t>Европски социјални фонд (ESF)</w:t>
      </w:r>
      <w:r w:rsidR="000015F4" w:rsidRPr="005303F7">
        <w:rPr>
          <w:rFonts w:ascii="Times New Roman" w:hAnsi="Times New Roman" w:cs="Times New Roman"/>
          <w:sz w:val="24"/>
          <w:szCs w:val="22"/>
          <w:lang w:val="sr-Cyrl-CS"/>
        </w:rPr>
        <w:t>;</w:t>
      </w:r>
    </w:p>
    <w:p w14:paraId="1EA1B68C" w14:textId="014FB4C3" w:rsidR="00D50750" w:rsidRPr="005303F7" w:rsidRDefault="00D50750" w:rsidP="00D93231">
      <w:pPr>
        <w:pStyle w:val="ListParagraph"/>
        <w:numPr>
          <w:ilvl w:val="0"/>
          <w:numId w:val="33"/>
        </w:numPr>
        <w:spacing w:before="0" w:after="0"/>
        <w:rPr>
          <w:rFonts w:ascii="Times New Roman" w:hAnsi="Times New Roman" w:cs="Times New Roman"/>
          <w:sz w:val="24"/>
          <w:szCs w:val="22"/>
          <w:lang w:val="sr-Cyrl-CS"/>
        </w:rPr>
      </w:pPr>
      <w:r w:rsidRPr="005303F7">
        <w:rPr>
          <w:rFonts w:ascii="Times New Roman" w:hAnsi="Times New Roman" w:cs="Times New Roman"/>
          <w:sz w:val="24"/>
          <w:szCs w:val="22"/>
          <w:lang w:val="sr-Cyrl-CS"/>
        </w:rPr>
        <w:t>Фонд</w:t>
      </w:r>
      <w:r w:rsidR="00867C02" w:rsidRPr="005303F7">
        <w:rPr>
          <w:rFonts w:ascii="Times New Roman" w:hAnsi="Times New Roman" w:cs="Times New Roman"/>
          <w:sz w:val="24"/>
          <w:szCs w:val="22"/>
          <w:lang w:val="sr-Cyrl-CS"/>
        </w:rPr>
        <w:t>ови за</w:t>
      </w:r>
      <w:r w:rsidRPr="005303F7">
        <w:rPr>
          <w:rFonts w:ascii="Times New Roman" w:hAnsi="Times New Roman" w:cs="Times New Roman"/>
          <w:sz w:val="24"/>
          <w:szCs w:val="22"/>
          <w:lang w:val="sr-Cyrl-CS"/>
        </w:rPr>
        <w:t xml:space="preserve"> модернизацију и иновације (два фонда у оквиру EU-ETS)</w:t>
      </w:r>
      <w:r w:rsidR="000015F4" w:rsidRPr="005303F7">
        <w:rPr>
          <w:rFonts w:ascii="Times New Roman" w:hAnsi="Times New Roman" w:cs="Times New Roman"/>
          <w:sz w:val="24"/>
          <w:szCs w:val="22"/>
          <w:lang w:val="sr-Cyrl-CS"/>
        </w:rPr>
        <w:t>;</w:t>
      </w:r>
    </w:p>
    <w:p w14:paraId="4E1BEB12" w14:textId="6E5052AB" w:rsidR="00D50750" w:rsidRPr="005303F7" w:rsidRDefault="00D50750" w:rsidP="00D93231">
      <w:pPr>
        <w:pStyle w:val="ListParagraph"/>
        <w:numPr>
          <w:ilvl w:val="0"/>
          <w:numId w:val="33"/>
        </w:numPr>
        <w:spacing w:before="0" w:after="0"/>
        <w:rPr>
          <w:rFonts w:ascii="Times New Roman" w:hAnsi="Times New Roman" w:cs="Times New Roman"/>
          <w:sz w:val="24"/>
          <w:szCs w:val="22"/>
          <w:lang w:val="sr-Cyrl-CS"/>
        </w:rPr>
      </w:pPr>
      <w:r w:rsidRPr="005303F7">
        <w:rPr>
          <w:rFonts w:ascii="Times New Roman" w:hAnsi="Times New Roman" w:cs="Times New Roman"/>
          <w:sz w:val="24"/>
          <w:szCs w:val="22"/>
          <w:lang w:val="sr-Cyrl-CS"/>
        </w:rPr>
        <w:t>LIFE - Програм за животну средину и климатску акцију</w:t>
      </w:r>
      <w:r w:rsidR="000015F4" w:rsidRPr="005303F7">
        <w:rPr>
          <w:rFonts w:ascii="Times New Roman" w:hAnsi="Times New Roman" w:cs="Times New Roman"/>
          <w:sz w:val="24"/>
          <w:szCs w:val="22"/>
          <w:lang w:val="sr-Cyrl-CS"/>
        </w:rPr>
        <w:t>;</w:t>
      </w:r>
    </w:p>
    <w:p w14:paraId="488964B5" w14:textId="0FCFCC6D" w:rsidR="003A7B11" w:rsidRPr="005303F7" w:rsidRDefault="00D50750" w:rsidP="00D93231">
      <w:pPr>
        <w:pStyle w:val="ListParagraph"/>
        <w:numPr>
          <w:ilvl w:val="0"/>
          <w:numId w:val="33"/>
        </w:numPr>
        <w:spacing w:before="0" w:after="0"/>
        <w:rPr>
          <w:rFonts w:ascii="Times New Roman" w:hAnsi="Times New Roman" w:cs="Times New Roman"/>
          <w:sz w:val="24"/>
          <w:szCs w:val="24"/>
          <w:lang w:val="sr-Cyrl-CS"/>
        </w:rPr>
      </w:pPr>
      <w:r w:rsidRPr="005303F7">
        <w:rPr>
          <w:rFonts w:ascii="Times New Roman" w:hAnsi="Times New Roman" w:cs="Times New Roman"/>
          <w:sz w:val="24"/>
          <w:szCs w:val="24"/>
          <w:lang w:val="sr-Cyrl-CS"/>
        </w:rPr>
        <w:t>Инструмент за повезивање Европе (Connecting Europe Facility)</w:t>
      </w:r>
      <w:r w:rsidR="000015F4" w:rsidRPr="005303F7">
        <w:rPr>
          <w:rFonts w:ascii="Times New Roman" w:hAnsi="Times New Roman" w:cs="Times New Roman"/>
          <w:sz w:val="24"/>
          <w:szCs w:val="24"/>
          <w:lang w:val="sr-Cyrl-CS"/>
        </w:rPr>
        <w:t>;</w:t>
      </w:r>
    </w:p>
    <w:p w14:paraId="27E2E558" w14:textId="0D045237" w:rsidR="003A7F5C" w:rsidRPr="005303F7" w:rsidRDefault="00341533" w:rsidP="00696E5F">
      <w:pPr>
        <w:pStyle w:val="ListParagraph"/>
        <w:numPr>
          <w:ilvl w:val="0"/>
          <w:numId w:val="33"/>
        </w:numPr>
        <w:tabs>
          <w:tab w:val="clear" w:pos="3825"/>
          <w:tab w:val="left" w:pos="709"/>
        </w:tabs>
        <w:spacing w:before="0" w:after="0"/>
        <w:ind w:left="0" w:firstLine="360"/>
        <w:rPr>
          <w:rFonts w:ascii="Times New Roman" w:hAnsi="Times New Roman" w:cs="Times New Roman"/>
          <w:sz w:val="24"/>
          <w:szCs w:val="22"/>
          <w:lang w:val="sr-Cyrl-CS"/>
        </w:rPr>
      </w:pPr>
      <w:r w:rsidRPr="005303F7">
        <w:rPr>
          <w:rFonts w:ascii="Times New Roman" w:hAnsi="Times New Roman" w:cs="Times New Roman"/>
          <w:sz w:val="24"/>
          <w:szCs w:val="24"/>
          <w:lang w:val="sr-Cyrl-CS"/>
        </w:rPr>
        <w:t>Западнобалкански</w:t>
      </w:r>
      <w:r w:rsidR="00EB16E9" w:rsidRPr="005303F7">
        <w:rPr>
          <w:rFonts w:ascii="Times New Roman" w:hAnsi="Times New Roman" w:cs="Times New Roman"/>
          <w:sz w:val="24"/>
          <w:szCs w:val="24"/>
          <w:lang w:val="sr-Cyrl-CS"/>
        </w:rPr>
        <w:t xml:space="preserve"> </w:t>
      </w:r>
      <w:r w:rsidRPr="005303F7">
        <w:rPr>
          <w:rFonts w:ascii="Times New Roman" w:hAnsi="Times New Roman" w:cs="Times New Roman"/>
          <w:sz w:val="24"/>
          <w:szCs w:val="24"/>
          <w:lang w:val="sr-Cyrl-CS"/>
        </w:rPr>
        <w:t>инвестициони</w:t>
      </w:r>
      <w:r w:rsidR="00EB16E9" w:rsidRPr="005303F7">
        <w:rPr>
          <w:rFonts w:ascii="Times New Roman" w:hAnsi="Times New Roman" w:cs="Times New Roman"/>
          <w:sz w:val="24"/>
          <w:szCs w:val="24"/>
          <w:lang w:val="sr-Cyrl-CS"/>
        </w:rPr>
        <w:t xml:space="preserve"> </w:t>
      </w:r>
      <w:r w:rsidRPr="005303F7">
        <w:rPr>
          <w:rFonts w:ascii="Times New Roman" w:hAnsi="Times New Roman" w:cs="Times New Roman"/>
          <w:sz w:val="24"/>
          <w:szCs w:val="24"/>
          <w:lang w:val="sr-Cyrl-CS"/>
        </w:rPr>
        <w:t>оквир</w:t>
      </w:r>
      <w:r w:rsidR="00EB16E9" w:rsidRPr="005303F7">
        <w:rPr>
          <w:rFonts w:ascii="Times New Roman" w:hAnsi="Times New Roman" w:cs="Times New Roman"/>
          <w:sz w:val="24"/>
          <w:szCs w:val="24"/>
          <w:lang w:val="sr-Cyrl-CS"/>
        </w:rPr>
        <w:t xml:space="preserve"> (</w:t>
      </w:r>
      <w:r w:rsidR="00F5289C" w:rsidRPr="005303F7">
        <w:rPr>
          <w:rFonts w:ascii="Times New Roman" w:hAnsi="Times New Roman" w:cs="Times New Roman"/>
          <w:sz w:val="24"/>
          <w:szCs w:val="24"/>
          <w:lang w:val="sr-Cyrl-CS"/>
        </w:rPr>
        <w:t>engl. Western Balkan Investment Framework</w:t>
      </w:r>
      <w:r w:rsidR="00F5289C" w:rsidRPr="005303F7">
        <w:rPr>
          <w:rFonts w:ascii="Times New Roman" w:hAnsi="Times New Roman" w:cs="Times New Roman"/>
          <w:sz w:val="24"/>
          <w:szCs w:val="22"/>
          <w:lang w:val="sr-Cyrl-CS"/>
        </w:rPr>
        <w:t xml:space="preserve"> </w:t>
      </w:r>
      <w:r w:rsidR="00EB16E9" w:rsidRPr="005303F7">
        <w:rPr>
          <w:rFonts w:ascii="Times New Roman" w:hAnsi="Times New Roman" w:cs="Times New Roman"/>
          <w:sz w:val="24"/>
          <w:szCs w:val="22"/>
          <w:lang w:val="sr-Cyrl-CS"/>
        </w:rPr>
        <w:t>WBIF)</w:t>
      </w:r>
      <w:r w:rsidR="000015F4" w:rsidRPr="005303F7">
        <w:rPr>
          <w:rFonts w:ascii="Times New Roman" w:hAnsi="Times New Roman" w:cs="Times New Roman"/>
          <w:sz w:val="24"/>
          <w:szCs w:val="22"/>
          <w:lang w:val="sr-Cyrl-CS"/>
        </w:rPr>
        <w:t>;</w:t>
      </w:r>
    </w:p>
    <w:p w14:paraId="76144E5A" w14:textId="2AE3197F" w:rsidR="004C2C01" w:rsidRPr="005303F7" w:rsidRDefault="004C2C01" w:rsidP="00D93231">
      <w:pPr>
        <w:pStyle w:val="ListParagraph"/>
        <w:numPr>
          <w:ilvl w:val="0"/>
          <w:numId w:val="33"/>
        </w:numPr>
        <w:spacing w:before="0" w:after="0"/>
        <w:rPr>
          <w:rFonts w:ascii="Times New Roman" w:hAnsi="Times New Roman" w:cs="Times New Roman"/>
          <w:sz w:val="24"/>
          <w:szCs w:val="22"/>
          <w:lang w:val="sr-Cyrl-CS"/>
        </w:rPr>
      </w:pPr>
      <w:r w:rsidRPr="005303F7">
        <w:rPr>
          <w:rFonts w:ascii="Times New Roman" w:hAnsi="Times New Roman" w:cs="Times New Roman"/>
          <w:sz w:val="24"/>
          <w:szCs w:val="22"/>
          <w:lang w:val="sr-Cyrl-CS"/>
        </w:rPr>
        <w:t>Западнобалкански гарантни фонд (engl. Western Balkans Guarantee Facility)</w:t>
      </w:r>
      <w:r w:rsidR="000015F4" w:rsidRPr="005303F7">
        <w:rPr>
          <w:rFonts w:ascii="Times New Roman" w:hAnsi="Times New Roman" w:cs="Times New Roman"/>
          <w:sz w:val="24"/>
          <w:szCs w:val="22"/>
          <w:lang w:val="sr-Cyrl-CS"/>
        </w:rPr>
        <w:t>;</w:t>
      </w:r>
    </w:p>
    <w:p w14:paraId="13448FF3" w14:textId="2BF36F61" w:rsidR="004C2C01" w:rsidRPr="005303F7" w:rsidRDefault="00923B70" w:rsidP="008B000B">
      <w:pPr>
        <w:pStyle w:val="ListParagraph"/>
        <w:numPr>
          <w:ilvl w:val="0"/>
          <w:numId w:val="33"/>
        </w:numPr>
        <w:tabs>
          <w:tab w:val="clear" w:pos="3825"/>
          <w:tab w:val="left" w:pos="709"/>
        </w:tabs>
        <w:spacing w:before="0" w:after="0"/>
        <w:ind w:left="0" w:firstLine="360"/>
        <w:rPr>
          <w:rFonts w:ascii="Times New Roman" w:hAnsi="Times New Roman" w:cs="Times New Roman"/>
          <w:sz w:val="24"/>
          <w:szCs w:val="22"/>
          <w:lang w:val="sr-Cyrl-CS"/>
        </w:rPr>
      </w:pPr>
      <w:r w:rsidRPr="005303F7">
        <w:rPr>
          <w:rFonts w:ascii="Times New Roman" w:hAnsi="Times New Roman" w:cs="Times New Roman"/>
          <w:sz w:val="24"/>
          <w:szCs w:val="22"/>
          <w:lang w:val="sr-Cyrl-CS"/>
        </w:rPr>
        <w:t xml:space="preserve"> </w:t>
      </w:r>
      <w:r w:rsidR="004C2C01" w:rsidRPr="005303F7">
        <w:rPr>
          <w:rFonts w:ascii="Times New Roman" w:hAnsi="Times New Roman" w:cs="Times New Roman"/>
          <w:sz w:val="24"/>
          <w:szCs w:val="22"/>
          <w:lang w:val="sr-Cyrl-CS"/>
        </w:rPr>
        <w:t>Европски фонд за одрживи развој плус (engl. European Fund for Sustainable Development Plus)</w:t>
      </w:r>
      <w:r w:rsidR="000015F4" w:rsidRPr="005303F7">
        <w:rPr>
          <w:rFonts w:ascii="Times New Roman" w:hAnsi="Times New Roman" w:cs="Times New Roman"/>
          <w:sz w:val="24"/>
          <w:szCs w:val="22"/>
          <w:lang w:val="sr-Cyrl-CS"/>
        </w:rPr>
        <w:t>;</w:t>
      </w:r>
    </w:p>
    <w:p w14:paraId="4BEDBB68" w14:textId="00A1DB6C" w:rsidR="004C2C01" w:rsidRPr="005303F7" w:rsidRDefault="00923B70" w:rsidP="00D93231">
      <w:pPr>
        <w:pStyle w:val="ListParagraph"/>
        <w:numPr>
          <w:ilvl w:val="0"/>
          <w:numId w:val="33"/>
        </w:numPr>
        <w:spacing w:before="0" w:after="0"/>
        <w:rPr>
          <w:rFonts w:ascii="Times New Roman" w:hAnsi="Times New Roman" w:cs="Times New Roman"/>
          <w:sz w:val="24"/>
          <w:szCs w:val="22"/>
          <w:lang w:val="sr-Cyrl-CS"/>
        </w:rPr>
      </w:pPr>
      <w:r w:rsidRPr="005303F7">
        <w:rPr>
          <w:rFonts w:ascii="Times New Roman" w:hAnsi="Times New Roman" w:cs="Times New Roman"/>
          <w:sz w:val="24"/>
          <w:szCs w:val="22"/>
          <w:lang w:val="sr-Cyrl-CS"/>
        </w:rPr>
        <w:t xml:space="preserve"> </w:t>
      </w:r>
      <w:r w:rsidR="004C2C01" w:rsidRPr="005303F7">
        <w:rPr>
          <w:rFonts w:ascii="Times New Roman" w:hAnsi="Times New Roman" w:cs="Times New Roman"/>
          <w:sz w:val="24"/>
          <w:szCs w:val="22"/>
          <w:lang w:val="sr-Cyrl-CS"/>
        </w:rPr>
        <w:t>Фонд за подршку структурним реформама (engl. Structural Reform Support Facility)</w:t>
      </w:r>
      <w:r w:rsidR="000015F4" w:rsidRPr="005303F7">
        <w:rPr>
          <w:rFonts w:ascii="Times New Roman" w:hAnsi="Times New Roman" w:cs="Times New Roman"/>
          <w:sz w:val="24"/>
          <w:szCs w:val="22"/>
          <w:lang w:val="sr-Cyrl-CS"/>
        </w:rPr>
        <w:t>;</w:t>
      </w:r>
    </w:p>
    <w:p w14:paraId="054BF044" w14:textId="78F6D87E" w:rsidR="00EB7BC3" w:rsidRPr="005303F7" w:rsidRDefault="00923B70" w:rsidP="00D93231">
      <w:pPr>
        <w:pStyle w:val="ListParagraph"/>
        <w:numPr>
          <w:ilvl w:val="0"/>
          <w:numId w:val="33"/>
        </w:numPr>
        <w:spacing w:before="0" w:after="0"/>
        <w:rPr>
          <w:rFonts w:ascii="Times New Roman" w:hAnsi="Times New Roman" w:cs="Times New Roman"/>
          <w:sz w:val="24"/>
          <w:szCs w:val="22"/>
          <w:lang w:val="sr-Cyrl-CS"/>
        </w:rPr>
      </w:pPr>
      <w:bookmarkStart w:id="383" w:name="_Hlk27339393"/>
      <w:r w:rsidRPr="005303F7">
        <w:rPr>
          <w:rFonts w:ascii="Times New Roman" w:hAnsi="Times New Roman" w:cs="Times New Roman"/>
          <w:sz w:val="24"/>
          <w:szCs w:val="22"/>
          <w:lang w:val="sr-Cyrl-CS"/>
        </w:rPr>
        <w:t xml:space="preserve"> </w:t>
      </w:r>
      <w:r w:rsidR="00EB7BC3" w:rsidRPr="005303F7">
        <w:rPr>
          <w:rFonts w:ascii="Times New Roman" w:hAnsi="Times New Roman" w:cs="Times New Roman"/>
          <w:sz w:val="24"/>
          <w:szCs w:val="22"/>
          <w:lang w:val="sr-Cyrl-CS"/>
        </w:rPr>
        <w:t>InvestEU</w:t>
      </w:r>
      <w:r w:rsidR="000015F4" w:rsidRPr="005303F7">
        <w:rPr>
          <w:rFonts w:ascii="Times New Roman" w:hAnsi="Times New Roman" w:cs="Times New Roman"/>
          <w:sz w:val="24"/>
          <w:szCs w:val="22"/>
          <w:lang w:val="sr-Cyrl-CS"/>
        </w:rPr>
        <w:t>;</w:t>
      </w:r>
    </w:p>
    <w:p w14:paraId="3A889FB0" w14:textId="19D9B574" w:rsidR="00EB7BC3" w:rsidRPr="005303F7" w:rsidRDefault="00923B70" w:rsidP="00D93231">
      <w:pPr>
        <w:pStyle w:val="ListParagraph"/>
        <w:numPr>
          <w:ilvl w:val="0"/>
          <w:numId w:val="33"/>
        </w:numPr>
        <w:spacing w:before="0" w:after="0"/>
        <w:rPr>
          <w:rFonts w:ascii="Times New Roman" w:hAnsi="Times New Roman" w:cs="Times New Roman"/>
          <w:sz w:val="24"/>
          <w:szCs w:val="22"/>
          <w:lang w:val="sr-Cyrl-CS"/>
        </w:rPr>
      </w:pPr>
      <w:r w:rsidRPr="005303F7">
        <w:rPr>
          <w:rFonts w:ascii="Times New Roman" w:hAnsi="Times New Roman" w:cs="Times New Roman"/>
          <w:sz w:val="24"/>
          <w:szCs w:val="22"/>
          <w:lang w:val="sr-Cyrl-CS"/>
        </w:rPr>
        <w:t xml:space="preserve"> </w:t>
      </w:r>
      <w:r w:rsidR="00EB7BC3" w:rsidRPr="005303F7">
        <w:rPr>
          <w:rFonts w:ascii="Times New Roman" w:hAnsi="Times New Roman" w:cs="Times New Roman"/>
          <w:sz w:val="24"/>
          <w:szCs w:val="22"/>
          <w:lang w:val="sr-Cyrl-CS"/>
        </w:rPr>
        <w:t>Програми територијалне сарадње ЕУ (INTERREG)</w:t>
      </w:r>
      <w:r w:rsidR="000015F4" w:rsidRPr="005303F7">
        <w:rPr>
          <w:rFonts w:ascii="Times New Roman" w:hAnsi="Times New Roman" w:cs="Times New Roman"/>
          <w:sz w:val="24"/>
          <w:szCs w:val="22"/>
          <w:lang w:val="sr-Cyrl-CS"/>
        </w:rPr>
        <w:t>;</w:t>
      </w:r>
    </w:p>
    <w:p w14:paraId="060E4862" w14:textId="7B1D3187" w:rsidR="00BD7DEB" w:rsidRPr="005303F7" w:rsidRDefault="00923B70" w:rsidP="00D93231">
      <w:pPr>
        <w:pStyle w:val="ListParagraph"/>
        <w:numPr>
          <w:ilvl w:val="0"/>
          <w:numId w:val="33"/>
        </w:numPr>
        <w:spacing w:before="0" w:after="0"/>
        <w:rPr>
          <w:rFonts w:ascii="Times New Roman" w:hAnsi="Times New Roman" w:cs="Times New Roman"/>
          <w:sz w:val="24"/>
          <w:szCs w:val="24"/>
          <w:lang w:val="sr-Cyrl-CS"/>
        </w:rPr>
      </w:pPr>
      <w:r w:rsidRPr="005303F7">
        <w:rPr>
          <w:rFonts w:ascii="Times New Roman" w:hAnsi="Times New Roman" w:cs="Times New Roman"/>
          <w:sz w:val="24"/>
          <w:szCs w:val="24"/>
          <w:lang w:val="sr-Cyrl-CS"/>
        </w:rPr>
        <w:t xml:space="preserve"> </w:t>
      </w:r>
      <w:r w:rsidR="00BD7DEB" w:rsidRPr="005303F7">
        <w:rPr>
          <w:rFonts w:ascii="Times New Roman" w:hAnsi="Times New Roman" w:cs="Times New Roman"/>
          <w:sz w:val="24"/>
          <w:szCs w:val="24"/>
          <w:lang w:val="sr-Cyrl-CS"/>
        </w:rPr>
        <w:t>Horizon 2020/ Horizon Europe</w:t>
      </w:r>
      <w:r w:rsidR="000015F4" w:rsidRPr="005303F7">
        <w:rPr>
          <w:rFonts w:ascii="Times New Roman" w:hAnsi="Times New Roman" w:cs="Times New Roman"/>
          <w:sz w:val="24"/>
          <w:szCs w:val="24"/>
          <w:lang w:val="sr-Cyrl-CS"/>
        </w:rPr>
        <w:t>;</w:t>
      </w:r>
    </w:p>
    <w:p w14:paraId="33D3794C" w14:textId="5BA6855B" w:rsidR="003410A6" w:rsidRPr="005303F7" w:rsidRDefault="00923B70" w:rsidP="00D93231">
      <w:pPr>
        <w:pStyle w:val="ListParagraph"/>
        <w:numPr>
          <w:ilvl w:val="0"/>
          <w:numId w:val="33"/>
        </w:numPr>
        <w:spacing w:before="0" w:after="0"/>
        <w:rPr>
          <w:rFonts w:ascii="Times New Roman" w:hAnsi="Times New Roman" w:cs="Times New Roman"/>
          <w:sz w:val="24"/>
          <w:szCs w:val="24"/>
          <w:lang w:val="sr-Cyrl-CS"/>
        </w:rPr>
      </w:pPr>
      <w:r w:rsidRPr="005303F7">
        <w:rPr>
          <w:rFonts w:ascii="Times New Roman" w:hAnsi="Times New Roman" w:cs="Times New Roman"/>
          <w:sz w:val="24"/>
          <w:szCs w:val="24"/>
          <w:lang w:val="sr-Cyrl-CS"/>
        </w:rPr>
        <w:t xml:space="preserve"> </w:t>
      </w:r>
      <w:r w:rsidR="003410A6" w:rsidRPr="005303F7">
        <w:rPr>
          <w:rFonts w:ascii="Times New Roman" w:hAnsi="Times New Roman" w:cs="Times New Roman"/>
          <w:sz w:val="24"/>
          <w:szCs w:val="24"/>
          <w:lang w:val="sr-Cyrl-CS"/>
        </w:rPr>
        <w:t>Акциони план: Финансирање одрживог развоја (СОМ (2018) 97 Final)</w:t>
      </w:r>
      <w:r w:rsidR="000015F4" w:rsidRPr="005303F7">
        <w:rPr>
          <w:rFonts w:ascii="Times New Roman" w:hAnsi="Times New Roman" w:cs="Times New Roman"/>
          <w:sz w:val="24"/>
          <w:szCs w:val="24"/>
          <w:lang w:val="sr-Cyrl-CS"/>
        </w:rPr>
        <w:t>;</w:t>
      </w:r>
    </w:p>
    <w:p w14:paraId="2B556633" w14:textId="664DBBC2" w:rsidR="00D01548" w:rsidRPr="005303F7" w:rsidRDefault="00923B70" w:rsidP="008B000B">
      <w:pPr>
        <w:pStyle w:val="ListParagraph"/>
        <w:numPr>
          <w:ilvl w:val="0"/>
          <w:numId w:val="33"/>
        </w:numPr>
        <w:tabs>
          <w:tab w:val="clear" w:pos="3825"/>
          <w:tab w:val="left" w:pos="709"/>
        </w:tabs>
        <w:spacing w:before="0" w:after="0"/>
        <w:ind w:left="0" w:firstLine="360"/>
        <w:rPr>
          <w:rFonts w:ascii="Times New Roman" w:hAnsi="Times New Roman" w:cs="Times New Roman"/>
          <w:sz w:val="24"/>
          <w:szCs w:val="24"/>
          <w:lang w:val="sr-Cyrl-CS"/>
        </w:rPr>
      </w:pPr>
      <w:r w:rsidRPr="005303F7">
        <w:rPr>
          <w:rFonts w:ascii="Times New Roman" w:hAnsi="Times New Roman" w:cs="Times New Roman"/>
          <w:sz w:val="24"/>
          <w:szCs w:val="24"/>
          <w:lang w:val="sr-Cyrl-CS"/>
        </w:rPr>
        <w:t xml:space="preserve"> </w:t>
      </w:r>
      <w:r w:rsidR="00D01548" w:rsidRPr="005303F7">
        <w:rPr>
          <w:rFonts w:ascii="Times New Roman" w:hAnsi="Times New Roman" w:cs="Times New Roman"/>
          <w:sz w:val="24"/>
          <w:szCs w:val="24"/>
          <w:lang w:val="sr-Cyrl-CS"/>
        </w:rPr>
        <w:t>Фонд за праведну транзицију (Just Transition Fund)</w:t>
      </w:r>
      <w:r w:rsidR="00A239CF" w:rsidRPr="005303F7">
        <w:rPr>
          <w:rFonts w:ascii="Times New Roman" w:hAnsi="Times New Roman" w:cs="Times New Roman"/>
          <w:sz w:val="24"/>
          <w:szCs w:val="24"/>
          <w:lang w:val="sr-Cyrl-CS"/>
        </w:rPr>
        <w:t xml:space="preserve">- за </w:t>
      </w:r>
      <w:r w:rsidR="00076F26" w:rsidRPr="005303F7">
        <w:rPr>
          <w:rFonts w:ascii="Times New Roman" w:hAnsi="Times New Roman" w:cs="Times New Roman"/>
          <w:sz w:val="24"/>
          <w:szCs w:val="24"/>
          <w:lang w:val="sr-Cyrl-CS"/>
        </w:rPr>
        <w:t xml:space="preserve"> кандидате</w:t>
      </w:r>
      <w:r w:rsidR="00A239CF" w:rsidRPr="005303F7">
        <w:rPr>
          <w:rFonts w:ascii="Times New Roman" w:hAnsi="Times New Roman" w:cs="Times New Roman"/>
          <w:sz w:val="24"/>
          <w:szCs w:val="24"/>
          <w:lang w:val="sr-Cyrl-CS"/>
        </w:rPr>
        <w:t xml:space="preserve"> за чланство у ЕУ </w:t>
      </w:r>
      <w:r w:rsidR="00076F26" w:rsidRPr="005303F7">
        <w:rPr>
          <w:rFonts w:ascii="Times New Roman" w:hAnsi="Times New Roman" w:cs="Times New Roman"/>
          <w:sz w:val="24"/>
          <w:szCs w:val="24"/>
          <w:lang w:val="sr-Cyrl-CS"/>
        </w:rPr>
        <w:t xml:space="preserve"> и потписнице Уговора о </w:t>
      </w:r>
      <w:r w:rsidR="001F7E80" w:rsidRPr="005303F7">
        <w:rPr>
          <w:rFonts w:ascii="Times New Roman" w:hAnsi="Times New Roman" w:cs="Times New Roman"/>
          <w:sz w:val="24"/>
          <w:szCs w:val="24"/>
          <w:lang w:val="sr-Cyrl-CS"/>
        </w:rPr>
        <w:t xml:space="preserve">оснивању </w:t>
      </w:r>
      <w:r w:rsidR="00076F26" w:rsidRPr="005303F7">
        <w:rPr>
          <w:rFonts w:ascii="Times New Roman" w:hAnsi="Times New Roman" w:cs="Times New Roman"/>
          <w:sz w:val="24"/>
          <w:szCs w:val="24"/>
          <w:lang w:val="sr-Cyrl-CS"/>
        </w:rPr>
        <w:t>Енергетској заједници</w:t>
      </w:r>
      <w:r w:rsidR="000015F4" w:rsidRPr="005303F7">
        <w:rPr>
          <w:rFonts w:ascii="Times New Roman" w:hAnsi="Times New Roman" w:cs="Times New Roman"/>
          <w:sz w:val="24"/>
          <w:szCs w:val="24"/>
          <w:lang w:val="sr-Cyrl-CS"/>
        </w:rPr>
        <w:t>.</w:t>
      </w:r>
      <w:r w:rsidR="00076F26" w:rsidRPr="005303F7">
        <w:rPr>
          <w:rFonts w:ascii="Times New Roman" w:hAnsi="Times New Roman" w:cs="Times New Roman"/>
          <w:sz w:val="24"/>
          <w:szCs w:val="24"/>
          <w:lang w:val="sr-Cyrl-CS"/>
        </w:rPr>
        <w:t xml:space="preserve"> </w:t>
      </w:r>
    </w:p>
    <w:p w14:paraId="3EB06E28" w14:textId="77777777" w:rsidR="00EB7BC3" w:rsidRPr="005303F7" w:rsidRDefault="00EB7BC3" w:rsidP="006220E0">
      <w:pPr>
        <w:pStyle w:val="ListParagraph"/>
        <w:spacing w:before="0" w:after="0"/>
        <w:ind w:left="720"/>
        <w:rPr>
          <w:lang w:val="sr-Cyrl-CS"/>
        </w:rPr>
      </w:pPr>
    </w:p>
    <w:p w14:paraId="43CDC54C" w14:textId="4A021B13" w:rsidR="004F4501" w:rsidRPr="005303F7" w:rsidRDefault="00EB7BC3" w:rsidP="004F4501">
      <w:pPr>
        <w:rPr>
          <w:rFonts w:ascii="Times New Roman" w:hAnsi="Times New Roman"/>
          <w:bCs/>
          <w:iCs/>
          <w:sz w:val="24"/>
          <w:szCs w:val="22"/>
          <w:lang w:val="sr-Cyrl-CS"/>
        </w:rPr>
      </w:pPr>
      <w:r w:rsidRPr="005303F7">
        <w:rPr>
          <w:rFonts w:ascii="Times New Roman" w:hAnsi="Times New Roman"/>
          <w:b/>
          <w:i/>
          <w:sz w:val="24"/>
          <w:szCs w:val="22"/>
          <w:lang w:val="sr-Cyrl-CS"/>
        </w:rPr>
        <w:t>Билатерални и мултилатерални партнери</w:t>
      </w:r>
      <w:r w:rsidR="004F4501" w:rsidRPr="005303F7">
        <w:rPr>
          <w:rFonts w:ascii="Times New Roman" w:hAnsi="Times New Roman"/>
          <w:bCs/>
          <w:iCs/>
          <w:sz w:val="24"/>
          <w:szCs w:val="22"/>
          <w:lang w:val="sr-Cyrl-CS"/>
        </w:rPr>
        <w:t xml:space="preserve">         </w:t>
      </w:r>
    </w:p>
    <w:p w14:paraId="45C90653" w14:textId="1B05D1DB" w:rsidR="00EB7BC3" w:rsidRPr="005303F7" w:rsidRDefault="004F4501" w:rsidP="00FE004C">
      <w:pPr>
        <w:rPr>
          <w:rFonts w:ascii="Times New Roman" w:hAnsi="Times New Roman"/>
          <w:bCs/>
          <w:iCs/>
          <w:sz w:val="24"/>
          <w:szCs w:val="22"/>
          <w:lang w:val="sr-Cyrl-CS"/>
        </w:rPr>
      </w:pPr>
      <w:r w:rsidRPr="005303F7">
        <w:rPr>
          <w:rFonts w:ascii="Times New Roman" w:hAnsi="Times New Roman"/>
          <w:bCs/>
          <w:iCs/>
          <w:sz w:val="24"/>
          <w:szCs w:val="22"/>
          <w:lang w:val="sr-Cyrl-CS"/>
        </w:rPr>
        <w:t xml:space="preserve">        </w:t>
      </w:r>
      <w:r w:rsidR="00EB7BC3" w:rsidRPr="005303F7">
        <w:rPr>
          <w:rFonts w:ascii="Times New Roman" w:hAnsi="Times New Roman"/>
          <w:bCs/>
          <w:iCs/>
          <w:sz w:val="24"/>
          <w:szCs w:val="22"/>
          <w:lang w:val="sr-Cyrl-CS"/>
        </w:rPr>
        <w:t>Кључни извори билатералног и мултилатералног финансирања су:</w:t>
      </w:r>
    </w:p>
    <w:p w14:paraId="4C048554" w14:textId="0BC2C49D" w:rsidR="00EB7BC3" w:rsidRPr="005303F7" w:rsidRDefault="00EB7BC3" w:rsidP="00D93231">
      <w:pPr>
        <w:pStyle w:val="ListParagraph"/>
        <w:numPr>
          <w:ilvl w:val="0"/>
          <w:numId w:val="51"/>
        </w:numPr>
        <w:spacing w:before="0" w:after="0"/>
        <w:rPr>
          <w:rFonts w:ascii="Times New Roman" w:hAnsi="Times New Roman" w:cs="Times New Roman"/>
          <w:iCs/>
          <w:sz w:val="24"/>
          <w:szCs w:val="22"/>
          <w:lang w:val="sr-Cyrl-CS"/>
        </w:rPr>
      </w:pPr>
      <w:r w:rsidRPr="005303F7">
        <w:rPr>
          <w:rFonts w:ascii="Times New Roman" w:hAnsi="Times New Roman" w:cs="Times New Roman"/>
          <w:iCs/>
          <w:sz w:val="24"/>
          <w:szCs w:val="22"/>
          <w:lang w:val="sr-Cyrl-CS"/>
        </w:rPr>
        <w:t>Зелени климатски фонд (engl. Green Climate Fund - GC</w:t>
      </w:r>
      <w:r w:rsidR="00D553BE" w:rsidRPr="005303F7">
        <w:rPr>
          <w:rFonts w:ascii="Times New Roman" w:hAnsi="Times New Roman" w:cs="Times New Roman"/>
          <w:iCs/>
          <w:sz w:val="24"/>
          <w:szCs w:val="22"/>
          <w:lang w:val="sr-Cyrl-CS"/>
        </w:rPr>
        <w:t>F</w:t>
      </w:r>
      <w:r w:rsidRPr="005303F7">
        <w:rPr>
          <w:rFonts w:ascii="Times New Roman" w:hAnsi="Times New Roman" w:cs="Times New Roman"/>
          <w:iCs/>
          <w:sz w:val="24"/>
          <w:szCs w:val="22"/>
          <w:lang w:val="sr-Cyrl-CS"/>
        </w:rPr>
        <w:t>)</w:t>
      </w:r>
      <w:r w:rsidR="002755A2" w:rsidRPr="005303F7">
        <w:rPr>
          <w:rFonts w:ascii="Times New Roman" w:hAnsi="Times New Roman" w:cs="Times New Roman"/>
          <w:iCs/>
          <w:sz w:val="24"/>
          <w:szCs w:val="22"/>
          <w:lang w:val="sr-Cyrl-CS"/>
        </w:rPr>
        <w:t>;</w:t>
      </w:r>
    </w:p>
    <w:p w14:paraId="647BC5EC" w14:textId="5BEBDEDF" w:rsidR="00EB7BC3" w:rsidRPr="005303F7" w:rsidRDefault="00EB7BC3" w:rsidP="00D93231">
      <w:pPr>
        <w:pStyle w:val="ListParagraph"/>
        <w:numPr>
          <w:ilvl w:val="0"/>
          <w:numId w:val="51"/>
        </w:numPr>
        <w:spacing w:before="0" w:after="0"/>
        <w:rPr>
          <w:rFonts w:ascii="Times New Roman" w:hAnsi="Times New Roman" w:cs="Times New Roman"/>
          <w:iCs/>
          <w:sz w:val="24"/>
          <w:szCs w:val="22"/>
          <w:lang w:val="sr-Cyrl-CS"/>
        </w:rPr>
      </w:pPr>
      <w:r w:rsidRPr="005303F7">
        <w:rPr>
          <w:rFonts w:ascii="Times New Roman" w:hAnsi="Times New Roman" w:cs="Times New Roman"/>
          <w:iCs/>
          <w:sz w:val="24"/>
          <w:szCs w:val="22"/>
          <w:lang w:val="sr-Cyrl-CS"/>
        </w:rPr>
        <w:t>Глобални фонд за животну средину (engl Global Environmental Facility - GEF)</w:t>
      </w:r>
      <w:r w:rsidR="002755A2" w:rsidRPr="005303F7">
        <w:rPr>
          <w:rFonts w:ascii="Times New Roman" w:hAnsi="Times New Roman" w:cs="Times New Roman"/>
          <w:iCs/>
          <w:sz w:val="24"/>
          <w:szCs w:val="22"/>
          <w:lang w:val="sr-Cyrl-CS"/>
        </w:rPr>
        <w:t>;</w:t>
      </w:r>
    </w:p>
    <w:p w14:paraId="7B64E9D7" w14:textId="4AF1D820" w:rsidR="00EB7BC3" w:rsidRPr="005303F7" w:rsidRDefault="00EB7BC3" w:rsidP="00D93231">
      <w:pPr>
        <w:pStyle w:val="ListParagraph"/>
        <w:numPr>
          <w:ilvl w:val="0"/>
          <w:numId w:val="51"/>
        </w:numPr>
        <w:spacing w:before="0" w:after="0"/>
        <w:rPr>
          <w:rFonts w:ascii="Times New Roman" w:hAnsi="Times New Roman" w:cs="Times New Roman"/>
          <w:iCs/>
          <w:sz w:val="24"/>
          <w:szCs w:val="22"/>
          <w:lang w:val="sr-Cyrl-CS"/>
        </w:rPr>
      </w:pPr>
      <w:r w:rsidRPr="005303F7">
        <w:rPr>
          <w:rFonts w:ascii="Times New Roman" w:hAnsi="Times New Roman" w:cs="Times New Roman"/>
          <w:iCs/>
          <w:sz w:val="24"/>
          <w:szCs w:val="22"/>
          <w:lang w:val="sr-Cyrl-CS"/>
        </w:rPr>
        <w:t>Светска банка</w:t>
      </w:r>
      <w:r w:rsidR="002755A2" w:rsidRPr="005303F7">
        <w:rPr>
          <w:rFonts w:ascii="Times New Roman" w:hAnsi="Times New Roman" w:cs="Times New Roman"/>
          <w:iCs/>
          <w:sz w:val="24"/>
          <w:szCs w:val="22"/>
          <w:lang w:val="sr-Cyrl-CS"/>
        </w:rPr>
        <w:t>;</w:t>
      </w:r>
    </w:p>
    <w:p w14:paraId="696BC7A7" w14:textId="735EBD55" w:rsidR="00EB7BC3" w:rsidRPr="005303F7" w:rsidRDefault="00EB7BC3" w:rsidP="00D93231">
      <w:pPr>
        <w:pStyle w:val="ListParagraph"/>
        <w:numPr>
          <w:ilvl w:val="0"/>
          <w:numId w:val="51"/>
        </w:numPr>
        <w:spacing w:before="0" w:after="0"/>
        <w:rPr>
          <w:rFonts w:ascii="Times New Roman" w:hAnsi="Times New Roman" w:cs="Times New Roman"/>
          <w:iCs/>
          <w:sz w:val="24"/>
          <w:szCs w:val="22"/>
          <w:lang w:val="sr-Cyrl-CS"/>
        </w:rPr>
      </w:pPr>
      <w:r w:rsidRPr="005303F7">
        <w:rPr>
          <w:rFonts w:ascii="Times New Roman" w:hAnsi="Times New Roman" w:cs="Times New Roman"/>
          <w:iCs/>
          <w:sz w:val="24"/>
          <w:szCs w:val="22"/>
          <w:lang w:val="sr-Cyrl-CS"/>
        </w:rPr>
        <w:t>Европска инвестициона банка</w:t>
      </w:r>
      <w:r w:rsidR="002755A2" w:rsidRPr="005303F7">
        <w:rPr>
          <w:rFonts w:ascii="Times New Roman" w:hAnsi="Times New Roman" w:cs="Times New Roman"/>
          <w:iCs/>
          <w:sz w:val="24"/>
          <w:szCs w:val="22"/>
          <w:lang w:val="sr-Cyrl-CS"/>
        </w:rPr>
        <w:t>;</w:t>
      </w:r>
    </w:p>
    <w:p w14:paraId="66D736E5" w14:textId="4DD08301" w:rsidR="00EB7BC3" w:rsidRPr="005303F7" w:rsidRDefault="00EB7BC3" w:rsidP="00D93231">
      <w:pPr>
        <w:pStyle w:val="ListParagraph"/>
        <w:numPr>
          <w:ilvl w:val="0"/>
          <w:numId w:val="51"/>
        </w:numPr>
        <w:spacing w:before="0" w:after="0"/>
        <w:rPr>
          <w:rFonts w:ascii="Times New Roman" w:hAnsi="Times New Roman" w:cs="Times New Roman"/>
          <w:iCs/>
          <w:sz w:val="24"/>
          <w:szCs w:val="22"/>
          <w:lang w:val="sr-Cyrl-CS"/>
        </w:rPr>
      </w:pPr>
      <w:r w:rsidRPr="005303F7">
        <w:rPr>
          <w:rFonts w:ascii="Times New Roman" w:hAnsi="Times New Roman" w:cs="Times New Roman"/>
          <w:iCs/>
          <w:sz w:val="24"/>
          <w:szCs w:val="22"/>
          <w:lang w:val="sr-Cyrl-CS"/>
        </w:rPr>
        <w:t>Ев</w:t>
      </w:r>
      <w:r w:rsidR="002755A2" w:rsidRPr="005303F7">
        <w:rPr>
          <w:rFonts w:ascii="Times New Roman" w:hAnsi="Times New Roman" w:cs="Times New Roman"/>
          <w:iCs/>
          <w:sz w:val="24"/>
          <w:szCs w:val="22"/>
          <w:lang w:val="sr-Cyrl-CS"/>
        </w:rPr>
        <w:t>ропска банка за обнову и развој;</w:t>
      </w:r>
    </w:p>
    <w:p w14:paraId="6961D83D" w14:textId="29BAA52D" w:rsidR="00EB7BC3" w:rsidRPr="005303F7" w:rsidRDefault="00EB7BC3" w:rsidP="00D93231">
      <w:pPr>
        <w:pStyle w:val="ListParagraph"/>
        <w:numPr>
          <w:ilvl w:val="0"/>
          <w:numId w:val="51"/>
        </w:numPr>
        <w:spacing w:before="0" w:after="0"/>
        <w:rPr>
          <w:rFonts w:ascii="Times New Roman" w:hAnsi="Times New Roman" w:cs="Times New Roman"/>
          <w:iCs/>
          <w:sz w:val="24"/>
          <w:szCs w:val="22"/>
          <w:lang w:val="sr-Cyrl-CS"/>
        </w:rPr>
      </w:pPr>
      <w:r w:rsidRPr="005303F7">
        <w:rPr>
          <w:rFonts w:ascii="Times New Roman" w:hAnsi="Times New Roman" w:cs="Times New Roman"/>
          <w:iCs/>
          <w:sz w:val="24"/>
          <w:szCs w:val="22"/>
          <w:lang w:val="sr-Cyrl-CS"/>
        </w:rPr>
        <w:t>Развојна банка Савета Европе</w:t>
      </w:r>
      <w:r w:rsidR="002755A2" w:rsidRPr="005303F7">
        <w:rPr>
          <w:rFonts w:ascii="Times New Roman" w:hAnsi="Times New Roman" w:cs="Times New Roman"/>
          <w:iCs/>
          <w:sz w:val="24"/>
          <w:szCs w:val="22"/>
          <w:lang w:val="sr-Cyrl-CS"/>
        </w:rPr>
        <w:t>;</w:t>
      </w:r>
    </w:p>
    <w:p w14:paraId="69B18F53" w14:textId="0F7DC010" w:rsidR="00EB7BC3" w:rsidRPr="005303F7" w:rsidRDefault="00EB7BC3" w:rsidP="00D93231">
      <w:pPr>
        <w:pStyle w:val="ListParagraph"/>
        <w:numPr>
          <w:ilvl w:val="0"/>
          <w:numId w:val="51"/>
        </w:numPr>
        <w:spacing w:before="0" w:after="0"/>
        <w:rPr>
          <w:rFonts w:ascii="Times New Roman" w:hAnsi="Times New Roman" w:cs="Times New Roman"/>
          <w:iCs/>
          <w:sz w:val="24"/>
          <w:szCs w:val="22"/>
          <w:lang w:val="sr-Cyrl-CS"/>
        </w:rPr>
      </w:pPr>
      <w:r w:rsidRPr="005303F7">
        <w:rPr>
          <w:rFonts w:ascii="Times New Roman" w:hAnsi="Times New Roman" w:cs="Times New Roman"/>
          <w:iCs/>
          <w:sz w:val="24"/>
          <w:szCs w:val="22"/>
          <w:lang w:val="sr-Cyrl-CS"/>
        </w:rPr>
        <w:t>Немачка развојна банка</w:t>
      </w:r>
      <w:r w:rsidR="002755A2" w:rsidRPr="005303F7">
        <w:rPr>
          <w:rFonts w:ascii="Times New Roman" w:hAnsi="Times New Roman" w:cs="Times New Roman"/>
          <w:iCs/>
          <w:sz w:val="24"/>
          <w:szCs w:val="22"/>
          <w:lang w:val="sr-Cyrl-CS"/>
        </w:rPr>
        <w:t>;</w:t>
      </w:r>
    </w:p>
    <w:p w14:paraId="5BD443F5" w14:textId="20436CAC" w:rsidR="00EB7BC3" w:rsidRPr="005303F7" w:rsidRDefault="00EB7BC3" w:rsidP="00D93231">
      <w:pPr>
        <w:pStyle w:val="ListParagraph"/>
        <w:numPr>
          <w:ilvl w:val="0"/>
          <w:numId w:val="51"/>
        </w:numPr>
        <w:spacing w:before="0" w:after="0"/>
        <w:rPr>
          <w:rFonts w:ascii="Times New Roman" w:hAnsi="Times New Roman" w:cs="Times New Roman"/>
          <w:iCs/>
          <w:sz w:val="24"/>
          <w:szCs w:val="22"/>
          <w:lang w:val="sr-Cyrl-CS"/>
        </w:rPr>
      </w:pPr>
      <w:r w:rsidRPr="005303F7">
        <w:rPr>
          <w:rFonts w:ascii="Times New Roman" w:hAnsi="Times New Roman" w:cs="Times New Roman"/>
          <w:iCs/>
          <w:sz w:val="24"/>
          <w:szCs w:val="22"/>
          <w:lang w:val="sr-Cyrl-CS"/>
        </w:rPr>
        <w:t>Француска развојна агенција</w:t>
      </w:r>
      <w:r w:rsidR="00D553BE" w:rsidRPr="005303F7">
        <w:rPr>
          <w:rFonts w:ascii="Times New Roman" w:hAnsi="Times New Roman" w:cs="Times New Roman"/>
          <w:iCs/>
          <w:sz w:val="24"/>
          <w:szCs w:val="22"/>
          <w:lang w:val="sr-Cyrl-CS"/>
        </w:rPr>
        <w:t>.</w:t>
      </w:r>
    </w:p>
    <w:p w14:paraId="7671C946" w14:textId="401FA082" w:rsidR="005C7C02" w:rsidRPr="005303F7" w:rsidRDefault="00EB7BC3" w:rsidP="00682F18">
      <w:pPr>
        <w:pStyle w:val="Einzug1"/>
        <w:rPr>
          <w:rFonts w:ascii="Times New Roman" w:hAnsi="Times New Roman" w:cs="Times New Roman"/>
          <w:caps/>
          <w:lang w:val="sr-Cyrl-CS"/>
        </w:rPr>
      </w:pPr>
      <w:bookmarkStart w:id="384" w:name="_Toc11672731"/>
      <w:bookmarkStart w:id="385" w:name="_Toc11672732"/>
      <w:bookmarkStart w:id="386" w:name="_Toc11672733"/>
      <w:bookmarkStart w:id="387" w:name="_Toc11672734"/>
      <w:bookmarkStart w:id="388" w:name="_Toc11672735"/>
      <w:bookmarkStart w:id="389" w:name="_Toc11672736"/>
      <w:bookmarkStart w:id="390" w:name="_Toc11672737"/>
      <w:bookmarkStart w:id="391" w:name="_Toc26686119"/>
      <w:bookmarkEnd w:id="383"/>
      <w:bookmarkEnd w:id="384"/>
      <w:bookmarkEnd w:id="385"/>
      <w:bookmarkEnd w:id="386"/>
      <w:bookmarkEnd w:id="387"/>
      <w:bookmarkEnd w:id="388"/>
      <w:bookmarkEnd w:id="389"/>
      <w:bookmarkEnd w:id="390"/>
      <w:r w:rsidRPr="005303F7">
        <w:rPr>
          <w:rFonts w:ascii="Times New Roman" w:hAnsi="Times New Roman" w:cs="Times New Roman"/>
          <w:caps/>
          <w:lang w:val="sr-Cyrl-CS"/>
        </w:rPr>
        <w:t>Оквир</w:t>
      </w:r>
      <w:r w:rsidR="004F3C8D" w:rsidRPr="005303F7">
        <w:rPr>
          <w:rFonts w:ascii="Times New Roman" w:hAnsi="Times New Roman" w:cs="Times New Roman"/>
          <w:caps/>
          <w:lang w:val="sr-Cyrl-CS"/>
        </w:rPr>
        <w:t xml:space="preserve"> </w:t>
      </w:r>
      <w:r w:rsidRPr="005303F7">
        <w:rPr>
          <w:rFonts w:ascii="Times New Roman" w:hAnsi="Times New Roman" w:cs="Times New Roman"/>
          <w:caps/>
          <w:lang w:val="sr-Cyrl-CS"/>
        </w:rPr>
        <w:t>за</w:t>
      </w:r>
      <w:r w:rsidR="004F3C8D" w:rsidRPr="005303F7">
        <w:rPr>
          <w:rFonts w:ascii="Times New Roman" w:hAnsi="Times New Roman" w:cs="Times New Roman"/>
          <w:caps/>
          <w:lang w:val="sr-Cyrl-CS"/>
        </w:rPr>
        <w:t xml:space="preserve"> </w:t>
      </w:r>
      <w:r w:rsidRPr="005303F7">
        <w:rPr>
          <w:rFonts w:ascii="Times New Roman" w:hAnsi="Times New Roman" w:cs="Times New Roman"/>
          <w:caps/>
          <w:lang w:val="sr-Cyrl-CS"/>
        </w:rPr>
        <w:t>праћење</w:t>
      </w:r>
      <w:r w:rsidR="004F3C8D" w:rsidRPr="005303F7">
        <w:rPr>
          <w:rFonts w:ascii="Times New Roman" w:hAnsi="Times New Roman" w:cs="Times New Roman"/>
          <w:caps/>
          <w:lang w:val="sr-Cyrl-CS"/>
        </w:rPr>
        <w:t xml:space="preserve"> </w:t>
      </w:r>
      <w:r w:rsidRPr="005303F7">
        <w:rPr>
          <w:rFonts w:ascii="Times New Roman" w:hAnsi="Times New Roman" w:cs="Times New Roman"/>
          <w:caps/>
          <w:lang w:val="sr-Cyrl-CS"/>
        </w:rPr>
        <w:t>и</w:t>
      </w:r>
      <w:r w:rsidR="004F3C8D" w:rsidRPr="005303F7">
        <w:rPr>
          <w:rFonts w:ascii="Times New Roman" w:hAnsi="Times New Roman" w:cs="Times New Roman"/>
          <w:caps/>
          <w:lang w:val="sr-Cyrl-CS"/>
        </w:rPr>
        <w:t xml:space="preserve"> </w:t>
      </w:r>
      <w:r w:rsidRPr="005303F7">
        <w:rPr>
          <w:rFonts w:ascii="Times New Roman" w:hAnsi="Times New Roman" w:cs="Times New Roman"/>
          <w:caps/>
          <w:lang w:val="sr-Cyrl-CS"/>
        </w:rPr>
        <w:t>Извештавањ</w:t>
      </w:r>
      <w:bookmarkEnd w:id="391"/>
      <w:r w:rsidRPr="005303F7">
        <w:rPr>
          <w:rFonts w:ascii="Times New Roman" w:hAnsi="Times New Roman" w:cs="Times New Roman"/>
          <w:caps/>
          <w:lang w:val="sr-Cyrl-CS"/>
        </w:rPr>
        <w:t>е</w:t>
      </w:r>
    </w:p>
    <w:p w14:paraId="787529CC" w14:textId="2AEDF948" w:rsidR="002A7138" w:rsidRPr="005303F7" w:rsidRDefault="004F4501" w:rsidP="00D35AFD">
      <w:pPr>
        <w:rPr>
          <w:rFonts w:ascii="Times New Roman" w:hAnsi="Times New Roman"/>
          <w:sz w:val="24"/>
          <w:lang w:val="sr-Cyrl-CS"/>
        </w:rPr>
      </w:pPr>
      <w:r w:rsidRPr="005303F7">
        <w:rPr>
          <w:rFonts w:ascii="Times New Roman" w:hAnsi="Times New Roman"/>
          <w:sz w:val="24"/>
          <w:lang w:val="sr-Cyrl-CS"/>
        </w:rPr>
        <w:t xml:space="preserve">           </w:t>
      </w:r>
      <w:r w:rsidR="00B14CA9" w:rsidRPr="005303F7">
        <w:rPr>
          <w:rFonts w:ascii="Times New Roman" w:hAnsi="Times New Roman"/>
          <w:sz w:val="24"/>
          <w:lang w:val="sr-Cyrl-CS"/>
        </w:rPr>
        <w:t>Н</w:t>
      </w:r>
      <w:r w:rsidR="00EB7BC3" w:rsidRPr="005303F7">
        <w:rPr>
          <w:rFonts w:ascii="Times New Roman" w:hAnsi="Times New Roman"/>
          <w:sz w:val="24"/>
          <w:lang w:val="sr-Cyrl-CS"/>
        </w:rPr>
        <w:t>адлежни</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органи</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и</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организације</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дужни</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су</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да</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изврше</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процену</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ефеката</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својих</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политика</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и</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мера</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на</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ниво</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емисија</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гасова</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са</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ефектом</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стаклене</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баште</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и</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поднесу</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извештаје</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Министарству</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заштит</w:t>
      </w:r>
      <w:r w:rsidR="001F7E80" w:rsidRPr="005303F7">
        <w:rPr>
          <w:rFonts w:ascii="Times New Roman" w:hAnsi="Times New Roman"/>
          <w:sz w:val="24"/>
          <w:lang w:val="sr-Cyrl-CS"/>
        </w:rPr>
        <w:t>е</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животне</w:t>
      </w:r>
      <w:r w:rsidR="002A7138" w:rsidRPr="005303F7">
        <w:rPr>
          <w:rFonts w:ascii="Times New Roman" w:hAnsi="Times New Roman"/>
          <w:sz w:val="24"/>
          <w:lang w:val="sr-Cyrl-CS"/>
        </w:rPr>
        <w:t xml:space="preserve"> </w:t>
      </w:r>
      <w:r w:rsidR="00EB7BC3" w:rsidRPr="005303F7">
        <w:rPr>
          <w:rFonts w:ascii="Times New Roman" w:hAnsi="Times New Roman"/>
          <w:sz w:val="24"/>
          <w:lang w:val="sr-Cyrl-CS"/>
        </w:rPr>
        <w:t>средине</w:t>
      </w:r>
      <w:r w:rsidR="002A7138" w:rsidRPr="005303F7">
        <w:rPr>
          <w:rFonts w:ascii="Times New Roman" w:hAnsi="Times New Roman"/>
          <w:sz w:val="24"/>
          <w:lang w:val="sr-Cyrl-CS"/>
        </w:rPr>
        <w:t>.</w:t>
      </w:r>
    </w:p>
    <w:p w14:paraId="626CFF44" w14:textId="48F02A15" w:rsidR="007F21EA" w:rsidRPr="005303F7" w:rsidRDefault="004F4501" w:rsidP="007F21EA">
      <w:pPr>
        <w:rPr>
          <w:rFonts w:ascii="Times New Roman" w:hAnsi="Times New Roman"/>
          <w:sz w:val="24"/>
          <w:lang w:val="sr-Cyrl-CS"/>
        </w:rPr>
      </w:pPr>
      <w:r w:rsidRPr="005303F7">
        <w:rPr>
          <w:rFonts w:ascii="Times New Roman" w:hAnsi="Times New Roman"/>
          <w:sz w:val="24"/>
          <w:lang w:val="sr-Cyrl-CS"/>
        </w:rPr>
        <w:t xml:space="preserve">          </w:t>
      </w:r>
      <w:r w:rsidR="00EB7BC3" w:rsidRPr="005303F7">
        <w:rPr>
          <w:rFonts w:ascii="Times New Roman" w:hAnsi="Times New Roman"/>
          <w:sz w:val="24"/>
          <w:lang w:val="sr-Cyrl-CS"/>
        </w:rPr>
        <w:t>У</w:t>
      </w:r>
      <w:r w:rsidR="00526080" w:rsidRPr="005303F7">
        <w:rPr>
          <w:rFonts w:ascii="Times New Roman" w:hAnsi="Times New Roman"/>
          <w:sz w:val="24"/>
          <w:lang w:val="sr-Cyrl-CS"/>
        </w:rPr>
        <w:t xml:space="preserve"> </w:t>
      </w:r>
      <w:r w:rsidR="00EB7BC3" w:rsidRPr="005303F7">
        <w:rPr>
          <w:rFonts w:ascii="Times New Roman" w:hAnsi="Times New Roman"/>
          <w:sz w:val="24"/>
          <w:lang w:val="sr-Cyrl-CS"/>
        </w:rPr>
        <w:t>том</w:t>
      </w:r>
      <w:r w:rsidR="00526080" w:rsidRPr="005303F7">
        <w:rPr>
          <w:rFonts w:ascii="Times New Roman" w:hAnsi="Times New Roman"/>
          <w:sz w:val="24"/>
          <w:lang w:val="sr-Cyrl-CS"/>
        </w:rPr>
        <w:t xml:space="preserve"> </w:t>
      </w:r>
      <w:r w:rsidR="00EB7BC3" w:rsidRPr="005303F7">
        <w:rPr>
          <w:rFonts w:ascii="Times New Roman" w:hAnsi="Times New Roman"/>
          <w:sz w:val="24"/>
          <w:lang w:val="sr-Cyrl-CS"/>
        </w:rPr>
        <w:t>контексту</w:t>
      </w:r>
      <w:r w:rsidR="00526080" w:rsidRPr="005303F7">
        <w:rPr>
          <w:rFonts w:ascii="Times New Roman" w:hAnsi="Times New Roman"/>
          <w:sz w:val="24"/>
          <w:lang w:val="sr-Cyrl-CS"/>
        </w:rPr>
        <w:t xml:space="preserve">, </w:t>
      </w:r>
      <w:r w:rsidR="00DD2BFE" w:rsidRPr="005303F7">
        <w:rPr>
          <w:rFonts w:ascii="Times New Roman" w:hAnsi="Times New Roman"/>
          <w:sz w:val="24"/>
          <w:lang w:val="sr-Cyrl-CS"/>
        </w:rPr>
        <w:t>праћење</w:t>
      </w:r>
      <w:r w:rsidR="00526080" w:rsidRPr="005303F7">
        <w:rPr>
          <w:rFonts w:ascii="Times New Roman" w:hAnsi="Times New Roman"/>
          <w:sz w:val="24"/>
          <w:lang w:val="sr-Cyrl-CS"/>
        </w:rPr>
        <w:t xml:space="preserve"> </w:t>
      </w:r>
      <w:r w:rsidR="00EB7BC3" w:rsidRPr="005303F7">
        <w:rPr>
          <w:rFonts w:ascii="Times New Roman" w:hAnsi="Times New Roman"/>
          <w:sz w:val="24"/>
          <w:lang w:val="sr-Cyrl-CS"/>
        </w:rPr>
        <w:t>примене</w:t>
      </w:r>
      <w:r w:rsidR="00526080" w:rsidRPr="005303F7">
        <w:rPr>
          <w:rFonts w:ascii="Times New Roman" w:hAnsi="Times New Roman"/>
          <w:sz w:val="24"/>
          <w:lang w:val="sr-Cyrl-CS"/>
        </w:rPr>
        <w:t xml:space="preserve"> </w:t>
      </w:r>
      <w:r w:rsidR="00EB7BC3" w:rsidRPr="005303F7">
        <w:rPr>
          <w:rFonts w:ascii="Times New Roman" w:hAnsi="Times New Roman"/>
          <w:sz w:val="24"/>
          <w:lang w:val="sr-Cyrl-CS"/>
        </w:rPr>
        <w:t>одређене</w:t>
      </w:r>
      <w:r w:rsidR="00526080" w:rsidRPr="005303F7">
        <w:rPr>
          <w:rFonts w:ascii="Times New Roman" w:hAnsi="Times New Roman"/>
          <w:sz w:val="24"/>
          <w:lang w:val="sr-Cyrl-CS"/>
        </w:rPr>
        <w:t xml:space="preserve"> </w:t>
      </w:r>
      <w:r w:rsidR="00EB7BC3" w:rsidRPr="005303F7">
        <w:rPr>
          <w:rFonts w:ascii="Times New Roman" w:hAnsi="Times New Roman"/>
          <w:sz w:val="24"/>
          <w:lang w:val="sr-Cyrl-CS"/>
        </w:rPr>
        <w:t>мере</w:t>
      </w:r>
      <w:r w:rsidR="00526080" w:rsidRPr="005303F7">
        <w:rPr>
          <w:rFonts w:ascii="Times New Roman" w:hAnsi="Times New Roman"/>
          <w:sz w:val="24"/>
          <w:lang w:val="sr-Cyrl-CS"/>
        </w:rPr>
        <w:t xml:space="preserve"> </w:t>
      </w:r>
      <w:r w:rsidR="00EB7BC3" w:rsidRPr="005303F7">
        <w:rPr>
          <w:rFonts w:ascii="Times New Roman" w:hAnsi="Times New Roman"/>
          <w:sz w:val="24"/>
          <w:lang w:val="sr-Cyrl-CS"/>
        </w:rPr>
        <w:t>врши</w:t>
      </w:r>
      <w:r w:rsidR="00016298" w:rsidRPr="005303F7">
        <w:rPr>
          <w:rFonts w:ascii="Times New Roman" w:hAnsi="Times New Roman"/>
          <w:sz w:val="24"/>
          <w:lang w:val="sr-Cyrl-CS"/>
        </w:rPr>
        <w:t>ћ</w:t>
      </w:r>
      <w:r w:rsidR="00EB7BC3" w:rsidRPr="005303F7">
        <w:rPr>
          <w:rFonts w:ascii="Times New Roman" w:hAnsi="Times New Roman"/>
          <w:sz w:val="24"/>
          <w:lang w:val="sr-Cyrl-CS"/>
        </w:rPr>
        <w:t>е</w:t>
      </w:r>
      <w:r w:rsidR="00526080" w:rsidRPr="005303F7">
        <w:rPr>
          <w:rFonts w:ascii="Times New Roman" w:hAnsi="Times New Roman"/>
          <w:sz w:val="24"/>
          <w:lang w:val="sr-Cyrl-CS"/>
        </w:rPr>
        <w:t xml:space="preserve"> </w:t>
      </w:r>
      <w:r w:rsidR="00EB7BC3" w:rsidRPr="005303F7">
        <w:rPr>
          <w:rFonts w:ascii="Times New Roman" w:hAnsi="Times New Roman"/>
          <w:sz w:val="24"/>
          <w:lang w:val="sr-Cyrl-CS"/>
        </w:rPr>
        <w:t>надлежна</w:t>
      </w:r>
      <w:r w:rsidR="00526080" w:rsidRPr="005303F7">
        <w:rPr>
          <w:rFonts w:ascii="Times New Roman" w:hAnsi="Times New Roman"/>
          <w:sz w:val="24"/>
          <w:lang w:val="sr-Cyrl-CS"/>
        </w:rPr>
        <w:t xml:space="preserve"> </w:t>
      </w:r>
      <w:r w:rsidR="00EB7BC3" w:rsidRPr="005303F7">
        <w:rPr>
          <w:rFonts w:ascii="Times New Roman" w:hAnsi="Times New Roman"/>
          <w:sz w:val="24"/>
          <w:lang w:val="sr-Cyrl-CS"/>
        </w:rPr>
        <w:t>институција</w:t>
      </w:r>
      <w:r w:rsidR="00526080" w:rsidRPr="005303F7">
        <w:rPr>
          <w:rFonts w:ascii="Times New Roman" w:hAnsi="Times New Roman"/>
          <w:sz w:val="24"/>
          <w:lang w:val="sr-Cyrl-CS"/>
        </w:rPr>
        <w:t xml:space="preserve"> </w:t>
      </w:r>
      <w:r w:rsidR="00EB7BC3" w:rsidRPr="005303F7">
        <w:rPr>
          <w:rFonts w:ascii="Times New Roman" w:hAnsi="Times New Roman"/>
          <w:sz w:val="24"/>
          <w:lang w:val="sr-Cyrl-CS"/>
        </w:rPr>
        <w:t>и</w:t>
      </w:r>
      <w:r w:rsidR="00526080" w:rsidRPr="005303F7">
        <w:rPr>
          <w:rFonts w:ascii="Times New Roman" w:hAnsi="Times New Roman"/>
          <w:sz w:val="24"/>
          <w:lang w:val="sr-Cyrl-CS"/>
        </w:rPr>
        <w:t xml:space="preserve"> </w:t>
      </w:r>
      <w:r w:rsidR="00EB7BC3" w:rsidRPr="005303F7">
        <w:rPr>
          <w:rFonts w:ascii="Times New Roman" w:hAnsi="Times New Roman"/>
          <w:sz w:val="24"/>
          <w:lang w:val="sr-Cyrl-CS"/>
        </w:rPr>
        <w:t>извештаваће</w:t>
      </w:r>
      <w:r w:rsidR="00526080" w:rsidRPr="005303F7">
        <w:rPr>
          <w:rFonts w:ascii="Times New Roman" w:hAnsi="Times New Roman"/>
          <w:sz w:val="24"/>
          <w:lang w:val="sr-Cyrl-CS"/>
        </w:rPr>
        <w:t xml:space="preserve"> </w:t>
      </w:r>
      <w:r w:rsidR="00EB7BC3" w:rsidRPr="005303F7">
        <w:rPr>
          <w:rFonts w:ascii="Times New Roman" w:hAnsi="Times New Roman"/>
          <w:sz w:val="24"/>
          <w:lang w:val="sr-Cyrl-CS"/>
        </w:rPr>
        <w:t>Министарство</w:t>
      </w:r>
      <w:r w:rsidR="001F7E80" w:rsidRPr="005303F7">
        <w:rPr>
          <w:lang w:val="sr-Cyrl-CS"/>
        </w:rPr>
        <w:t xml:space="preserve"> </w:t>
      </w:r>
      <w:r w:rsidR="001F7E80" w:rsidRPr="005303F7">
        <w:rPr>
          <w:rFonts w:ascii="Times New Roman" w:hAnsi="Times New Roman"/>
          <w:sz w:val="24"/>
          <w:lang w:val="sr-Cyrl-CS"/>
        </w:rPr>
        <w:t>заштите животне средине</w:t>
      </w:r>
      <w:r w:rsidR="00B14CA9" w:rsidRPr="005303F7">
        <w:rPr>
          <w:rFonts w:ascii="Times New Roman" w:hAnsi="Times New Roman"/>
          <w:sz w:val="24"/>
          <w:lang w:val="sr-Cyrl-CS"/>
        </w:rPr>
        <w:t>.</w:t>
      </w:r>
      <w:r w:rsidR="003410A6" w:rsidRPr="005303F7">
        <w:rPr>
          <w:rFonts w:ascii="Times New Roman" w:hAnsi="Times New Roman"/>
          <w:sz w:val="24"/>
          <w:lang w:val="sr-Cyrl-CS"/>
        </w:rPr>
        <w:t xml:space="preserve"> </w:t>
      </w:r>
      <w:r w:rsidR="00EB7BC3" w:rsidRPr="005303F7">
        <w:rPr>
          <w:rFonts w:ascii="Times New Roman" w:hAnsi="Times New Roman"/>
          <w:sz w:val="24"/>
          <w:lang w:val="sr-Cyrl-CS"/>
        </w:rPr>
        <w:t>Спровођење</w:t>
      </w:r>
      <w:r w:rsidR="00605422" w:rsidRPr="005303F7">
        <w:rPr>
          <w:rFonts w:ascii="Times New Roman" w:hAnsi="Times New Roman"/>
          <w:sz w:val="24"/>
          <w:lang w:val="sr-Cyrl-CS"/>
        </w:rPr>
        <w:t xml:space="preserve"> </w:t>
      </w:r>
      <w:r w:rsidR="00EB7BC3" w:rsidRPr="005303F7">
        <w:rPr>
          <w:rFonts w:ascii="Times New Roman" w:hAnsi="Times New Roman"/>
          <w:sz w:val="24"/>
          <w:lang w:val="sr-Cyrl-CS"/>
        </w:rPr>
        <w:t>мере</w:t>
      </w:r>
      <w:r w:rsidR="00605422" w:rsidRPr="005303F7">
        <w:rPr>
          <w:rFonts w:ascii="Times New Roman" w:hAnsi="Times New Roman"/>
          <w:sz w:val="24"/>
          <w:lang w:val="sr-Cyrl-CS"/>
        </w:rPr>
        <w:t xml:space="preserve"> </w:t>
      </w:r>
      <w:r w:rsidR="00EB7BC3" w:rsidRPr="005303F7">
        <w:rPr>
          <w:rFonts w:ascii="Times New Roman" w:hAnsi="Times New Roman"/>
          <w:sz w:val="24"/>
          <w:lang w:val="sr-Cyrl-CS"/>
        </w:rPr>
        <w:t>ће</w:t>
      </w:r>
      <w:r w:rsidR="00605422" w:rsidRPr="005303F7">
        <w:rPr>
          <w:rFonts w:ascii="Times New Roman" w:hAnsi="Times New Roman"/>
          <w:sz w:val="24"/>
          <w:lang w:val="sr-Cyrl-CS"/>
        </w:rPr>
        <w:t xml:space="preserve"> </w:t>
      </w:r>
      <w:r w:rsidR="00EB7BC3" w:rsidRPr="005303F7">
        <w:rPr>
          <w:rFonts w:ascii="Times New Roman" w:hAnsi="Times New Roman"/>
          <w:sz w:val="24"/>
          <w:lang w:val="sr-Cyrl-CS"/>
        </w:rPr>
        <w:t>се</w:t>
      </w:r>
      <w:r w:rsidR="00605422" w:rsidRPr="005303F7">
        <w:rPr>
          <w:rFonts w:ascii="Times New Roman" w:hAnsi="Times New Roman"/>
          <w:sz w:val="24"/>
          <w:lang w:val="sr-Cyrl-CS"/>
        </w:rPr>
        <w:t xml:space="preserve"> </w:t>
      </w:r>
      <w:r w:rsidR="00EB7BC3" w:rsidRPr="005303F7">
        <w:rPr>
          <w:rFonts w:ascii="Times New Roman" w:hAnsi="Times New Roman"/>
          <w:sz w:val="24"/>
          <w:lang w:val="sr-Cyrl-CS"/>
        </w:rPr>
        <w:t>пратити</w:t>
      </w:r>
      <w:r w:rsidR="00605422" w:rsidRPr="005303F7">
        <w:rPr>
          <w:rFonts w:ascii="Times New Roman" w:hAnsi="Times New Roman"/>
          <w:sz w:val="24"/>
          <w:lang w:val="sr-Cyrl-CS"/>
        </w:rPr>
        <w:t xml:space="preserve"> </w:t>
      </w:r>
      <w:r w:rsidR="00EB7BC3" w:rsidRPr="005303F7">
        <w:rPr>
          <w:rFonts w:ascii="Times New Roman" w:hAnsi="Times New Roman"/>
          <w:sz w:val="24"/>
          <w:lang w:val="sr-Cyrl-CS"/>
        </w:rPr>
        <w:t>на</w:t>
      </w:r>
      <w:r w:rsidR="00605422" w:rsidRPr="005303F7">
        <w:rPr>
          <w:rFonts w:ascii="Times New Roman" w:hAnsi="Times New Roman"/>
          <w:sz w:val="24"/>
          <w:lang w:val="sr-Cyrl-CS"/>
        </w:rPr>
        <w:t xml:space="preserve"> </w:t>
      </w:r>
      <w:r w:rsidR="00EB7BC3" w:rsidRPr="005303F7">
        <w:rPr>
          <w:rFonts w:ascii="Times New Roman" w:hAnsi="Times New Roman"/>
          <w:sz w:val="24"/>
          <w:lang w:val="sr-Cyrl-CS"/>
        </w:rPr>
        <w:t>основу</w:t>
      </w:r>
      <w:r w:rsidR="00605422" w:rsidRPr="005303F7">
        <w:rPr>
          <w:rFonts w:ascii="Times New Roman" w:hAnsi="Times New Roman"/>
          <w:sz w:val="24"/>
          <w:lang w:val="sr-Cyrl-CS"/>
        </w:rPr>
        <w:t xml:space="preserve"> </w:t>
      </w:r>
      <w:r w:rsidR="00EB7BC3" w:rsidRPr="005303F7">
        <w:rPr>
          <w:rFonts w:ascii="Times New Roman" w:hAnsi="Times New Roman"/>
          <w:sz w:val="24"/>
          <w:lang w:val="sr-Cyrl-CS"/>
        </w:rPr>
        <w:t>Националног</w:t>
      </w:r>
      <w:r w:rsidR="00605422" w:rsidRPr="005303F7">
        <w:rPr>
          <w:rFonts w:ascii="Times New Roman" w:hAnsi="Times New Roman"/>
          <w:sz w:val="24"/>
          <w:lang w:val="sr-Cyrl-CS"/>
        </w:rPr>
        <w:t xml:space="preserve"> </w:t>
      </w:r>
      <w:r w:rsidR="00EB7BC3" w:rsidRPr="005303F7">
        <w:rPr>
          <w:rFonts w:ascii="Times New Roman" w:hAnsi="Times New Roman"/>
          <w:sz w:val="24"/>
          <w:lang w:val="sr-Cyrl-CS"/>
        </w:rPr>
        <w:t>инвентара</w:t>
      </w:r>
      <w:r w:rsidR="00605422" w:rsidRPr="005303F7">
        <w:rPr>
          <w:rFonts w:ascii="Times New Roman" w:hAnsi="Times New Roman"/>
          <w:sz w:val="24"/>
          <w:lang w:val="sr-Cyrl-CS"/>
        </w:rPr>
        <w:t xml:space="preserve"> </w:t>
      </w:r>
      <w:r w:rsidR="00EB7BC3" w:rsidRPr="005303F7">
        <w:rPr>
          <w:rFonts w:ascii="Times New Roman" w:hAnsi="Times New Roman"/>
          <w:sz w:val="24"/>
          <w:lang w:val="sr-Cyrl-CS"/>
        </w:rPr>
        <w:t>емисија</w:t>
      </w:r>
      <w:r w:rsidR="00605422" w:rsidRPr="005303F7">
        <w:rPr>
          <w:rFonts w:ascii="Times New Roman" w:hAnsi="Times New Roman"/>
          <w:sz w:val="24"/>
          <w:lang w:val="sr-Cyrl-CS"/>
        </w:rPr>
        <w:t xml:space="preserve"> </w:t>
      </w:r>
      <w:r w:rsidR="00965FFE" w:rsidRPr="005303F7">
        <w:rPr>
          <w:rFonts w:ascii="Times New Roman" w:hAnsi="Times New Roman"/>
          <w:sz w:val="24"/>
          <w:lang w:val="sr-Cyrl-CS"/>
        </w:rPr>
        <w:t>GHG</w:t>
      </w:r>
      <w:r w:rsidR="00605422" w:rsidRPr="005303F7">
        <w:rPr>
          <w:rFonts w:ascii="Times New Roman" w:hAnsi="Times New Roman"/>
          <w:sz w:val="24"/>
          <w:lang w:val="sr-Cyrl-CS"/>
        </w:rPr>
        <w:t xml:space="preserve"> </w:t>
      </w:r>
      <w:r w:rsidR="00EB7BC3" w:rsidRPr="005303F7">
        <w:rPr>
          <w:rFonts w:ascii="Times New Roman" w:hAnsi="Times New Roman"/>
          <w:sz w:val="24"/>
          <w:lang w:val="sr-Cyrl-CS"/>
        </w:rPr>
        <w:t>и</w:t>
      </w:r>
      <w:r w:rsidR="00605422" w:rsidRPr="005303F7">
        <w:rPr>
          <w:rFonts w:ascii="Times New Roman" w:hAnsi="Times New Roman"/>
          <w:sz w:val="24"/>
          <w:lang w:val="sr-Cyrl-CS"/>
        </w:rPr>
        <w:t xml:space="preserve"> </w:t>
      </w:r>
      <w:r w:rsidR="00EB7BC3" w:rsidRPr="005303F7">
        <w:rPr>
          <w:rFonts w:ascii="Times New Roman" w:hAnsi="Times New Roman"/>
          <w:sz w:val="24"/>
          <w:lang w:val="sr-Cyrl-CS"/>
        </w:rPr>
        <w:t>низом</w:t>
      </w:r>
      <w:r w:rsidR="00733F76" w:rsidRPr="005303F7">
        <w:rPr>
          <w:rFonts w:ascii="Times New Roman" w:hAnsi="Times New Roman"/>
          <w:sz w:val="24"/>
          <w:lang w:val="sr-Cyrl-CS"/>
        </w:rPr>
        <w:t xml:space="preserve"> </w:t>
      </w:r>
      <w:r w:rsidR="00EB7BC3" w:rsidRPr="005303F7">
        <w:rPr>
          <w:rFonts w:ascii="Times New Roman" w:hAnsi="Times New Roman"/>
          <w:sz w:val="24"/>
          <w:lang w:val="sr-Cyrl-CS"/>
        </w:rPr>
        <w:t>показатеља</w:t>
      </w:r>
      <w:r w:rsidR="00605422" w:rsidRPr="005303F7">
        <w:rPr>
          <w:rFonts w:ascii="Times New Roman" w:hAnsi="Times New Roman"/>
          <w:sz w:val="24"/>
          <w:lang w:val="sr-Cyrl-CS"/>
        </w:rPr>
        <w:t xml:space="preserve"> </w:t>
      </w:r>
      <w:r w:rsidR="00EB7BC3" w:rsidRPr="005303F7">
        <w:rPr>
          <w:rFonts w:ascii="Times New Roman" w:hAnsi="Times New Roman"/>
          <w:sz w:val="24"/>
          <w:lang w:val="sr-Cyrl-CS"/>
        </w:rPr>
        <w:t>перформанси</w:t>
      </w:r>
      <w:r w:rsidR="00605422" w:rsidRPr="005303F7">
        <w:rPr>
          <w:rFonts w:ascii="Times New Roman" w:hAnsi="Times New Roman"/>
          <w:sz w:val="24"/>
          <w:lang w:val="sr-Cyrl-CS"/>
        </w:rPr>
        <w:t xml:space="preserve"> </w:t>
      </w:r>
      <w:r w:rsidR="00D8545D" w:rsidRPr="005303F7">
        <w:rPr>
          <w:rFonts w:ascii="Times New Roman" w:hAnsi="Times New Roman"/>
          <w:sz w:val="24"/>
          <w:lang w:val="sr-Cyrl-CS"/>
        </w:rPr>
        <w:t>(</w:t>
      </w:r>
      <w:r w:rsidR="00EB7BC3" w:rsidRPr="005303F7">
        <w:rPr>
          <w:rFonts w:ascii="Times New Roman" w:hAnsi="Times New Roman"/>
          <w:sz w:val="24"/>
          <w:lang w:val="sr-Cyrl-CS"/>
        </w:rPr>
        <w:t>Графикон</w:t>
      </w:r>
      <w:r w:rsidR="004C2BCD" w:rsidRPr="005303F7">
        <w:rPr>
          <w:rFonts w:ascii="Times New Roman" w:hAnsi="Times New Roman"/>
          <w:sz w:val="24"/>
          <w:lang w:val="sr-Cyrl-CS"/>
        </w:rPr>
        <w:t xml:space="preserve"> </w:t>
      </w:r>
      <w:r w:rsidR="001F7E80" w:rsidRPr="005303F7">
        <w:rPr>
          <w:rFonts w:ascii="Times New Roman" w:hAnsi="Times New Roman"/>
          <w:sz w:val="24"/>
          <w:lang w:val="sr-Cyrl-CS"/>
        </w:rPr>
        <w:t>5</w:t>
      </w:r>
      <w:r w:rsidR="00D8545D" w:rsidRPr="005303F7">
        <w:rPr>
          <w:rFonts w:ascii="Times New Roman" w:hAnsi="Times New Roman"/>
          <w:sz w:val="24"/>
          <w:lang w:val="sr-Cyrl-CS"/>
        </w:rPr>
        <w:t>)</w:t>
      </w:r>
      <w:r w:rsidR="00627AEB" w:rsidRPr="005303F7">
        <w:rPr>
          <w:rFonts w:ascii="Times New Roman" w:hAnsi="Times New Roman"/>
          <w:sz w:val="24"/>
          <w:lang w:val="sr-Cyrl-CS"/>
        </w:rPr>
        <w:t>.</w:t>
      </w:r>
    </w:p>
    <w:p w14:paraId="7FA4044F" w14:textId="3E1A00A6" w:rsidR="00D42210" w:rsidRPr="005303F7" w:rsidRDefault="007F21EA" w:rsidP="007F21EA">
      <w:pPr>
        <w:rPr>
          <w:rFonts w:ascii="Times New Roman" w:hAnsi="Times New Roman"/>
          <w:sz w:val="24"/>
          <w:lang w:val="sr-Cyrl-CS"/>
        </w:rPr>
      </w:pPr>
      <w:r w:rsidRPr="005303F7">
        <w:rPr>
          <w:rFonts w:ascii="Times New Roman" w:hAnsi="Times New Roman"/>
          <w:sz w:val="24"/>
          <w:lang w:val="sr-Cyrl-CS"/>
        </w:rPr>
        <w:tab/>
      </w:r>
    </w:p>
    <w:p w14:paraId="39523A75" w14:textId="70345220" w:rsidR="00074B3B" w:rsidRPr="005303F7" w:rsidRDefault="00074B3B" w:rsidP="00D35AFD">
      <w:pPr>
        <w:rPr>
          <w:rFonts w:ascii="Times New Roman" w:hAnsi="Times New Roman"/>
          <w:lang w:val="sr-Cyrl-CS"/>
        </w:rPr>
      </w:pPr>
      <w:r w:rsidRPr="005303F7">
        <w:rPr>
          <w:rFonts w:ascii="Times New Roman" w:hAnsi="Times New Roman"/>
          <w:noProof/>
          <w:lang w:val="sr-Cyrl-CS" w:eastAsia="en-US"/>
        </w:rPr>
        <w:drawing>
          <wp:inline distT="0" distB="0" distL="0" distR="0" wp14:anchorId="223F9395" wp14:editId="5694067B">
            <wp:extent cx="4960189" cy="2674189"/>
            <wp:effectExtent l="0" t="19050" r="0" b="3111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E2BAD71" w14:textId="408B351B" w:rsidR="00545F61" w:rsidRPr="005303F7" w:rsidRDefault="00EB7BC3" w:rsidP="00545F61">
      <w:pPr>
        <w:keepNext/>
        <w:spacing w:after="60"/>
        <w:ind w:left="1134" w:hanging="1134"/>
        <w:rPr>
          <w:rFonts w:ascii="Times New Roman" w:hAnsi="Times New Roman"/>
          <w:i/>
          <w:iCs/>
          <w:sz w:val="20"/>
          <w:szCs w:val="18"/>
          <w:lang w:val="sr-Cyrl-CS"/>
        </w:rPr>
      </w:pPr>
      <w:bookmarkStart w:id="392" w:name="_Toc26759711"/>
      <w:r w:rsidRPr="005303F7">
        <w:rPr>
          <w:rFonts w:ascii="Times New Roman" w:hAnsi="Times New Roman"/>
          <w:b/>
          <w:bCs/>
          <w:i/>
          <w:iCs/>
          <w:sz w:val="20"/>
          <w:szCs w:val="18"/>
          <w:lang w:val="sr-Cyrl-CS"/>
        </w:rPr>
        <w:t>Графикон</w:t>
      </w:r>
      <w:r w:rsidR="00545F61" w:rsidRPr="005303F7">
        <w:rPr>
          <w:rFonts w:ascii="Times New Roman" w:hAnsi="Times New Roman"/>
          <w:b/>
          <w:bCs/>
          <w:i/>
          <w:iCs/>
          <w:sz w:val="20"/>
          <w:szCs w:val="18"/>
          <w:lang w:val="sr-Cyrl-CS"/>
        </w:rPr>
        <w:t xml:space="preserve"> </w:t>
      </w:r>
      <w:r w:rsidR="001F7E80" w:rsidRPr="005303F7">
        <w:rPr>
          <w:rFonts w:ascii="Times New Roman" w:hAnsi="Times New Roman"/>
          <w:b/>
          <w:bCs/>
          <w:i/>
          <w:iCs/>
          <w:sz w:val="20"/>
          <w:szCs w:val="18"/>
          <w:lang w:val="sr-Cyrl-CS"/>
        </w:rPr>
        <w:t>5</w:t>
      </w:r>
      <w:r w:rsidR="00545F61"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Оквир</w:t>
      </w:r>
      <w:r w:rsidR="00545F61"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за</w:t>
      </w:r>
      <w:r w:rsidR="00545F61" w:rsidRPr="005303F7">
        <w:rPr>
          <w:rFonts w:ascii="Times New Roman" w:hAnsi="Times New Roman"/>
          <w:b/>
          <w:bCs/>
          <w:i/>
          <w:iCs/>
          <w:sz w:val="20"/>
          <w:szCs w:val="18"/>
          <w:lang w:val="sr-Cyrl-CS"/>
        </w:rPr>
        <w:t xml:space="preserve"> </w:t>
      </w:r>
      <w:bookmarkEnd w:id="392"/>
      <w:r w:rsidR="00D553BE" w:rsidRPr="005303F7">
        <w:rPr>
          <w:rFonts w:ascii="Times New Roman" w:hAnsi="Times New Roman"/>
          <w:b/>
          <w:bCs/>
          <w:i/>
          <w:iCs/>
          <w:sz w:val="20"/>
          <w:szCs w:val="18"/>
          <w:lang w:val="sr-Cyrl-CS"/>
        </w:rPr>
        <w:t>мониторинг</w:t>
      </w:r>
    </w:p>
    <w:p w14:paraId="13961E2F" w14:textId="59F85E4E" w:rsidR="00EC5D9F" w:rsidRPr="005303F7" w:rsidRDefault="004F4501" w:rsidP="00D35AFD">
      <w:pPr>
        <w:rPr>
          <w:rFonts w:ascii="Times New Roman" w:hAnsi="Times New Roman"/>
          <w:sz w:val="24"/>
          <w:lang w:val="sr-Cyrl-CS"/>
        </w:rPr>
      </w:pPr>
      <w:r w:rsidRPr="005303F7">
        <w:rPr>
          <w:rFonts w:ascii="Times New Roman" w:hAnsi="Times New Roman"/>
          <w:sz w:val="24"/>
          <w:lang w:val="sr-Cyrl-CS"/>
        </w:rPr>
        <w:t xml:space="preserve">           </w:t>
      </w:r>
      <w:r w:rsidR="00EB7BC3" w:rsidRPr="005303F7">
        <w:rPr>
          <w:rFonts w:ascii="Times New Roman" w:hAnsi="Times New Roman"/>
          <w:sz w:val="24"/>
          <w:lang w:val="sr-Cyrl-CS"/>
        </w:rPr>
        <w:t>У</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складу</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са</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чланом</w:t>
      </w:r>
      <w:r w:rsidR="00EC5D9F" w:rsidRPr="005303F7">
        <w:rPr>
          <w:rFonts w:ascii="Times New Roman" w:hAnsi="Times New Roman"/>
          <w:sz w:val="24"/>
          <w:lang w:val="sr-Cyrl-CS"/>
        </w:rPr>
        <w:t xml:space="preserve"> 43. </w:t>
      </w:r>
      <w:r w:rsidR="00EB7BC3" w:rsidRPr="005303F7">
        <w:rPr>
          <w:rFonts w:ascii="Times New Roman" w:hAnsi="Times New Roman"/>
          <w:sz w:val="24"/>
          <w:lang w:val="sr-Cyrl-CS"/>
        </w:rPr>
        <w:t>Закона</w:t>
      </w:r>
      <w:r w:rsidR="007A2E40" w:rsidRPr="005303F7">
        <w:rPr>
          <w:rFonts w:ascii="Times New Roman" w:hAnsi="Times New Roman"/>
          <w:sz w:val="24"/>
          <w:lang w:val="sr-Cyrl-CS"/>
        </w:rPr>
        <w:t xml:space="preserve"> </w:t>
      </w:r>
      <w:r w:rsidR="00EB7BC3" w:rsidRPr="005303F7">
        <w:rPr>
          <w:rFonts w:ascii="Times New Roman" w:hAnsi="Times New Roman"/>
          <w:sz w:val="24"/>
          <w:lang w:val="sr-Cyrl-CS"/>
        </w:rPr>
        <w:t>о</w:t>
      </w:r>
      <w:r w:rsidR="007A2E40" w:rsidRPr="005303F7">
        <w:rPr>
          <w:rFonts w:ascii="Times New Roman" w:hAnsi="Times New Roman"/>
          <w:sz w:val="24"/>
          <w:lang w:val="sr-Cyrl-CS"/>
        </w:rPr>
        <w:t xml:space="preserve"> </w:t>
      </w:r>
      <w:r w:rsidR="00EB7BC3" w:rsidRPr="005303F7">
        <w:rPr>
          <w:rFonts w:ascii="Times New Roman" w:hAnsi="Times New Roman"/>
          <w:sz w:val="24"/>
          <w:lang w:val="sr-Cyrl-CS"/>
        </w:rPr>
        <w:t>планском</w:t>
      </w:r>
      <w:r w:rsidR="007A2E40" w:rsidRPr="005303F7">
        <w:rPr>
          <w:rFonts w:ascii="Times New Roman" w:hAnsi="Times New Roman"/>
          <w:sz w:val="24"/>
          <w:lang w:val="sr-Cyrl-CS"/>
        </w:rPr>
        <w:t xml:space="preserve"> </w:t>
      </w:r>
      <w:r w:rsidR="00EB7BC3" w:rsidRPr="005303F7">
        <w:rPr>
          <w:rFonts w:ascii="Times New Roman" w:hAnsi="Times New Roman"/>
          <w:sz w:val="24"/>
          <w:lang w:val="sr-Cyrl-CS"/>
        </w:rPr>
        <w:t>систему</w:t>
      </w:r>
      <w:r w:rsidR="007A2E40" w:rsidRPr="005303F7">
        <w:rPr>
          <w:rFonts w:ascii="Times New Roman" w:hAnsi="Times New Roman"/>
          <w:sz w:val="24"/>
          <w:lang w:val="sr-Cyrl-CS"/>
        </w:rPr>
        <w:t xml:space="preserve"> </w:t>
      </w:r>
      <w:r w:rsidR="00D73AAB" w:rsidRPr="005303F7">
        <w:rPr>
          <w:rFonts w:ascii="Times New Roman" w:hAnsi="Times New Roman"/>
          <w:sz w:val="24"/>
          <w:lang w:val="sr-Cyrl-CS"/>
        </w:rPr>
        <w:t>Републике Србије</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Министарство</w:t>
      </w:r>
      <w:r w:rsidR="006939FE" w:rsidRPr="005303F7">
        <w:rPr>
          <w:rFonts w:ascii="Times New Roman" w:hAnsi="Times New Roman"/>
          <w:sz w:val="24"/>
          <w:lang w:val="sr-Cyrl-CS"/>
        </w:rPr>
        <w:t xml:space="preserve"> </w:t>
      </w:r>
      <w:r w:rsidR="00EB7BC3" w:rsidRPr="005303F7">
        <w:rPr>
          <w:rFonts w:ascii="Times New Roman" w:hAnsi="Times New Roman"/>
          <w:sz w:val="24"/>
          <w:lang w:val="sr-Cyrl-CS"/>
        </w:rPr>
        <w:t>заштите</w:t>
      </w:r>
      <w:r w:rsidR="006939FE" w:rsidRPr="005303F7">
        <w:rPr>
          <w:rFonts w:ascii="Times New Roman" w:hAnsi="Times New Roman"/>
          <w:sz w:val="24"/>
          <w:lang w:val="sr-Cyrl-CS"/>
        </w:rPr>
        <w:t xml:space="preserve"> </w:t>
      </w:r>
      <w:r w:rsidR="00EB7BC3" w:rsidRPr="005303F7">
        <w:rPr>
          <w:rFonts w:ascii="Times New Roman" w:hAnsi="Times New Roman"/>
          <w:sz w:val="24"/>
          <w:lang w:val="sr-Cyrl-CS"/>
        </w:rPr>
        <w:t>животне</w:t>
      </w:r>
      <w:r w:rsidR="006939FE" w:rsidRPr="005303F7">
        <w:rPr>
          <w:rFonts w:ascii="Times New Roman" w:hAnsi="Times New Roman"/>
          <w:sz w:val="24"/>
          <w:lang w:val="sr-Cyrl-CS"/>
        </w:rPr>
        <w:t xml:space="preserve"> </w:t>
      </w:r>
      <w:r w:rsidR="00EB7BC3" w:rsidRPr="005303F7">
        <w:rPr>
          <w:rFonts w:ascii="Times New Roman" w:hAnsi="Times New Roman"/>
          <w:sz w:val="24"/>
          <w:lang w:val="sr-Cyrl-CS"/>
        </w:rPr>
        <w:t>средине</w:t>
      </w:r>
      <w:r w:rsidR="00EC5D9F" w:rsidRPr="005303F7">
        <w:rPr>
          <w:rFonts w:ascii="Times New Roman" w:hAnsi="Times New Roman"/>
          <w:sz w:val="24"/>
          <w:lang w:val="sr-Cyrl-CS"/>
        </w:rPr>
        <w:t xml:space="preserve"> </w:t>
      </w:r>
      <w:r w:rsidR="00016298" w:rsidRPr="005303F7">
        <w:rPr>
          <w:rFonts w:ascii="Times New Roman" w:hAnsi="Times New Roman"/>
          <w:sz w:val="24"/>
          <w:lang w:val="sr-Cyrl-CS"/>
        </w:rPr>
        <w:t>ћ</w:t>
      </w:r>
      <w:r w:rsidR="00EB7BC3" w:rsidRPr="005303F7">
        <w:rPr>
          <w:rFonts w:ascii="Times New Roman" w:hAnsi="Times New Roman"/>
          <w:sz w:val="24"/>
          <w:lang w:val="sr-Cyrl-CS"/>
        </w:rPr>
        <w:t>е</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о</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резултатима</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реализације</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Стратегије</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известити</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Владу</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најкасније</w:t>
      </w:r>
      <w:r w:rsidR="00EC5D9F" w:rsidRPr="005303F7">
        <w:rPr>
          <w:rFonts w:ascii="Times New Roman" w:hAnsi="Times New Roman"/>
          <w:sz w:val="24"/>
          <w:lang w:val="sr-Cyrl-CS"/>
        </w:rPr>
        <w:t xml:space="preserve"> 120 </w:t>
      </w:r>
      <w:r w:rsidR="00EB7BC3" w:rsidRPr="005303F7">
        <w:rPr>
          <w:rFonts w:ascii="Times New Roman" w:hAnsi="Times New Roman"/>
          <w:sz w:val="24"/>
          <w:lang w:val="sr-Cyrl-CS"/>
        </w:rPr>
        <w:t>дана</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по</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истеку</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сваке</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тре</w:t>
      </w:r>
      <w:r w:rsidR="00016298" w:rsidRPr="005303F7">
        <w:rPr>
          <w:rFonts w:ascii="Times New Roman" w:hAnsi="Times New Roman"/>
          <w:sz w:val="24"/>
          <w:lang w:val="sr-Cyrl-CS"/>
        </w:rPr>
        <w:t>ћ</w:t>
      </w:r>
      <w:r w:rsidR="00EB7BC3" w:rsidRPr="005303F7">
        <w:rPr>
          <w:rFonts w:ascii="Times New Roman" w:hAnsi="Times New Roman"/>
          <w:sz w:val="24"/>
          <w:lang w:val="sr-Cyrl-CS"/>
        </w:rPr>
        <w:t>е</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календарске</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године</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од</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њеног</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усвајања</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и</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помо</w:t>
      </w:r>
      <w:r w:rsidR="00016298" w:rsidRPr="005303F7">
        <w:rPr>
          <w:rFonts w:ascii="Times New Roman" w:hAnsi="Times New Roman"/>
          <w:sz w:val="24"/>
          <w:lang w:val="sr-Cyrl-CS"/>
        </w:rPr>
        <w:t>ћ</w:t>
      </w:r>
      <w:r w:rsidR="00EB7BC3" w:rsidRPr="005303F7">
        <w:rPr>
          <w:rFonts w:ascii="Times New Roman" w:hAnsi="Times New Roman"/>
          <w:sz w:val="24"/>
          <w:lang w:val="sr-Cyrl-CS"/>
        </w:rPr>
        <w:t>у</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завршног</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извештаја</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достављеног</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најкасније</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шест</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месеци</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од</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истека</w:t>
      </w:r>
      <w:r w:rsidR="00EC5D9F" w:rsidRPr="005303F7">
        <w:rPr>
          <w:rFonts w:ascii="Times New Roman" w:hAnsi="Times New Roman"/>
          <w:sz w:val="24"/>
          <w:lang w:val="sr-Cyrl-CS"/>
        </w:rPr>
        <w:t xml:space="preserve"> </w:t>
      </w:r>
      <w:r w:rsidR="00EB7BC3" w:rsidRPr="005303F7">
        <w:rPr>
          <w:rFonts w:ascii="Times New Roman" w:hAnsi="Times New Roman"/>
          <w:sz w:val="24"/>
          <w:lang w:val="sr-Cyrl-CS"/>
        </w:rPr>
        <w:t>важења</w:t>
      </w:r>
      <w:r w:rsidR="00EC5D9F" w:rsidRPr="005303F7">
        <w:rPr>
          <w:rFonts w:ascii="Times New Roman" w:hAnsi="Times New Roman"/>
          <w:sz w:val="24"/>
          <w:lang w:val="sr-Cyrl-CS"/>
        </w:rPr>
        <w:t>.</w:t>
      </w:r>
    </w:p>
    <w:p w14:paraId="01C2B216" w14:textId="2846AB75" w:rsidR="00345F0A" w:rsidRPr="005303F7" w:rsidRDefault="004F4501" w:rsidP="00D35AFD">
      <w:pPr>
        <w:rPr>
          <w:rFonts w:ascii="Times New Roman" w:hAnsi="Times New Roman"/>
          <w:spacing w:val="-2"/>
          <w:sz w:val="24"/>
          <w:lang w:val="sr-Cyrl-CS"/>
        </w:rPr>
      </w:pPr>
      <w:r w:rsidRPr="005303F7">
        <w:rPr>
          <w:rFonts w:ascii="Times New Roman" w:hAnsi="Times New Roman"/>
          <w:spacing w:val="-2"/>
          <w:sz w:val="24"/>
          <w:lang w:val="sr-Cyrl-CS"/>
        </w:rPr>
        <w:t xml:space="preserve">           </w:t>
      </w:r>
      <w:r w:rsidR="00EB7BC3" w:rsidRPr="005303F7">
        <w:rPr>
          <w:rFonts w:ascii="Times New Roman" w:hAnsi="Times New Roman"/>
          <w:spacing w:val="-2"/>
          <w:sz w:val="24"/>
          <w:lang w:val="sr-Cyrl-CS"/>
        </w:rPr>
        <w:t>Показатељи</w:t>
      </w:r>
      <w:r w:rsidR="00EC5D9F" w:rsidRPr="005303F7">
        <w:rPr>
          <w:rFonts w:ascii="Times New Roman" w:hAnsi="Times New Roman"/>
          <w:spacing w:val="-2"/>
          <w:sz w:val="24"/>
          <w:lang w:val="sr-Cyrl-CS"/>
        </w:rPr>
        <w:t xml:space="preserve"> </w:t>
      </w:r>
      <w:r w:rsidR="00EB7BC3" w:rsidRPr="005303F7">
        <w:rPr>
          <w:rFonts w:ascii="Times New Roman" w:hAnsi="Times New Roman"/>
          <w:spacing w:val="-2"/>
          <w:sz w:val="24"/>
          <w:lang w:val="sr-Cyrl-CS"/>
        </w:rPr>
        <w:t>учинка</w:t>
      </w:r>
      <w:r w:rsidR="00EC5D9F" w:rsidRPr="005303F7">
        <w:rPr>
          <w:rFonts w:ascii="Times New Roman" w:hAnsi="Times New Roman"/>
          <w:spacing w:val="-2"/>
          <w:sz w:val="24"/>
          <w:lang w:val="sr-Cyrl-CS"/>
        </w:rPr>
        <w:t xml:space="preserve"> </w:t>
      </w:r>
      <w:r w:rsidR="00EB7BC3" w:rsidRPr="005303F7">
        <w:rPr>
          <w:rFonts w:ascii="Times New Roman" w:hAnsi="Times New Roman"/>
          <w:spacing w:val="-2"/>
          <w:sz w:val="24"/>
          <w:lang w:val="sr-Cyrl-CS"/>
        </w:rPr>
        <w:t>на</w:t>
      </w:r>
      <w:r w:rsidR="00EC5D9F" w:rsidRPr="005303F7">
        <w:rPr>
          <w:rFonts w:ascii="Times New Roman" w:hAnsi="Times New Roman"/>
          <w:spacing w:val="-2"/>
          <w:sz w:val="24"/>
          <w:lang w:val="sr-Cyrl-CS"/>
        </w:rPr>
        <w:t xml:space="preserve"> </w:t>
      </w:r>
      <w:r w:rsidR="00EB7BC3" w:rsidRPr="005303F7">
        <w:rPr>
          <w:rFonts w:ascii="Times New Roman" w:hAnsi="Times New Roman"/>
          <w:spacing w:val="-2"/>
          <w:sz w:val="24"/>
          <w:lang w:val="sr-Cyrl-CS"/>
        </w:rPr>
        <w:t>нивоу</w:t>
      </w:r>
      <w:r w:rsidR="00EC5D9F" w:rsidRPr="005303F7">
        <w:rPr>
          <w:rFonts w:ascii="Times New Roman" w:hAnsi="Times New Roman"/>
          <w:spacing w:val="-2"/>
          <w:sz w:val="24"/>
          <w:lang w:val="sr-Cyrl-CS"/>
        </w:rPr>
        <w:t xml:space="preserve"> </w:t>
      </w:r>
      <w:r w:rsidR="00EB7BC3" w:rsidRPr="005303F7">
        <w:rPr>
          <w:rFonts w:ascii="Times New Roman" w:hAnsi="Times New Roman"/>
          <w:spacing w:val="-2"/>
          <w:sz w:val="24"/>
          <w:lang w:val="sr-Cyrl-CS"/>
        </w:rPr>
        <w:t>визије</w:t>
      </w:r>
      <w:r w:rsidR="002774D9" w:rsidRPr="005303F7">
        <w:rPr>
          <w:rFonts w:ascii="Times New Roman" w:hAnsi="Times New Roman"/>
          <w:spacing w:val="-2"/>
          <w:sz w:val="24"/>
          <w:lang w:val="sr-Cyrl-CS"/>
        </w:rPr>
        <w:t xml:space="preserve"> </w:t>
      </w:r>
      <w:r w:rsidR="00EB7BC3" w:rsidRPr="005303F7">
        <w:rPr>
          <w:rFonts w:ascii="Times New Roman" w:hAnsi="Times New Roman"/>
          <w:spacing w:val="-2"/>
          <w:sz w:val="24"/>
          <w:lang w:val="sr-Cyrl-CS"/>
        </w:rPr>
        <w:t>Стратегије</w:t>
      </w:r>
      <w:r w:rsidR="00EC5D9F" w:rsidRPr="005303F7">
        <w:rPr>
          <w:rFonts w:ascii="Times New Roman" w:hAnsi="Times New Roman"/>
          <w:spacing w:val="-2"/>
          <w:sz w:val="24"/>
          <w:lang w:val="sr-Cyrl-CS"/>
        </w:rPr>
        <w:t xml:space="preserve">, </w:t>
      </w:r>
      <w:r w:rsidR="00EB7BC3" w:rsidRPr="005303F7">
        <w:rPr>
          <w:rFonts w:ascii="Times New Roman" w:hAnsi="Times New Roman"/>
          <w:spacing w:val="-2"/>
          <w:sz w:val="24"/>
          <w:lang w:val="sr-Cyrl-CS"/>
        </w:rPr>
        <w:t>општих</w:t>
      </w:r>
      <w:r w:rsidR="00EC5D9F" w:rsidRPr="005303F7">
        <w:rPr>
          <w:rFonts w:ascii="Times New Roman" w:hAnsi="Times New Roman"/>
          <w:spacing w:val="-2"/>
          <w:sz w:val="24"/>
          <w:lang w:val="sr-Cyrl-CS"/>
        </w:rPr>
        <w:t xml:space="preserve"> </w:t>
      </w:r>
      <w:r w:rsidR="00EB7BC3" w:rsidRPr="005303F7">
        <w:rPr>
          <w:rFonts w:ascii="Times New Roman" w:hAnsi="Times New Roman"/>
          <w:spacing w:val="-2"/>
          <w:sz w:val="24"/>
          <w:lang w:val="sr-Cyrl-CS"/>
        </w:rPr>
        <w:t>и</w:t>
      </w:r>
      <w:r w:rsidR="00EC5D9F" w:rsidRPr="005303F7">
        <w:rPr>
          <w:rFonts w:ascii="Times New Roman" w:hAnsi="Times New Roman"/>
          <w:spacing w:val="-2"/>
          <w:sz w:val="24"/>
          <w:lang w:val="sr-Cyrl-CS"/>
        </w:rPr>
        <w:t xml:space="preserve"> </w:t>
      </w:r>
      <w:r w:rsidR="00EB7BC3" w:rsidRPr="005303F7">
        <w:rPr>
          <w:rFonts w:ascii="Times New Roman" w:hAnsi="Times New Roman"/>
          <w:spacing w:val="-2"/>
          <w:sz w:val="24"/>
          <w:lang w:val="sr-Cyrl-CS"/>
        </w:rPr>
        <w:t>посебних</w:t>
      </w:r>
      <w:r w:rsidR="00EC5D9F" w:rsidRPr="005303F7">
        <w:rPr>
          <w:rFonts w:ascii="Times New Roman" w:hAnsi="Times New Roman"/>
          <w:spacing w:val="-2"/>
          <w:sz w:val="24"/>
          <w:lang w:val="sr-Cyrl-CS"/>
        </w:rPr>
        <w:t xml:space="preserve"> </w:t>
      </w:r>
      <w:r w:rsidR="00EB7BC3" w:rsidRPr="005303F7">
        <w:rPr>
          <w:rFonts w:ascii="Times New Roman" w:hAnsi="Times New Roman"/>
          <w:spacing w:val="-2"/>
          <w:sz w:val="24"/>
          <w:lang w:val="sr-Cyrl-CS"/>
        </w:rPr>
        <w:t>циљева</w:t>
      </w:r>
      <w:r w:rsidR="002774D9" w:rsidRPr="005303F7">
        <w:rPr>
          <w:rFonts w:ascii="Times New Roman" w:hAnsi="Times New Roman"/>
          <w:spacing w:val="-2"/>
          <w:sz w:val="24"/>
          <w:lang w:val="sr-Cyrl-CS"/>
        </w:rPr>
        <w:t>,</w:t>
      </w:r>
      <w:r w:rsidR="00EC5D9F" w:rsidRPr="005303F7">
        <w:rPr>
          <w:rFonts w:ascii="Times New Roman" w:hAnsi="Times New Roman"/>
          <w:spacing w:val="-2"/>
          <w:sz w:val="24"/>
          <w:lang w:val="sr-Cyrl-CS"/>
        </w:rPr>
        <w:t xml:space="preserve"> </w:t>
      </w:r>
      <w:r w:rsidR="00EB7BC3" w:rsidRPr="005303F7">
        <w:rPr>
          <w:rFonts w:ascii="Times New Roman" w:hAnsi="Times New Roman"/>
          <w:spacing w:val="-2"/>
          <w:sz w:val="24"/>
          <w:lang w:val="sr-Cyrl-CS"/>
        </w:rPr>
        <w:t>представљени</w:t>
      </w:r>
      <w:r w:rsidR="00EC5D9F" w:rsidRPr="005303F7">
        <w:rPr>
          <w:rFonts w:ascii="Times New Roman" w:hAnsi="Times New Roman"/>
          <w:spacing w:val="-2"/>
          <w:sz w:val="24"/>
          <w:lang w:val="sr-Cyrl-CS"/>
        </w:rPr>
        <w:t xml:space="preserve"> </w:t>
      </w:r>
      <w:r w:rsidR="00EB7BC3" w:rsidRPr="005303F7">
        <w:rPr>
          <w:rFonts w:ascii="Times New Roman" w:hAnsi="Times New Roman"/>
          <w:spacing w:val="-2"/>
          <w:sz w:val="24"/>
          <w:lang w:val="sr-Cyrl-CS"/>
        </w:rPr>
        <w:t>су</w:t>
      </w:r>
      <w:r w:rsidR="00EC5D9F" w:rsidRPr="005303F7">
        <w:rPr>
          <w:rFonts w:ascii="Times New Roman" w:hAnsi="Times New Roman"/>
          <w:spacing w:val="-2"/>
          <w:sz w:val="24"/>
          <w:lang w:val="sr-Cyrl-CS"/>
        </w:rPr>
        <w:t xml:space="preserve"> </w:t>
      </w:r>
      <w:r w:rsidR="00EB7BC3" w:rsidRPr="005303F7">
        <w:rPr>
          <w:rFonts w:ascii="Times New Roman" w:hAnsi="Times New Roman"/>
          <w:spacing w:val="-2"/>
          <w:sz w:val="24"/>
          <w:lang w:val="sr-Cyrl-CS"/>
        </w:rPr>
        <w:t>у</w:t>
      </w:r>
      <w:r w:rsidR="00BA1B76" w:rsidRPr="005303F7">
        <w:rPr>
          <w:rFonts w:ascii="Times New Roman" w:hAnsi="Times New Roman"/>
          <w:spacing w:val="-2"/>
          <w:sz w:val="24"/>
          <w:lang w:val="sr-Cyrl-CS"/>
        </w:rPr>
        <w:t xml:space="preserve"> </w:t>
      </w:r>
      <w:r w:rsidR="00EB7BC3" w:rsidRPr="005303F7">
        <w:rPr>
          <w:rFonts w:ascii="Times New Roman" w:hAnsi="Times New Roman"/>
          <w:spacing w:val="-2"/>
          <w:sz w:val="24"/>
          <w:lang w:val="sr-Cyrl-CS"/>
        </w:rPr>
        <w:t>Табели</w:t>
      </w:r>
      <w:r w:rsidR="006204CB" w:rsidRPr="005303F7">
        <w:rPr>
          <w:rFonts w:ascii="Times New Roman" w:hAnsi="Times New Roman"/>
          <w:spacing w:val="-2"/>
          <w:sz w:val="24"/>
          <w:lang w:val="sr-Cyrl-CS"/>
        </w:rPr>
        <w:t xml:space="preserve"> 15</w:t>
      </w:r>
      <w:r w:rsidR="003410A6" w:rsidRPr="005303F7">
        <w:rPr>
          <w:rFonts w:ascii="Times New Roman" w:hAnsi="Times New Roman"/>
          <w:spacing w:val="-2"/>
          <w:sz w:val="24"/>
          <w:lang w:val="sr-Cyrl-CS"/>
        </w:rPr>
        <w:t xml:space="preserve"> и такође ће испуњавати захтеве </w:t>
      </w:r>
      <w:r w:rsidR="00627AEB" w:rsidRPr="005303F7">
        <w:rPr>
          <w:rFonts w:ascii="Times New Roman" w:hAnsi="Times New Roman"/>
          <w:spacing w:val="-2"/>
          <w:sz w:val="24"/>
          <w:lang w:val="sr-Cyrl-CS"/>
        </w:rPr>
        <w:t xml:space="preserve">Споразума из </w:t>
      </w:r>
      <w:r w:rsidR="003410A6" w:rsidRPr="005303F7">
        <w:rPr>
          <w:rFonts w:ascii="Times New Roman" w:hAnsi="Times New Roman"/>
          <w:spacing w:val="-2"/>
          <w:sz w:val="24"/>
          <w:lang w:val="sr-Cyrl-CS"/>
        </w:rPr>
        <w:t>Пари</w:t>
      </w:r>
      <w:r w:rsidR="00627AEB" w:rsidRPr="005303F7">
        <w:rPr>
          <w:rFonts w:ascii="Times New Roman" w:hAnsi="Times New Roman"/>
          <w:spacing w:val="-2"/>
          <w:sz w:val="24"/>
          <w:lang w:val="sr-Cyrl-CS"/>
        </w:rPr>
        <w:t>за</w:t>
      </w:r>
      <w:r w:rsidR="00D553BE" w:rsidRPr="005303F7">
        <w:rPr>
          <w:rFonts w:ascii="Times New Roman" w:hAnsi="Times New Roman"/>
          <w:spacing w:val="-2"/>
          <w:sz w:val="24"/>
          <w:lang w:val="sr-Cyrl-CS"/>
        </w:rPr>
        <w:t>.</w:t>
      </w:r>
    </w:p>
    <w:p w14:paraId="1AB75136" w14:textId="77777777" w:rsidR="00AD671B" w:rsidRPr="005303F7" w:rsidRDefault="00AD671B" w:rsidP="00D35AFD">
      <w:pPr>
        <w:rPr>
          <w:rFonts w:ascii="Times New Roman" w:hAnsi="Times New Roman"/>
          <w:lang w:val="sr-Cyrl-CS"/>
        </w:rPr>
        <w:sectPr w:rsidR="00AD671B" w:rsidRPr="005303F7" w:rsidSect="00D73AAB">
          <w:headerReference w:type="default" r:id="rId22"/>
          <w:footerReference w:type="default" r:id="rId23"/>
          <w:pgSz w:w="11909" w:h="16834" w:code="9"/>
          <w:pgMar w:top="1560" w:right="1247" w:bottom="1276" w:left="1440" w:header="142" w:footer="607" w:gutter="0"/>
          <w:cols w:space="720"/>
          <w:titlePg/>
          <w:docGrid w:linePitch="360"/>
        </w:sectPr>
      </w:pPr>
    </w:p>
    <w:p w14:paraId="568B547C" w14:textId="7699AE95" w:rsidR="00AD671B" w:rsidRPr="005303F7" w:rsidRDefault="008D69AF" w:rsidP="006204CB">
      <w:pPr>
        <w:spacing w:after="60"/>
        <w:ind w:left="993" w:hanging="993"/>
        <w:rPr>
          <w:rFonts w:ascii="Times New Roman" w:hAnsi="Times New Roman"/>
          <w:b/>
          <w:bCs/>
          <w:i/>
          <w:iCs/>
          <w:sz w:val="20"/>
          <w:szCs w:val="18"/>
          <w:lang w:val="sr-Cyrl-CS"/>
        </w:rPr>
      </w:pPr>
      <w:bookmarkStart w:id="393" w:name="_Ref21576879"/>
      <w:bookmarkStart w:id="394" w:name="_Toc26450887"/>
      <w:r w:rsidRPr="005303F7">
        <w:rPr>
          <w:rFonts w:ascii="Times New Roman" w:hAnsi="Times New Roman"/>
          <w:b/>
          <w:bCs/>
          <w:i/>
          <w:iCs/>
          <w:sz w:val="20"/>
          <w:szCs w:val="18"/>
          <w:lang w:val="sr-Cyrl-CS"/>
        </w:rPr>
        <w:lastRenderedPageBreak/>
        <w:t>Табела</w:t>
      </w:r>
      <w:r w:rsidR="00AD671B" w:rsidRPr="005303F7">
        <w:rPr>
          <w:rFonts w:ascii="Times New Roman" w:hAnsi="Times New Roman"/>
          <w:b/>
          <w:bCs/>
          <w:i/>
          <w:iCs/>
          <w:sz w:val="20"/>
          <w:szCs w:val="18"/>
          <w:lang w:val="sr-Cyrl-CS"/>
        </w:rPr>
        <w:t xml:space="preserve"> </w:t>
      </w:r>
      <w:r w:rsidR="00AD671B" w:rsidRPr="005303F7">
        <w:rPr>
          <w:rFonts w:ascii="Times New Roman" w:hAnsi="Times New Roman"/>
          <w:b/>
          <w:bCs/>
          <w:i/>
          <w:iCs/>
          <w:sz w:val="20"/>
          <w:szCs w:val="18"/>
          <w:lang w:val="sr-Cyrl-CS"/>
        </w:rPr>
        <w:fldChar w:fldCharType="begin"/>
      </w:r>
      <w:r w:rsidR="00AD671B" w:rsidRPr="005303F7">
        <w:rPr>
          <w:rFonts w:ascii="Times New Roman" w:hAnsi="Times New Roman"/>
          <w:b/>
          <w:bCs/>
          <w:i/>
          <w:iCs/>
          <w:sz w:val="20"/>
          <w:szCs w:val="18"/>
          <w:lang w:val="sr-Cyrl-CS"/>
        </w:rPr>
        <w:instrText xml:space="preserve"> SEQ Table \* ARABIC </w:instrText>
      </w:r>
      <w:r w:rsidR="00AD671B" w:rsidRPr="005303F7">
        <w:rPr>
          <w:rFonts w:ascii="Times New Roman" w:hAnsi="Times New Roman"/>
          <w:b/>
          <w:bCs/>
          <w:i/>
          <w:iCs/>
          <w:sz w:val="20"/>
          <w:szCs w:val="18"/>
          <w:lang w:val="sr-Cyrl-CS"/>
        </w:rPr>
        <w:fldChar w:fldCharType="separate"/>
      </w:r>
      <w:r w:rsidR="00DA2595" w:rsidRPr="005303F7">
        <w:rPr>
          <w:rFonts w:ascii="Times New Roman" w:hAnsi="Times New Roman"/>
          <w:b/>
          <w:bCs/>
          <w:i/>
          <w:iCs/>
          <w:noProof/>
          <w:sz w:val="20"/>
          <w:szCs w:val="18"/>
          <w:lang w:val="sr-Cyrl-CS"/>
        </w:rPr>
        <w:t>15</w:t>
      </w:r>
      <w:r w:rsidR="00AD671B" w:rsidRPr="005303F7">
        <w:rPr>
          <w:rFonts w:ascii="Times New Roman" w:hAnsi="Times New Roman"/>
          <w:b/>
          <w:bCs/>
          <w:i/>
          <w:iCs/>
          <w:sz w:val="20"/>
          <w:szCs w:val="18"/>
          <w:lang w:val="sr-Cyrl-CS"/>
        </w:rPr>
        <w:fldChar w:fldCharType="end"/>
      </w:r>
      <w:bookmarkEnd w:id="393"/>
      <w:r w:rsidR="00AD671B"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К</w:t>
      </w:r>
      <w:r w:rsidR="00D553BE" w:rsidRPr="005303F7">
        <w:rPr>
          <w:rFonts w:ascii="Times New Roman" w:hAnsi="Times New Roman"/>
          <w:b/>
          <w:bCs/>
          <w:i/>
          <w:iCs/>
          <w:sz w:val="20"/>
          <w:szCs w:val="18"/>
          <w:lang w:val="sr-Cyrl-CS"/>
        </w:rPr>
        <w:t>љ</w:t>
      </w:r>
      <w:r w:rsidRPr="005303F7">
        <w:rPr>
          <w:rFonts w:ascii="Times New Roman" w:hAnsi="Times New Roman"/>
          <w:b/>
          <w:bCs/>
          <w:i/>
          <w:iCs/>
          <w:sz w:val="20"/>
          <w:szCs w:val="18"/>
          <w:lang w:val="sr-Cyrl-CS"/>
        </w:rPr>
        <w:t>учни</w:t>
      </w:r>
      <w:r w:rsidR="004F4354"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показате</w:t>
      </w:r>
      <w:r w:rsidR="00D553BE" w:rsidRPr="005303F7">
        <w:rPr>
          <w:rFonts w:ascii="Times New Roman" w:hAnsi="Times New Roman"/>
          <w:b/>
          <w:bCs/>
          <w:i/>
          <w:iCs/>
          <w:sz w:val="20"/>
          <w:szCs w:val="18"/>
          <w:lang w:val="sr-Cyrl-CS"/>
        </w:rPr>
        <w:t>љ</w:t>
      </w:r>
      <w:r w:rsidRPr="005303F7">
        <w:rPr>
          <w:rFonts w:ascii="Times New Roman" w:hAnsi="Times New Roman"/>
          <w:b/>
          <w:bCs/>
          <w:i/>
          <w:iCs/>
          <w:sz w:val="20"/>
          <w:szCs w:val="18"/>
          <w:lang w:val="sr-Cyrl-CS"/>
        </w:rPr>
        <w:t>и</w:t>
      </w:r>
      <w:r w:rsidR="004F4354"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учинка</w:t>
      </w:r>
      <w:r w:rsidR="004F4354"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на</w:t>
      </w:r>
      <w:r w:rsidR="004F4354"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нивоу</w:t>
      </w:r>
      <w:r w:rsidR="004F4354"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визије</w:t>
      </w:r>
      <w:r w:rsidR="00625DFF"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и</w:t>
      </w:r>
      <w:r w:rsidR="004F4354"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општих</w:t>
      </w:r>
      <w:r w:rsidR="004F4354"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и</w:t>
      </w:r>
      <w:r w:rsidR="004F4354"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посебних</w:t>
      </w:r>
      <w:r w:rsidR="0018285F"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ци</w:t>
      </w:r>
      <w:r w:rsidR="00D553BE" w:rsidRPr="005303F7">
        <w:rPr>
          <w:rFonts w:ascii="Times New Roman" w:hAnsi="Times New Roman"/>
          <w:b/>
          <w:bCs/>
          <w:i/>
          <w:iCs/>
          <w:sz w:val="20"/>
          <w:szCs w:val="18"/>
          <w:lang w:val="sr-Cyrl-CS"/>
        </w:rPr>
        <w:t>љ</w:t>
      </w:r>
      <w:r w:rsidRPr="005303F7">
        <w:rPr>
          <w:rFonts w:ascii="Times New Roman" w:hAnsi="Times New Roman"/>
          <w:b/>
          <w:bCs/>
          <w:i/>
          <w:iCs/>
          <w:sz w:val="20"/>
          <w:szCs w:val="18"/>
          <w:lang w:val="sr-Cyrl-CS"/>
        </w:rPr>
        <w:t>ева</w:t>
      </w:r>
      <w:r w:rsidR="0018285F"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Стратегиј</w:t>
      </w:r>
      <w:bookmarkEnd w:id="394"/>
      <w:r w:rsidRPr="005303F7">
        <w:rPr>
          <w:rFonts w:ascii="Times New Roman" w:hAnsi="Times New Roman"/>
          <w:b/>
          <w:bCs/>
          <w:i/>
          <w:iCs/>
          <w:sz w:val="20"/>
          <w:szCs w:val="18"/>
          <w:lang w:val="sr-Cyrl-CS"/>
        </w:rPr>
        <w:t>е</w:t>
      </w:r>
    </w:p>
    <w:tbl>
      <w:tblPr>
        <w:tblW w:w="14552" w:type="dxa"/>
        <w:tblLook w:val="04A0" w:firstRow="1" w:lastRow="0" w:firstColumn="1" w:lastColumn="0" w:noHBand="0" w:noVBand="1"/>
      </w:tblPr>
      <w:tblGrid>
        <w:gridCol w:w="4599"/>
        <w:gridCol w:w="2428"/>
        <w:gridCol w:w="1157"/>
        <w:gridCol w:w="1273"/>
        <w:gridCol w:w="939"/>
        <w:gridCol w:w="356"/>
        <w:gridCol w:w="995"/>
        <w:gridCol w:w="2805"/>
      </w:tblGrid>
      <w:tr w:rsidR="009E228C" w:rsidRPr="005303F7" w14:paraId="5999A1A6" w14:textId="77777777" w:rsidTr="00451EB6">
        <w:trPr>
          <w:trHeight w:val="660"/>
          <w:tblHeader/>
        </w:trPr>
        <w:tc>
          <w:tcPr>
            <w:tcW w:w="46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51D628" w14:textId="08629A66" w:rsidR="009E228C" w:rsidRPr="005303F7" w:rsidRDefault="008D69AF" w:rsidP="00AD671B">
            <w:pPr>
              <w:tabs>
                <w:tab w:val="clear" w:pos="3825"/>
              </w:tabs>
              <w:overflowPunct/>
              <w:autoSpaceDE/>
              <w:autoSpaceDN/>
              <w:adjustRightInd/>
              <w:spacing w:before="0" w:after="0"/>
              <w:jc w:val="center"/>
              <w:textAlignment w:val="auto"/>
              <w:rPr>
                <w:rFonts w:ascii="Times New Roman" w:hAnsi="Times New Roman"/>
                <w:b/>
                <w:bCs/>
                <w:szCs w:val="22"/>
                <w:lang w:val="sr-Cyrl-CS" w:eastAsia="en-US"/>
              </w:rPr>
            </w:pPr>
            <w:bookmarkStart w:id="395" w:name="_Hlk12880651" w:colFirst="1" w:colLast="7"/>
            <w:r w:rsidRPr="005303F7">
              <w:rPr>
                <w:rFonts w:ascii="Times New Roman" w:hAnsi="Times New Roman"/>
                <w:b/>
                <w:bCs/>
                <w:szCs w:val="22"/>
                <w:lang w:val="sr-Cyrl-CS" w:eastAsia="en-US"/>
              </w:rPr>
              <w:t>Елементи</w:t>
            </w:r>
            <w:r w:rsidR="004F4354" w:rsidRPr="005303F7">
              <w:rPr>
                <w:rFonts w:ascii="Times New Roman" w:hAnsi="Times New Roman"/>
                <w:b/>
                <w:bCs/>
                <w:szCs w:val="22"/>
                <w:lang w:val="sr-Cyrl-CS" w:eastAsia="en-US"/>
              </w:rPr>
              <w:t xml:space="preserve"> </w:t>
            </w:r>
            <w:r w:rsidRPr="005303F7">
              <w:rPr>
                <w:rFonts w:ascii="Times New Roman" w:hAnsi="Times New Roman"/>
                <w:b/>
                <w:bCs/>
                <w:szCs w:val="22"/>
                <w:lang w:val="sr-Cyrl-CS" w:eastAsia="en-US"/>
              </w:rPr>
              <w:t>Стратегије</w:t>
            </w:r>
          </w:p>
        </w:tc>
        <w:tc>
          <w:tcPr>
            <w:tcW w:w="2428"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A91A175" w14:textId="575D3F12" w:rsidR="009E228C" w:rsidRPr="005303F7" w:rsidRDefault="008D69AF" w:rsidP="00A17981">
            <w:pPr>
              <w:tabs>
                <w:tab w:val="clear" w:pos="3825"/>
              </w:tabs>
              <w:overflowPunct/>
              <w:autoSpaceDE/>
              <w:autoSpaceDN/>
              <w:adjustRightInd/>
              <w:spacing w:before="0" w:after="0"/>
              <w:jc w:val="center"/>
              <w:textAlignment w:val="auto"/>
              <w:rPr>
                <w:rFonts w:ascii="Times New Roman" w:hAnsi="Times New Roman"/>
                <w:b/>
                <w:bCs/>
                <w:szCs w:val="22"/>
                <w:lang w:val="sr-Cyrl-CS" w:eastAsia="en-US"/>
              </w:rPr>
            </w:pPr>
            <w:r w:rsidRPr="005303F7">
              <w:rPr>
                <w:rFonts w:ascii="Times New Roman" w:hAnsi="Times New Roman"/>
                <w:b/>
                <w:bCs/>
                <w:szCs w:val="22"/>
                <w:lang w:val="sr-Cyrl-CS" w:eastAsia="en-US"/>
              </w:rPr>
              <w:t>Показате</w:t>
            </w:r>
            <w:r w:rsidR="00D553BE" w:rsidRPr="005303F7">
              <w:rPr>
                <w:rFonts w:ascii="Times New Roman" w:hAnsi="Times New Roman"/>
                <w:b/>
                <w:bCs/>
                <w:szCs w:val="22"/>
                <w:lang w:val="sr-Cyrl-CS" w:eastAsia="en-US"/>
              </w:rPr>
              <w:t>љ</w:t>
            </w:r>
          </w:p>
        </w:tc>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EBF90B" w14:textId="010CAA63" w:rsidR="009E228C" w:rsidRPr="005303F7" w:rsidRDefault="008D69AF" w:rsidP="00A17981">
            <w:pPr>
              <w:tabs>
                <w:tab w:val="clear" w:pos="3825"/>
              </w:tabs>
              <w:overflowPunct/>
              <w:autoSpaceDE/>
              <w:autoSpaceDN/>
              <w:adjustRightInd/>
              <w:spacing w:before="0" w:after="0"/>
              <w:jc w:val="center"/>
              <w:textAlignment w:val="auto"/>
              <w:rPr>
                <w:rFonts w:ascii="Times New Roman" w:hAnsi="Times New Roman"/>
                <w:b/>
                <w:bCs/>
                <w:szCs w:val="22"/>
                <w:lang w:val="sr-Cyrl-CS" w:eastAsia="en-US"/>
              </w:rPr>
            </w:pPr>
            <w:r w:rsidRPr="005303F7">
              <w:rPr>
                <w:rFonts w:ascii="Times New Roman" w:hAnsi="Times New Roman"/>
                <w:b/>
                <w:bCs/>
                <w:szCs w:val="22"/>
                <w:lang w:val="sr-Cyrl-CS" w:eastAsia="en-US"/>
              </w:rPr>
              <w:t>Основна</w:t>
            </w:r>
            <w:r w:rsidR="004F4354" w:rsidRPr="005303F7">
              <w:rPr>
                <w:rFonts w:ascii="Times New Roman" w:hAnsi="Times New Roman"/>
                <w:b/>
                <w:bCs/>
                <w:szCs w:val="22"/>
                <w:lang w:val="sr-Cyrl-CS" w:eastAsia="en-US"/>
              </w:rPr>
              <w:t xml:space="preserve"> </w:t>
            </w:r>
            <w:r w:rsidRPr="005303F7">
              <w:rPr>
                <w:rFonts w:ascii="Times New Roman" w:hAnsi="Times New Roman"/>
                <w:b/>
                <w:bCs/>
                <w:szCs w:val="22"/>
                <w:lang w:val="sr-Cyrl-CS" w:eastAsia="en-US"/>
              </w:rPr>
              <w:t>вредност</w:t>
            </w:r>
          </w:p>
        </w:tc>
        <w:tc>
          <w:tcPr>
            <w:tcW w:w="34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ABDF86E" w14:textId="7D9F426A" w:rsidR="009E228C" w:rsidRPr="005303F7" w:rsidRDefault="008D69AF" w:rsidP="00A17981">
            <w:pPr>
              <w:tabs>
                <w:tab w:val="clear" w:pos="3825"/>
              </w:tabs>
              <w:overflowPunct/>
              <w:autoSpaceDE/>
              <w:autoSpaceDN/>
              <w:adjustRightInd/>
              <w:spacing w:before="0" w:after="0"/>
              <w:jc w:val="center"/>
              <w:textAlignment w:val="auto"/>
              <w:rPr>
                <w:rFonts w:ascii="Times New Roman" w:hAnsi="Times New Roman"/>
                <w:b/>
                <w:bCs/>
                <w:szCs w:val="22"/>
                <w:lang w:val="sr-Cyrl-CS" w:eastAsia="en-US"/>
              </w:rPr>
            </w:pPr>
            <w:r w:rsidRPr="005303F7">
              <w:rPr>
                <w:rFonts w:ascii="Times New Roman" w:hAnsi="Times New Roman"/>
                <w:b/>
                <w:bCs/>
                <w:sz w:val="24"/>
                <w:szCs w:val="24"/>
                <w:lang w:val="sr-Cyrl-CS" w:eastAsia="en-US"/>
              </w:rPr>
              <w:t>Ци</w:t>
            </w:r>
            <w:r w:rsidR="00D553BE" w:rsidRPr="005303F7">
              <w:rPr>
                <w:rFonts w:ascii="Times New Roman" w:hAnsi="Times New Roman"/>
                <w:b/>
                <w:bCs/>
                <w:sz w:val="24"/>
                <w:szCs w:val="24"/>
                <w:lang w:val="sr-Cyrl-CS" w:eastAsia="en-US"/>
              </w:rPr>
              <w:t>љ</w:t>
            </w:r>
            <w:r w:rsidRPr="005303F7">
              <w:rPr>
                <w:rFonts w:ascii="Times New Roman" w:hAnsi="Times New Roman"/>
                <w:b/>
                <w:bCs/>
                <w:sz w:val="24"/>
                <w:szCs w:val="24"/>
                <w:lang w:val="sr-Cyrl-CS" w:eastAsia="en-US"/>
              </w:rPr>
              <w:t>ана</w:t>
            </w:r>
            <w:r w:rsidR="004F4354" w:rsidRPr="005303F7">
              <w:rPr>
                <w:rFonts w:ascii="Times New Roman" w:hAnsi="Times New Roman"/>
                <w:b/>
                <w:bCs/>
                <w:sz w:val="24"/>
                <w:szCs w:val="24"/>
                <w:lang w:val="sr-Cyrl-CS" w:eastAsia="en-US"/>
              </w:rPr>
              <w:t xml:space="preserve"> </w:t>
            </w:r>
            <w:r w:rsidRPr="005303F7">
              <w:rPr>
                <w:rFonts w:ascii="Times New Roman" w:hAnsi="Times New Roman"/>
                <w:b/>
                <w:bCs/>
                <w:sz w:val="24"/>
                <w:szCs w:val="24"/>
                <w:lang w:val="sr-Cyrl-CS" w:eastAsia="en-US"/>
              </w:rPr>
              <w:t>вредност</w:t>
            </w:r>
          </w:p>
        </w:tc>
        <w:tc>
          <w:tcPr>
            <w:tcW w:w="28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08135" w14:textId="7DD585A8" w:rsidR="009E228C" w:rsidRPr="005303F7" w:rsidRDefault="008D69AF" w:rsidP="00A17981">
            <w:pPr>
              <w:tabs>
                <w:tab w:val="clear" w:pos="3825"/>
              </w:tabs>
              <w:overflowPunct/>
              <w:autoSpaceDE/>
              <w:autoSpaceDN/>
              <w:adjustRightInd/>
              <w:spacing w:before="0" w:after="0"/>
              <w:jc w:val="center"/>
              <w:textAlignment w:val="auto"/>
              <w:rPr>
                <w:rFonts w:ascii="Times New Roman" w:hAnsi="Times New Roman"/>
                <w:b/>
                <w:bCs/>
                <w:szCs w:val="22"/>
                <w:lang w:val="sr-Cyrl-CS" w:eastAsia="en-US"/>
              </w:rPr>
            </w:pPr>
            <w:r w:rsidRPr="005303F7">
              <w:rPr>
                <w:rFonts w:ascii="Times New Roman" w:hAnsi="Times New Roman"/>
                <w:b/>
                <w:bCs/>
                <w:szCs w:val="22"/>
                <w:lang w:val="sr-Cyrl-CS" w:eastAsia="en-US"/>
              </w:rPr>
              <w:t>Извор</w:t>
            </w:r>
            <w:r w:rsidR="004F4354" w:rsidRPr="005303F7">
              <w:rPr>
                <w:rFonts w:ascii="Times New Roman" w:hAnsi="Times New Roman"/>
                <w:b/>
                <w:bCs/>
                <w:szCs w:val="22"/>
                <w:lang w:val="sr-Cyrl-CS" w:eastAsia="en-US"/>
              </w:rPr>
              <w:t xml:space="preserve"> </w:t>
            </w:r>
            <w:r w:rsidRPr="005303F7">
              <w:rPr>
                <w:rFonts w:ascii="Times New Roman" w:hAnsi="Times New Roman"/>
                <w:b/>
                <w:bCs/>
                <w:szCs w:val="22"/>
                <w:lang w:val="sr-Cyrl-CS" w:eastAsia="en-US"/>
              </w:rPr>
              <w:t>за</w:t>
            </w:r>
            <w:r w:rsidR="004F4354" w:rsidRPr="005303F7">
              <w:rPr>
                <w:rFonts w:ascii="Times New Roman" w:hAnsi="Times New Roman"/>
                <w:b/>
                <w:bCs/>
                <w:szCs w:val="22"/>
                <w:lang w:val="sr-Cyrl-CS" w:eastAsia="en-US"/>
              </w:rPr>
              <w:t xml:space="preserve"> </w:t>
            </w:r>
            <w:r w:rsidRPr="005303F7">
              <w:rPr>
                <w:rFonts w:ascii="Times New Roman" w:hAnsi="Times New Roman"/>
                <w:b/>
                <w:bCs/>
                <w:szCs w:val="22"/>
                <w:lang w:val="sr-Cyrl-CS" w:eastAsia="en-US"/>
              </w:rPr>
              <w:t>проверу</w:t>
            </w:r>
          </w:p>
        </w:tc>
      </w:tr>
      <w:tr w:rsidR="009E228C" w:rsidRPr="005303F7" w14:paraId="55136F8F" w14:textId="77777777" w:rsidTr="00451EB6">
        <w:trPr>
          <w:trHeight w:val="221"/>
          <w:tblHeader/>
        </w:trPr>
        <w:tc>
          <w:tcPr>
            <w:tcW w:w="4686" w:type="dxa"/>
            <w:vMerge/>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75DB3D82" w14:textId="77777777" w:rsidR="009E228C" w:rsidRPr="005303F7" w:rsidRDefault="009E228C" w:rsidP="00A17981">
            <w:pPr>
              <w:spacing w:before="0" w:after="0"/>
              <w:jc w:val="center"/>
              <w:rPr>
                <w:rFonts w:ascii="Times New Roman" w:hAnsi="Times New Roman"/>
                <w:b/>
                <w:bCs/>
                <w:color w:val="FFFFFF" w:themeColor="background1"/>
                <w:szCs w:val="22"/>
                <w:lang w:val="sr-Cyrl-CS" w:eastAsia="en-US"/>
              </w:rPr>
            </w:pPr>
          </w:p>
        </w:tc>
        <w:tc>
          <w:tcPr>
            <w:tcW w:w="2428" w:type="dxa"/>
            <w:vMerge/>
            <w:tcBorders>
              <w:left w:val="single" w:sz="4" w:space="0" w:color="auto"/>
              <w:right w:val="single" w:sz="4" w:space="0" w:color="auto"/>
            </w:tcBorders>
            <w:shd w:val="clear" w:color="auto" w:fill="1F497D" w:themeFill="text2"/>
            <w:vAlign w:val="center"/>
            <w:hideMark/>
          </w:tcPr>
          <w:p w14:paraId="76D3AD1E" w14:textId="77777777" w:rsidR="009E228C" w:rsidRPr="005303F7" w:rsidRDefault="009E228C" w:rsidP="00A17981">
            <w:pPr>
              <w:spacing w:before="0" w:after="0"/>
              <w:jc w:val="center"/>
              <w:rPr>
                <w:rFonts w:ascii="Times New Roman" w:hAnsi="Times New Roman"/>
                <w:b/>
                <w:bCs/>
                <w:color w:val="FFFFFF" w:themeColor="background1"/>
                <w:szCs w:val="22"/>
                <w:lang w:val="sr-Cyrl-CS" w:eastAsia="en-US"/>
              </w:rPr>
            </w:pPr>
          </w:p>
        </w:tc>
        <w:tc>
          <w:tcPr>
            <w:tcW w:w="1158"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1A552B5" w14:textId="2C04B8E3"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b/>
                <w:bCs/>
                <w:szCs w:val="22"/>
                <w:lang w:val="sr-Cyrl-CS" w:eastAsia="en-US"/>
              </w:rPr>
            </w:pPr>
            <w:r w:rsidRPr="005303F7">
              <w:rPr>
                <w:rFonts w:ascii="Times New Roman" w:hAnsi="Times New Roman"/>
                <w:b/>
                <w:bCs/>
                <w:szCs w:val="22"/>
                <w:lang w:val="sr-Cyrl-CS" w:eastAsia="en-US"/>
              </w:rPr>
              <w:t>2015</w:t>
            </w:r>
            <w:r w:rsidR="004F4354" w:rsidRPr="005303F7">
              <w:rPr>
                <w:rFonts w:ascii="Times New Roman" w:hAnsi="Times New Roman"/>
                <w:b/>
                <w:bCs/>
                <w:szCs w:val="22"/>
                <w:lang w:val="sr-Cyrl-CS" w:eastAsia="en-US"/>
              </w:rPr>
              <w:t>.</w:t>
            </w:r>
          </w:p>
        </w:tc>
        <w:tc>
          <w:tcPr>
            <w:tcW w:w="1150"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E62B881" w14:textId="4C359855"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b/>
                <w:bCs/>
                <w:szCs w:val="22"/>
                <w:lang w:val="sr-Cyrl-CS" w:eastAsia="en-US"/>
              </w:rPr>
            </w:pPr>
            <w:r w:rsidRPr="005303F7">
              <w:rPr>
                <w:rFonts w:ascii="Times New Roman" w:hAnsi="Times New Roman"/>
                <w:b/>
                <w:bCs/>
                <w:szCs w:val="22"/>
                <w:lang w:val="sr-Cyrl-CS" w:eastAsia="en-US"/>
              </w:rPr>
              <w:t>2030</w:t>
            </w:r>
            <w:r w:rsidR="004F4354" w:rsidRPr="005303F7">
              <w:rPr>
                <w:rFonts w:ascii="Times New Roman" w:hAnsi="Times New Roman"/>
                <w:b/>
                <w:bCs/>
                <w:szCs w:val="22"/>
                <w:lang w:val="sr-Cyrl-CS" w:eastAsia="en-US"/>
              </w:rPr>
              <w:t>.</w:t>
            </w:r>
          </w:p>
        </w:tc>
        <w:tc>
          <w:tcPr>
            <w:tcW w:w="2290"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1C4D0309" w14:textId="3F21D3BD"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b/>
                <w:bCs/>
                <w:szCs w:val="22"/>
                <w:lang w:val="sr-Cyrl-CS" w:eastAsia="en-US"/>
              </w:rPr>
            </w:pPr>
            <w:r w:rsidRPr="005303F7">
              <w:rPr>
                <w:rFonts w:ascii="Times New Roman" w:hAnsi="Times New Roman"/>
                <w:b/>
                <w:bCs/>
                <w:szCs w:val="22"/>
                <w:lang w:val="sr-Cyrl-CS" w:eastAsia="en-US"/>
              </w:rPr>
              <w:t>2050</w:t>
            </w:r>
            <w:r w:rsidR="004F4354" w:rsidRPr="005303F7">
              <w:rPr>
                <w:rFonts w:ascii="Times New Roman" w:hAnsi="Times New Roman"/>
                <w:b/>
                <w:bCs/>
                <w:szCs w:val="22"/>
                <w:lang w:val="sr-Cyrl-CS" w:eastAsia="en-US"/>
              </w:rPr>
              <w:t>.</w:t>
            </w:r>
          </w:p>
        </w:tc>
        <w:tc>
          <w:tcPr>
            <w:tcW w:w="2840" w:type="dxa"/>
            <w:vMerge/>
            <w:tcBorders>
              <w:top w:val="single" w:sz="4" w:space="0" w:color="auto"/>
              <w:left w:val="single" w:sz="4" w:space="0" w:color="auto"/>
              <w:right w:val="single" w:sz="4" w:space="0" w:color="auto"/>
            </w:tcBorders>
            <w:shd w:val="clear" w:color="auto" w:fill="1F497D" w:themeFill="text2"/>
            <w:vAlign w:val="center"/>
            <w:hideMark/>
          </w:tcPr>
          <w:p w14:paraId="517A1F66" w14:textId="77777777" w:rsidR="009E228C" w:rsidRPr="005303F7" w:rsidRDefault="009E228C" w:rsidP="00A17981">
            <w:pPr>
              <w:spacing w:before="0" w:after="0"/>
              <w:jc w:val="center"/>
              <w:rPr>
                <w:rFonts w:ascii="Times New Roman" w:hAnsi="Times New Roman"/>
                <w:b/>
                <w:bCs/>
                <w:color w:val="FFFFFF" w:themeColor="background1"/>
                <w:szCs w:val="22"/>
                <w:lang w:val="sr-Cyrl-CS" w:eastAsia="en-US"/>
              </w:rPr>
            </w:pPr>
          </w:p>
        </w:tc>
      </w:tr>
      <w:tr w:rsidR="009E228C" w:rsidRPr="005303F7" w14:paraId="187016D3" w14:textId="77777777" w:rsidTr="00451EB6">
        <w:trPr>
          <w:trHeight w:val="56"/>
          <w:tblHeader/>
        </w:trPr>
        <w:tc>
          <w:tcPr>
            <w:tcW w:w="4686" w:type="dxa"/>
            <w:vMerge/>
            <w:tcBorders>
              <w:left w:val="single" w:sz="4" w:space="0" w:color="auto"/>
              <w:bottom w:val="single" w:sz="4" w:space="0" w:color="auto"/>
              <w:right w:val="single" w:sz="4" w:space="0" w:color="auto"/>
            </w:tcBorders>
            <w:shd w:val="clear" w:color="auto" w:fill="1F497D" w:themeFill="text2"/>
            <w:vAlign w:val="center"/>
            <w:hideMark/>
          </w:tcPr>
          <w:p w14:paraId="65ABA32E"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b/>
                <w:bCs/>
                <w:color w:val="FFFFFF" w:themeColor="background1"/>
                <w:szCs w:val="22"/>
                <w:lang w:val="sr-Cyrl-CS" w:eastAsia="en-US"/>
              </w:rPr>
            </w:pPr>
          </w:p>
        </w:tc>
        <w:tc>
          <w:tcPr>
            <w:tcW w:w="2428" w:type="dxa"/>
            <w:vMerge/>
            <w:tcBorders>
              <w:left w:val="single" w:sz="4" w:space="0" w:color="auto"/>
              <w:bottom w:val="nil"/>
              <w:right w:val="single" w:sz="4" w:space="0" w:color="auto"/>
            </w:tcBorders>
            <w:shd w:val="clear" w:color="auto" w:fill="1F497D" w:themeFill="text2"/>
            <w:vAlign w:val="center"/>
            <w:hideMark/>
          </w:tcPr>
          <w:p w14:paraId="049FFA93"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b/>
                <w:bCs/>
                <w:color w:val="FFFFFF" w:themeColor="background1"/>
                <w:szCs w:val="22"/>
                <w:lang w:val="sr-Cyrl-CS" w:eastAsia="en-US"/>
              </w:rPr>
            </w:pPr>
          </w:p>
        </w:tc>
        <w:tc>
          <w:tcPr>
            <w:tcW w:w="1158"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085C8B3C"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b/>
                <w:bCs/>
                <w:szCs w:val="22"/>
                <w:lang w:val="sr-Cyrl-CS" w:eastAsia="en-US"/>
              </w:rPr>
            </w:pPr>
          </w:p>
        </w:tc>
        <w:tc>
          <w:tcPr>
            <w:tcW w:w="1150"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61562841"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b/>
                <w:bCs/>
                <w:szCs w:val="22"/>
                <w:lang w:val="sr-Cyrl-CS" w:eastAsia="en-US"/>
              </w:rPr>
            </w:pPr>
          </w:p>
        </w:tc>
        <w:tc>
          <w:tcPr>
            <w:tcW w:w="939" w:type="dxa"/>
            <w:tcBorders>
              <w:top w:val="nil"/>
              <w:left w:val="single" w:sz="4" w:space="0" w:color="auto"/>
              <w:bottom w:val="single" w:sz="4" w:space="0" w:color="auto"/>
              <w:right w:val="nil"/>
            </w:tcBorders>
            <w:shd w:val="clear" w:color="auto" w:fill="BFBFBF" w:themeFill="background1" w:themeFillShade="BF"/>
            <w:noWrap/>
            <w:vAlign w:val="center"/>
            <w:hideMark/>
          </w:tcPr>
          <w:p w14:paraId="41532CF1" w14:textId="16A18087" w:rsidR="009E228C" w:rsidRPr="005303F7" w:rsidRDefault="008D69AF" w:rsidP="00A17981">
            <w:pPr>
              <w:tabs>
                <w:tab w:val="clear" w:pos="3825"/>
              </w:tabs>
              <w:overflowPunct/>
              <w:autoSpaceDE/>
              <w:autoSpaceDN/>
              <w:adjustRightInd/>
              <w:spacing w:before="0" w:after="0"/>
              <w:jc w:val="center"/>
              <w:textAlignment w:val="auto"/>
              <w:rPr>
                <w:rFonts w:ascii="Times New Roman" w:hAnsi="Times New Roman"/>
                <w:szCs w:val="22"/>
                <w:lang w:val="sr-Cyrl-CS" w:eastAsia="en-US"/>
              </w:rPr>
            </w:pPr>
            <w:r w:rsidRPr="005303F7">
              <w:rPr>
                <w:rFonts w:ascii="Times New Roman" w:hAnsi="Times New Roman"/>
                <w:szCs w:val="22"/>
                <w:lang w:val="sr-Cyrl-CS" w:eastAsia="en-US"/>
              </w:rPr>
              <w:t>горња</w:t>
            </w:r>
          </w:p>
        </w:tc>
        <w:tc>
          <w:tcPr>
            <w:tcW w:w="356" w:type="dxa"/>
            <w:tcBorders>
              <w:top w:val="nil"/>
              <w:left w:val="nil"/>
              <w:bottom w:val="single" w:sz="4" w:space="0" w:color="auto"/>
              <w:right w:val="nil"/>
            </w:tcBorders>
            <w:shd w:val="clear" w:color="auto" w:fill="BFBFBF" w:themeFill="background1" w:themeFillShade="BF"/>
            <w:noWrap/>
            <w:vAlign w:val="center"/>
            <w:hideMark/>
          </w:tcPr>
          <w:p w14:paraId="2EEFDF89"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Cs w:val="22"/>
                <w:lang w:val="sr-Cyrl-CS" w:eastAsia="en-US"/>
              </w:rPr>
            </w:pPr>
            <w:r w:rsidRPr="005303F7">
              <w:rPr>
                <w:rFonts w:ascii="Times New Roman" w:hAnsi="Times New Roman"/>
                <w:szCs w:val="22"/>
                <w:lang w:val="sr-Cyrl-CS" w:eastAsia="en-US"/>
              </w:rPr>
              <w:t>-</w:t>
            </w:r>
          </w:p>
        </w:tc>
        <w:tc>
          <w:tcPr>
            <w:tcW w:w="995" w:type="dxa"/>
            <w:tcBorders>
              <w:top w:val="nil"/>
              <w:left w:val="nil"/>
              <w:bottom w:val="single" w:sz="4" w:space="0" w:color="auto"/>
              <w:right w:val="single" w:sz="4" w:space="0" w:color="auto"/>
            </w:tcBorders>
            <w:shd w:val="clear" w:color="auto" w:fill="BFBFBF" w:themeFill="background1" w:themeFillShade="BF"/>
            <w:noWrap/>
            <w:vAlign w:val="center"/>
            <w:hideMark/>
          </w:tcPr>
          <w:p w14:paraId="435F5745" w14:textId="73EC2D69" w:rsidR="009E228C" w:rsidRPr="005303F7" w:rsidRDefault="008D69AF" w:rsidP="00A17981">
            <w:pPr>
              <w:tabs>
                <w:tab w:val="clear" w:pos="3825"/>
              </w:tabs>
              <w:overflowPunct/>
              <w:autoSpaceDE/>
              <w:autoSpaceDN/>
              <w:adjustRightInd/>
              <w:spacing w:before="0" w:after="0"/>
              <w:jc w:val="center"/>
              <w:textAlignment w:val="auto"/>
              <w:rPr>
                <w:rFonts w:ascii="Times New Roman" w:hAnsi="Times New Roman"/>
                <w:szCs w:val="22"/>
                <w:lang w:val="sr-Cyrl-CS" w:eastAsia="en-US"/>
              </w:rPr>
            </w:pPr>
            <w:r w:rsidRPr="005303F7">
              <w:rPr>
                <w:rFonts w:ascii="Times New Roman" w:hAnsi="Times New Roman"/>
                <w:szCs w:val="22"/>
                <w:lang w:val="sr-Cyrl-CS" w:eastAsia="en-US"/>
              </w:rPr>
              <w:t>доња</w:t>
            </w:r>
          </w:p>
        </w:tc>
        <w:tc>
          <w:tcPr>
            <w:tcW w:w="2840" w:type="dxa"/>
            <w:vMerge/>
            <w:tcBorders>
              <w:left w:val="single" w:sz="4" w:space="0" w:color="auto"/>
              <w:bottom w:val="nil"/>
              <w:right w:val="single" w:sz="4" w:space="0" w:color="auto"/>
            </w:tcBorders>
            <w:shd w:val="clear" w:color="auto" w:fill="1F497D" w:themeFill="text2"/>
            <w:vAlign w:val="center"/>
            <w:hideMark/>
          </w:tcPr>
          <w:p w14:paraId="3BA3DD5D"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b/>
                <w:bCs/>
                <w:color w:val="FFFFFF" w:themeColor="background1"/>
                <w:szCs w:val="22"/>
                <w:lang w:val="sr-Cyrl-CS" w:eastAsia="en-US"/>
              </w:rPr>
            </w:pPr>
          </w:p>
        </w:tc>
      </w:tr>
      <w:tr w:rsidR="009E228C" w:rsidRPr="005303F7" w14:paraId="0EEA89B7" w14:textId="77777777" w:rsidTr="00451EB6">
        <w:trPr>
          <w:trHeight w:val="855"/>
        </w:trPr>
        <w:tc>
          <w:tcPr>
            <w:tcW w:w="4686" w:type="dxa"/>
            <w:vMerge w:val="restart"/>
            <w:tcBorders>
              <w:top w:val="single" w:sz="4" w:space="0" w:color="auto"/>
              <w:left w:val="single" w:sz="4" w:space="0" w:color="auto"/>
              <w:right w:val="single" w:sz="4" w:space="0" w:color="auto"/>
            </w:tcBorders>
            <w:shd w:val="clear" w:color="auto" w:fill="auto"/>
            <w:vAlign w:val="center"/>
            <w:hideMark/>
          </w:tcPr>
          <w:p w14:paraId="685A7660" w14:textId="3FC7BD83" w:rsidR="009E228C" w:rsidRPr="005303F7" w:rsidRDefault="008D69AF" w:rsidP="006220E0">
            <w:pPr>
              <w:tabs>
                <w:tab w:val="clear" w:pos="3825"/>
              </w:tabs>
              <w:overflowPunct/>
              <w:autoSpaceDE/>
              <w:autoSpaceDN/>
              <w:adjustRightInd/>
              <w:spacing w:before="0" w:after="0"/>
              <w:jc w:val="left"/>
              <w:textAlignment w:val="auto"/>
              <w:rPr>
                <w:rFonts w:ascii="Times New Roman" w:hAnsi="Times New Roman"/>
                <w:sz w:val="20"/>
                <w:lang w:val="sr-Cyrl-CS" w:eastAsia="en-US"/>
              </w:rPr>
            </w:pPr>
            <w:r w:rsidRPr="005303F7">
              <w:rPr>
                <w:rFonts w:ascii="Times New Roman" w:hAnsi="Times New Roman"/>
                <w:b/>
                <w:bCs/>
                <w:sz w:val="20"/>
                <w:lang w:val="sr-Cyrl-CS" w:eastAsia="en-US"/>
              </w:rPr>
              <w:t>Визија</w:t>
            </w:r>
            <w:r w:rsidR="009E228C" w:rsidRPr="005303F7">
              <w:rPr>
                <w:rFonts w:ascii="Times New Roman" w:hAnsi="Times New Roman"/>
                <w:b/>
                <w:bCs/>
                <w:sz w:val="20"/>
                <w:lang w:val="sr-Cyrl-CS" w:eastAsia="en-US"/>
              </w:rPr>
              <w:t>:</w:t>
            </w:r>
            <w:r w:rsidR="007D2DC0" w:rsidRPr="005303F7">
              <w:rPr>
                <w:rFonts w:ascii="Times New Roman" w:hAnsi="Times New Roman"/>
                <w:sz w:val="20"/>
                <w:lang w:val="sr-Cyrl-CS" w:eastAsia="en-US"/>
              </w:rPr>
              <w:t xml:space="preserve"> </w:t>
            </w:r>
            <w:r w:rsidR="00AB0010" w:rsidRPr="005303F7">
              <w:rPr>
                <w:rFonts w:ascii="Times New Roman" w:hAnsi="Times New Roman"/>
                <w:sz w:val="20"/>
                <w:lang w:val="sr-Cyrl-CS" w:eastAsia="en-US"/>
              </w:rPr>
              <w:t xml:space="preserve">До </w:t>
            </w:r>
            <w:r w:rsidR="006220E0" w:rsidRPr="005303F7">
              <w:rPr>
                <w:rFonts w:ascii="Times New Roman" w:hAnsi="Times New Roman"/>
                <w:sz w:val="20"/>
                <w:lang w:val="sr-Cyrl-CS" w:eastAsia="en-US"/>
              </w:rPr>
              <w:t xml:space="preserve">2050. године, </w:t>
            </w:r>
            <w:r w:rsidR="00D73AAB" w:rsidRPr="005303F7">
              <w:rPr>
                <w:rFonts w:ascii="Times New Roman" w:hAnsi="Times New Roman"/>
                <w:sz w:val="20"/>
                <w:lang w:val="sr-Cyrl-CS" w:eastAsia="en-US"/>
              </w:rPr>
              <w:t>Република Србија</w:t>
            </w:r>
            <w:r w:rsidR="006220E0" w:rsidRPr="005303F7">
              <w:rPr>
                <w:rFonts w:ascii="Times New Roman" w:hAnsi="Times New Roman"/>
                <w:sz w:val="20"/>
                <w:lang w:val="sr-Cyrl-CS" w:eastAsia="en-US"/>
              </w:rPr>
              <w:t xml:space="preserve"> је нискоугљенично друштво са конкурентном и ресурсно ефикасном економијом која грађанима омогућава нова, зелена радна места и квалитетан живот у климатски отпорном друштву</w:t>
            </w:r>
          </w:p>
        </w:tc>
        <w:tc>
          <w:tcPr>
            <w:tcW w:w="2428" w:type="dxa"/>
            <w:tcBorders>
              <w:top w:val="single" w:sz="4" w:space="0" w:color="auto"/>
              <w:left w:val="nil"/>
              <w:bottom w:val="nil"/>
              <w:right w:val="single" w:sz="4" w:space="0" w:color="auto"/>
            </w:tcBorders>
            <w:shd w:val="clear" w:color="auto" w:fill="auto"/>
            <w:vAlign w:val="center"/>
            <w:hideMark/>
          </w:tcPr>
          <w:p w14:paraId="2C15E02B" w14:textId="619072C1" w:rsidR="00D3646D" w:rsidRPr="005303F7" w:rsidRDefault="008D69AF"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Емисије</w:t>
            </w:r>
            <w:r w:rsidR="00D3646D" w:rsidRPr="005303F7">
              <w:rPr>
                <w:rFonts w:ascii="Times New Roman" w:hAnsi="Times New Roman"/>
                <w:sz w:val="20"/>
                <w:lang w:val="sr-Cyrl-CS" w:eastAsia="en-US"/>
              </w:rPr>
              <w:t xml:space="preserve"> </w:t>
            </w:r>
            <w:r w:rsidRPr="005303F7">
              <w:rPr>
                <w:rFonts w:ascii="Times New Roman" w:hAnsi="Times New Roman"/>
                <w:sz w:val="20"/>
                <w:lang w:val="sr-Cyrl-CS" w:eastAsia="en-US"/>
              </w:rPr>
              <w:t>по</w:t>
            </w:r>
            <w:r w:rsidR="00D3646D" w:rsidRPr="005303F7">
              <w:rPr>
                <w:rFonts w:ascii="Times New Roman" w:hAnsi="Times New Roman"/>
                <w:sz w:val="20"/>
                <w:lang w:val="sr-Cyrl-CS" w:eastAsia="en-US"/>
              </w:rPr>
              <w:t xml:space="preserve"> </w:t>
            </w:r>
            <w:r w:rsidRPr="005303F7">
              <w:rPr>
                <w:rFonts w:ascii="Times New Roman" w:hAnsi="Times New Roman"/>
                <w:sz w:val="20"/>
                <w:lang w:val="sr-Cyrl-CS" w:eastAsia="en-US"/>
              </w:rPr>
              <w:t>глави</w:t>
            </w:r>
            <w:r w:rsidR="00D3646D" w:rsidRPr="005303F7">
              <w:rPr>
                <w:rFonts w:ascii="Times New Roman" w:hAnsi="Times New Roman"/>
                <w:sz w:val="20"/>
                <w:lang w:val="sr-Cyrl-CS" w:eastAsia="en-US"/>
              </w:rPr>
              <w:t xml:space="preserve"> </w:t>
            </w:r>
            <w:r w:rsidRPr="005303F7">
              <w:rPr>
                <w:rFonts w:ascii="Times New Roman" w:hAnsi="Times New Roman"/>
                <w:sz w:val="20"/>
                <w:lang w:val="sr-Cyrl-CS" w:eastAsia="en-US"/>
              </w:rPr>
              <w:t>становника</w:t>
            </w:r>
          </w:p>
          <w:p w14:paraId="717C2414" w14:textId="49D46530" w:rsidR="009E228C" w:rsidRPr="005303F7" w:rsidRDefault="009E228C" w:rsidP="00D3646D">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tC</w:t>
            </w:r>
            <w:r w:rsidR="008D69AF" w:rsidRPr="005303F7">
              <w:rPr>
                <w:rFonts w:ascii="Times New Roman" w:hAnsi="Times New Roman"/>
                <w:sz w:val="20"/>
                <w:lang w:val="sr-Cyrl-CS" w:eastAsia="en-US"/>
              </w:rPr>
              <w:t>О</w:t>
            </w:r>
            <w:r w:rsidRPr="005303F7">
              <w:rPr>
                <w:rFonts w:ascii="Times New Roman" w:hAnsi="Times New Roman"/>
                <w:sz w:val="20"/>
                <w:vertAlign w:val="subscript"/>
                <w:lang w:val="sr-Cyrl-CS" w:eastAsia="en-US"/>
              </w:rPr>
              <w:t>2</w:t>
            </w:r>
            <w:r w:rsidR="008D69AF" w:rsidRPr="005303F7">
              <w:rPr>
                <w:rFonts w:ascii="Times New Roman" w:hAnsi="Times New Roman"/>
                <w:sz w:val="20"/>
                <w:vertAlign w:val="subscript"/>
                <w:lang w:val="sr-Cyrl-CS" w:eastAsia="en-US"/>
              </w:rPr>
              <w:t>е</w:t>
            </w:r>
            <w:r w:rsidR="00DF43E8" w:rsidRPr="005303F7">
              <w:rPr>
                <w:rFonts w:ascii="Times New Roman" w:hAnsi="Times New Roman"/>
                <w:sz w:val="20"/>
                <w:lang w:val="sr-Cyrl-CS" w:eastAsia="en-US"/>
              </w:rPr>
              <w:t xml:space="preserve"> </w:t>
            </w:r>
            <w:r w:rsidR="008D69AF" w:rsidRPr="005303F7">
              <w:rPr>
                <w:rFonts w:ascii="Times New Roman" w:hAnsi="Times New Roman"/>
                <w:sz w:val="20"/>
                <w:lang w:val="sr-Cyrl-CS" w:eastAsia="en-US"/>
              </w:rPr>
              <w:t>по</w:t>
            </w:r>
            <w:r w:rsidR="00DF43E8" w:rsidRPr="005303F7">
              <w:rPr>
                <w:rFonts w:ascii="Times New Roman" w:hAnsi="Times New Roman"/>
                <w:sz w:val="20"/>
                <w:lang w:val="sr-Cyrl-CS" w:eastAsia="en-US"/>
              </w:rPr>
              <w:t xml:space="preserve"> </w:t>
            </w:r>
            <w:r w:rsidR="008D69AF" w:rsidRPr="005303F7">
              <w:rPr>
                <w:rFonts w:ascii="Times New Roman" w:hAnsi="Times New Roman"/>
                <w:sz w:val="20"/>
                <w:lang w:val="sr-Cyrl-CS" w:eastAsia="en-US"/>
              </w:rPr>
              <w:t>глави</w:t>
            </w:r>
            <w:r w:rsidR="00AB273F" w:rsidRPr="005303F7">
              <w:rPr>
                <w:rFonts w:ascii="Times New Roman" w:hAnsi="Times New Roman"/>
                <w:sz w:val="20"/>
                <w:lang w:val="sr-Cyrl-CS" w:eastAsia="en-US"/>
              </w:rPr>
              <w:t xml:space="preserve"> </w:t>
            </w:r>
            <w:r w:rsidR="008D69AF" w:rsidRPr="005303F7">
              <w:rPr>
                <w:rFonts w:ascii="Times New Roman" w:hAnsi="Times New Roman"/>
                <w:sz w:val="20"/>
                <w:lang w:val="sr-Cyrl-CS" w:eastAsia="en-US"/>
              </w:rPr>
              <w:t>становника</w:t>
            </w:r>
          </w:p>
        </w:tc>
        <w:tc>
          <w:tcPr>
            <w:tcW w:w="1158" w:type="dxa"/>
            <w:tcBorders>
              <w:top w:val="single" w:sz="4" w:space="0" w:color="auto"/>
              <w:left w:val="nil"/>
              <w:bottom w:val="nil"/>
              <w:right w:val="single" w:sz="4" w:space="0" w:color="auto"/>
            </w:tcBorders>
            <w:shd w:val="clear" w:color="auto" w:fill="auto"/>
            <w:vAlign w:val="center"/>
            <w:hideMark/>
          </w:tcPr>
          <w:p w14:paraId="4280FFFD"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8,6</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955F7"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8,0</w:t>
            </w:r>
          </w:p>
        </w:tc>
        <w:tc>
          <w:tcPr>
            <w:tcW w:w="939" w:type="dxa"/>
            <w:tcBorders>
              <w:top w:val="single" w:sz="4" w:space="0" w:color="auto"/>
              <w:left w:val="single" w:sz="4" w:space="0" w:color="auto"/>
              <w:bottom w:val="single" w:sz="4" w:space="0" w:color="auto"/>
              <w:right w:val="nil"/>
            </w:tcBorders>
            <w:shd w:val="clear" w:color="auto" w:fill="auto"/>
            <w:vAlign w:val="center"/>
            <w:hideMark/>
          </w:tcPr>
          <w:p w14:paraId="3793C264" w14:textId="33C57BB8" w:rsidR="009E228C" w:rsidRPr="005303F7" w:rsidRDefault="00315F8B"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4</w:t>
            </w:r>
            <w:r w:rsidR="009E228C" w:rsidRPr="005303F7">
              <w:rPr>
                <w:rFonts w:ascii="Times New Roman" w:hAnsi="Times New Roman"/>
                <w:sz w:val="20"/>
                <w:lang w:val="sr-Cyrl-CS" w:eastAsia="en-US"/>
              </w:rPr>
              <w:t>,1</w:t>
            </w:r>
          </w:p>
        </w:tc>
        <w:tc>
          <w:tcPr>
            <w:tcW w:w="356" w:type="dxa"/>
            <w:tcBorders>
              <w:top w:val="single" w:sz="4" w:space="0" w:color="auto"/>
              <w:left w:val="nil"/>
              <w:bottom w:val="single" w:sz="4" w:space="0" w:color="auto"/>
              <w:right w:val="nil"/>
            </w:tcBorders>
            <w:shd w:val="clear" w:color="auto" w:fill="auto"/>
            <w:vAlign w:val="center"/>
            <w:hideMark/>
          </w:tcPr>
          <w:p w14:paraId="3A95521E"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w:t>
            </w:r>
          </w:p>
        </w:tc>
        <w:tc>
          <w:tcPr>
            <w:tcW w:w="995" w:type="dxa"/>
            <w:tcBorders>
              <w:top w:val="single" w:sz="4" w:space="0" w:color="auto"/>
              <w:left w:val="nil"/>
              <w:bottom w:val="single" w:sz="4" w:space="0" w:color="auto"/>
              <w:right w:val="nil"/>
            </w:tcBorders>
            <w:shd w:val="clear" w:color="auto" w:fill="auto"/>
            <w:vAlign w:val="center"/>
            <w:hideMark/>
          </w:tcPr>
          <w:p w14:paraId="0D7C0FEF" w14:textId="2EE903B0" w:rsidR="009E228C" w:rsidRPr="005303F7" w:rsidRDefault="00315F8B"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2</w:t>
            </w:r>
            <w:r w:rsidR="009E228C" w:rsidRPr="005303F7">
              <w:rPr>
                <w:rFonts w:ascii="Times New Roman" w:hAnsi="Times New Roman"/>
                <w:sz w:val="20"/>
                <w:lang w:val="sr-Cyrl-CS" w:eastAsia="en-US"/>
              </w:rPr>
              <w:t>,</w:t>
            </w:r>
            <w:r w:rsidRPr="005303F7">
              <w:rPr>
                <w:rFonts w:ascii="Times New Roman" w:hAnsi="Times New Roman"/>
                <w:sz w:val="20"/>
                <w:lang w:val="sr-Cyrl-CS" w:eastAsia="en-US"/>
              </w:rPr>
              <w:t>8</w:t>
            </w:r>
          </w:p>
        </w:tc>
        <w:tc>
          <w:tcPr>
            <w:tcW w:w="2840" w:type="dxa"/>
            <w:tcBorders>
              <w:top w:val="single" w:sz="4" w:space="0" w:color="auto"/>
              <w:left w:val="single" w:sz="4" w:space="0" w:color="auto"/>
              <w:bottom w:val="nil"/>
              <w:right w:val="single" w:sz="4" w:space="0" w:color="auto"/>
            </w:tcBorders>
            <w:shd w:val="clear" w:color="auto" w:fill="auto"/>
            <w:vAlign w:val="center"/>
            <w:hideMark/>
          </w:tcPr>
          <w:p w14:paraId="6B7BFECA" w14:textId="432A53F1" w:rsidR="009E228C" w:rsidRPr="005303F7" w:rsidRDefault="008D69AF" w:rsidP="00DF65C3">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Национални</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инвентар</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гасова</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са</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ефектом</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стаклене</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баште</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емисије</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без</w:t>
            </w:r>
            <w:r w:rsidR="00DF4B2D"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LULUCF</w:t>
            </w:r>
            <w:r w:rsidR="00DF4B2D" w:rsidRPr="005303F7">
              <w:rPr>
                <w:rFonts w:ascii="Times New Roman" w:hAnsi="Times New Roman"/>
                <w:sz w:val="20"/>
                <w:lang w:val="sr-Cyrl-CS" w:eastAsia="en-US"/>
              </w:rPr>
              <w:t>-</w:t>
            </w:r>
            <w:r w:rsidRPr="005303F7">
              <w:rPr>
                <w:rFonts w:ascii="Times New Roman" w:hAnsi="Times New Roman"/>
                <w:sz w:val="20"/>
                <w:lang w:val="sr-Cyrl-CS" w:eastAsia="en-US"/>
              </w:rPr>
              <w:t>а</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и</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статистика</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становништва</w:t>
            </w:r>
            <w:r w:rsidR="00DF4B2D" w:rsidRPr="005303F7">
              <w:rPr>
                <w:rFonts w:ascii="Times New Roman" w:hAnsi="Times New Roman"/>
                <w:sz w:val="20"/>
                <w:lang w:val="sr-Cyrl-CS" w:eastAsia="en-US"/>
              </w:rPr>
              <w:t xml:space="preserve"> – </w:t>
            </w:r>
            <w:r w:rsidRPr="005303F7">
              <w:rPr>
                <w:rFonts w:ascii="Times New Roman" w:hAnsi="Times New Roman"/>
                <w:sz w:val="20"/>
                <w:lang w:val="sr-Cyrl-CS" w:eastAsia="en-US"/>
              </w:rPr>
              <w:t>Р</w:t>
            </w:r>
            <w:r w:rsidR="00DF65C3" w:rsidRPr="005303F7">
              <w:rPr>
                <w:rFonts w:ascii="Times New Roman" w:hAnsi="Times New Roman"/>
                <w:sz w:val="20"/>
                <w:lang w:val="sr-Cyrl-CS" w:eastAsia="en-US"/>
              </w:rPr>
              <w:t>епублички завод за статистику</w:t>
            </w:r>
            <w:r w:rsidR="009F229E" w:rsidRPr="005303F7">
              <w:rPr>
                <w:rStyle w:val="FootnoteReference"/>
                <w:rFonts w:ascii="Times New Roman" w:hAnsi="Times New Roman"/>
                <w:lang w:val="sr-Cyrl-CS" w:eastAsia="en-US"/>
              </w:rPr>
              <w:footnoteReference w:id="63"/>
            </w:r>
            <w:r w:rsidR="00DF4B2D" w:rsidRPr="005303F7">
              <w:rPr>
                <w:rFonts w:ascii="Times New Roman" w:hAnsi="Times New Roman"/>
                <w:sz w:val="20"/>
                <w:lang w:val="sr-Cyrl-CS" w:eastAsia="en-US"/>
              </w:rPr>
              <w:t>)</w:t>
            </w:r>
          </w:p>
        </w:tc>
      </w:tr>
      <w:tr w:rsidR="009E228C" w:rsidRPr="005303F7" w14:paraId="793D7E47" w14:textId="77777777" w:rsidTr="00451EB6">
        <w:trPr>
          <w:trHeight w:val="945"/>
        </w:trPr>
        <w:tc>
          <w:tcPr>
            <w:tcW w:w="4686" w:type="dxa"/>
            <w:vMerge/>
            <w:tcBorders>
              <w:left w:val="single" w:sz="4" w:space="0" w:color="auto"/>
              <w:right w:val="single" w:sz="4" w:space="0" w:color="auto"/>
            </w:tcBorders>
            <w:shd w:val="clear" w:color="auto" w:fill="auto"/>
            <w:vAlign w:val="center"/>
            <w:hideMark/>
          </w:tcPr>
          <w:p w14:paraId="56B1EE8C" w14:textId="5E458C70" w:rsidR="009E228C" w:rsidRPr="005303F7" w:rsidRDefault="009E228C" w:rsidP="00A17981">
            <w:pPr>
              <w:spacing w:before="0" w:after="0"/>
              <w:jc w:val="left"/>
              <w:rPr>
                <w:rFonts w:ascii="Times New Roman" w:hAnsi="Times New Roman"/>
                <w:sz w:val="20"/>
                <w:lang w:val="sr-Cyrl-CS" w:eastAsia="en-US"/>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ACDFE" w14:textId="5512FF12" w:rsidR="00EB7BC3" w:rsidRPr="005303F7" w:rsidRDefault="00915AF8" w:rsidP="00D3646D">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Угљенични и</w:t>
            </w:r>
            <w:r w:rsidR="008D69AF" w:rsidRPr="005303F7">
              <w:rPr>
                <w:rFonts w:ascii="Times New Roman" w:hAnsi="Times New Roman"/>
                <w:sz w:val="20"/>
                <w:lang w:val="sr-Cyrl-CS" w:eastAsia="en-US"/>
              </w:rPr>
              <w:t>нтензитет</w:t>
            </w:r>
            <w:r w:rsidR="00D3646D" w:rsidRPr="005303F7">
              <w:rPr>
                <w:rFonts w:ascii="Times New Roman" w:hAnsi="Times New Roman"/>
                <w:sz w:val="20"/>
                <w:lang w:val="sr-Cyrl-CS" w:eastAsia="en-US"/>
              </w:rPr>
              <w:t xml:space="preserve"> </w:t>
            </w:r>
            <w:r w:rsidRPr="005303F7">
              <w:rPr>
                <w:rFonts w:ascii="Times New Roman" w:hAnsi="Times New Roman"/>
                <w:sz w:val="20"/>
                <w:lang w:val="sr-Cyrl-CS" w:eastAsia="en-US"/>
              </w:rPr>
              <w:t>привреде</w:t>
            </w:r>
            <w:r w:rsidR="009E228C" w:rsidRPr="005303F7">
              <w:rPr>
                <w:rFonts w:ascii="Times New Roman" w:hAnsi="Times New Roman"/>
                <w:sz w:val="20"/>
                <w:lang w:val="sr-Cyrl-CS" w:eastAsia="en-US"/>
              </w:rPr>
              <w:br/>
            </w:r>
            <w:r w:rsidR="00D97B92" w:rsidRPr="005303F7">
              <w:rPr>
                <w:rFonts w:ascii="Times New Roman" w:hAnsi="Times New Roman"/>
                <w:sz w:val="20"/>
                <w:lang w:val="sr-Cyrl-CS" w:eastAsia="en-US"/>
              </w:rPr>
              <w:t>tC</w:t>
            </w:r>
            <w:r w:rsidR="008D69AF" w:rsidRPr="005303F7">
              <w:rPr>
                <w:rFonts w:ascii="Times New Roman" w:hAnsi="Times New Roman"/>
                <w:sz w:val="20"/>
                <w:lang w:val="sr-Cyrl-CS" w:eastAsia="en-US"/>
              </w:rPr>
              <w:t>О</w:t>
            </w:r>
            <w:r w:rsidR="009E228C" w:rsidRPr="005303F7">
              <w:rPr>
                <w:rFonts w:ascii="Times New Roman" w:hAnsi="Times New Roman"/>
                <w:sz w:val="20"/>
                <w:vertAlign w:val="subscript"/>
                <w:lang w:val="sr-Cyrl-CS" w:eastAsia="en-US"/>
              </w:rPr>
              <w:t>2</w:t>
            </w:r>
            <w:r w:rsidR="008D69AF" w:rsidRPr="005303F7">
              <w:rPr>
                <w:rFonts w:ascii="Times New Roman" w:hAnsi="Times New Roman"/>
                <w:sz w:val="20"/>
                <w:vertAlign w:val="subscript"/>
                <w:lang w:val="sr-Cyrl-CS" w:eastAsia="en-US"/>
              </w:rPr>
              <w:t>е</w:t>
            </w:r>
            <w:r w:rsidR="009E228C" w:rsidRPr="005303F7">
              <w:rPr>
                <w:rFonts w:ascii="Times New Roman" w:hAnsi="Times New Roman"/>
                <w:sz w:val="20"/>
                <w:lang w:val="sr-Cyrl-CS" w:eastAsia="en-US"/>
              </w:rPr>
              <w:t>/</w:t>
            </w:r>
            <w:r w:rsidR="008D69AF" w:rsidRPr="005303F7">
              <w:rPr>
                <w:rFonts w:ascii="Times New Roman" w:hAnsi="Times New Roman"/>
                <w:sz w:val="20"/>
                <w:lang w:val="sr-Cyrl-CS" w:eastAsia="en-US"/>
              </w:rPr>
              <w:t>БДП</w:t>
            </w:r>
            <w:r w:rsidR="00D3646D" w:rsidRPr="005303F7">
              <w:rPr>
                <w:rFonts w:ascii="Times New Roman" w:hAnsi="Times New Roman"/>
                <w:sz w:val="20"/>
                <w:lang w:val="sr-Cyrl-CS" w:eastAsia="en-US"/>
              </w:rPr>
              <w:t xml:space="preserve"> </w:t>
            </w:r>
          </w:p>
          <w:p w14:paraId="03194C20" w14:textId="54A50A18" w:rsidR="009E228C" w:rsidRPr="005303F7" w:rsidRDefault="009E228C" w:rsidP="00D3646D">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w:t>
            </w:r>
            <w:r w:rsidR="0039680D" w:rsidRPr="005303F7">
              <w:rPr>
                <w:rFonts w:ascii="Times New Roman" w:hAnsi="Times New Roman"/>
                <w:sz w:val="20"/>
                <w:lang w:val="sr-Cyrl-CS" w:eastAsia="en-US"/>
              </w:rPr>
              <w:t>милиона</w:t>
            </w:r>
            <w:r w:rsidR="00D3646D" w:rsidRPr="005303F7">
              <w:rPr>
                <w:rFonts w:ascii="Times New Roman" w:hAnsi="Times New Roman"/>
                <w:sz w:val="20"/>
                <w:lang w:val="sr-Cyrl-CS" w:eastAsia="en-US"/>
              </w:rPr>
              <w:t xml:space="preserve"> </w:t>
            </w:r>
            <w:r w:rsidR="008D69AF" w:rsidRPr="005303F7">
              <w:rPr>
                <w:rFonts w:ascii="Times New Roman" w:hAnsi="Times New Roman"/>
                <w:sz w:val="20"/>
                <w:lang w:val="sr-Cyrl-CS" w:eastAsia="en-US"/>
              </w:rPr>
              <w:t>евра</w:t>
            </w:r>
            <w:r w:rsidRPr="005303F7">
              <w:rPr>
                <w:rFonts w:ascii="Times New Roman" w:hAnsi="Times New Roman"/>
                <w:sz w:val="20"/>
                <w:lang w:val="sr-Cyrl-CS" w:eastAsia="en-US"/>
              </w:rPr>
              <w:t>’13)</w:t>
            </w:r>
          </w:p>
        </w:tc>
        <w:tc>
          <w:tcPr>
            <w:tcW w:w="1158" w:type="dxa"/>
            <w:tcBorders>
              <w:top w:val="single" w:sz="4" w:space="0" w:color="auto"/>
              <w:left w:val="nil"/>
              <w:bottom w:val="nil"/>
              <w:right w:val="single" w:sz="4" w:space="0" w:color="auto"/>
            </w:tcBorders>
            <w:shd w:val="clear" w:color="auto" w:fill="auto"/>
            <w:vAlign w:val="center"/>
            <w:hideMark/>
          </w:tcPr>
          <w:p w14:paraId="7C8A243D"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2020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D3657"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1074</w:t>
            </w:r>
          </w:p>
        </w:tc>
        <w:tc>
          <w:tcPr>
            <w:tcW w:w="939" w:type="dxa"/>
            <w:tcBorders>
              <w:top w:val="single" w:sz="4" w:space="0" w:color="auto"/>
              <w:left w:val="single" w:sz="4" w:space="0" w:color="auto"/>
              <w:bottom w:val="single" w:sz="4" w:space="0" w:color="auto"/>
              <w:right w:val="nil"/>
            </w:tcBorders>
            <w:shd w:val="clear" w:color="auto" w:fill="auto"/>
            <w:vAlign w:val="center"/>
            <w:hideMark/>
          </w:tcPr>
          <w:p w14:paraId="5C3A9406"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321</w:t>
            </w:r>
          </w:p>
        </w:tc>
        <w:tc>
          <w:tcPr>
            <w:tcW w:w="356" w:type="dxa"/>
            <w:tcBorders>
              <w:top w:val="single" w:sz="4" w:space="0" w:color="auto"/>
              <w:left w:val="nil"/>
              <w:bottom w:val="single" w:sz="4" w:space="0" w:color="auto"/>
              <w:right w:val="nil"/>
            </w:tcBorders>
            <w:shd w:val="clear" w:color="auto" w:fill="auto"/>
            <w:vAlign w:val="center"/>
            <w:hideMark/>
          </w:tcPr>
          <w:p w14:paraId="4E4DA403"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w:t>
            </w:r>
          </w:p>
        </w:tc>
        <w:tc>
          <w:tcPr>
            <w:tcW w:w="995" w:type="dxa"/>
            <w:tcBorders>
              <w:top w:val="single" w:sz="4" w:space="0" w:color="auto"/>
              <w:left w:val="nil"/>
              <w:bottom w:val="single" w:sz="4" w:space="0" w:color="auto"/>
              <w:right w:val="nil"/>
            </w:tcBorders>
            <w:shd w:val="clear" w:color="auto" w:fill="auto"/>
            <w:vAlign w:val="center"/>
            <w:hideMark/>
          </w:tcPr>
          <w:p w14:paraId="1399EE45"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221</w:t>
            </w:r>
          </w:p>
        </w:tc>
        <w:tc>
          <w:tcPr>
            <w:tcW w:w="2840" w:type="dxa"/>
            <w:tcBorders>
              <w:top w:val="nil"/>
              <w:left w:val="single" w:sz="4" w:space="0" w:color="auto"/>
              <w:bottom w:val="nil"/>
              <w:right w:val="single" w:sz="4" w:space="0" w:color="auto"/>
            </w:tcBorders>
            <w:shd w:val="clear" w:color="auto" w:fill="auto"/>
            <w:vAlign w:val="center"/>
            <w:hideMark/>
          </w:tcPr>
          <w:p w14:paraId="1356851E" w14:textId="61088225" w:rsidR="009E228C" w:rsidRPr="005303F7" w:rsidRDefault="008D69AF" w:rsidP="00DF65C3">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Национални</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инвентар</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гасова</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са</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ефектом</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стаклене</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баште</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емисије</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без</w:t>
            </w:r>
            <w:r w:rsidR="00DF4B2D"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LULUCF</w:t>
            </w:r>
            <w:r w:rsidR="00DF4B2D" w:rsidRPr="005303F7">
              <w:rPr>
                <w:rFonts w:ascii="Times New Roman" w:hAnsi="Times New Roman"/>
                <w:sz w:val="20"/>
                <w:lang w:val="sr-Cyrl-CS" w:eastAsia="en-US"/>
              </w:rPr>
              <w:t>-</w:t>
            </w:r>
            <w:r w:rsidRPr="005303F7">
              <w:rPr>
                <w:rFonts w:ascii="Times New Roman" w:hAnsi="Times New Roman"/>
                <w:sz w:val="20"/>
                <w:lang w:val="sr-Cyrl-CS" w:eastAsia="en-US"/>
              </w:rPr>
              <w:t>а</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и</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годишње</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национални</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рачуни</w:t>
            </w:r>
            <w:r w:rsidR="00DF4B2D" w:rsidRPr="005303F7">
              <w:rPr>
                <w:rFonts w:ascii="Times New Roman" w:hAnsi="Times New Roman"/>
                <w:sz w:val="20"/>
                <w:lang w:val="sr-Cyrl-CS" w:eastAsia="en-US"/>
              </w:rPr>
              <w:t xml:space="preserve"> </w:t>
            </w:r>
            <w:r w:rsidR="00DF65C3" w:rsidRPr="005303F7">
              <w:rPr>
                <w:rFonts w:ascii="Times New Roman" w:hAnsi="Times New Roman"/>
                <w:sz w:val="20"/>
                <w:lang w:val="sr-Cyrl-CS" w:eastAsia="en-US"/>
              </w:rPr>
              <w:t>–</w:t>
            </w:r>
            <w:r w:rsidR="009E228C" w:rsidRPr="005303F7">
              <w:rPr>
                <w:rFonts w:ascii="Times New Roman" w:hAnsi="Times New Roman"/>
                <w:sz w:val="20"/>
                <w:lang w:val="sr-Cyrl-CS" w:eastAsia="en-US"/>
              </w:rPr>
              <w:t xml:space="preserve"> </w:t>
            </w:r>
            <w:r w:rsidRPr="005303F7">
              <w:rPr>
                <w:rFonts w:ascii="Times New Roman" w:hAnsi="Times New Roman"/>
                <w:sz w:val="20"/>
                <w:lang w:val="sr-Cyrl-CS" w:eastAsia="en-US"/>
              </w:rPr>
              <w:t>Р</w:t>
            </w:r>
            <w:r w:rsidR="00DF65C3" w:rsidRPr="005303F7">
              <w:rPr>
                <w:rFonts w:ascii="Times New Roman" w:hAnsi="Times New Roman"/>
                <w:sz w:val="20"/>
                <w:lang w:val="sr-Cyrl-CS" w:eastAsia="en-US"/>
              </w:rPr>
              <w:t>епублички завод за статистику</w:t>
            </w:r>
          </w:p>
        </w:tc>
      </w:tr>
      <w:tr w:rsidR="009E228C" w:rsidRPr="005303F7" w14:paraId="62AB5442" w14:textId="77777777" w:rsidTr="00451EB6">
        <w:trPr>
          <w:trHeight w:val="1050"/>
        </w:trPr>
        <w:tc>
          <w:tcPr>
            <w:tcW w:w="4686" w:type="dxa"/>
            <w:vMerge/>
            <w:tcBorders>
              <w:left w:val="single" w:sz="4" w:space="0" w:color="auto"/>
              <w:bottom w:val="nil"/>
              <w:right w:val="single" w:sz="4" w:space="0" w:color="auto"/>
            </w:tcBorders>
            <w:shd w:val="clear" w:color="auto" w:fill="auto"/>
            <w:vAlign w:val="center"/>
            <w:hideMark/>
          </w:tcPr>
          <w:p w14:paraId="47225457" w14:textId="77777777" w:rsidR="009E228C" w:rsidRPr="005303F7" w:rsidRDefault="009E228C" w:rsidP="00A17981">
            <w:pPr>
              <w:tabs>
                <w:tab w:val="clear" w:pos="3825"/>
              </w:tabs>
              <w:overflowPunct/>
              <w:autoSpaceDE/>
              <w:autoSpaceDN/>
              <w:adjustRightInd/>
              <w:spacing w:before="0" w:after="0"/>
              <w:jc w:val="left"/>
              <w:textAlignment w:val="auto"/>
              <w:rPr>
                <w:rFonts w:ascii="Times New Roman" w:hAnsi="Times New Roman"/>
                <w:sz w:val="20"/>
                <w:lang w:val="sr-Cyrl-CS" w:eastAsia="en-US"/>
              </w:rPr>
            </w:pPr>
          </w:p>
        </w:tc>
        <w:tc>
          <w:tcPr>
            <w:tcW w:w="2428" w:type="dxa"/>
            <w:tcBorders>
              <w:top w:val="nil"/>
              <w:left w:val="single" w:sz="4" w:space="0" w:color="auto"/>
              <w:bottom w:val="single" w:sz="4" w:space="0" w:color="auto"/>
              <w:right w:val="single" w:sz="4" w:space="0" w:color="auto"/>
            </w:tcBorders>
            <w:shd w:val="clear" w:color="auto" w:fill="auto"/>
            <w:vAlign w:val="center"/>
            <w:hideMark/>
          </w:tcPr>
          <w:p w14:paraId="0B0A72D6" w14:textId="450DB32A" w:rsidR="009E228C" w:rsidRPr="005303F7" w:rsidRDefault="00915AF8"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 xml:space="preserve">Угљенични интензитет </w:t>
            </w:r>
            <w:r w:rsidR="008D69AF" w:rsidRPr="005303F7">
              <w:rPr>
                <w:rFonts w:ascii="Times New Roman" w:hAnsi="Times New Roman"/>
                <w:sz w:val="20"/>
                <w:lang w:val="sr-Cyrl-CS" w:eastAsia="en-US"/>
              </w:rPr>
              <w:t>БДП</w:t>
            </w:r>
            <w:r w:rsidR="00C34E25" w:rsidRPr="005303F7">
              <w:rPr>
                <w:rFonts w:ascii="Times New Roman" w:hAnsi="Times New Roman"/>
                <w:sz w:val="20"/>
                <w:lang w:val="sr-Cyrl-CS" w:eastAsia="en-US"/>
              </w:rPr>
              <w:t>-</w:t>
            </w:r>
            <w:r w:rsidR="008D69AF" w:rsidRPr="005303F7">
              <w:rPr>
                <w:rFonts w:ascii="Times New Roman" w:hAnsi="Times New Roman"/>
                <w:sz w:val="20"/>
                <w:lang w:val="sr-Cyrl-CS" w:eastAsia="en-US"/>
              </w:rPr>
              <w:t>а</w:t>
            </w:r>
            <w:r w:rsidRPr="005303F7">
              <w:rPr>
                <w:rFonts w:ascii="Times New Roman" w:hAnsi="Times New Roman"/>
                <w:sz w:val="20"/>
                <w:lang w:val="sr-Cyrl-CS" w:eastAsia="en-US"/>
              </w:rPr>
              <w:t xml:space="preserve"> у вези са сектором енергетике</w:t>
            </w:r>
          </w:p>
          <w:p w14:paraId="2AE43E6E" w14:textId="5A8117B4" w:rsidR="009E228C" w:rsidRPr="005303F7" w:rsidRDefault="00D97B92" w:rsidP="00FE31D0">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tC</w:t>
            </w:r>
            <w:r w:rsidR="008D69AF" w:rsidRPr="005303F7">
              <w:rPr>
                <w:rFonts w:ascii="Times New Roman" w:hAnsi="Times New Roman"/>
                <w:sz w:val="20"/>
                <w:lang w:val="sr-Cyrl-CS" w:eastAsia="en-US"/>
              </w:rPr>
              <w:t>О</w:t>
            </w:r>
            <w:r w:rsidR="009E228C" w:rsidRPr="005303F7">
              <w:rPr>
                <w:rFonts w:ascii="Times New Roman" w:hAnsi="Times New Roman"/>
                <w:sz w:val="20"/>
                <w:vertAlign w:val="subscript"/>
                <w:lang w:val="sr-Cyrl-CS" w:eastAsia="en-US"/>
              </w:rPr>
              <w:t>2</w:t>
            </w:r>
            <w:r w:rsidR="009E228C" w:rsidRPr="005303F7">
              <w:rPr>
                <w:rFonts w:ascii="Times New Roman" w:hAnsi="Times New Roman"/>
                <w:sz w:val="20"/>
                <w:lang w:val="sr-Cyrl-CS" w:eastAsia="en-US"/>
              </w:rPr>
              <w:t>/</w:t>
            </w:r>
            <w:r w:rsidRPr="005303F7">
              <w:rPr>
                <w:rFonts w:ascii="Times New Roman" w:hAnsi="Times New Roman"/>
                <w:sz w:val="20"/>
                <w:lang w:val="sr-Cyrl-CS" w:eastAsia="en-US"/>
              </w:rPr>
              <w:t>БДП</w:t>
            </w:r>
            <w:r w:rsidRPr="005303F7" w:rsidDel="008D69AF">
              <w:rPr>
                <w:rFonts w:ascii="Times New Roman" w:hAnsi="Times New Roman"/>
                <w:sz w:val="20"/>
                <w:lang w:val="sr-Cyrl-CS" w:eastAsia="en-US"/>
              </w:rPr>
              <w:t xml:space="preserve"> </w:t>
            </w:r>
            <w:r w:rsidR="009E228C" w:rsidRPr="005303F7">
              <w:rPr>
                <w:rFonts w:ascii="Times New Roman" w:hAnsi="Times New Roman"/>
                <w:sz w:val="20"/>
                <w:lang w:val="sr-Cyrl-CS" w:eastAsia="en-US"/>
              </w:rPr>
              <w:t>(</w:t>
            </w:r>
            <w:r w:rsidR="0039680D" w:rsidRPr="005303F7">
              <w:rPr>
                <w:rFonts w:ascii="Times New Roman" w:hAnsi="Times New Roman"/>
                <w:sz w:val="20"/>
                <w:lang w:val="sr-Cyrl-CS" w:eastAsia="en-US"/>
              </w:rPr>
              <w:t>милиона</w:t>
            </w:r>
            <w:r w:rsidR="00C34E25" w:rsidRPr="005303F7">
              <w:rPr>
                <w:rFonts w:ascii="Times New Roman" w:hAnsi="Times New Roman"/>
                <w:sz w:val="20"/>
                <w:lang w:val="sr-Cyrl-CS" w:eastAsia="en-US"/>
              </w:rPr>
              <w:t xml:space="preserve"> </w:t>
            </w:r>
            <w:r w:rsidR="00915AF8" w:rsidRPr="005303F7">
              <w:rPr>
                <w:rFonts w:ascii="Times New Roman" w:hAnsi="Times New Roman"/>
                <w:sz w:val="20"/>
                <w:lang w:val="sr-Cyrl-CS" w:eastAsia="en-US"/>
              </w:rPr>
              <w:t>евра'13</w:t>
            </w:r>
            <w:r w:rsidR="009E228C" w:rsidRPr="005303F7">
              <w:rPr>
                <w:rFonts w:ascii="Times New Roman" w:hAnsi="Times New Roman"/>
                <w:sz w:val="20"/>
                <w:lang w:val="sr-Cyrl-CS" w:eastAsia="en-US"/>
              </w:rPr>
              <w:t>)</w:t>
            </w:r>
          </w:p>
        </w:tc>
        <w:tc>
          <w:tcPr>
            <w:tcW w:w="1158" w:type="dxa"/>
            <w:tcBorders>
              <w:top w:val="single" w:sz="4" w:space="0" w:color="auto"/>
              <w:left w:val="nil"/>
              <w:bottom w:val="nil"/>
              <w:right w:val="single" w:sz="4" w:space="0" w:color="auto"/>
            </w:tcBorders>
            <w:shd w:val="clear" w:color="auto" w:fill="auto"/>
            <w:vAlign w:val="center"/>
            <w:hideMark/>
          </w:tcPr>
          <w:p w14:paraId="113BCEC4"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1524,3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7EFA6"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576,7</w:t>
            </w:r>
          </w:p>
        </w:tc>
        <w:tc>
          <w:tcPr>
            <w:tcW w:w="939" w:type="dxa"/>
            <w:tcBorders>
              <w:top w:val="single" w:sz="4" w:space="0" w:color="auto"/>
              <w:left w:val="single" w:sz="4" w:space="0" w:color="auto"/>
              <w:bottom w:val="single" w:sz="4" w:space="0" w:color="auto"/>
              <w:right w:val="nil"/>
            </w:tcBorders>
            <w:shd w:val="clear" w:color="auto" w:fill="auto"/>
            <w:vAlign w:val="center"/>
            <w:hideMark/>
          </w:tcPr>
          <w:p w14:paraId="1A3180DC"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96,1</w:t>
            </w:r>
          </w:p>
        </w:tc>
        <w:tc>
          <w:tcPr>
            <w:tcW w:w="356" w:type="dxa"/>
            <w:tcBorders>
              <w:top w:val="single" w:sz="4" w:space="0" w:color="auto"/>
              <w:left w:val="nil"/>
              <w:bottom w:val="single" w:sz="4" w:space="0" w:color="auto"/>
              <w:right w:val="nil"/>
            </w:tcBorders>
            <w:shd w:val="clear" w:color="auto" w:fill="auto"/>
            <w:vAlign w:val="center"/>
            <w:hideMark/>
          </w:tcPr>
          <w:p w14:paraId="78292B52"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w:t>
            </w:r>
          </w:p>
        </w:tc>
        <w:tc>
          <w:tcPr>
            <w:tcW w:w="995" w:type="dxa"/>
            <w:tcBorders>
              <w:top w:val="single" w:sz="4" w:space="0" w:color="auto"/>
              <w:left w:val="nil"/>
              <w:bottom w:val="single" w:sz="4" w:space="0" w:color="auto"/>
              <w:right w:val="nil"/>
            </w:tcBorders>
            <w:shd w:val="clear" w:color="auto" w:fill="auto"/>
            <w:vAlign w:val="center"/>
            <w:hideMark/>
          </w:tcPr>
          <w:p w14:paraId="5E6FD9DB"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49,4</w:t>
            </w:r>
          </w:p>
        </w:tc>
        <w:tc>
          <w:tcPr>
            <w:tcW w:w="2840" w:type="dxa"/>
            <w:tcBorders>
              <w:top w:val="nil"/>
              <w:left w:val="single" w:sz="4" w:space="0" w:color="auto"/>
              <w:bottom w:val="single" w:sz="4" w:space="0" w:color="auto"/>
              <w:right w:val="single" w:sz="4" w:space="0" w:color="auto"/>
            </w:tcBorders>
            <w:shd w:val="clear" w:color="auto" w:fill="auto"/>
            <w:vAlign w:val="center"/>
            <w:hideMark/>
          </w:tcPr>
          <w:p w14:paraId="04058426" w14:textId="06A8DC5B" w:rsidR="009E228C" w:rsidRPr="005303F7" w:rsidRDefault="008D69AF" w:rsidP="00DF65C3">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Извештај</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Националног</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инвентара</w:t>
            </w:r>
            <w:r w:rsidR="00DF4B2D"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GHG</w:t>
            </w:r>
            <w:r w:rsidR="009E228C" w:rsidRPr="005303F7">
              <w:rPr>
                <w:rFonts w:ascii="Times New Roman" w:hAnsi="Times New Roman"/>
                <w:sz w:val="20"/>
                <w:lang w:val="sr-Cyrl-CS" w:eastAsia="en-US"/>
              </w:rPr>
              <w:t xml:space="preserve"> </w:t>
            </w:r>
            <w:r w:rsidR="009E228C" w:rsidRPr="005303F7">
              <w:rPr>
                <w:rFonts w:ascii="Times New Roman" w:hAnsi="Times New Roman"/>
                <w:sz w:val="20"/>
                <w:lang w:val="sr-Cyrl-CS" w:eastAsia="en-US"/>
              </w:rPr>
              <w:br/>
              <w:t>(</w:t>
            </w:r>
            <w:r w:rsidRPr="005303F7">
              <w:rPr>
                <w:rFonts w:ascii="Times New Roman" w:hAnsi="Times New Roman"/>
                <w:sz w:val="20"/>
                <w:lang w:val="sr-Cyrl-CS" w:eastAsia="en-US"/>
              </w:rPr>
              <w:t>категорија</w:t>
            </w:r>
            <w:r w:rsidR="00DF4B2D"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IPCC</w:t>
            </w:r>
            <w:r w:rsidR="009E228C" w:rsidRPr="005303F7">
              <w:rPr>
                <w:rFonts w:ascii="Times New Roman" w:hAnsi="Times New Roman"/>
                <w:sz w:val="20"/>
                <w:lang w:val="sr-Cyrl-CS" w:eastAsia="en-US"/>
              </w:rPr>
              <w:t xml:space="preserve"> - 1</w:t>
            </w:r>
            <w:r w:rsidRPr="005303F7">
              <w:rPr>
                <w:rFonts w:ascii="Times New Roman" w:hAnsi="Times New Roman"/>
                <w:sz w:val="20"/>
                <w:lang w:val="sr-Cyrl-CS" w:eastAsia="en-US"/>
              </w:rPr>
              <w:t>А</w:t>
            </w:r>
            <w:r w:rsidR="009E228C"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C</w:t>
            </w:r>
            <w:r w:rsidRPr="005303F7">
              <w:rPr>
                <w:rFonts w:ascii="Times New Roman" w:hAnsi="Times New Roman"/>
                <w:sz w:val="20"/>
                <w:lang w:val="sr-Cyrl-CS" w:eastAsia="en-US"/>
              </w:rPr>
              <w:t>О</w:t>
            </w:r>
            <w:r w:rsidR="00943942" w:rsidRPr="005303F7">
              <w:rPr>
                <w:rFonts w:ascii="Times New Roman" w:hAnsi="Times New Roman"/>
                <w:sz w:val="20"/>
                <w:vertAlign w:val="subscript"/>
                <w:lang w:val="sr-Cyrl-CS" w:eastAsia="en-US"/>
              </w:rPr>
              <w:t>2</w:t>
            </w:r>
            <w:r w:rsidR="009E228C" w:rsidRPr="005303F7">
              <w:rPr>
                <w:rFonts w:ascii="Times New Roman" w:hAnsi="Times New Roman"/>
                <w:sz w:val="20"/>
                <w:lang w:val="sr-Cyrl-CS" w:eastAsia="en-US"/>
              </w:rPr>
              <w:t xml:space="preserve">) </w:t>
            </w:r>
            <w:r w:rsidRPr="005303F7">
              <w:rPr>
                <w:rFonts w:ascii="Times New Roman" w:hAnsi="Times New Roman"/>
                <w:sz w:val="20"/>
                <w:lang w:val="sr-Cyrl-CS" w:eastAsia="en-US"/>
              </w:rPr>
              <w:t>и</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годишње</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национални</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рачуни</w:t>
            </w:r>
            <w:r w:rsidR="00DF4B2D" w:rsidRPr="005303F7">
              <w:rPr>
                <w:rFonts w:ascii="Times New Roman" w:hAnsi="Times New Roman"/>
                <w:sz w:val="20"/>
                <w:lang w:val="sr-Cyrl-CS" w:eastAsia="en-US"/>
              </w:rPr>
              <w:t xml:space="preserve"> </w:t>
            </w:r>
            <w:r w:rsidR="00DF65C3" w:rsidRPr="005303F7">
              <w:rPr>
                <w:rFonts w:ascii="Times New Roman" w:hAnsi="Times New Roman"/>
                <w:sz w:val="20"/>
                <w:lang w:val="sr-Cyrl-CS" w:eastAsia="en-US"/>
              </w:rPr>
              <w:t>–</w:t>
            </w:r>
            <w:r w:rsidR="00DF4B2D" w:rsidRPr="005303F7">
              <w:rPr>
                <w:rFonts w:ascii="Times New Roman" w:hAnsi="Times New Roman"/>
                <w:sz w:val="20"/>
                <w:lang w:val="sr-Cyrl-CS" w:eastAsia="en-US"/>
              </w:rPr>
              <w:t xml:space="preserve"> </w:t>
            </w:r>
            <w:r w:rsidRPr="005303F7">
              <w:rPr>
                <w:rFonts w:ascii="Times New Roman" w:hAnsi="Times New Roman"/>
                <w:sz w:val="20"/>
                <w:lang w:val="sr-Cyrl-CS" w:eastAsia="en-US"/>
              </w:rPr>
              <w:t>Р</w:t>
            </w:r>
            <w:r w:rsidR="00DF65C3" w:rsidRPr="005303F7">
              <w:rPr>
                <w:rFonts w:ascii="Times New Roman" w:hAnsi="Times New Roman"/>
                <w:sz w:val="20"/>
                <w:lang w:val="sr-Cyrl-CS" w:eastAsia="en-US"/>
              </w:rPr>
              <w:t>епублички завод за статистику</w:t>
            </w:r>
          </w:p>
        </w:tc>
      </w:tr>
      <w:tr w:rsidR="009E228C" w:rsidRPr="005303F7" w14:paraId="30D66887" w14:textId="77777777" w:rsidTr="00451EB6">
        <w:trPr>
          <w:trHeight w:val="870"/>
        </w:trPr>
        <w:tc>
          <w:tcPr>
            <w:tcW w:w="4686" w:type="dxa"/>
            <w:vMerge w:val="restart"/>
            <w:tcBorders>
              <w:top w:val="single" w:sz="4" w:space="0" w:color="auto"/>
              <w:left w:val="single" w:sz="4" w:space="0" w:color="auto"/>
              <w:right w:val="single" w:sz="4" w:space="0" w:color="auto"/>
            </w:tcBorders>
            <w:shd w:val="clear" w:color="auto" w:fill="auto"/>
            <w:vAlign w:val="center"/>
            <w:hideMark/>
          </w:tcPr>
          <w:p w14:paraId="74EB7533" w14:textId="5DD90E6C" w:rsidR="00EE2062" w:rsidRPr="005303F7" w:rsidRDefault="008D69AF" w:rsidP="0062676A">
            <w:pPr>
              <w:tabs>
                <w:tab w:val="clear" w:pos="3825"/>
              </w:tabs>
              <w:overflowPunct/>
              <w:autoSpaceDE/>
              <w:autoSpaceDN/>
              <w:adjustRightInd/>
              <w:spacing w:before="0" w:after="0"/>
              <w:jc w:val="left"/>
              <w:textAlignment w:val="auto"/>
              <w:rPr>
                <w:rFonts w:ascii="Times New Roman" w:hAnsi="Times New Roman"/>
                <w:b/>
                <w:bCs/>
                <w:sz w:val="20"/>
                <w:lang w:val="sr-Cyrl-CS" w:eastAsia="en-US"/>
              </w:rPr>
            </w:pPr>
            <w:r w:rsidRPr="005303F7">
              <w:rPr>
                <w:rFonts w:ascii="Times New Roman" w:hAnsi="Times New Roman"/>
                <w:b/>
                <w:bCs/>
                <w:sz w:val="20"/>
                <w:lang w:val="sr-Cyrl-CS" w:eastAsia="en-US"/>
              </w:rPr>
              <w:t>Општи</w:t>
            </w:r>
            <w:r w:rsidR="00976DD6" w:rsidRPr="005303F7">
              <w:rPr>
                <w:rFonts w:ascii="Times New Roman" w:hAnsi="Times New Roman"/>
                <w:b/>
                <w:bCs/>
                <w:sz w:val="20"/>
                <w:lang w:val="sr-Cyrl-CS" w:eastAsia="en-US"/>
              </w:rPr>
              <w:t xml:space="preserve"> </w:t>
            </w:r>
            <w:r w:rsidRPr="005303F7">
              <w:rPr>
                <w:rFonts w:ascii="Times New Roman" w:hAnsi="Times New Roman"/>
                <w:b/>
                <w:bCs/>
                <w:sz w:val="20"/>
                <w:lang w:val="sr-Cyrl-CS" w:eastAsia="en-US"/>
              </w:rPr>
              <w:t>ци</w:t>
            </w:r>
            <w:r w:rsidR="00D553BE" w:rsidRPr="005303F7">
              <w:rPr>
                <w:rFonts w:ascii="Times New Roman" w:hAnsi="Times New Roman"/>
                <w:b/>
                <w:bCs/>
                <w:sz w:val="20"/>
                <w:lang w:val="sr-Cyrl-CS" w:eastAsia="en-US"/>
              </w:rPr>
              <w:t>љ</w:t>
            </w:r>
            <w:r w:rsidR="009E228C" w:rsidRPr="005303F7">
              <w:rPr>
                <w:rFonts w:ascii="Times New Roman" w:hAnsi="Times New Roman"/>
                <w:b/>
                <w:bCs/>
                <w:sz w:val="20"/>
                <w:lang w:val="sr-Cyrl-CS" w:eastAsia="en-US"/>
              </w:rPr>
              <w:t>:</w:t>
            </w:r>
            <w:r w:rsidR="007D2DC0" w:rsidRPr="005303F7">
              <w:rPr>
                <w:rFonts w:ascii="Times New Roman" w:hAnsi="Times New Roman"/>
                <w:b/>
                <w:bCs/>
                <w:sz w:val="20"/>
                <w:lang w:val="sr-Cyrl-CS" w:eastAsia="en-US"/>
              </w:rPr>
              <w:t xml:space="preserve"> </w:t>
            </w:r>
          </w:p>
          <w:p w14:paraId="700BCCD4" w14:textId="031FDB01" w:rsidR="009E228C" w:rsidRPr="005303F7" w:rsidRDefault="008D69AF" w:rsidP="00362BD0">
            <w:pPr>
              <w:tabs>
                <w:tab w:val="clear" w:pos="3825"/>
              </w:tabs>
              <w:overflowPunct/>
              <w:autoSpaceDE/>
              <w:autoSpaceDN/>
              <w:adjustRightInd/>
              <w:spacing w:before="0" w:after="0"/>
              <w:jc w:val="left"/>
              <w:textAlignment w:val="auto"/>
              <w:rPr>
                <w:rFonts w:ascii="Times New Roman" w:hAnsi="Times New Roman"/>
                <w:b/>
                <w:bCs/>
                <w:sz w:val="20"/>
                <w:lang w:val="sr-Cyrl-CS" w:eastAsia="en-US"/>
              </w:rPr>
            </w:pPr>
            <w:r w:rsidRPr="005303F7">
              <w:rPr>
                <w:rFonts w:ascii="Times New Roman" w:hAnsi="Times New Roman"/>
                <w:sz w:val="20"/>
                <w:lang w:val="sr-Cyrl-CS"/>
              </w:rPr>
              <w:t>Смањење</w:t>
            </w:r>
            <w:r w:rsidR="0062676A" w:rsidRPr="005303F7">
              <w:rPr>
                <w:rFonts w:ascii="Times New Roman" w:hAnsi="Times New Roman"/>
                <w:sz w:val="20"/>
                <w:lang w:val="sr-Cyrl-CS"/>
              </w:rPr>
              <w:t xml:space="preserve"> </w:t>
            </w:r>
            <w:r w:rsidRPr="005303F7">
              <w:rPr>
                <w:rFonts w:ascii="Times New Roman" w:hAnsi="Times New Roman"/>
                <w:sz w:val="20"/>
                <w:lang w:val="sr-Cyrl-CS"/>
              </w:rPr>
              <w:t>националних</w:t>
            </w:r>
            <w:r w:rsidR="0062676A" w:rsidRPr="005303F7">
              <w:rPr>
                <w:rFonts w:ascii="Times New Roman" w:hAnsi="Times New Roman"/>
                <w:sz w:val="20"/>
                <w:lang w:val="sr-Cyrl-CS"/>
              </w:rPr>
              <w:t xml:space="preserve"> </w:t>
            </w:r>
            <w:r w:rsidRPr="005303F7">
              <w:rPr>
                <w:rFonts w:ascii="Times New Roman" w:hAnsi="Times New Roman"/>
                <w:sz w:val="20"/>
                <w:lang w:val="sr-Cyrl-CS"/>
              </w:rPr>
              <w:t>емисија</w:t>
            </w:r>
            <w:r w:rsidR="0062676A" w:rsidRPr="005303F7">
              <w:rPr>
                <w:rFonts w:ascii="Times New Roman" w:hAnsi="Times New Roman"/>
                <w:sz w:val="20"/>
                <w:lang w:val="sr-Cyrl-CS"/>
              </w:rPr>
              <w:t xml:space="preserve"> </w:t>
            </w:r>
            <w:r w:rsidR="00D97B92" w:rsidRPr="005303F7">
              <w:rPr>
                <w:rFonts w:ascii="Times New Roman" w:hAnsi="Times New Roman"/>
                <w:sz w:val="20"/>
                <w:lang w:val="sr-Cyrl-CS"/>
              </w:rPr>
              <w:t>GHG</w:t>
            </w:r>
            <w:r w:rsidR="0062676A" w:rsidRPr="005303F7">
              <w:rPr>
                <w:rFonts w:ascii="Times New Roman" w:hAnsi="Times New Roman"/>
                <w:sz w:val="20"/>
                <w:lang w:val="sr-Cyrl-CS"/>
              </w:rPr>
              <w:t xml:space="preserve"> (</w:t>
            </w:r>
            <w:r w:rsidRPr="005303F7">
              <w:rPr>
                <w:rFonts w:ascii="Times New Roman" w:hAnsi="Times New Roman"/>
                <w:sz w:val="20"/>
                <w:lang w:val="sr-Cyrl-CS"/>
              </w:rPr>
              <w:t>без</w:t>
            </w:r>
            <w:r w:rsidR="00EE2062" w:rsidRPr="005303F7">
              <w:rPr>
                <w:rFonts w:ascii="Times New Roman" w:hAnsi="Times New Roman"/>
                <w:sz w:val="20"/>
                <w:lang w:val="sr-Cyrl-CS"/>
              </w:rPr>
              <w:t xml:space="preserve"> </w:t>
            </w:r>
            <w:r w:rsidRPr="005303F7">
              <w:rPr>
                <w:rFonts w:ascii="Times New Roman" w:hAnsi="Times New Roman"/>
                <w:sz w:val="20"/>
                <w:lang w:val="sr-Cyrl-CS"/>
              </w:rPr>
              <w:t>сектора</w:t>
            </w:r>
            <w:r w:rsidR="00EE2062" w:rsidRPr="005303F7">
              <w:rPr>
                <w:rFonts w:ascii="Times New Roman" w:hAnsi="Times New Roman"/>
                <w:sz w:val="20"/>
                <w:lang w:val="sr-Cyrl-CS"/>
              </w:rPr>
              <w:t xml:space="preserve"> </w:t>
            </w:r>
            <w:r w:rsidR="00D97B92" w:rsidRPr="005303F7">
              <w:rPr>
                <w:rFonts w:ascii="Times New Roman" w:hAnsi="Times New Roman"/>
                <w:sz w:val="20"/>
                <w:lang w:val="sr-Cyrl-CS"/>
              </w:rPr>
              <w:t>LULUCF</w:t>
            </w:r>
            <w:r w:rsidR="0062676A" w:rsidRPr="005303F7">
              <w:rPr>
                <w:rFonts w:ascii="Times New Roman" w:hAnsi="Times New Roman"/>
                <w:sz w:val="20"/>
                <w:lang w:val="sr-Cyrl-CS"/>
              </w:rPr>
              <w:t xml:space="preserve">) </w:t>
            </w:r>
            <w:r w:rsidRPr="005303F7">
              <w:rPr>
                <w:rFonts w:ascii="Times New Roman" w:hAnsi="Times New Roman"/>
                <w:sz w:val="20"/>
                <w:lang w:val="sr-Cyrl-CS"/>
              </w:rPr>
              <w:t>за</w:t>
            </w:r>
            <w:r w:rsidR="0062676A" w:rsidRPr="005303F7">
              <w:rPr>
                <w:rFonts w:ascii="Times New Roman" w:hAnsi="Times New Roman"/>
                <w:sz w:val="20"/>
                <w:lang w:val="sr-Cyrl-CS"/>
              </w:rPr>
              <w:t xml:space="preserve"> 13% </w:t>
            </w:r>
            <w:r w:rsidRPr="005303F7">
              <w:rPr>
                <w:rFonts w:ascii="Times New Roman" w:hAnsi="Times New Roman"/>
                <w:sz w:val="20"/>
                <w:lang w:val="sr-Cyrl-CS"/>
              </w:rPr>
              <w:t>до</w:t>
            </w:r>
            <w:r w:rsidR="0062676A" w:rsidRPr="005303F7">
              <w:rPr>
                <w:rFonts w:ascii="Times New Roman" w:hAnsi="Times New Roman"/>
                <w:sz w:val="20"/>
                <w:lang w:val="sr-Cyrl-CS"/>
              </w:rPr>
              <w:t xml:space="preserve"> 2030.</w:t>
            </w:r>
            <w:r w:rsidR="00915AF8" w:rsidRPr="005303F7">
              <w:rPr>
                <w:rFonts w:ascii="Times New Roman" w:hAnsi="Times New Roman"/>
                <w:sz w:val="20"/>
                <w:lang w:val="sr-Cyrl-CS"/>
              </w:rPr>
              <w:t xml:space="preserve"> г</w:t>
            </w:r>
            <w:r w:rsidR="00362BD0" w:rsidRPr="005303F7">
              <w:rPr>
                <w:rFonts w:ascii="Times New Roman" w:hAnsi="Times New Roman"/>
                <w:sz w:val="20"/>
                <w:lang w:val="sr-Cyrl-CS"/>
              </w:rPr>
              <w:t>одине</w:t>
            </w:r>
            <w:r w:rsidR="0062676A" w:rsidRPr="005303F7">
              <w:rPr>
                <w:rFonts w:ascii="Times New Roman" w:hAnsi="Times New Roman"/>
                <w:sz w:val="20"/>
                <w:lang w:val="sr-Cyrl-CS"/>
              </w:rPr>
              <w:t xml:space="preserve">, </w:t>
            </w:r>
            <w:r w:rsidRPr="005303F7">
              <w:rPr>
                <w:rFonts w:ascii="Times New Roman" w:hAnsi="Times New Roman"/>
                <w:sz w:val="20"/>
                <w:lang w:val="sr-Cyrl-CS"/>
              </w:rPr>
              <w:t>а</w:t>
            </w:r>
            <w:r w:rsidR="0062676A" w:rsidRPr="005303F7">
              <w:rPr>
                <w:rFonts w:ascii="Times New Roman" w:hAnsi="Times New Roman"/>
                <w:sz w:val="20"/>
                <w:lang w:val="sr-Cyrl-CS"/>
              </w:rPr>
              <w:t xml:space="preserve"> </w:t>
            </w:r>
            <w:r w:rsidRPr="005303F7">
              <w:rPr>
                <w:rFonts w:ascii="Times New Roman" w:hAnsi="Times New Roman"/>
                <w:sz w:val="20"/>
                <w:lang w:val="sr-Cyrl-CS"/>
              </w:rPr>
              <w:t>најмање</w:t>
            </w:r>
            <w:r w:rsidR="0062676A" w:rsidRPr="005303F7">
              <w:rPr>
                <w:rFonts w:ascii="Times New Roman" w:hAnsi="Times New Roman"/>
                <w:sz w:val="20"/>
                <w:lang w:val="sr-Cyrl-CS"/>
              </w:rPr>
              <w:t xml:space="preserve"> 55% </w:t>
            </w:r>
            <w:r w:rsidRPr="005303F7">
              <w:rPr>
                <w:rFonts w:ascii="Times New Roman" w:hAnsi="Times New Roman"/>
                <w:sz w:val="20"/>
                <w:lang w:val="sr-Cyrl-CS"/>
              </w:rPr>
              <w:t>до</w:t>
            </w:r>
            <w:r w:rsidR="0062676A" w:rsidRPr="005303F7">
              <w:rPr>
                <w:rFonts w:ascii="Times New Roman" w:hAnsi="Times New Roman"/>
                <w:sz w:val="20"/>
                <w:lang w:val="sr-Cyrl-CS"/>
              </w:rPr>
              <w:t xml:space="preserve"> 69% </w:t>
            </w:r>
            <w:r w:rsidRPr="005303F7">
              <w:rPr>
                <w:rFonts w:ascii="Times New Roman" w:hAnsi="Times New Roman"/>
                <w:sz w:val="20"/>
                <w:lang w:val="sr-Cyrl-CS"/>
              </w:rPr>
              <w:t>до</w:t>
            </w:r>
            <w:r w:rsidR="0062676A" w:rsidRPr="005303F7">
              <w:rPr>
                <w:rFonts w:ascii="Times New Roman" w:hAnsi="Times New Roman"/>
                <w:sz w:val="20"/>
                <w:lang w:val="sr-Cyrl-CS"/>
              </w:rPr>
              <w:t xml:space="preserve"> 2050. </w:t>
            </w:r>
            <w:r w:rsidRPr="005303F7">
              <w:rPr>
                <w:rFonts w:ascii="Times New Roman" w:hAnsi="Times New Roman"/>
                <w:sz w:val="20"/>
                <w:lang w:val="sr-Cyrl-CS"/>
              </w:rPr>
              <w:t>године</w:t>
            </w:r>
            <w:r w:rsidR="0062676A" w:rsidRPr="005303F7">
              <w:rPr>
                <w:rFonts w:ascii="Times New Roman" w:hAnsi="Times New Roman"/>
                <w:sz w:val="20"/>
                <w:lang w:val="sr-Cyrl-CS"/>
              </w:rPr>
              <w:t xml:space="preserve"> </w:t>
            </w:r>
            <w:r w:rsidRPr="005303F7">
              <w:rPr>
                <w:rFonts w:ascii="Times New Roman" w:hAnsi="Times New Roman"/>
                <w:sz w:val="20"/>
                <w:lang w:val="sr-Cyrl-CS"/>
              </w:rPr>
              <w:t>у</w:t>
            </w:r>
            <w:r w:rsidR="0062676A" w:rsidRPr="005303F7">
              <w:rPr>
                <w:rFonts w:ascii="Times New Roman" w:hAnsi="Times New Roman"/>
                <w:sz w:val="20"/>
                <w:lang w:val="sr-Cyrl-CS"/>
              </w:rPr>
              <w:t xml:space="preserve"> </w:t>
            </w:r>
            <w:r w:rsidRPr="005303F7">
              <w:rPr>
                <w:rFonts w:ascii="Times New Roman" w:hAnsi="Times New Roman"/>
                <w:sz w:val="20"/>
                <w:lang w:val="sr-Cyrl-CS"/>
              </w:rPr>
              <w:t>односу</w:t>
            </w:r>
            <w:r w:rsidR="0062676A" w:rsidRPr="005303F7">
              <w:rPr>
                <w:rFonts w:ascii="Times New Roman" w:hAnsi="Times New Roman"/>
                <w:sz w:val="20"/>
                <w:lang w:val="sr-Cyrl-CS"/>
              </w:rPr>
              <w:t xml:space="preserve"> </w:t>
            </w:r>
            <w:r w:rsidRPr="005303F7">
              <w:rPr>
                <w:rFonts w:ascii="Times New Roman" w:hAnsi="Times New Roman"/>
                <w:sz w:val="20"/>
                <w:lang w:val="sr-Cyrl-CS"/>
              </w:rPr>
              <w:t>на</w:t>
            </w:r>
            <w:r w:rsidR="0062676A" w:rsidRPr="005303F7">
              <w:rPr>
                <w:rFonts w:ascii="Times New Roman" w:hAnsi="Times New Roman"/>
                <w:sz w:val="20"/>
                <w:lang w:val="sr-Cyrl-CS"/>
              </w:rPr>
              <w:t xml:space="preserve"> 2010.</w:t>
            </w:r>
          </w:p>
        </w:tc>
        <w:tc>
          <w:tcPr>
            <w:tcW w:w="2428" w:type="dxa"/>
            <w:tcBorders>
              <w:top w:val="single" w:sz="4" w:space="0" w:color="auto"/>
              <w:left w:val="nil"/>
              <w:bottom w:val="single" w:sz="4" w:space="0" w:color="auto"/>
              <w:right w:val="single" w:sz="4" w:space="0" w:color="auto"/>
            </w:tcBorders>
            <w:shd w:val="clear" w:color="auto" w:fill="auto"/>
            <w:vAlign w:val="center"/>
            <w:hideMark/>
          </w:tcPr>
          <w:p w14:paraId="0FBDD9CE" w14:textId="320FBE4C" w:rsidR="009E228C" w:rsidRPr="005303F7" w:rsidRDefault="008D69AF" w:rsidP="00C34E25">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Укупне</w:t>
            </w:r>
            <w:r w:rsidR="00C34E2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емисије</w:t>
            </w:r>
            <w:r w:rsidR="00C34E25"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GHG</w:t>
            </w:r>
            <w:r w:rsidR="009E228C" w:rsidRPr="005303F7">
              <w:rPr>
                <w:rFonts w:ascii="Times New Roman" w:hAnsi="Times New Roman"/>
                <w:sz w:val="20"/>
                <w:lang w:val="sr-Cyrl-CS" w:eastAsia="en-US"/>
              </w:rPr>
              <w:t xml:space="preserve"> (</w:t>
            </w:r>
            <w:r w:rsidRPr="005303F7">
              <w:rPr>
                <w:rFonts w:ascii="Times New Roman" w:hAnsi="Times New Roman"/>
                <w:sz w:val="20"/>
                <w:lang w:val="sr-Cyrl-CS" w:eastAsia="en-US"/>
              </w:rPr>
              <w:t>без</w:t>
            </w:r>
            <w:r w:rsidR="00C34E25"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LULUCF</w:t>
            </w:r>
            <w:r w:rsidR="009E228C" w:rsidRPr="005303F7">
              <w:rPr>
                <w:rFonts w:ascii="Times New Roman" w:hAnsi="Times New Roman"/>
                <w:sz w:val="20"/>
                <w:lang w:val="sr-Cyrl-CS" w:eastAsia="en-US"/>
              </w:rPr>
              <w:t>) (</w:t>
            </w:r>
            <w:r w:rsidR="00D97B92" w:rsidRPr="005303F7">
              <w:rPr>
                <w:rFonts w:ascii="Times New Roman" w:hAnsi="Times New Roman"/>
                <w:sz w:val="20"/>
                <w:lang w:val="sr-Cyrl-CS" w:eastAsia="en-US"/>
              </w:rPr>
              <w:t>ktC</w:t>
            </w:r>
            <w:r w:rsidRPr="005303F7">
              <w:rPr>
                <w:rFonts w:ascii="Times New Roman" w:hAnsi="Times New Roman"/>
                <w:sz w:val="20"/>
                <w:lang w:val="sr-Cyrl-CS" w:eastAsia="en-US"/>
              </w:rPr>
              <w:t>О</w:t>
            </w:r>
            <w:r w:rsidR="009E228C" w:rsidRPr="005303F7">
              <w:rPr>
                <w:rFonts w:ascii="Times New Roman" w:hAnsi="Times New Roman"/>
                <w:sz w:val="20"/>
                <w:vertAlign w:val="subscript"/>
                <w:lang w:val="sr-Cyrl-CS" w:eastAsia="en-US"/>
              </w:rPr>
              <w:t>2</w:t>
            </w:r>
            <w:r w:rsidRPr="005303F7">
              <w:rPr>
                <w:rFonts w:ascii="Times New Roman" w:hAnsi="Times New Roman"/>
                <w:sz w:val="20"/>
                <w:lang w:val="sr-Cyrl-CS" w:eastAsia="en-US"/>
              </w:rPr>
              <w:t>е</w:t>
            </w:r>
            <w:r w:rsidR="009E228C" w:rsidRPr="005303F7">
              <w:rPr>
                <w:rFonts w:ascii="Times New Roman" w:hAnsi="Times New Roman"/>
                <w:sz w:val="20"/>
                <w:lang w:val="sr-Cyrl-CS" w:eastAsia="en-US"/>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01595FD3"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61.233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DC6AA"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54.396</w:t>
            </w:r>
          </w:p>
        </w:tc>
        <w:tc>
          <w:tcPr>
            <w:tcW w:w="939" w:type="dxa"/>
            <w:tcBorders>
              <w:top w:val="single" w:sz="4" w:space="0" w:color="auto"/>
              <w:left w:val="single" w:sz="4" w:space="0" w:color="auto"/>
              <w:bottom w:val="single" w:sz="4" w:space="0" w:color="auto"/>
              <w:right w:val="nil"/>
            </w:tcBorders>
            <w:shd w:val="clear" w:color="auto" w:fill="auto"/>
            <w:vAlign w:val="center"/>
            <w:hideMark/>
          </w:tcPr>
          <w:p w14:paraId="777B5D9E"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28.180</w:t>
            </w:r>
          </w:p>
        </w:tc>
        <w:tc>
          <w:tcPr>
            <w:tcW w:w="356" w:type="dxa"/>
            <w:tcBorders>
              <w:top w:val="single" w:sz="4" w:space="0" w:color="auto"/>
              <w:left w:val="nil"/>
              <w:bottom w:val="single" w:sz="4" w:space="0" w:color="auto"/>
              <w:right w:val="nil"/>
            </w:tcBorders>
            <w:shd w:val="clear" w:color="auto" w:fill="auto"/>
            <w:vAlign w:val="center"/>
            <w:hideMark/>
          </w:tcPr>
          <w:p w14:paraId="52C37759"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w:t>
            </w:r>
          </w:p>
        </w:tc>
        <w:tc>
          <w:tcPr>
            <w:tcW w:w="995" w:type="dxa"/>
            <w:tcBorders>
              <w:top w:val="single" w:sz="4" w:space="0" w:color="auto"/>
              <w:left w:val="nil"/>
              <w:bottom w:val="single" w:sz="4" w:space="0" w:color="auto"/>
              <w:right w:val="nil"/>
            </w:tcBorders>
            <w:shd w:val="clear" w:color="auto" w:fill="auto"/>
            <w:vAlign w:val="center"/>
            <w:hideMark/>
          </w:tcPr>
          <w:p w14:paraId="2FC68266"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19.366</w:t>
            </w:r>
          </w:p>
        </w:tc>
        <w:tc>
          <w:tcPr>
            <w:tcW w:w="2840" w:type="dxa"/>
            <w:tcBorders>
              <w:top w:val="nil"/>
              <w:left w:val="single" w:sz="4" w:space="0" w:color="auto"/>
              <w:bottom w:val="single" w:sz="4" w:space="0" w:color="auto"/>
              <w:right w:val="single" w:sz="4" w:space="0" w:color="auto"/>
            </w:tcBorders>
            <w:shd w:val="clear" w:color="auto" w:fill="auto"/>
            <w:vAlign w:val="center"/>
            <w:hideMark/>
          </w:tcPr>
          <w:p w14:paraId="6D856090" w14:textId="76A2A49C" w:rsidR="009E228C" w:rsidRPr="005303F7" w:rsidRDefault="008D69AF" w:rsidP="00C34E25">
            <w:pPr>
              <w:tabs>
                <w:tab w:val="clear" w:pos="3825"/>
              </w:tabs>
              <w:overflowPunct/>
              <w:autoSpaceDE/>
              <w:autoSpaceDN/>
              <w:adjustRightInd/>
              <w:spacing w:before="0" w:after="0"/>
              <w:jc w:val="center"/>
              <w:textAlignment w:val="auto"/>
              <w:rPr>
                <w:rFonts w:ascii="Times New Roman" w:hAnsi="Times New Roman"/>
                <w:sz w:val="20"/>
                <w:lang w:val="sr-Cyrl-CS" w:eastAsia="en-US"/>
              </w:rPr>
            </w:pPr>
            <w:bookmarkStart w:id="396" w:name="RANGE!K11"/>
            <w:r w:rsidRPr="005303F7">
              <w:rPr>
                <w:rFonts w:ascii="Times New Roman" w:hAnsi="Times New Roman"/>
                <w:sz w:val="20"/>
                <w:lang w:val="sr-Cyrl-CS" w:eastAsia="en-US"/>
              </w:rPr>
              <w:t>Извештај</w:t>
            </w:r>
            <w:r w:rsidR="00C34E2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Националног</w:t>
            </w:r>
            <w:r w:rsidR="00C34E2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инвентара</w:t>
            </w:r>
            <w:r w:rsidR="00C34E25" w:rsidRPr="005303F7">
              <w:rPr>
                <w:rFonts w:ascii="Times New Roman" w:hAnsi="Times New Roman"/>
                <w:sz w:val="20"/>
                <w:lang w:val="sr-Cyrl-CS" w:eastAsia="en-US"/>
              </w:rPr>
              <w:t xml:space="preserve"> </w:t>
            </w:r>
            <w:r w:rsidR="00690489" w:rsidRPr="005303F7">
              <w:rPr>
                <w:rFonts w:ascii="Times New Roman" w:hAnsi="Times New Roman"/>
                <w:sz w:val="20"/>
                <w:lang w:val="sr-Cyrl-CS" w:eastAsia="en-US"/>
              </w:rPr>
              <w:t>GHG</w:t>
            </w:r>
            <w:r w:rsidR="009E228C" w:rsidRPr="005303F7">
              <w:rPr>
                <w:rFonts w:ascii="Times New Roman" w:hAnsi="Times New Roman"/>
                <w:sz w:val="20"/>
                <w:lang w:val="sr-Cyrl-CS" w:eastAsia="en-US"/>
              </w:rPr>
              <w:br/>
              <w:t>(</w:t>
            </w:r>
            <w:r w:rsidR="00D97B92" w:rsidRPr="005303F7">
              <w:rPr>
                <w:rFonts w:ascii="Times New Roman" w:hAnsi="Times New Roman"/>
                <w:sz w:val="20"/>
                <w:lang w:val="sr-Cyrl-CS" w:eastAsia="en-US"/>
              </w:rPr>
              <w:t>CRF</w:t>
            </w:r>
            <w:r w:rsidR="009F229E" w:rsidRPr="005303F7">
              <w:rPr>
                <w:rStyle w:val="FootnoteReference"/>
                <w:rFonts w:ascii="Times New Roman" w:hAnsi="Times New Roman"/>
                <w:lang w:val="sr-Cyrl-CS" w:eastAsia="en-US"/>
              </w:rPr>
              <w:footnoteReference w:id="64"/>
            </w:r>
            <w:r w:rsidR="009E228C" w:rsidRPr="005303F7">
              <w:rPr>
                <w:rFonts w:ascii="Times New Roman" w:hAnsi="Times New Roman"/>
                <w:sz w:val="20"/>
                <w:lang w:val="sr-Cyrl-CS" w:eastAsia="en-US"/>
              </w:rPr>
              <w:t>_</w:t>
            </w:r>
            <w:r w:rsidRPr="005303F7">
              <w:rPr>
                <w:rFonts w:ascii="Times New Roman" w:hAnsi="Times New Roman"/>
                <w:sz w:val="20"/>
                <w:lang w:val="sr-Cyrl-CS" w:eastAsia="en-US"/>
              </w:rPr>
              <w:t>емисије</w:t>
            </w:r>
            <w:r w:rsidR="00C34E2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без</w:t>
            </w:r>
            <w:r w:rsidR="009E228C" w:rsidRPr="005303F7">
              <w:rPr>
                <w:rFonts w:ascii="Times New Roman" w:hAnsi="Times New Roman"/>
                <w:sz w:val="20"/>
                <w:lang w:val="sr-Cyrl-CS" w:eastAsia="en-US"/>
              </w:rPr>
              <w:t xml:space="preserve"> </w:t>
            </w:r>
            <w:r w:rsidR="00690489" w:rsidRPr="005303F7">
              <w:rPr>
                <w:rFonts w:ascii="Times New Roman" w:hAnsi="Times New Roman"/>
                <w:sz w:val="20"/>
                <w:lang w:val="sr-Cyrl-CS" w:eastAsia="en-US"/>
              </w:rPr>
              <w:t>LULUCF</w:t>
            </w:r>
            <w:r w:rsidR="009E228C" w:rsidRPr="005303F7">
              <w:rPr>
                <w:rFonts w:ascii="Times New Roman" w:hAnsi="Times New Roman"/>
                <w:sz w:val="20"/>
                <w:lang w:val="sr-Cyrl-CS" w:eastAsia="en-US"/>
              </w:rPr>
              <w:t>)</w:t>
            </w:r>
            <w:bookmarkEnd w:id="396"/>
          </w:p>
        </w:tc>
      </w:tr>
      <w:tr w:rsidR="009E228C" w:rsidRPr="005303F7" w14:paraId="53ACB2DD" w14:textId="77777777" w:rsidTr="00451EB6">
        <w:trPr>
          <w:trHeight w:val="737"/>
        </w:trPr>
        <w:tc>
          <w:tcPr>
            <w:tcW w:w="4686" w:type="dxa"/>
            <w:vMerge/>
            <w:tcBorders>
              <w:left w:val="single" w:sz="4" w:space="0" w:color="auto"/>
              <w:bottom w:val="single" w:sz="4" w:space="0" w:color="auto"/>
              <w:right w:val="single" w:sz="4" w:space="0" w:color="auto"/>
            </w:tcBorders>
            <w:shd w:val="clear" w:color="auto" w:fill="auto"/>
            <w:vAlign w:val="center"/>
            <w:hideMark/>
          </w:tcPr>
          <w:p w14:paraId="2C74D265" w14:textId="77777777" w:rsidR="009E228C" w:rsidRPr="005303F7" w:rsidRDefault="009E228C" w:rsidP="00A17981">
            <w:pPr>
              <w:tabs>
                <w:tab w:val="clear" w:pos="3825"/>
              </w:tabs>
              <w:overflowPunct/>
              <w:autoSpaceDE/>
              <w:autoSpaceDN/>
              <w:adjustRightInd/>
              <w:spacing w:before="0" w:after="0"/>
              <w:jc w:val="left"/>
              <w:textAlignment w:val="auto"/>
              <w:rPr>
                <w:rFonts w:ascii="Times New Roman" w:hAnsi="Times New Roman"/>
                <w:sz w:val="20"/>
                <w:lang w:val="sr-Cyrl-CS" w:eastAsia="en-US"/>
              </w:rPr>
            </w:pPr>
          </w:p>
        </w:tc>
        <w:tc>
          <w:tcPr>
            <w:tcW w:w="2428" w:type="dxa"/>
            <w:tcBorders>
              <w:top w:val="single" w:sz="4" w:space="0" w:color="auto"/>
              <w:left w:val="nil"/>
              <w:bottom w:val="single" w:sz="4" w:space="0" w:color="auto"/>
              <w:right w:val="single" w:sz="4" w:space="0" w:color="auto"/>
            </w:tcBorders>
            <w:shd w:val="clear" w:color="auto" w:fill="auto"/>
            <w:vAlign w:val="center"/>
            <w:hideMark/>
          </w:tcPr>
          <w:p w14:paraId="18B82DE2" w14:textId="11F72EEE" w:rsidR="009E228C" w:rsidRPr="005303F7" w:rsidRDefault="009E228C" w:rsidP="00C34E25">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w:t>
            </w:r>
            <w:r w:rsidR="008D69AF" w:rsidRPr="005303F7">
              <w:rPr>
                <w:rFonts w:ascii="Times New Roman" w:hAnsi="Times New Roman"/>
                <w:sz w:val="20"/>
                <w:lang w:val="sr-Cyrl-CS" w:eastAsia="en-US"/>
              </w:rPr>
              <w:t>Укупне</w:t>
            </w:r>
            <w:r w:rsidR="00C34E25" w:rsidRPr="005303F7">
              <w:rPr>
                <w:rFonts w:ascii="Times New Roman" w:hAnsi="Times New Roman"/>
                <w:sz w:val="20"/>
                <w:lang w:val="sr-Cyrl-CS" w:eastAsia="en-US"/>
              </w:rPr>
              <w:t xml:space="preserve"> </w:t>
            </w:r>
            <w:r w:rsidR="008D69AF" w:rsidRPr="005303F7">
              <w:rPr>
                <w:rFonts w:ascii="Times New Roman" w:hAnsi="Times New Roman"/>
                <w:sz w:val="20"/>
                <w:lang w:val="sr-Cyrl-CS" w:eastAsia="en-US"/>
              </w:rPr>
              <w:t>емисије</w:t>
            </w:r>
            <w:r w:rsidR="00C34E25"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GHG</w:t>
            </w:r>
            <w:r w:rsidRPr="005303F7">
              <w:rPr>
                <w:rFonts w:ascii="Times New Roman" w:hAnsi="Times New Roman"/>
                <w:sz w:val="20"/>
                <w:lang w:val="sr-Cyrl-CS" w:eastAsia="en-US"/>
              </w:rPr>
              <w:t xml:space="preserve"> (</w:t>
            </w:r>
            <w:r w:rsidR="008D69AF" w:rsidRPr="005303F7">
              <w:rPr>
                <w:rFonts w:ascii="Times New Roman" w:hAnsi="Times New Roman"/>
                <w:sz w:val="20"/>
                <w:lang w:val="sr-Cyrl-CS" w:eastAsia="en-US"/>
              </w:rPr>
              <w:t>са</w:t>
            </w:r>
            <w:r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LULUCF</w:t>
            </w:r>
            <w:r w:rsidRPr="005303F7">
              <w:rPr>
                <w:rFonts w:ascii="Times New Roman" w:hAnsi="Times New Roman"/>
                <w:sz w:val="20"/>
                <w:lang w:val="sr-Cyrl-CS" w:eastAsia="en-US"/>
              </w:rPr>
              <w:t>) (</w:t>
            </w:r>
            <w:r w:rsidR="00D97B92" w:rsidRPr="005303F7">
              <w:rPr>
                <w:rFonts w:ascii="Times New Roman" w:hAnsi="Times New Roman"/>
                <w:sz w:val="20"/>
                <w:lang w:val="sr-Cyrl-CS" w:eastAsia="en-US"/>
              </w:rPr>
              <w:t>ktC</w:t>
            </w:r>
            <w:r w:rsidR="008D69AF" w:rsidRPr="005303F7">
              <w:rPr>
                <w:rFonts w:ascii="Times New Roman" w:hAnsi="Times New Roman"/>
                <w:sz w:val="20"/>
                <w:lang w:val="sr-Cyrl-CS" w:eastAsia="en-US"/>
              </w:rPr>
              <w:t>О</w:t>
            </w:r>
            <w:r w:rsidRPr="005303F7">
              <w:rPr>
                <w:rFonts w:ascii="Times New Roman" w:hAnsi="Times New Roman"/>
                <w:sz w:val="20"/>
                <w:vertAlign w:val="subscript"/>
                <w:lang w:val="sr-Cyrl-CS" w:eastAsia="en-US"/>
              </w:rPr>
              <w:t>2</w:t>
            </w:r>
            <w:r w:rsidR="008D69AF" w:rsidRPr="005303F7">
              <w:rPr>
                <w:rFonts w:ascii="Times New Roman" w:hAnsi="Times New Roman"/>
                <w:sz w:val="20"/>
                <w:lang w:val="sr-Cyrl-CS" w:eastAsia="en-US"/>
              </w:rPr>
              <w:t>е</w:t>
            </w:r>
            <w:r w:rsidRPr="005303F7">
              <w:rPr>
                <w:rFonts w:ascii="Times New Roman" w:hAnsi="Times New Roman"/>
                <w:sz w:val="20"/>
                <w:lang w:val="sr-Cyrl-CS" w:eastAsia="en-US"/>
              </w:rPr>
              <w:t>)]</w:t>
            </w:r>
          </w:p>
        </w:tc>
        <w:tc>
          <w:tcPr>
            <w:tcW w:w="1158" w:type="dxa"/>
            <w:tcBorders>
              <w:top w:val="nil"/>
              <w:left w:val="nil"/>
              <w:bottom w:val="single" w:sz="4" w:space="0" w:color="auto"/>
              <w:right w:val="single" w:sz="4" w:space="0" w:color="auto"/>
            </w:tcBorders>
            <w:shd w:val="clear" w:color="auto" w:fill="auto"/>
            <w:vAlign w:val="center"/>
            <w:hideMark/>
          </w:tcPr>
          <w:p w14:paraId="6CC4EBA0"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[56.700]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03FA0"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[47.820]</w:t>
            </w:r>
          </w:p>
        </w:tc>
        <w:tc>
          <w:tcPr>
            <w:tcW w:w="939" w:type="dxa"/>
            <w:tcBorders>
              <w:top w:val="single" w:sz="4" w:space="0" w:color="auto"/>
              <w:left w:val="single" w:sz="4" w:space="0" w:color="auto"/>
              <w:bottom w:val="single" w:sz="4" w:space="0" w:color="auto"/>
              <w:right w:val="nil"/>
            </w:tcBorders>
            <w:shd w:val="clear" w:color="auto" w:fill="auto"/>
            <w:vAlign w:val="center"/>
            <w:hideMark/>
          </w:tcPr>
          <w:p w14:paraId="0DE5C98D"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[23.766]</w:t>
            </w:r>
          </w:p>
        </w:tc>
        <w:tc>
          <w:tcPr>
            <w:tcW w:w="356" w:type="dxa"/>
            <w:tcBorders>
              <w:top w:val="single" w:sz="4" w:space="0" w:color="auto"/>
              <w:left w:val="nil"/>
              <w:bottom w:val="single" w:sz="4" w:space="0" w:color="auto"/>
              <w:right w:val="nil"/>
            </w:tcBorders>
            <w:shd w:val="clear" w:color="auto" w:fill="auto"/>
            <w:vAlign w:val="center"/>
            <w:hideMark/>
          </w:tcPr>
          <w:p w14:paraId="4371D354"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w:t>
            </w:r>
          </w:p>
        </w:tc>
        <w:tc>
          <w:tcPr>
            <w:tcW w:w="995" w:type="dxa"/>
            <w:tcBorders>
              <w:top w:val="single" w:sz="4" w:space="0" w:color="auto"/>
              <w:left w:val="nil"/>
              <w:bottom w:val="single" w:sz="4" w:space="0" w:color="auto"/>
              <w:right w:val="nil"/>
            </w:tcBorders>
            <w:shd w:val="clear" w:color="auto" w:fill="auto"/>
            <w:vAlign w:val="center"/>
            <w:hideMark/>
          </w:tcPr>
          <w:p w14:paraId="00C524B2"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[6.284]</w:t>
            </w:r>
          </w:p>
        </w:tc>
        <w:tc>
          <w:tcPr>
            <w:tcW w:w="2840" w:type="dxa"/>
            <w:tcBorders>
              <w:top w:val="nil"/>
              <w:left w:val="single" w:sz="4" w:space="0" w:color="auto"/>
              <w:bottom w:val="single" w:sz="4" w:space="0" w:color="auto"/>
              <w:right w:val="single" w:sz="4" w:space="0" w:color="auto"/>
            </w:tcBorders>
            <w:shd w:val="clear" w:color="auto" w:fill="auto"/>
            <w:vAlign w:val="center"/>
            <w:hideMark/>
          </w:tcPr>
          <w:p w14:paraId="261D78B6" w14:textId="28BF9178" w:rsidR="009E228C" w:rsidRPr="005303F7" w:rsidRDefault="008D69AF" w:rsidP="00C34E25">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Извештај</w:t>
            </w:r>
            <w:r w:rsidR="00C34E2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Националног</w:t>
            </w:r>
            <w:r w:rsidR="00C34E2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инвентара</w:t>
            </w:r>
            <w:r w:rsidR="00C34E25"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GHG</w:t>
            </w:r>
            <w:r w:rsidR="009E228C" w:rsidRPr="005303F7">
              <w:rPr>
                <w:rFonts w:ascii="Times New Roman" w:hAnsi="Times New Roman"/>
                <w:sz w:val="20"/>
                <w:lang w:val="sr-Cyrl-CS" w:eastAsia="en-US"/>
              </w:rPr>
              <w:br/>
              <w:t>(</w:t>
            </w:r>
            <w:r w:rsidR="00D97B92" w:rsidRPr="005303F7">
              <w:rPr>
                <w:rFonts w:ascii="Times New Roman" w:hAnsi="Times New Roman"/>
                <w:sz w:val="20"/>
                <w:lang w:val="sr-Cyrl-CS" w:eastAsia="en-US"/>
              </w:rPr>
              <w:t>CRF</w:t>
            </w:r>
            <w:r w:rsidR="009E228C" w:rsidRPr="005303F7">
              <w:rPr>
                <w:rFonts w:ascii="Times New Roman" w:hAnsi="Times New Roman"/>
                <w:sz w:val="20"/>
                <w:lang w:val="sr-Cyrl-CS" w:eastAsia="en-US"/>
              </w:rPr>
              <w:t>_</w:t>
            </w:r>
            <w:r w:rsidRPr="005303F7">
              <w:rPr>
                <w:rFonts w:ascii="Times New Roman" w:hAnsi="Times New Roman"/>
                <w:sz w:val="20"/>
                <w:lang w:val="sr-Cyrl-CS" w:eastAsia="en-US"/>
              </w:rPr>
              <w:t>емисије</w:t>
            </w:r>
            <w:r w:rsidR="00C34E25" w:rsidRPr="005303F7">
              <w:rPr>
                <w:rFonts w:ascii="Times New Roman" w:hAnsi="Times New Roman"/>
                <w:sz w:val="20"/>
                <w:lang w:val="sr-Cyrl-CS" w:eastAsia="en-US"/>
              </w:rPr>
              <w:t xml:space="preserve"> </w:t>
            </w:r>
            <w:r w:rsidRPr="005303F7">
              <w:rPr>
                <w:rFonts w:ascii="Times New Roman" w:hAnsi="Times New Roman"/>
                <w:sz w:val="20"/>
                <w:lang w:val="sr-Cyrl-CS" w:eastAsia="en-US"/>
              </w:rPr>
              <w:t>са</w:t>
            </w:r>
            <w:r w:rsidR="009E228C"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LULUCF</w:t>
            </w:r>
            <w:r w:rsidR="009E228C" w:rsidRPr="005303F7">
              <w:rPr>
                <w:rFonts w:ascii="Times New Roman" w:hAnsi="Times New Roman"/>
                <w:sz w:val="20"/>
                <w:lang w:val="sr-Cyrl-CS" w:eastAsia="en-US"/>
              </w:rPr>
              <w:t>)</w:t>
            </w:r>
          </w:p>
        </w:tc>
      </w:tr>
      <w:bookmarkEnd w:id="395"/>
      <w:tr w:rsidR="009E228C" w:rsidRPr="005303F7" w14:paraId="480F10CD" w14:textId="77777777" w:rsidTr="00451EB6">
        <w:trPr>
          <w:trHeight w:val="870"/>
        </w:trPr>
        <w:tc>
          <w:tcPr>
            <w:tcW w:w="4686" w:type="dxa"/>
            <w:vMerge w:val="restart"/>
            <w:tcBorders>
              <w:top w:val="single" w:sz="4" w:space="0" w:color="auto"/>
              <w:left w:val="single" w:sz="4" w:space="0" w:color="auto"/>
              <w:right w:val="single" w:sz="4" w:space="0" w:color="auto"/>
            </w:tcBorders>
            <w:shd w:val="clear" w:color="auto" w:fill="auto"/>
            <w:vAlign w:val="center"/>
            <w:hideMark/>
          </w:tcPr>
          <w:p w14:paraId="3F7B7E31" w14:textId="24429C49" w:rsidR="00EE2062" w:rsidRPr="005303F7" w:rsidRDefault="008D69AF" w:rsidP="006935F9">
            <w:pPr>
              <w:tabs>
                <w:tab w:val="clear" w:pos="3825"/>
              </w:tabs>
              <w:overflowPunct/>
              <w:autoSpaceDE/>
              <w:autoSpaceDN/>
              <w:adjustRightInd/>
              <w:spacing w:before="0" w:after="0"/>
              <w:jc w:val="left"/>
              <w:textAlignment w:val="auto"/>
              <w:rPr>
                <w:rFonts w:ascii="Times New Roman" w:hAnsi="Times New Roman"/>
                <w:b/>
                <w:bCs/>
                <w:sz w:val="20"/>
                <w:lang w:val="sr-Cyrl-CS" w:eastAsia="en-US"/>
              </w:rPr>
            </w:pPr>
            <w:r w:rsidRPr="005303F7">
              <w:rPr>
                <w:rFonts w:ascii="Times New Roman" w:hAnsi="Times New Roman"/>
                <w:b/>
                <w:bCs/>
                <w:sz w:val="20"/>
                <w:lang w:val="sr-Cyrl-CS" w:eastAsia="en-US"/>
              </w:rPr>
              <w:lastRenderedPageBreak/>
              <w:t>Посебан</w:t>
            </w:r>
            <w:r w:rsidR="00976DD6" w:rsidRPr="005303F7">
              <w:rPr>
                <w:rFonts w:ascii="Times New Roman" w:hAnsi="Times New Roman"/>
                <w:b/>
                <w:bCs/>
                <w:sz w:val="20"/>
                <w:lang w:val="sr-Cyrl-CS" w:eastAsia="en-US"/>
              </w:rPr>
              <w:t xml:space="preserve"> </w:t>
            </w:r>
            <w:r w:rsidRPr="005303F7">
              <w:rPr>
                <w:rFonts w:ascii="Times New Roman" w:hAnsi="Times New Roman"/>
                <w:b/>
                <w:bCs/>
                <w:sz w:val="20"/>
                <w:lang w:val="sr-Cyrl-CS" w:eastAsia="en-US"/>
              </w:rPr>
              <w:t>ци</w:t>
            </w:r>
            <w:r w:rsidR="00D553BE" w:rsidRPr="005303F7">
              <w:rPr>
                <w:rFonts w:ascii="Times New Roman" w:hAnsi="Times New Roman"/>
                <w:b/>
                <w:bCs/>
                <w:sz w:val="20"/>
                <w:lang w:val="sr-Cyrl-CS" w:eastAsia="en-US"/>
              </w:rPr>
              <w:t>љ</w:t>
            </w:r>
            <w:r w:rsidR="009E228C" w:rsidRPr="005303F7">
              <w:rPr>
                <w:rFonts w:ascii="Times New Roman" w:hAnsi="Times New Roman"/>
                <w:b/>
                <w:bCs/>
                <w:sz w:val="20"/>
                <w:lang w:val="sr-Cyrl-CS" w:eastAsia="en-US"/>
              </w:rPr>
              <w:t xml:space="preserve"> 1:</w:t>
            </w:r>
            <w:r w:rsidR="007D2DC0" w:rsidRPr="005303F7">
              <w:rPr>
                <w:rFonts w:ascii="Times New Roman" w:hAnsi="Times New Roman"/>
                <w:b/>
                <w:bCs/>
                <w:sz w:val="20"/>
                <w:lang w:val="sr-Cyrl-CS" w:eastAsia="en-US"/>
              </w:rPr>
              <w:t xml:space="preserve"> </w:t>
            </w:r>
            <w:bookmarkStart w:id="398" w:name="_Hlk26975452"/>
          </w:p>
          <w:p w14:paraId="78A03D0E" w14:textId="333C124E" w:rsidR="009E228C" w:rsidRPr="005303F7" w:rsidRDefault="008D69AF" w:rsidP="006935F9">
            <w:pPr>
              <w:tabs>
                <w:tab w:val="clear" w:pos="3825"/>
              </w:tabs>
              <w:overflowPunct/>
              <w:autoSpaceDE/>
              <w:autoSpaceDN/>
              <w:adjustRightInd/>
              <w:spacing w:before="0" w:after="0"/>
              <w:jc w:val="left"/>
              <w:textAlignment w:val="auto"/>
              <w:rPr>
                <w:rFonts w:ascii="Times New Roman" w:hAnsi="Times New Roman"/>
                <w:sz w:val="20"/>
                <w:lang w:val="sr-Cyrl-CS"/>
              </w:rPr>
            </w:pPr>
            <w:r w:rsidRPr="005303F7">
              <w:rPr>
                <w:rFonts w:ascii="Times New Roman" w:hAnsi="Times New Roman"/>
                <w:sz w:val="20"/>
                <w:lang w:val="sr-Cyrl-CS"/>
              </w:rPr>
              <w:t>Смањење</w:t>
            </w:r>
            <w:r w:rsidR="00740D1E" w:rsidRPr="005303F7">
              <w:rPr>
                <w:rFonts w:ascii="Times New Roman" w:hAnsi="Times New Roman"/>
                <w:sz w:val="20"/>
                <w:lang w:val="sr-Cyrl-CS"/>
              </w:rPr>
              <w:t xml:space="preserve"> </w:t>
            </w:r>
            <w:r w:rsidRPr="005303F7">
              <w:rPr>
                <w:rFonts w:ascii="Times New Roman" w:hAnsi="Times New Roman"/>
                <w:sz w:val="20"/>
                <w:lang w:val="sr-Cyrl-CS"/>
              </w:rPr>
              <w:t>емисија</w:t>
            </w:r>
            <w:r w:rsidR="00740D1E" w:rsidRPr="005303F7">
              <w:rPr>
                <w:rFonts w:ascii="Times New Roman" w:hAnsi="Times New Roman"/>
                <w:sz w:val="20"/>
                <w:lang w:val="sr-Cyrl-CS"/>
              </w:rPr>
              <w:t xml:space="preserve"> </w:t>
            </w:r>
            <w:r w:rsidR="00D97B92" w:rsidRPr="005303F7">
              <w:rPr>
                <w:rFonts w:ascii="Times New Roman" w:hAnsi="Times New Roman"/>
                <w:sz w:val="20"/>
                <w:lang w:val="sr-Cyrl-CS"/>
              </w:rPr>
              <w:t>GHG</w:t>
            </w:r>
            <w:r w:rsidR="00740D1E" w:rsidRPr="005303F7">
              <w:rPr>
                <w:rFonts w:ascii="Times New Roman" w:hAnsi="Times New Roman"/>
                <w:sz w:val="20"/>
                <w:lang w:val="sr-Cyrl-CS"/>
              </w:rPr>
              <w:t xml:space="preserve"> </w:t>
            </w:r>
            <w:r w:rsidR="002F0934" w:rsidRPr="005303F7">
              <w:rPr>
                <w:rFonts w:ascii="Times New Roman" w:hAnsi="Times New Roman"/>
                <w:sz w:val="20"/>
                <w:lang w:val="sr-Cyrl-CS"/>
              </w:rPr>
              <w:t xml:space="preserve">које ће бити обухваћене </w:t>
            </w:r>
            <w:r w:rsidRPr="005303F7">
              <w:rPr>
                <w:rFonts w:ascii="Times New Roman" w:hAnsi="Times New Roman"/>
                <w:sz w:val="20"/>
                <w:lang w:val="sr-Cyrl-CS"/>
              </w:rPr>
              <w:t>Е</w:t>
            </w:r>
            <w:r w:rsidR="00D97B92" w:rsidRPr="005303F7">
              <w:rPr>
                <w:rFonts w:ascii="Times New Roman" w:hAnsi="Times New Roman"/>
                <w:sz w:val="20"/>
                <w:lang w:val="sr-Cyrl-CS"/>
              </w:rPr>
              <w:t>U</w:t>
            </w:r>
            <w:r w:rsidR="006935F9" w:rsidRPr="005303F7">
              <w:rPr>
                <w:rFonts w:ascii="Times New Roman" w:hAnsi="Times New Roman"/>
                <w:sz w:val="20"/>
                <w:lang w:val="sr-Cyrl-CS"/>
              </w:rPr>
              <w:t>-</w:t>
            </w:r>
            <w:r w:rsidRPr="005303F7">
              <w:rPr>
                <w:rFonts w:ascii="Times New Roman" w:hAnsi="Times New Roman"/>
                <w:sz w:val="20"/>
                <w:lang w:val="sr-Cyrl-CS"/>
              </w:rPr>
              <w:t>ЕТ</w:t>
            </w:r>
            <w:r w:rsidR="00D97B92" w:rsidRPr="005303F7">
              <w:rPr>
                <w:rFonts w:ascii="Times New Roman" w:hAnsi="Times New Roman"/>
                <w:sz w:val="20"/>
                <w:lang w:val="sr-Cyrl-CS"/>
              </w:rPr>
              <w:t>S</w:t>
            </w:r>
            <w:r w:rsidR="006935F9" w:rsidRPr="005303F7">
              <w:rPr>
                <w:rFonts w:ascii="Times New Roman" w:hAnsi="Times New Roman"/>
                <w:sz w:val="20"/>
                <w:lang w:val="sr-Cyrl-CS"/>
              </w:rPr>
              <w:t>-</w:t>
            </w:r>
            <w:r w:rsidRPr="005303F7">
              <w:rPr>
                <w:rFonts w:ascii="Times New Roman" w:hAnsi="Times New Roman"/>
                <w:sz w:val="20"/>
                <w:lang w:val="sr-Cyrl-CS"/>
              </w:rPr>
              <w:t>ом</w:t>
            </w:r>
            <w:r w:rsidR="006935F9" w:rsidRPr="005303F7">
              <w:rPr>
                <w:rFonts w:ascii="Times New Roman" w:hAnsi="Times New Roman"/>
                <w:sz w:val="20"/>
                <w:lang w:val="sr-Cyrl-CS"/>
              </w:rPr>
              <w:t xml:space="preserve"> </w:t>
            </w:r>
            <w:r w:rsidRPr="005303F7">
              <w:rPr>
                <w:rFonts w:ascii="Times New Roman" w:hAnsi="Times New Roman"/>
                <w:sz w:val="20"/>
                <w:lang w:val="sr-Cyrl-CS"/>
              </w:rPr>
              <w:t>за</w:t>
            </w:r>
            <w:r w:rsidR="006935F9" w:rsidRPr="005303F7">
              <w:rPr>
                <w:rFonts w:ascii="Times New Roman" w:hAnsi="Times New Roman"/>
                <w:sz w:val="20"/>
                <w:lang w:val="sr-Cyrl-CS"/>
              </w:rPr>
              <w:t xml:space="preserve"> 15% </w:t>
            </w:r>
            <w:r w:rsidRPr="005303F7">
              <w:rPr>
                <w:rFonts w:ascii="Times New Roman" w:hAnsi="Times New Roman"/>
                <w:sz w:val="20"/>
                <w:lang w:val="sr-Cyrl-CS"/>
              </w:rPr>
              <w:t>у</w:t>
            </w:r>
            <w:r w:rsidR="006935F9" w:rsidRPr="005303F7">
              <w:rPr>
                <w:rFonts w:ascii="Times New Roman" w:hAnsi="Times New Roman"/>
                <w:sz w:val="20"/>
                <w:lang w:val="sr-Cyrl-CS"/>
              </w:rPr>
              <w:t xml:space="preserve"> 2030.</w:t>
            </w:r>
            <w:r w:rsidR="00740D1E" w:rsidRPr="005303F7">
              <w:rPr>
                <w:rFonts w:ascii="Times New Roman" w:hAnsi="Times New Roman"/>
                <w:sz w:val="20"/>
                <w:lang w:val="sr-Cyrl-CS"/>
              </w:rPr>
              <w:t xml:space="preserve"> </w:t>
            </w:r>
            <w:r w:rsidRPr="005303F7">
              <w:rPr>
                <w:rFonts w:ascii="Times New Roman" w:hAnsi="Times New Roman"/>
                <w:sz w:val="20"/>
                <w:lang w:val="sr-Cyrl-CS"/>
              </w:rPr>
              <w:t>и</w:t>
            </w:r>
            <w:r w:rsidR="00740D1E" w:rsidRPr="005303F7">
              <w:rPr>
                <w:rFonts w:ascii="Times New Roman" w:hAnsi="Times New Roman"/>
                <w:sz w:val="20"/>
                <w:lang w:val="sr-Cyrl-CS"/>
              </w:rPr>
              <w:t xml:space="preserve"> </w:t>
            </w:r>
            <w:r w:rsidRPr="005303F7">
              <w:rPr>
                <w:rFonts w:ascii="Times New Roman" w:hAnsi="Times New Roman"/>
                <w:sz w:val="20"/>
                <w:lang w:val="sr-Cyrl-CS"/>
              </w:rPr>
              <w:t>између</w:t>
            </w:r>
            <w:r w:rsidR="006935F9" w:rsidRPr="005303F7">
              <w:rPr>
                <w:rFonts w:ascii="Times New Roman" w:hAnsi="Times New Roman"/>
                <w:sz w:val="20"/>
                <w:lang w:val="sr-Cyrl-CS"/>
              </w:rPr>
              <w:t xml:space="preserve"> </w:t>
            </w:r>
            <w:r w:rsidR="00740D1E" w:rsidRPr="005303F7">
              <w:rPr>
                <w:rFonts w:ascii="Times New Roman" w:hAnsi="Times New Roman"/>
                <w:sz w:val="20"/>
                <w:lang w:val="sr-Cyrl-CS"/>
              </w:rPr>
              <w:t xml:space="preserve">66,4% </w:t>
            </w:r>
            <w:r w:rsidRPr="005303F7">
              <w:rPr>
                <w:rFonts w:ascii="Times New Roman" w:hAnsi="Times New Roman"/>
                <w:sz w:val="20"/>
                <w:lang w:val="sr-Cyrl-CS"/>
              </w:rPr>
              <w:t>до</w:t>
            </w:r>
            <w:r w:rsidR="006935F9" w:rsidRPr="005303F7">
              <w:rPr>
                <w:rFonts w:ascii="Times New Roman" w:hAnsi="Times New Roman"/>
                <w:sz w:val="20"/>
                <w:lang w:val="sr-Cyrl-CS"/>
              </w:rPr>
              <w:t xml:space="preserve"> </w:t>
            </w:r>
            <w:r w:rsidR="00740D1E" w:rsidRPr="005303F7">
              <w:rPr>
                <w:rFonts w:ascii="Times New Roman" w:hAnsi="Times New Roman"/>
                <w:sz w:val="20"/>
                <w:lang w:val="sr-Cyrl-CS"/>
              </w:rPr>
              <w:t xml:space="preserve">76,8% </w:t>
            </w:r>
            <w:r w:rsidRPr="005303F7">
              <w:rPr>
                <w:rFonts w:ascii="Times New Roman" w:hAnsi="Times New Roman"/>
                <w:sz w:val="20"/>
                <w:lang w:val="sr-Cyrl-CS"/>
              </w:rPr>
              <w:t>до</w:t>
            </w:r>
            <w:r w:rsidR="00740D1E" w:rsidRPr="005303F7">
              <w:rPr>
                <w:rFonts w:ascii="Times New Roman" w:hAnsi="Times New Roman"/>
                <w:sz w:val="20"/>
                <w:lang w:val="sr-Cyrl-CS"/>
              </w:rPr>
              <w:t xml:space="preserve"> 2050. </w:t>
            </w:r>
            <w:r w:rsidRPr="005303F7">
              <w:rPr>
                <w:rFonts w:ascii="Times New Roman" w:hAnsi="Times New Roman"/>
                <w:sz w:val="20"/>
                <w:lang w:val="sr-Cyrl-CS"/>
              </w:rPr>
              <w:t>у</w:t>
            </w:r>
            <w:r w:rsidR="00740D1E" w:rsidRPr="005303F7">
              <w:rPr>
                <w:rFonts w:ascii="Times New Roman" w:hAnsi="Times New Roman"/>
                <w:sz w:val="20"/>
                <w:lang w:val="sr-Cyrl-CS"/>
              </w:rPr>
              <w:t xml:space="preserve"> </w:t>
            </w:r>
            <w:r w:rsidRPr="005303F7">
              <w:rPr>
                <w:rFonts w:ascii="Times New Roman" w:hAnsi="Times New Roman"/>
                <w:sz w:val="20"/>
                <w:lang w:val="sr-Cyrl-CS"/>
              </w:rPr>
              <w:t>поређењу</w:t>
            </w:r>
            <w:r w:rsidR="00740D1E" w:rsidRPr="005303F7">
              <w:rPr>
                <w:rFonts w:ascii="Times New Roman" w:hAnsi="Times New Roman"/>
                <w:sz w:val="20"/>
                <w:lang w:val="sr-Cyrl-CS"/>
              </w:rPr>
              <w:t xml:space="preserve"> </w:t>
            </w:r>
            <w:r w:rsidRPr="005303F7">
              <w:rPr>
                <w:rFonts w:ascii="Times New Roman" w:hAnsi="Times New Roman"/>
                <w:sz w:val="20"/>
                <w:lang w:val="sr-Cyrl-CS"/>
              </w:rPr>
              <w:t>са</w:t>
            </w:r>
            <w:r w:rsidR="00740D1E" w:rsidRPr="005303F7">
              <w:rPr>
                <w:rFonts w:ascii="Times New Roman" w:hAnsi="Times New Roman"/>
                <w:sz w:val="20"/>
                <w:lang w:val="sr-Cyrl-CS"/>
              </w:rPr>
              <w:t xml:space="preserve"> 2010.</w:t>
            </w:r>
            <w:r w:rsidR="006935F9" w:rsidRPr="005303F7">
              <w:rPr>
                <w:rFonts w:ascii="Times New Roman" w:hAnsi="Times New Roman"/>
                <w:sz w:val="20"/>
                <w:lang w:val="sr-Cyrl-CS"/>
              </w:rPr>
              <w:t xml:space="preserve"> </w:t>
            </w:r>
            <w:r w:rsidRPr="005303F7">
              <w:rPr>
                <w:rFonts w:ascii="Times New Roman" w:hAnsi="Times New Roman"/>
                <w:sz w:val="20"/>
                <w:lang w:val="sr-Cyrl-CS"/>
              </w:rPr>
              <w:t>годином</w:t>
            </w:r>
            <w:r w:rsidR="00740D1E" w:rsidRPr="005303F7">
              <w:rPr>
                <w:rFonts w:ascii="Times New Roman" w:hAnsi="Times New Roman"/>
                <w:sz w:val="20"/>
                <w:lang w:val="sr-Cyrl-CS"/>
              </w:rPr>
              <w:t xml:space="preserve"> </w:t>
            </w:r>
          </w:p>
          <w:bookmarkEnd w:id="398"/>
          <w:p w14:paraId="4C10F8C8" w14:textId="314E5E60" w:rsidR="00C86BF1" w:rsidRPr="005303F7" w:rsidRDefault="00C86BF1" w:rsidP="00C86BF1">
            <w:pPr>
              <w:rPr>
                <w:rFonts w:ascii="Times New Roman" w:hAnsi="Times New Roman"/>
                <w:sz w:val="20"/>
                <w:lang w:val="sr-Cyrl-CS" w:eastAsia="en-US"/>
              </w:rPr>
            </w:pPr>
          </w:p>
        </w:tc>
        <w:tc>
          <w:tcPr>
            <w:tcW w:w="2428" w:type="dxa"/>
            <w:tcBorders>
              <w:top w:val="single" w:sz="4" w:space="0" w:color="auto"/>
              <w:left w:val="nil"/>
              <w:bottom w:val="single" w:sz="4" w:space="0" w:color="auto"/>
              <w:right w:val="single" w:sz="4" w:space="0" w:color="auto"/>
            </w:tcBorders>
            <w:shd w:val="clear" w:color="auto" w:fill="auto"/>
            <w:vAlign w:val="center"/>
            <w:hideMark/>
          </w:tcPr>
          <w:p w14:paraId="4224FBE1" w14:textId="0874C764" w:rsidR="009E228C" w:rsidRPr="005303F7" w:rsidRDefault="008D69AF"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Емисије</w:t>
            </w:r>
            <w:r w:rsidR="00C34E25"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GHG</w:t>
            </w:r>
            <w:r w:rsidR="00C34E25" w:rsidRPr="005303F7">
              <w:rPr>
                <w:rFonts w:ascii="Times New Roman" w:hAnsi="Times New Roman"/>
                <w:sz w:val="20"/>
                <w:lang w:val="sr-Cyrl-CS" w:eastAsia="en-US"/>
              </w:rPr>
              <w:t xml:space="preserve"> </w:t>
            </w:r>
            <w:r w:rsidRPr="005303F7">
              <w:rPr>
                <w:rFonts w:ascii="Times New Roman" w:hAnsi="Times New Roman"/>
                <w:sz w:val="20"/>
                <w:lang w:val="sr-Cyrl-CS" w:eastAsia="en-US"/>
              </w:rPr>
              <w:t>у</w:t>
            </w:r>
            <w:r w:rsidR="00C34E25" w:rsidRPr="005303F7">
              <w:rPr>
                <w:rFonts w:ascii="Times New Roman" w:hAnsi="Times New Roman"/>
                <w:sz w:val="20"/>
                <w:lang w:val="sr-Cyrl-CS" w:eastAsia="en-US"/>
              </w:rPr>
              <w:t xml:space="preserve"> </w:t>
            </w:r>
            <w:r w:rsidRPr="005303F7">
              <w:rPr>
                <w:rFonts w:ascii="Times New Roman" w:hAnsi="Times New Roman"/>
                <w:sz w:val="20"/>
                <w:lang w:val="sr-Cyrl-CS" w:eastAsia="en-US"/>
              </w:rPr>
              <w:t>сектору</w:t>
            </w:r>
            <w:r w:rsidR="00C34E2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под</w:t>
            </w:r>
            <w:r w:rsidR="00C34E2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ЕТ</w:t>
            </w:r>
            <w:r w:rsidR="00D97B92" w:rsidRPr="005303F7">
              <w:rPr>
                <w:rFonts w:ascii="Times New Roman" w:hAnsi="Times New Roman"/>
                <w:sz w:val="20"/>
                <w:lang w:val="sr-Cyrl-CS" w:eastAsia="en-US"/>
              </w:rPr>
              <w:t>S</w:t>
            </w:r>
            <w:r w:rsidR="00C34E25" w:rsidRPr="005303F7">
              <w:rPr>
                <w:rFonts w:ascii="Times New Roman" w:hAnsi="Times New Roman"/>
                <w:sz w:val="20"/>
                <w:lang w:val="sr-Cyrl-CS" w:eastAsia="en-US"/>
              </w:rPr>
              <w:t>-</w:t>
            </w:r>
            <w:r w:rsidRPr="005303F7">
              <w:rPr>
                <w:rFonts w:ascii="Times New Roman" w:hAnsi="Times New Roman"/>
                <w:sz w:val="20"/>
                <w:lang w:val="sr-Cyrl-CS" w:eastAsia="en-US"/>
              </w:rPr>
              <w:t>ом</w:t>
            </w:r>
            <w:r w:rsidR="009E228C"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ktC</w:t>
            </w:r>
            <w:r w:rsidRPr="005303F7">
              <w:rPr>
                <w:rFonts w:ascii="Times New Roman" w:hAnsi="Times New Roman"/>
                <w:sz w:val="20"/>
                <w:lang w:val="sr-Cyrl-CS" w:eastAsia="en-US"/>
              </w:rPr>
              <w:t>О</w:t>
            </w:r>
            <w:r w:rsidR="009E228C" w:rsidRPr="005303F7">
              <w:rPr>
                <w:rFonts w:ascii="Times New Roman" w:hAnsi="Times New Roman"/>
                <w:sz w:val="20"/>
                <w:vertAlign w:val="subscript"/>
                <w:lang w:val="sr-Cyrl-CS" w:eastAsia="en-US"/>
              </w:rPr>
              <w:t>2</w:t>
            </w:r>
            <w:r w:rsidRPr="005303F7">
              <w:rPr>
                <w:rFonts w:ascii="Times New Roman" w:hAnsi="Times New Roman"/>
                <w:sz w:val="20"/>
                <w:vertAlign w:val="subscript"/>
                <w:lang w:val="sr-Cyrl-CS" w:eastAsia="en-US"/>
              </w:rPr>
              <w:t>е</w:t>
            </w:r>
            <w:r w:rsidR="009E228C" w:rsidRPr="005303F7">
              <w:rPr>
                <w:rFonts w:ascii="Times New Roman" w:hAnsi="Times New Roman"/>
                <w:sz w:val="20"/>
                <w:lang w:val="sr-Cyrl-CS" w:eastAsia="en-US"/>
              </w:rPr>
              <w:t>)</w:t>
            </w:r>
          </w:p>
        </w:tc>
        <w:tc>
          <w:tcPr>
            <w:tcW w:w="1158" w:type="dxa"/>
            <w:tcBorders>
              <w:top w:val="nil"/>
              <w:left w:val="nil"/>
              <w:bottom w:val="single" w:sz="4" w:space="0" w:color="auto"/>
              <w:right w:val="single" w:sz="4" w:space="0" w:color="auto"/>
            </w:tcBorders>
            <w:shd w:val="clear" w:color="auto" w:fill="auto"/>
            <w:vAlign w:val="center"/>
            <w:hideMark/>
          </w:tcPr>
          <w:p w14:paraId="1FDFBDCF"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40.874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16438"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34.806</w:t>
            </w:r>
          </w:p>
        </w:tc>
        <w:tc>
          <w:tcPr>
            <w:tcW w:w="939" w:type="dxa"/>
            <w:tcBorders>
              <w:top w:val="single" w:sz="4" w:space="0" w:color="auto"/>
              <w:left w:val="single" w:sz="4" w:space="0" w:color="auto"/>
              <w:bottom w:val="single" w:sz="4" w:space="0" w:color="auto"/>
              <w:right w:val="nil"/>
            </w:tcBorders>
            <w:shd w:val="clear" w:color="auto" w:fill="auto"/>
            <w:vAlign w:val="center"/>
            <w:hideMark/>
          </w:tcPr>
          <w:p w14:paraId="2FEEB720"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13.743</w:t>
            </w:r>
          </w:p>
        </w:tc>
        <w:tc>
          <w:tcPr>
            <w:tcW w:w="356" w:type="dxa"/>
            <w:tcBorders>
              <w:top w:val="single" w:sz="4" w:space="0" w:color="auto"/>
              <w:left w:val="nil"/>
              <w:bottom w:val="single" w:sz="4" w:space="0" w:color="auto"/>
              <w:right w:val="nil"/>
            </w:tcBorders>
            <w:shd w:val="clear" w:color="auto" w:fill="auto"/>
            <w:vAlign w:val="center"/>
            <w:hideMark/>
          </w:tcPr>
          <w:p w14:paraId="73F406FC"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w:t>
            </w:r>
          </w:p>
        </w:tc>
        <w:tc>
          <w:tcPr>
            <w:tcW w:w="995" w:type="dxa"/>
            <w:tcBorders>
              <w:top w:val="single" w:sz="4" w:space="0" w:color="auto"/>
              <w:left w:val="nil"/>
              <w:bottom w:val="single" w:sz="4" w:space="0" w:color="auto"/>
              <w:right w:val="nil"/>
            </w:tcBorders>
            <w:shd w:val="clear" w:color="auto" w:fill="auto"/>
            <w:vAlign w:val="center"/>
            <w:hideMark/>
          </w:tcPr>
          <w:p w14:paraId="73BCF2DF"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9.486</w:t>
            </w:r>
          </w:p>
        </w:tc>
        <w:tc>
          <w:tcPr>
            <w:tcW w:w="2840" w:type="dxa"/>
            <w:tcBorders>
              <w:top w:val="nil"/>
              <w:left w:val="single" w:sz="4" w:space="0" w:color="auto"/>
              <w:bottom w:val="single" w:sz="4" w:space="0" w:color="auto"/>
              <w:right w:val="single" w:sz="4" w:space="0" w:color="auto"/>
            </w:tcBorders>
            <w:shd w:val="clear" w:color="auto" w:fill="auto"/>
            <w:vAlign w:val="center"/>
            <w:hideMark/>
          </w:tcPr>
          <w:p w14:paraId="32BE42A2" w14:textId="33B18D17" w:rsidR="009E228C" w:rsidRPr="005303F7" w:rsidRDefault="008D69AF" w:rsidP="00C34E25">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Проверен</w:t>
            </w:r>
            <w:r w:rsidR="00C34E2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годишњи</w:t>
            </w:r>
            <w:r w:rsidR="00C34E2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извештај</w:t>
            </w:r>
            <w:r w:rsidR="00C34E2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о</w:t>
            </w:r>
            <w:r w:rsidR="00C34E2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емисијама</w:t>
            </w:r>
            <w:r w:rsidR="009E228C" w:rsidRPr="005303F7">
              <w:rPr>
                <w:rFonts w:ascii="Times New Roman" w:hAnsi="Times New Roman"/>
                <w:sz w:val="20"/>
                <w:lang w:val="sr-Cyrl-CS" w:eastAsia="en-US"/>
              </w:rPr>
              <w:t xml:space="preserve"> </w:t>
            </w:r>
            <w:r w:rsidRPr="005303F7">
              <w:rPr>
                <w:rFonts w:ascii="Times New Roman" w:hAnsi="Times New Roman"/>
                <w:sz w:val="20"/>
                <w:lang w:val="sr-Cyrl-CS" w:eastAsia="en-US"/>
              </w:rPr>
              <w:t>ЕТ</w:t>
            </w:r>
            <w:r w:rsidR="00D97B92" w:rsidRPr="005303F7">
              <w:rPr>
                <w:rFonts w:ascii="Times New Roman" w:hAnsi="Times New Roman"/>
                <w:sz w:val="20"/>
                <w:lang w:val="sr-Cyrl-CS" w:eastAsia="en-US"/>
              </w:rPr>
              <w:t>S</w:t>
            </w:r>
            <w:r w:rsidR="009E228C" w:rsidRPr="005303F7">
              <w:rPr>
                <w:rFonts w:ascii="Times New Roman" w:hAnsi="Times New Roman"/>
                <w:sz w:val="20"/>
                <w:lang w:val="sr-Cyrl-CS" w:eastAsia="en-US"/>
              </w:rPr>
              <w:t xml:space="preserve"> (</w:t>
            </w:r>
            <w:r w:rsidRPr="005303F7">
              <w:rPr>
                <w:rFonts w:ascii="Times New Roman" w:hAnsi="Times New Roman"/>
                <w:sz w:val="20"/>
                <w:lang w:val="sr-Cyrl-CS" w:eastAsia="en-US"/>
              </w:rPr>
              <w:t>Агенција</w:t>
            </w:r>
            <w:r w:rsidR="002D1F70" w:rsidRPr="005303F7">
              <w:rPr>
                <w:rFonts w:ascii="Times New Roman" w:hAnsi="Times New Roman"/>
                <w:sz w:val="20"/>
                <w:lang w:val="sr-Cyrl-CS" w:eastAsia="en-US"/>
              </w:rPr>
              <w:t xml:space="preserve"> </w:t>
            </w:r>
            <w:r w:rsidRPr="005303F7">
              <w:rPr>
                <w:rFonts w:ascii="Times New Roman" w:hAnsi="Times New Roman"/>
                <w:sz w:val="20"/>
                <w:lang w:val="sr-Cyrl-CS" w:eastAsia="en-US"/>
              </w:rPr>
              <w:t>за</w:t>
            </w:r>
            <w:r w:rsidR="002D1F70" w:rsidRPr="005303F7">
              <w:rPr>
                <w:rFonts w:ascii="Times New Roman" w:hAnsi="Times New Roman"/>
                <w:sz w:val="20"/>
                <w:lang w:val="sr-Cyrl-CS" w:eastAsia="en-US"/>
              </w:rPr>
              <w:t xml:space="preserve"> </w:t>
            </w:r>
            <w:r w:rsidRPr="005303F7">
              <w:rPr>
                <w:rFonts w:ascii="Times New Roman" w:hAnsi="Times New Roman"/>
                <w:sz w:val="20"/>
                <w:lang w:val="sr-Cyrl-CS" w:eastAsia="en-US"/>
              </w:rPr>
              <w:t>заштиту</w:t>
            </w:r>
            <w:r w:rsidR="002D1F70" w:rsidRPr="005303F7">
              <w:rPr>
                <w:rFonts w:ascii="Times New Roman" w:hAnsi="Times New Roman"/>
                <w:sz w:val="20"/>
                <w:lang w:val="sr-Cyrl-CS" w:eastAsia="en-US"/>
              </w:rPr>
              <w:t xml:space="preserve"> </w:t>
            </w:r>
            <w:r w:rsidRPr="005303F7">
              <w:rPr>
                <w:rFonts w:ascii="Times New Roman" w:hAnsi="Times New Roman"/>
                <w:sz w:val="20"/>
                <w:lang w:val="sr-Cyrl-CS" w:eastAsia="en-US"/>
              </w:rPr>
              <w:t>животне</w:t>
            </w:r>
            <w:r w:rsidR="002D1F70" w:rsidRPr="005303F7">
              <w:rPr>
                <w:rFonts w:ascii="Times New Roman" w:hAnsi="Times New Roman"/>
                <w:sz w:val="20"/>
                <w:lang w:val="sr-Cyrl-CS" w:eastAsia="en-US"/>
              </w:rPr>
              <w:t xml:space="preserve"> </w:t>
            </w:r>
            <w:r w:rsidRPr="005303F7">
              <w:rPr>
                <w:rFonts w:ascii="Times New Roman" w:hAnsi="Times New Roman"/>
                <w:sz w:val="20"/>
                <w:lang w:val="sr-Cyrl-CS" w:eastAsia="en-US"/>
              </w:rPr>
              <w:t>средине</w:t>
            </w:r>
            <w:r w:rsidR="009E228C" w:rsidRPr="005303F7">
              <w:rPr>
                <w:rFonts w:ascii="Times New Roman" w:hAnsi="Times New Roman"/>
                <w:sz w:val="20"/>
                <w:lang w:val="sr-Cyrl-CS" w:eastAsia="en-US"/>
              </w:rPr>
              <w:t>)</w:t>
            </w:r>
          </w:p>
        </w:tc>
      </w:tr>
      <w:tr w:rsidR="009E228C" w:rsidRPr="005303F7" w14:paraId="59A6501C" w14:textId="77777777" w:rsidTr="00451EB6">
        <w:trPr>
          <w:trHeight w:val="1125"/>
        </w:trPr>
        <w:tc>
          <w:tcPr>
            <w:tcW w:w="4686" w:type="dxa"/>
            <w:vMerge/>
            <w:tcBorders>
              <w:left w:val="single" w:sz="4" w:space="0" w:color="auto"/>
              <w:bottom w:val="nil"/>
              <w:right w:val="single" w:sz="4" w:space="0" w:color="auto"/>
            </w:tcBorders>
            <w:shd w:val="clear" w:color="auto" w:fill="auto"/>
            <w:vAlign w:val="center"/>
            <w:hideMark/>
          </w:tcPr>
          <w:p w14:paraId="05045B0C" w14:textId="77777777" w:rsidR="009E228C" w:rsidRPr="005303F7" w:rsidRDefault="009E228C" w:rsidP="00A17981">
            <w:pPr>
              <w:tabs>
                <w:tab w:val="clear" w:pos="3825"/>
              </w:tabs>
              <w:overflowPunct/>
              <w:autoSpaceDE/>
              <w:autoSpaceDN/>
              <w:adjustRightInd/>
              <w:spacing w:before="0" w:after="0"/>
              <w:jc w:val="left"/>
              <w:textAlignment w:val="auto"/>
              <w:rPr>
                <w:rFonts w:ascii="Times New Roman" w:hAnsi="Times New Roman"/>
                <w:sz w:val="20"/>
                <w:lang w:val="sr-Cyrl-CS" w:eastAsia="en-US"/>
              </w:rPr>
            </w:pPr>
          </w:p>
        </w:tc>
        <w:tc>
          <w:tcPr>
            <w:tcW w:w="2428" w:type="dxa"/>
            <w:tcBorders>
              <w:top w:val="single" w:sz="4" w:space="0" w:color="auto"/>
              <w:left w:val="nil"/>
              <w:bottom w:val="single" w:sz="4" w:space="0" w:color="auto"/>
              <w:right w:val="single" w:sz="4" w:space="0" w:color="auto"/>
            </w:tcBorders>
            <w:shd w:val="clear" w:color="auto" w:fill="auto"/>
            <w:vAlign w:val="center"/>
            <w:hideMark/>
          </w:tcPr>
          <w:p w14:paraId="13259548" w14:textId="6D352198" w:rsidR="009E228C" w:rsidRPr="005303F7" w:rsidRDefault="00915AF8" w:rsidP="003520A8">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Угљенични и</w:t>
            </w:r>
            <w:r w:rsidR="008D69AF" w:rsidRPr="005303F7">
              <w:rPr>
                <w:rFonts w:ascii="Times New Roman" w:hAnsi="Times New Roman"/>
                <w:sz w:val="20"/>
                <w:lang w:val="sr-Cyrl-CS" w:eastAsia="en-US"/>
              </w:rPr>
              <w:t>нтензитет</w:t>
            </w:r>
            <w:r w:rsidR="0089579E" w:rsidRPr="005303F7">
              <w:rPr>
                <w:rFonts w:ascii="Times New Roman" w:hAnsi="Times New Roman"/>
                <w:sz w:val="20"/>
                <w:lang w:val="sr-Cyrl-CS" w:eastAsia="en-US"/>
              </w:rPr>
              <w:t xml:space="preserve"> </w:t>
            </w:r>
            <w:r w:rsidR="008D69AF" w:rsidRPr="005303F7">
              <w:rPr>
                <w:rFonts w:ascii="Times New Roman" w:hAnsi="Times New Roman"/>
                <w:sz w:val="20"/>
                <w:lang w:val="sr-Cyrl-CS" w:eastAsia="en-US"/>
              </w:rPr>
              <w:t>производњ</w:t>
            </w:r>
            <w:r w:rsidRPr="005303F7">
              <w:rPr>
                <w:rFonts w:ascii="Times New Roman" w:hAnsi="Times New Roman"/>
                <w:sz w:val="20"/>
                <w:lang w:val="sr-Cyrl-CS" w:eastAsia="en-US"/>
              </w:rPr>
              <w:t>е</w:t>
            </w:r>
            <w:r w:rsidR="0089579E" w:rsidRPr="005303F7">
              <w:rPr>
                <w:rFonts w:ascii="Times New Roman" w:hAnsi="Times New Roman"/>
                <w:sz w:val="20"/>
                <w:lang w:val="sr-Cyrl-CS" w:eastAsia="en-US"/>
              </w:rPr>
              <w:t xml:space="preserve"> </w:t>
            </w:r>
            <w:r w:rsidR="008D69AF" w:rsidRPr="005303F7">
              <w:rPr>
                <w:rFonts w:ascii="Times New Roman" w:hAnsi="Times New Roman"/>
                <w:sz w:val="20"/>
                <w:lang w:val="sr-Cyrl-CS" w:eastAsia="en-US"/>
              </w:rPr>
              <w:t>електричне</w:t>
            </w:r>
            <w:r w:rsidR="0089579E" w:rsidRPr="005303F7">
              <w:rPr>
                <w:rFonts w:ascii="Times New Roman" w:hAnsi="Times New Roman"/>
                <w:sz w:val="20"/>
                <w:lang w:val="sr-Cyrl-CS" w:eastAsia="en-US"/>
              </w:rPr>
              <w:t xml:space="preserve"> </w:t>
            </w:r>
            <w:r w:rsidR="008D69AF" w:rsidRPr="005303F7">
              <w:rPr>
                <w:rFonts w:ascii="Times New Roman" w:hAnsi="Times New Roman"/>
                <w:sz w:val="20"/>
                <w:lang w:val="sr-Cyrl-CS" w:eastAsia="en-US"/>
              </w:rPr>
              <w:t>и</w:t>
            </w:r>
            <w:r w:rsidR="0089579E" w:rsidRPr="005303F7">
              <w:rPr>
                <w:rFonts w:ascii="Times New Roman" w:hAnsi="Times New Roman"/>
                <w:sz w:val="20"/>
                <w:lang w:val="sr-Cyrl-CS" w:eastAsia="en-US"/>
              </w:rPr>
              <w:t xml:space="preserve"> </w:t>
            </w:r>
            <w:r w:rsidR="008D69AF" w:rsidRPr="005303F7">
              <w:rPr>
                <w:rFonts w:ascii="Times New Roman" w:hAnsi="Times New Roman"/>
                <w:sz w:val="20"/>
                <w:lang w:val="sr-Cyrl-CS" w:eastAsia="en-US"/>
              </w:rPr>
              <w:t>топлотне</w:t>
            </w:r>
            <w:r w:rsidR="0089579E" w:rsidRPr="005303F7">
              <w:rPr>
                <w:rFonts w:ascii="Times New Roman" w:hAnsi="Times New Roman"/>
                <w:sz w:val="20"/>
                <w:lang w:val="sr-Cyrl-CS" w:eastAsia="en-US"/>
              </w:rPr>
              <w:t xml:space="preserve"> </w:t>
            </w:r>
            <w:r w:rsidR="008D69AF" w:rsidRPr="005303F7">
              <w:rPr>
                <w:rFonts w:ascii="Times New Roman" w:hAnsi="Times New Roman"/>
                <w:sz w:val="20"/>
                <w:lang w:val="sr-Cyrl-CS" w:eastAsia="en-US"/>
              </w:rPr>
              <w:t>енергије</w:t>
            </w:r>
            <w:r w:rsidR="009E228C" w:rsidRPr="005303F7">
              <w:rPr>
                <w:rFonts w:ascii="Times New Roman" w:hAnsi="Times New Roman"/>
                <w:sz w:val="20"/>
                <w:lang w:val="sr-Cyrl-CS" w:eastAsia="en-US"/>
              </w:rPr>
              <w:br/>
              <w:t>(</w:t>
            </w:r>
            <w:r w:rsidR="00D97B92" w:rsidRPr="005303F7">
              <w:rPr>
                <w:rFonts w:ascii="Times New Roman" w:hAnsi="Times New Roman"/>
                <w:sz w:val="20"/>
                <w:lang w:val="sr-Cyrl-CS" w:eastAsia="en-US"/>
              </w:rPr>
              <w:t>tC</w:t>
            </w:r>
            <w:r w:rsidR="008D69AF" w:rsidRPr="005303F7">
              <w:rPr>
                <w:rFonts w:ascii="Times New Roman" w:hAnsi="Times New Roman"/>
                <w:sz w:val="20"/>
                <w:lang w:val="sr-Cyrl-CS" w:eastAsia="en-US"/>
              </w:rPr>
              <w:t>О</w:t>
            </w:r>
            <w:r w:rsidR="009E228C" w:rsidRPr="005303F7">
              <w:rPr>
                <w:rFonts w:ascii="Times New Roman" w:hAnsi="Times New Roman"/>
                <w:sz w:val="20"/>
                <w:vertAlign w:val="subscript"/>
                <w:lang w:val="sr-Cyrl-CS" w:eastAsia="en-US"/>
              </w:rPr>
              <w:t>2</w:t>
            </w:r>
            <w:r w:rsidR="009E228C" w:rsidRPr="005303F7">
              <w:rPr>
                <w:rFonts w:ascii="Times New Roman" w:hAnsi="Times New Roman"/>
                <w:sz w:val="20"/>
                <w:lang w:val="sr-Cyrl-CS" w:eastAsia="en-US"/>
              </w:rPr>
              <w:t>/</w:t>
            </w:r>
            <w:r w:rsidR="008D69AF" w:rsidRPr="005303F7">
              <w:rPr>
                <w:rFonts w:ascii="Times New Roman" w:hAnsi="Times New Roman"/>
                <w:sz w:val="20"/>
                <w:lang w:val="sr-Cyrl-CS" w:eastAsia="en-US"/>
              </w:rPr>
              <w:t>М</w:t>
            </w:r>
            <w:r w:rsidR="009E228C" w:rsidRPr="005303F7">
              <w:rPr>
                <w:rFonts w:ascii="Times New Roman" w:hAnsi="Times New Roman"/>
                <w:sz w:val="20"/>
                <w:lang w:val="sr-Cyrl-CS" w:eastAsia="en-US"/>
              </w:rPr>
              <w:t>W</w:t>
            </w:r>
            <w:r w:rsidR="00D97B92" w:rsidRPr="005303F7">
              <w:rPr>
                <w:rFonts w:ascii="Times New Roman" w:hAnsi="Times New Roman"/>
                <w:sz w:val="20"/>
                <w:lang w:val="sr-Cyrl-CS" w:eastAsia="en-US"/>
              </w:rPr>
              <w:t>h</w:t>
            </w:r>
            <w:r w:rsidR="009E228C" w:rsidRPr="005303F7">
              <w:rPr>
                <w:rFonts w:ascii="Times New Roman" w:hAnsi="Times New Roman"/>
                <w:sz w:val="20"/>
                <w:lang w:val="sr-Cyrl-CS" w:eastAsia="en-US"/>
              </w:rPr>
              <w:t>)</w:t>
            </w:r>
          </w:p>
        </w:tc>
        <w:tc>
          <w:tcPr>
            <w:tcW w:w="1158" w:type="dxa"/>
            <w:tcBorders>
              <w:top w:val="nil"/>
              <w:left w:val="nil"/>
              <w:bottom w:val="single" w:sz="4" w:space="0" w:color="auto"/>
              <w:right w:val="single" w:sz="4" w:space="0" w:color="auto"/>
            </w:tcBorders>
            <w:shd w:val="clear" w:color="auto" w:fill="auto"/>
            <w:vAlign w:val="center"/>
            <w:hideMark/>
          </w:tcPr>
          <w:p w14:paraId="23DCAE4B"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0,73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7437E"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0,56</w:t>
            </w:r>
          </w:p>
        </w:tc>
        <w:tc>
          <w:tcPr>
            <w:tcW w:w="939" w:type="dxa"/>
            <w:tcBorders>
              <w:top w:val="single" w:sz="4" w:space="0" w:color="auto"/>
              <w:left w:val="single" w:sz="4" w:space="0" w:color="auto"/>
              <w:bottom w:val="single" w:sz="4" w:space="0" w:color="auto"/>
              <w:right w:val="nil"/>
            </w:tcBorders>
            <w:shd w:val="clear" w:color="auto" w:fill="auto"/>
            <w:vAlign w:val="center"/>
            <w:hideMark/>
          </w:tcPr>
          <w:p w14:paraId="6B852737"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0,12</w:t>
            </w:r>
          </w:p>
        </w:tc>
        <w:tc>
          <w:tcPr>
            <w:tcW w:w="356" w:type="dxa"/>
            <w:tcBorders>
              <w:top w:val="single" w:sz="4" w:space="0" w:color="auto"/>
              <w:left w:val="nil"/>
              <w:bottom w:val="single" w:sz="4" w:space="0" w:color="auto"/>
              <w:right w:val="nil"/>
            </w:tcBorders>
            <w:shd w:val="clear" w:color="auto" w:fill="auto"/>
            <w:vAlign w:val="center"/>
            <w:hideMark/>
          </w:tcPr>
          <w:p w14:paraId="6E3E5F24"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w:t>
            </w:r>
          </w:p>
        </w:tc>
        <w:tc>
          <w:tcPr>
            <w:tcW w:w="995" w:type="dxa"/>
            <w:tcBorders>
              <w:top w:val="single" w:sz="4" w:space="0" w:color="auto"/>
              <w:left w:val="nil"/>
              <w:bottom w:val="single" w:sz="4" w:space="0" w:color="auto"/>
              <w:right w:val="nil"/>
            </w:tcBorders>
            <w:shd w:val="clear" w:color="auto" w:fill="auto"/>
            <w:vAlign w:val="center"/>
            <w:hideMark/>
          </w:tcPr>
          <w:p w14:paraId="69D4D326"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0,06</w:t>
            </w:r>
          </w:p>
        </w:tc>
        <w:tc>
          <w:tcPr>
            <w:tcW w:w="2840" w:type="dxa"/>
            <w:tcBorders>
              <w:top w:val="nil"/>
              <w:left w:val="single" w:sz="4" w:space="0" w:color="auto"/>
              <w:bottom w:val="single" w:sz="4" w:space="0" w:color="auto"/>
              <w:right w:val="single" w:sz="4" w:space="0" w:color="auto"/>
            </w:tcBorders>
            <w:shd w:val="clear" w:color="auto" w:fill="auto"/>
            <w:vAlign w:val="center"/>
            <w:hideMark/>
          </w:tcPr>
          <w:p w14:paraId="24B54860" w14:textId="5AC86199" w:rsidR="009E228C" w:rsidRPr="005303F7" w:rsidRDefault="008D69AF" w:rsidP="005F3895">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Извештај</w:t>
            </w:r>
            <w:r w:rsidR="00A777C6" w:rsidRPr="005303F7">
              <w:rPr>
                <w:rFonts w:ascii="Times New Roman" w:hAnsi="Times New Roman"/>
                <w:sz w:val="20"/>
                <w:lang w:val="sr-Cyrl-CS" w:eastAsia="en-US"/>
              </w:rPr>
              <w:t xml:space="preserve"> </w:t>
            </w:r>
            <w:r w:rsidRPr="005303F7">
              <w:rPr>
                <w:rFonts w:ascii="Times New Roman" w:hAnsi="Times New Roman"/>
                <w:sz w:val="20"/>
                <w:lang w:val="sr-Cyrl-CS" w:eastAsia="en-US"/>
              </w:rPr>
              <w:t>Националног</w:t>
            </w:r>
            <w:r w:rsidR="00A777C6" w:rsidRPr="005303F7">
              <w:rPr>
                <w:rFonts w:ascii="Times New Roman" w:hAnsi="Times New Roman"/>
                <w:sz w:val="20"/>
                <w:lang w:val="sr-Cyrl-CS" w:eastAsia="en-US"/>
              </w:rPr>
              <w:t xml:space="preserve"> </w:t>
            </w:r>
            <w:r w:rsidRPr="005303F7">
              <w:rPr>
                <w:rFonts w:ascii="Times New Roman" w:hAnsi="Times New Roman"/>
                <w:sz w:val="20"/>
                <w:lang w:val="sr-Cyrl-CS" w:eastAsia="en-US"/>
              </w:rPr>
              <w:t>инвентара</w:t>
            </w:r>
            <w:r w:rsidR="00A777C6"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GHG</w:t>
            </w:r>
            <w:r w:rsidR="00A777C6" w:rsidRPr="005303F7">
              <w:rPr>
                <w:rFonts w:ascii="Times New Roman" w:hAnsi="Times New Roman"/>
                <w:sz w:val="20"/>
                <w:lang w:val="sr-Cyrl-CS" w:eastAsia="en-US"/>
              </w:rPr>
              <w:t xml:space="preserve"> </w:t>
            </w:r>
            <w:r w:rsidR="009E228C" w:rsidRPr="005303F7">
              <w:rPr>
                <w:rFonts w:ascii="Times New Roman" w:hAnsi="Times New Roman"/>
                <w:sz w:val="20"/>
                <w:lang w:val="sr-Cyrl-CS" w:eastAsia="en-US"/>
              </w:rPr>
              <w:t>/</w:t>
            </w:r>
            <w:r w:rsidR="00A777C6" w:rsidRPr="005303F7">
              <w:rPr>
                <w:rFonts w:ascii="Times New Roman" w:hAnsi="Times New Roman"/>
                <w:sz w:val="20"/>
                <w:lang w:val="sr-Cyrl-CS" w:eastAsia="en-US"/>
              </w:rPr>
              <w:t xml:space="preserve"> </w:t>
            </w:r>
            <w:r w:rsidRPr="005303F7">
              <w:rPr>
                <w:rFonts w:ascii="Times New Roman" w:hAnsi="Times New Roman"/>
                <w:sz w:val="20"/>
                <w:lang w:val="sr-Cyrl-CS" w:eastAsia="en-US"/>
              </w:rPr>
              <w:t>Енергетски</w:t>
            </w:r>
            <w:r w:rsidR="001F7E80" w:rsidRPr="005303F7">
              <w:rPr>
                <w:rFonts w:ascii="Times New Roman" w:hAnsi="Times New Roman"/>
                <w:sz w:val="20"/>
                <w:lang w:val="sr-Cyrl-CS" w:eastAsia="en-US"/>
              </w:rPr>
              <w:t xml:space="preserve"> </w:t>
            </w:r>
            <w:r w:rsidR="00903CD0" w:rsidRPr="005303F7">
              <w:rPr>
                <w:rFonts w:ascii="Times New Roman" w:hAnsi="Times New Roman"/>
                <w:sz w:val="20"/>
                <w:lang w:val="sr-Cyrl-CS" w:eastAsia="en-US"/>
              </w:rPr>
              <w:t>б</w:t>
            </w:r>
            <w:r w:rsidRPr="005303F7">
              <w:rPr>
                <w:rFonts w:ascii="Times New Roman" w:hAnsi="Times New Roman"/>
                <w:sz w:val="20"/>
                <w:lang w:val="sr-Cyrl-CS" w:eastAsia="en-US"/>
              </w:rPr>
              <w:t>иланс</w:t>
            </w:r>
            <w:r w:rsidR="009E228C" w:rsidRPr="005303F7">
              <w:rPr>
                <w:rFonts w:ascii="Times New Roman" w:hAnsi="Times New Roman"/>
                <w:sz w:val="20"/>
                <w:lang w:val="sr-Cyrl-CS" w:eastAsia="en-US"/>
              </w:rPr>
              <w:t xml:space="preserve"> </w:t>
            </w:r>
            <w:r w:rsidR="00D73AAB" w:rsidRPr="005303F7">
              <w:rPr>
                <w:rFonts w:ascii="Times New Roman" w:hAnsi="Times New Roman"/>
                <w:sz w:val="20"/>
                <w:lang w:val="sr-Cyrl-CS" w:eastAsia="en-US"/>
              </w:rPr>
              <w:t>Републике Србије</w:t>
            </w:r>
            <w:r w:rsidR="00733F76" w:rsidRPr="005303F7">
              <w:rPr>
                <w:rFonts w:ascii="Times New Roman" w:hAnsi="Times New Roman"/>
                <w:sz w:val="20"/>
                <w:lang w:val="sr-Cyrl-CS" w:eastAsia="en-US"/>
              </w:rPr>
              <w:t xml:space="preserve"> (</w:t>
            </w:r>
            <w:r w:rsidRPr="005303F7">
              <w:rPr>
                <w:rFonts w:ascii="Times New Roman" w:hAnsi="Times New Roman"/>
                <w:sz w:val="20"/>
                <w:lang w:val="sr-Cyrl-CS" w:eastAsia="en-US"/>
              </w:rPr>
              <w:t>ЕБ</w:t>
            </w:r>
            <w:r w:rsidR="00733F76" w:rsidRPr="005303F7">
              <w:rPr>
                <w:rFonts w:ascii="Times New Roman" w:hAnsi="Times New Roman"/>
                <w:sz w:val="20"/>
                <w:lang w:val="sr-Cyrl-CS" w:eastAsia="en-US"/>
              </w:rPr>
              <w:t>)</w:t>
            </w:r>
          </w:p>
        </w:tc>
      </w:tr>
      <w:tr w:rsidR="009E228C" w:rsidRPr="005303F7" w14:paraId="16F06C8E" w14:textId="77777777" w:rsidTr="00451EB6">
        <w:trPr>
          <w:trHeight w:val="888"/>
        </w:trPr>
        <w:tc>
          <w:tcPr>
            <w:tcW w:w="4686" w:type="dxa"/>
            <w:vMerge w:val="restart"/>
            <w:tcBorders>
              <w:top w:val="single" w:sz="4" w:space="0" w:color="auto"/>
              <w:left w:val="single" w:sz="4" w:space="0" w:color="auto"/>
              <w:right w:val="single" w:sz="4" w:space="0" w:color="auto"/>
            </w:tcBorders>
            <w:shd w:val="clear" w:color="auto" w:fill="auto"/>
            <w:vAlign w:val="center"/>
          </w:tcPr>
          <w:p w14:paraId="24DFDD0E" w14:textId="001D282C" w:rsidR="00EE2062" w:rsidRPr="005303F7" w:rsidRDefault="008D69AF" w:rsidP="00A17981">
            <w:pPr>
              <w:spacing w:before="0" w:after="0"/>
              <w:jc w:val="left"/>
              <w:rPr>
                <w:rFonts w:ascii="Times New Roman" w:hAnsi="Times New Roman"/>
                <w:b/>
                <w:bCs/>
                <w:sz w:val="20"/>
                <w:lang w:val="sr-Cyrl-CS" w:eastAsia="en-US"/>
              </w:rPr>
            </w:pPr>
            <w:r w:rsidRPr="005303F7">
              <w:rPr>
                <w:rFonts w:ascii="Times New Roman" w:hAnsi="Times New Roman"/>
                <w:b/>
                <w:bCs/>
                <w:sz w:val="20"/>
                <w:lang w:val="sr-Cyrl-CS" w:eastAsia="en-US"/>
              </w:rPr>
              <w:t>Посебан</w:t>
            </w:r>
            <w:r w:rsidR="00807F5C" w:rsidRPr="005303F7">
              <w:rPr>
                <w:rFonts w:ascii="Times New Roman" w:hAnsi="Times New Roman"/>
                <w:b/>
                <w:bCs/>
                <w:sz w:val="20"/>
                <w:lang w:val="sr-Cyrl-CS" w:eastAsia="en-US"/>
              </w:rPr>
              <w:t xml:space="preserve"> </w:t>
            </w:r>
            <w:r w:rsidRPr="005303F7">
              <w:rPr>
                <w:rFonts w:ascii="Times New Roman" w:hAnsi="Times New Roman"/>
                <w:b/>
                <w:bCs/>
                <w:sz w:val="20"/>
                <w:lang w:val="sr-Cyrl-CS" w:eastAsia="en-US"/>
              </w:rPr>
              <w:t>ци</w:t>
            </w:r>
            <w:r w:rsidR="00D553BE" w:rsidRPr="005303F7">
              <w:rPr>
                <w:rFonts w:ascii="Times New Roman" w:hAnsi="Times New Roman"/>
                <w:b/>
                <w:bCs/>
                <w:sz w:val="20"/>
                <w:lang w:val="sr-Cyrl-CS" w:eastAsia="en-US"/>
              </w:rPr>
              <w:t>љ</w:t>
            </w:r>
            <w:r w:rsidR="00807F5C" w:rsidRPr="005303F7">
              <w:rPr>
                <w:rFonts w:ascii="Times New Roman" w:hAnsi="Times New Roman"/>
                <w:b/>
                <w:bCs/>
                <w:sz w:val="20"/>
                <w:lang w:val="sr-Cyrl-CS" w:eastAsia="en-US"/>
              </w:rPr>
              <w:t xml:space="preserve"> 2: </w:t>
            </w:r>
          </w:p>
          <w:p w14:paraId="53B9FBA0" w14:textId="304C4733" w:rsidR="009E228C" w:rsidRPr="005303F7" w:rsidRDefault="008D69AF" w:rsidP="00CD69CF">
            <w:pPr>
              <w:spacing w:before="0" w:after="0"/>
              <w:jc w:val="left"/>
              <w:rPr>
                <w:rFonts w:ascii="Times New Roman" w:hAnsi="Times New Roman"/>
                <w:b/>
                <w:bCs/>
                <w:sz w:val="20"/>
                <w:lang w:val="sr-Cyrl-CS" w:eastAsia="en-US"/>
              </w:rPr>
            </w:pPr>
            <w:r w:rsidRPr="005303F7">
              <w:rPr>
                <w:rFonts w:ascii="Times New Roman" w:hAnsi="Times New Roman"/>
                <w:bCs/>
                <w:sz w:val="20"/>
                <w:lang w:val="sr-Cyrl-CS" w:eastAsia="en-US"/>
              </w:rPr>
              <w:t>Смањење</w:t>
            </w:r>
            <w:r w:rsidR="00807F5C" w:rsidRPr="005303F7">
              <w:rPr>
                <w:rFonts w:ascii="Times New Roman" w:hAnsi="Times New Roman"/>
                <w:bCs/>
                <w:sz w:val="20"/>
                <w:lang w:val="sr-Cyrl-CS" w:eastAsia="en-US"/>
              </w:rPr>
              <w:t xml:space="preserve"> </w:t>
            </w:r>
            <w:r w:rsidRPr="005303F7">
              <w:rPr>
                <w:rFonts w:ascii="Times New Roman" w:hAnsi="Times New Roman"/>
                <w:bCs/>
                <w:sz w:val="20"/>
                <w:lang w:val="sr-Cyrl-CS" w:eastAsia="en-US"/>
              </w:rPr>
              <w:t>емисија</w:t>
            </w:r>
            <w:r w:rsidR="00807F5C" w:rsidRPr="005303F7">
              <w:rPr>
                <w:rFonts w:ascii="Times New Roman" w:hAnsi="Times New Roman"/>
                <w:bCs/>
                <w:sz w:val="20"/>
                <w:lang w:val="sr-Cyrl-CS" w:eastAsia="en-US"/>
              </w:rPr>
              <w:t xml:space="preserve"> </w:t>
            </w:r>
            <w:r w:rsidR="00D97B92" w:rsidRPr="005303F7">
              <w:rPr>
                <w:rFonts w:ascii="Times New Roman" w:hAnsi="Times New Roman"/>
                <w:bCs/>
                <w:sz w:val="20"/>
                <w:lang w:val="sr-Cyrl-CS" w:eastAsia="en-US"/>
              </w:rPr>
              <w:t>GHG</w:t>
            </w:r>
            <w:r w:rsidR="00807F5C" w:rsidRPr="005303F7">
              <w:rPr>
                <w:rFonts w:ascii="Times New Roman" w:hAnsi="Times New Roman"/>
                <w:bCs/>
                <w:sz w:val="20"/>
                <w:lang w:val="sr-Cyrl-CS" w:eastAsia="en-US"/>
              </w:rPr>
              <w:t xml:space="preserve"> </w:t>
            </w:r>
            <w:r w:rsidRPr="005303F7">
              <w:rPr>
                <w:rFonts w:ascii="Times New Roman" w:hAnsi="Times New Roman"/>
                <w:bCs/>
                <w:sz w:val="20"/>
                <w:lang w:val="sr-Cyrl-CS" w:eastAsia="en-US"/>
              </w:rPr>
              <w:t>које</w:t>
            </w:r>
            <w:r w:rsidR="00807F5C" w:rsidRPr="005303F7">
              <w:rPr>
                <w:rFonts w:ascii="Times New Roman" w:hAnsi="Times New Roman"/>
                <w:bCs/>
                <w:sz w:val="20"/>
                <w:lang w:val="sr-Cyrl-CS" w:eastAsia="en-US"/>
              </w:rPr>
              <w:t xml:space="preserve"> </w:t>
            </w:r>
            <w:r w:rsidR="00CD69CF" w:rsidRPr="005303F7">
              <w:rPr>
                <w:rFonts w:ascii="Times New Roman" w:hAnsi="Times New Roman"/>
                <w:bCs/>
                <w:sz w:val="20"/>
                <w:lang w:val="sr-Cyrl-CS" w:eastAsia="en-US"/>
              </w:rPr>
              <w:t xml:space="preserve">неће бити </w:t>
            </w:r>
            <w:r w:rsidRPr="005303F7">
              <w:rPr>
                <w:rFonts w:ascii="Times New Roman" w:hAnsi="Times New Roman"/>
                <w:bCs/>
                <w:sz w:val="20"/>
                <w:lang w:val="sr-Cyrl-CS" w:eastAsia="en-US"/>
              </w:rPr>
              <w:t>обухваћене</w:t>
            </w:r>
            <w:r w:rsidR="00807F5C" w:rsidRPr="005303F7">
              <w:rPr>
                <w:rFonts w:ascii="Times New Roman" w:hAnsi="Times New Roman"/>
                <w:bCs/>
                <w:sz w:val="20"/>
                <w:lang w:val="sr-Cyrl-CS" w:eastAsia="en-US"/>
              </w:rPr>
              <w:t xml:space="preserve"> </w:t>
            </w:r>
            <w:r w:rsidRPr="005303F7">
              <w:rPr>
                <w:rFonts w:ascii="Times New Roman" w:hAnsi="Times New Roman"/>
                <w:bCs/>
                <w:sz w:val="20"/>
                <w:lang w:val="sr-Cyrl-CS" w:eastAsia="en-US"/>
              </w:rPr>
              <w:t>Е</w:t>
            </w:r>
            <w:r w:rsidR="00D97B92" w:rsidRPr="005303F7">
              <w:rPr>
                <w:rFonts w:ascii="Times New Roman" w:hAnsi="Times New Roman"/>
                <w:bCs/>
                <w:sz w:val="20"/>
                <w:lang w:val="sr-Cyrl-CS" w:eastAsia="en-US"/>
              </w:rPr>
              <w:t>U</w:t>
            </w:r>
            <w:r w:rsidR="00807F5C" w:rsidRPr="005303F7">
              <w:rPr>
                <w:rFonts w:ascii="Times New Roman" w:hAnsi="Times New Roman"/>
                <w:bCs/>
                <w:sz w:val="20"/>
                <w:lang w:val="sr-Cyrl-CS" w:eastAsia="en-US"/>
              </w:rPr>
              <w:t>-</w:t>
            </w:r>
            <w:r w:rsidRPr="005303F7">
              <w:rPr>
                <w:rFonts w:ascii="Times New Roman" w:hAnsi="Times New Roman"/>
                <w:bCs/>
                <w:sz w:val="20"/>
                <w:lang w:val="sr-Cyrl-CS" w:eastAsia="en-US"/>
              </w:rPr>
              <w:t>ЕТ</w:t>
            </w:r>
            <w:r w:rsidR="00D97B92" w:rsidRPr="005303F7">
              <w:rPr>
                <w:rFonts w:ascii="Times New Roman" w:hAnsi="Times New Roman"/>
                <w:bCs/>
                <w:sz w:val="20"/>
                <w:lang w:val="sr-Cyrl-CS" w:eastAsia="en-US"/>
              </w:rPr>
              <w:t>S</w:t>
            </w:r>
            <w:r w:rsidR="00807F5C" w:rsidRPr="005303F7">
              <w:rPr>
                <w:rFonts w:ascii="Times New Roman" w:hAnsi="Times New Roman"/>
                <w:bCs/>
                <w:sz w:val="20"/>
                <w:lang w:val="sr-Cyrl-CS" w:eastAsia="en-US"/>
              </w:rPr>
              <w:t>-</w:t>
            </w:r>
            <w:r w:rsidRPr="005303F7">
              <w:rPr>
                <w:rFonts w:ascii="Times New Roman" w:hAnsi="Times New Roman"/>
                <w:bCs/>
                <w:sz w:val="20"/>
                <w:lang w:val="sr-Cyrl-CS" w:eastAsia="en-US"/>
              </w:rPr>
              <w:t>ом</w:t>
            </w:r>
            <w:r w:rsidR="00807F5C" w:rsidRPr="005303F7">
              <w:rPr>
                <w:rFonts w:ascii="Times New Roman" w:hAnsi="Times New Roman"/>
                <w:bCs/>
                <w:sz w:val="20"/>
                <w:lang w:val="sr-Cyrl-CS" w:eastAsia="en-US"/>
              </w:rPr>
              <w:t xml:space="preserve"> </w:t>
            </w:r>
            <w:r w:rsidRPr="005303F7">
              <w:rPr>
                <w:rFonts w:ascii="Times New Roman" w:hAnsi="Times New Roman"/>
                <w:bCs/>
                <w:sz w:val="20"/>
                <w:lang w:val="sr-Cyrl-CS" w:eastAsia="en-US"/>
              </w:rPr>
              <w:t>за</w:t>
            </w:r>
            <w:r w:rsidR="00807F5C" w:rsidRPr="005303F7">
              <w:rPr>
                <w:rFonts w:ascii="Times New Roman" w:hAnsi="Times New Roman"/>
                <w:bCs/>
                <w:sz w:val="20"/>
                <w:lang w:val="sr-Cyrl-CS" w:eastAsia="en-US"/>
              </w:rPr>
              <w:t xml:space="preserve"> 9,7% </w:t>
            </w:r>
            <w:r w:rsidRPr="005303F7">
              <w:rPr>
                <w:rFonts w:ascii="Times New Roman" w:hAnsi="Times New Roman"/>
                <w:bCs/>
                <w:sz w:val="20"/>
                <w:lang w:val="sr-Cyrl-CS" w:eastAsia="en-US"/>
              </w:rPr>
              <w:t>у</w:t>
            </w:r>
            <w:r w:rsidR="00807F5C" w:rsidRPr="005303F7">
              <w:rPr>
                <w:rFonts w:ascii="Times New Roman" w:hAnsi="Times New Roman"/>
                <w:bCs/>
                <w:sz w:val="20"/>
                <w:lang w:val="sr-Cyrl-CS" w:eastAsia="en-US"/>
              </w:rPr>
              <w:t xml:space="preserve"> 2030. </w:t>
            </w:r>
            <w:r w:rsidRPr="005303F7">
              <w:rPr>
                <w:rFonts w:ascii="Times New Roman" w:hAnsi="Times New Roman"/>
                <w:bCs/>
                <w:sz w:val="20"/>
                <w:lang w:val="sr-Cyrl-CS" w:eastAsia="en-US"/>
              </w:rPr>
              <w:t>години</w:t>
            </w:r>
            <w:r w:rsidR="00807F5C" w:rsidRPr="005303F7">
              <w:rPr>
                <w:rFonts w:ascii="Times New Roman" w:hAnsi="Times New Roman"/>
                <w:bCs/>
                <w:sz w:val="20"/>
                <w:lang w:val="sr-Cyrl-CS" w:eastAsia="en-US"/>
              </w:rPr>
              <w:t xml:space="preserve"> </w:t>
            </w:r>
            <w:r w:rsidRPr="005303F7">
              <w:rPr>
                <w:rFonts w:ascii="Times New Roman" w:hAnsi="Times New Roman"/>
                <w:bCs/>
                <w:sz w:val="20"/>
                <w:lang w:val="sr-Cyrl-CS" w:eastAsia="en-US"/>
              </w:rPr>
              <w:t>и</w:t>
            </w:r>
            <w:r w:rsidR="00807F5C" w:rsidRPr="005303F7">
              <w:rPr>
                <w:rFonts w:ascii="Times New Roman" w:hAnsi="Times New Roman"/>
                <w:bCs/>
                <w:sz w:val="20"/>
                <w:lang w:val="sr-Cyrl-CS" w:eastAsia="en-US"/>
              </w:rPr>
              <w:t xml:space="preserve"> </w:t>
            </w:r>
            <w:r w:rsidRPr="005303F7">
              <w:rPr>
                <w:rFonts w:ascii="Times New Roman" w:hAnsi="Times New Roman"/>
                <w:bCs/>
                <w:sz w:val="20"/>
                <w:lang w:val="sr-Cyrl-CS" w:eastAsia="en-US"/>
              </w:rPr>
              <w:t>од</w:t>
            </w:r>
            <w:r w:rsidR="00D864BD" w:rsidRPr="005303F7">
              <w:rPr>
                <w:rFonts w:ascii="Times New Roman" w:hAnsi="Times New Roman"/>
                <w:bCs/>
                <w:sz w:val="20"/>
                <w:lang w:val="sr-Cyrl-CS" w:eastAsia="en-US"/>
              </w:rPr>
              <w:t xml:space="preserve"> </w:t>
            </w:r>
            <w:r w:rsidR="00807F5C" w:rsidRPr="005303F7">
              <w:rPr>
                <w:rFonts w:ascii="Times New Roman" w:hAnsi="Times New Roman"/>
                <w:bCs/>
                <w:sz w:val="20"/>
                <w:lang w:val="sr-Cyrl-CS" w:eastAsia="en-US"/>
              </w:rPr>
              <w:t xml:space="preserve">33,5% </w:t>
            </w:r>
            <w:r w:rsidRPr="005303F7">
              <w:rPr>
                <w:rFonts w:ascii="Times New Roman" w:hAnsi="Times New Roman"/>
                <w:bCs/>
                <w:sz w:val="20"/>
                <w:lang w:val="sr-Cyrl-CS" w:eastAsia="en-US"/>
              </w:rPr>
              <w:t>до</w:t>
            </w:r>
            <w:r w:rsidR="00807F5C" w:rsidRPr="005303F7">
              <w:rPr>
                <w:rFonts w:ascii="Times New Roman" w:hAnsi="Times New Roman"/>
                <w:bCs/>
                <w:sz w:val="20"/>
                <w:lang w:val="sr-Cyrl-CS" w:eastAsia="en-US"/>
              </w:rPr>
              <w:t xml:space="preserve"> 54,5% </w:t>
            </w:r>
            <w:r w:rsidRPr="005303F7">
              <w:rPr>
                <w:rFonts w:ascii="Times New Roman" w:hAnsi="Times New Roman"/>
                <w:bCs/>
                <w:sz w:val="20"/>
                <w:lang w:val="sr-Cyrl-CS" w:eastAsia="en-US"/>
              </w:rPr>
              <w:t>до</w:t>
            </w:r>
            <w:r w:rsidR="00807F5C" w:rsidRPr="005303F7">
              <w:rPr>
                <w:rFonts w:ascii="Times New Roman" w:hAnsi="Times New Roman"/>
                <w:bCs/>
                <w:sz w:val="20"/>
                <w:lang w:val="sr-Cyrl-CS" w:eastAsia="en-US"/>
              </w:rPr>
              <w:t xml:space="preserve"> 205</w:t>
            </w:r>
            <w:r w:rsidR="006935F9" w:rsidRPr="005303F7">
              <w:rPr>
                <w:rFonts w:ascii="Times New Roman" w:hAnsi="Times New Roman"/>
                <w:bCs/>
                <w:sz w:val="20"/>
                <w:lang w:val="sr-Cyrl-CS" w:eastAsia="en-US"/>
              </w:rPr>
              <w:t xml:space="preserve">0. </w:t>
            </w:r>
            <w:r w:rsidRPr="005303F7">
              <w:rPr>
                <w:rFonts w:ascii="Times New Roman" w:hAnsi="Times New Roman"/>
                <w:bCs/>
                <w:sz w:val="20"/>
                <w:lang w:val="sr-Cyrl-CS" w:eastAsia="en-US"/>
              </w:rPr>
              <w:t>у</w:t>
            </w:r>
            <w:r w:rsidR="006935F9" w:rsidRPr="005303F7">
              <w:rPr>
                <w:rFonts w:ascii="Times New Roman" w:hAnsi="Times New Roman"/>
                <w:bCs/>
                <w:sz w:val="20"/>
                <w:lang w:val="sr-Cyrl-CS" w:eastAsia="en-US"/>
              </w:rPr>
              <w:t xml:space="preserve"> </w:t>
            </w:r>
            <w:r w:rsidRPr="005303F7">
              <w:rPr>
                <w:rFonts w:ascii="Times New Roman" w:hAnsi="Times New Roman"/>
                <w:bCs/>
                <w:sz w:val="20"/>
                <w:lang w:val="sr-Cyrl-CS" w:eastAsia="en-US"/>
              </w:rPr>
              <w:t>поређењу</w:t>
            </w:r>
            <w:r w:rsidR="006935F9" w:rsidRPr="005303F7">
              <w:rPr>
                <w:rFonts w:ascii="Times New Roman" w:hAnsi="Times New Roman"/>
                <w:bCs/>
                <w:sz w:val="20"/>
                <w:lang w:val="sr-Cyrl-CS" w:eastAsia="en-US"/>
              </w:rPr>
              <w:t xml:space="preserve"> </w:t>
            </w:r>
            <w:r w:rsidRPr="005303F7">
              <w:rPr>
                <w:rFonts w:ascii="Times New Roman" w:hAnsi="Times New Roman"/>
                <w:bCs/>
                <w:sz w:val="20"/>
                <w:lang w:val="sr-Cyrl-CS" w:eastAsia="en-US"/>
              </w:rPr>
              <w:t>са</w:t>
            </w:r>
            <w:r w:rsidR="006935F9" w:rsidRPr="005303F7">
              <w:rPr>
                <w:rFonts w:ascii="Times New Roman" w:hAnsi="Times New Roman"/>
                <w:bCs/>
                <w:sz w:val="20"/>
                <w:lang w:val="sr-Cyrl-CS" w:eastAsia="en-US"/>
              </w:rPr>
              <w:t xml:space="preserve"> 2010. </w:t>
            </w:r>
            <w:r w:rsidRPr="005303F7">
              <w:rPr>
                <w:rFonts w:ascii="Times New Roman" w:hAnsi="Times New Roman"/>
                <w:bCs/>
                <w:sz w:val="20"/>
                <w:lang w:val="sr-Cyrl-CS" w:eastAsia="en-US"/>
              </w:rPr>
              <w:t>годином</w:t>
            </w:r>
          </w:p>
        </w:tc>
        <w:tc>
          <w:tcPr>
            <w:tcW w:w="2428" w:type="dxa"/>
            <w:tcBorders>
              <w:top w:val="single" w:sz="4" w:space="0" w:color="auto"/>
              <w:left w:val="nil"/>
              <w:bottom w:val="single" w:sz="4" w:space="0" w:color="auto"/>
              <w:right w:val="single" w:sz="4" w:space="0" w:color="auto"/>
            </w:tcBorders>
            <w:shd w:val="clear" w:color="auto" w:fill="auto"/>
            <w:vAlign w:val="center"/>
          </w:tcPr>
          <w:p w14:paraId="20F7036A" w14:textId="1CBCB71A" w:rsidR="009E228C" w:rsidRPr="005303F7" w:rsidRDefault="008D69AF"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Емисије</w:t>
            </w:r>
            <w:r w:rsidR="0039467B"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GHG</w:t>
            </w:r>
            <w:r w:rsidR="0039467B" w:rsidRPr="005303F7">
              <w:rPr>
                <w:rFonts w:ascii="Times New Roman" w:hAnsi="Times New Roman"/>
                <w:sz w:val="20"/>
                <w:lang w:val="sr-Cyrl-CS" w:eastAsia="en-US"/>
              </w:rPr>
              <w:t xml:space="preserve"> </w:t>
            </w:r>
            <w:r w:rsidRPr="005303F7">
              <w:rPr>
                <w:rFonts w:ascii="Times New Roman" w:hAnsi="Times New Roman"/>
                <w:sz w:val="20"/>
                <w:lang w:val="sr-Cyrl-CS" w:eastAsia="en-US"/>
              </w:rPr>
              <w:t>у</w:t>
            </w:r>
            <w:r w:rsidR="0039467B" w:rsidRPr="005303F7">
              <w:rPr>
                <w:rFonts w:ascii="Times New Roman" w:hAnsi="Times New Roman"/>
                <w:sz w:val="20"/>
                <w:lang w:val="sr-Cyrl-CS" w:eastAsia="en-US"/>
              </w:rPr>
              <w:t xml:space="preserve"> </w:t>
            </w:r>
            <w:r w:rsidR="00915AF8" w:rsidRPr="005303F7">
              <w:rPr>
                <w:rFonts w:ascii="Times New Roman" w:hAnsi="Times New Roman"/>
                <w:sz w:val="20"/>
                <w:lang w:val="sr-Cyrl-CS" w:eastAsia="en-US"/>
              </w:rPr>
              <w:t>н</w:t>
            </w:r>
            <w:r w:rsidRPr="005303F7">
              <w:rPr>
                <w:rFonts w:ascii="Times New Roman" w:hAnsi="Times New Roman"/>
                <w:sz w:val="20"/>
                <w:lang w:val="sr-Cyrl-CS" w:eastAsia="en-US"/>
              </w:rPr>
              <w:t>е</w:t>
            </w:r>
            <w:r w:rsidR="00D97B92" w:rsidRPr="005303F7">
              <w:rPr>
                <w:rFonts w:ascii="Times New Roman" w:hAnsi="Times New Roman"/>
                <w:sz w:val="20"/>
                <w:lang w:val="sr-Cyrl-CS" w:eastAsia="en-US"/>
              </w:rPr>
              <w:t>-</w:t>
            </w:r>
            <w:r w:rsidRPr="005303F7">
              <w:rPr>
                <w:rFonts w:ascii="Times New Roman" w:hAnsi="Times New Roman"/>
                <w:sz w:val="20"/>
                <w:lang w:val="sr-Cyrl-CS" w:eastAsia="en-US"/>
              </w:rPr>
              <w:t>ЕТ</w:t>
            </w:r>
            <w:r w:rsidR="00D97B92" w:rsidRPr="005303F7">
              <w:rPr>
                <w:rFonts w:ascii="Times New Roman" w:hAnsi="Times New Roman"/>
                <w:sz w:val="20"/>
                <w:lang w:val="sr-Cyrl-CS" w:eastAsia="en-US"/>
              </w:rPr>
              <w:t>S</w:t>
            </w:r>
            <w:r w:rsidR="0035448D" w:rsidRPr="005303F7">
              <w:rPr>
                <w:rFonts w:ascii="Times New Roman" w:hAnsi="Times New Roman"/>
                <w:sz w:val="20"/>
                <w:lang w:val="sr-Cyrl-CS" w:eastAsia="en-US"/>
              </w:rPr>
              <w:t xml:space="preserve"> </w:t>
            </w:r>
            <w:r w:rsidRPr="005303F7">
              <w:rPr>
                <w:rFonts w:ascii="Times New Roman" w:hAnsi="Times New Roman"/>
                <w:sz w:val="20"/>
                <w:lang w:val="sr-Cyrl-CS" w:eastAsia="en-US"/>
              </w:rPr>
              <w:t>сектору</w:t>
            </w:r>
            <w:r w:rsidR="009E228C"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ktC</w:t>
            </w:r>
            <w:r w:rsidRPr="005303F7">
              <w:rPr>
                <w:rFonts w:ascii="Times New Roman" w:hAnsi="Times New Roman"/>
                <w:sz w:val="20"/>
                <w:lang w:val="sr-Cyrl-CS" w:eastAsia="en-US"/>
              </w:rPr>
              <w:t>О</w:t>
            </w:r>
            <w:r w:rsidR="009E228C" w:rsidRPr="005303F7">
              <w:rPr>
                <w:rFonts w:ascii="Times New Roman" w:hAnsi="Times New Roman"/>
                <w:sz w:val="20"/>
                <w:vertAlign w:val="subscript"/>
                <w:lang w:val="sr-Cyrl-CS" w:eastAsia="en-US"/>
              </w:rPr>
              <w:t>2</w:t>
            </w:r>
            <w:r w:rsidRPr="005303F7">
              <w:rPr>
                <w:rFonts w:ascii="Times New Roman" w:hAnsi="Times New Roman"/>
                <w:sz w:val="20"/>
                <w:vertAlign w:val="subscript"/>
                <w:lang w:val="sr-Cyrl-CS" w:eastAsia="en-US"/>
              </w:rPr>
              <w:t>е</w:t>
            </w:r>
            <w:r w:rsidR="009E228C" w:rsidRPr="005303F7">
              <w:rPr>
                <w:rFonts w:ascii="Times New Roman" w:hAnsi="Times New Roman"/>
                <w:sz w:val="20"/>
                <w:lang w:val="sr-Cyrl-CS" w:eastAsia="en-US"/>
              </w:rPr>
              <w:t>)</w:t>
            </w:r>
          </w:p>
        </w:tc>
        <w:tc>
          <w:tcPr>
            <w:tcW w:w="1158" w:type="dxa"/>
            <w:tcBorders>
              <w:top w:val="nil"/>
              <w:left w:val="nil"/>
              <w:bottom w:val="single" w:sz="4" w:space="0" w:color="auto"/>
              <w:right w:val="single" w:sz="4" w:space="0" w:color="auto"/>
            </w:tcBorders>
            <w:shd w:val="clear" w:color="auto" w:fill="auto"/>
            <w:vAlign w:val="center"/>
          </w:tcPr>
          <w:p w14:paraId="3F4ACEA0"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20.359</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33E5B727"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19.590</w:t>
            </w:r>
          </w:p>
        </w:tc>
        <w:tc>
          <w:tcPr>
            <w:tcW w:w="939" w:type="dxa"/>
            <w:tcBorders>
              <w:top w:val="single" w:sz="4" w:space="0" w:color="auto"/>
              <w:left w:val="single" w:sz="4" w:space="0" w:color="auto"/>
              <w:bottom w:val="single" w:sz="4" w:space="0" w:color="auto"/>
              <w:right w:val="nil"/>
            </w:tcBorders>
            <w:shd w:val="clear" w:color="auto" w:fill="auto"/>
            <w:vAlign w:val="center"/>
          </w:tcPr>
          <w:p w14:paraId="0EB023A5"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14.436</w:t>
            </w:r>
          </w:p>
        </w:tc>
        <w:tc>
          <w:tcPr>
            <w:tcW w:w="356" w:type="dxa"/>
            <w:tcBorders>
              <w:top w:val="single" w:sz="4" w:space="0" w:color="auto"/>
              <w:left w:val="nil"/>
              <w:bottom w:val="single" w:sz="4" w:space="0" w:color="auto"/>
              <w:right w:val="nil"/>
            </w:tcBorders>
            <w:shd w:val="clear" w:color="auto" w:fill="auto"/>
            <w:vAlign w:val="center"/>
          </w:tcPr>
          <w:p w14:paraId="16542791"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w:t>
            </w:r>
          </w:p>
        </w:tc>
        <w:tc>
          <w:tcPr>
            <w:tcW w:w="995" w:type="dxa"/>
            <w:tcBorders>
              <w:top w:val="single" w:sz="4" w:space="0" w:color="auto"/>
              <w:left w:val="nil"/>
              <w:bottom w:val="single" w:sz="4" w:space="0" w:color="auto"/>
              <w:right w:val="nil"/>
            </w:tcBorders>
            <w:shd w:val="clear" w:color="auto" w:fill="auto"/>
            <w:vAlign w:val="center"/>
          </w:tcPr>
          <w:p w14:paraId="357EA91D"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9.880</w:t>
            </w:r>
          </w:p>
        </w:tc>
        <w:tc>
          <w:tcPr>
            <w:tcW w:w="2840" w:type="dxa"/>
            <w:tcBorders>
              <w:top w:val="nil"/>
              <w:left w:val="single" w:sz="4" w:space="0" w:color="auto"/>
              <w:bottom w:val="single" w:sz="4" w:space="0" w:color="auto"/>
              <w:right w:val="single" w:sz="4" w:space="0" w:color="auto"/>
            </w:tcBorders>
            <w:shd w:val="clear" w:color="auto" w:fill="auto"/>
            <w:vAlign w:val="center"/>
          </w:tcPr>
          <w:p w14:paraId="14FBB236" w14:textId="3FBCB1E7" w:rsidR="009E228C" w:rsidRPr="005303F7" w:rsidRDefault="008D69AF">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Национални</w:t>
            </w:r>
            <w:r w:rsidR="0039467B" w:rsidRPr="005303F7">
              <w:rPr>
                <w:rFonts w:ascii="Times New Roman" w:hAnsi="Times New Roman"/>
                <w:sz w:val="20"/>
                <w:lang w:val="sr-Cyrl-CS" w:eastAsia="en-US"/>
              </w:rPr>
              <w:t xml:space="preserve"> </w:t>
            </w:r>
            <w:r w:rsidRPr="005303F7">
              <w:rPr>
                <w:rFonts w:ascii="Times New Roman" w:hAnsi="Times New Roman"/>
                <w:sz w:val="20"/>
                <w:lang w:val="sr-Cyrl-CS" w:eastAsia="en-US"/>
              </w:rPr>
              <w:t>инвентар</w:t>
            </w:r>
            <w:r w:rsidR="0039467B"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GHG</w:t>
            </w:r>
            <w:r w:rsidR="0039467B" w:rsidRPr="005303F7">
              <w:rPr>
                <w:rFonts w:ascii="Times New Roman" w:hAnsi="Times New Roman"/>
                <w:sz w:val="20"/>
                <w:lang w:val="sr-Cyrl-CS" w:eastAsia="en-US"/>
              </w:rPr>
              <w:t xml:space="preserve"> </w:t>
            </w:r>
            <w:r w:rsidR="009E228C" w:rsidRPr="005303F7">
              <w:rPr>
                <w:rFonts w:ascii="Times New Roman" w:hAnsi="Times New Roman"/>
                <w:sz w:val="20"/>
                <w:lang w:val="sr-Cyrl-CS" w:eastAsia="en-US"/>
              </w:rPr>
              <w:t>(</w:t>
            </w:r>
            <w:r w:rsidRPr="005303F7">
              <w:rPr>
                <w:rFonts w:ascii="Times New Roman" w:hAnsi="Times New Roman"/>
                <w:sz w:val="20"/>
                <w:lang w:val="sr-Cyrl-CS" w:eastAsia="en-US"/>
              </w:rPr>
              <w:t>емисије</w:t>
            </w:r>
            <w:r w:rsidR="0039467B" w:rsidRPr="005303F7">
              <w:rPr>
                <w:rFonts w:ascii="Times New Roman" w:hAnsi="Times New Roman"/>
                <w:sz w:val="20"/>
                <w:lang w:val="sr-Cyrl-CS" w:eastAsia="en-US"/>
              </w:rPr>
              <w:t xml:space="preserve"> </w:t>
            </w:r>
            <w:r w:rsidRPr="005303F7">
              <w:rPr>
                <w:rFonts w:ascii="Times New Roman" w:hAnsi="Times New Roman"/>
                <w:sz w:val="20"/>
                <w:lang w:val="sr-Cyrl-CS" w:eastAsia="en-US"/>
              </w:rPr>
              <w:t>без</w:t>
            </w:r>
            <w:r w:rsidR="0039467B"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LULUCF</w:t>
            </w:r>
            <w:r w:rsidR="009E228C" w:rsidRPr="005303F7">
              <w:rPr>
                <w:rFonts w:ascii="Times New Roman" w:hAnsi="Times New Roman"/>
                <w:sz w:val="20"/>
                <w:lang w:val="sr-Cyrl-CS" w:eastAsia="en-US"/>
              </w:rPr>
              <w:t xml:space="preserve">) </w:t>
            </w:r>
            <w:r w:rsidRPr="005303F7">
              <w:rPr>
                <w:rFonts w:ascii="Times New Roman" w:hAnsi="Times New Roman"/>
                <w:sz w:val="20"/>
                <w:lang w:val="sr-Cyrl-CS" w:eastAsia="en-US"/>
              </w:rPr>
              <w:t>Верификован</w:t>
            </w:r>
            <w:r w:rsidR="00733F76" w:rsidRPr="005303F7">
              <w:rPr>
                <w:rFonts w:ascii="Times New Roman" w:hAnsi="Times New Roman"/>
                <w:sz w:val="20"/>
                <w:lang w:val="sr-Cyrl-CS" w:eastAsia="en-US"/>
              </w:rPr>
              <w:t xml:space="preserve"> </w:t>
            </w:r>
            <w:r w:rsidRPr="005303F7">
              <w:rPr>
                <w:rFonts w:ascii="Times New Roman" w:hAnsi="Times New Roman"/>
                <w:sz w:val="20"/>
                <w:lang w:val="sr-Cyrl-CS" w:eastAsia="en-US"/>
              </w:rPr>
              <w:t>годишњи</w:t>
            </w:r>
            <w:r w:rsidR="0039467B" w:rsidRPr="005303F7">
              <w:rPr>
                <w:rFonts w:ascii="Times New Roman" w:hAnsi="Times New Roman"/>
                <w:sz w:val="20"/>
                <w:lang w:val="sr-Cyrl-CS" w:eastAsia="en-US"/>
              </w:rPr>
              <w:t xml:space="preserve"> </w:t>
            </w:r>
            <w:r w:rsidRPr="005303F7">
              <w:rPr>
                <w:rFonts w:ascii="Times New Roman" w:hAnsi="Times New Roman"/>
                <w:sz w:val="20"/>
                <w:lang w:val="sr-Cyrl-CS" w:eastAsia="en-US"/>
              </w:rPr>
              <w:t>извештај</w:t>
            </w:r>
            <w:r w:rsidR="0039467B" w:rsidRPr="005303F7">
              <w:rPr>
                <w:rFonts w:ascii="Times New Roman" w:hAnsi="Times New Roman"/>
                <w:sz w:val="20"/>
                <w:lang w:val="sr-Cyrl-CS" w:eastAsia="en-US"/>
              </w:rPr>
              <w:t xml:space="preserve"> </w:t>
            </w:r>
            <w:r w:rsidRPr="005303F7">
              <w:rPr>
                <w:rFonts w:ascii="Times New Roman" w:hAnsi="Times New Roman"/>
                <w:sz w:val="20"/>
                <w:lang w:val="sr-Cyrl-CS" w:eastAsia="en-US"/>
              </w:rPr>
              <w:t>о</w:t>
            </w:r>
            <w:r w:rsidR="0039467B" w:rsidRPr="005303F7">
              <w:rPr>
                <w:rFonts w:ascii="Times New Roman" w:hAnsi="Times New Roman"/>
                <w:sz w:val="20"/>
                <w:lang w:val="sr-Cyrl-CS" w:eastAsia="en-US"/>
              </w:rPr>
              <w:t xml:space="preserve"> </w:t>
            </w:r>
            <w:r w:rsidRPr="005303F7">
              <w:rPr>
                <w:rFonts w:ascii="Times New Roman" w:hAnsi="Times New Roman"/>
                <w:sz w:val="20"/>
                <w:lang w:val="sr-Cyrl-CS" w:eastAsia="en-US"/>
              </w:rPr>
              <w:t>емисијама</w:t>
            </w:r>
            <w:r w:rsidR="0039467B" w:rsidRPr="005303F7">
              <w:rPr>
                <w:rFonts w:ascii="Times New Roman" w:hAnsi="Times New Roman"/>
                <w:sz w:val="20"/>
                <w:lang w:val="sr-Cyrl-CS" w:eastAsia="en-US"/>
              </w:rPr>
              <w:t xml:space="preserve"> </w:t>
            </w:r>
            <w:r w:rsidRPr="005303F7">
              <w:rPr>
                <w:rFonts w:ascii="Times New Roman" w:hAnsi="Times New Roman"/>
                <w:sz w:val="20"/>
                <w:lang w:val="sr-Cyrl-CS" w:eastAsia="en-US"/>
              </w:rPr>
              <w:t>ЕТ</w:t>
            </w:r>
            <w:r w:rsidR="00D97B92" w:rsidRPr="005303F7">
              <w:rPr>
                <w:rFonts w:ascii="Times New Roman" w:hAnsi="Times New Roman"/>
                <w:sz w:val="20"/>
                <w:lang w:val="sr-Cyrl-CS" w:eastAsia="en-US"/>
              </w:rPr>
              <w:t>S</w:t>
            </w:r>
            <w:r w:rsidR="0039467B" w:rsidRPr="005303F7">
              <w:rPr>
                <w:rFonts w:ascii="Times New Roman" w:hAnsi="Times New Roman"/>
                <w:sz w:val="20"/>
                <w:lang w:val="sr-Cyrl-CS" w:eastAsia="en-US"/>
              </w:rPr>
              <w:t xml:space="preserve"> (</w:t>
            </w:r>
            <w:r w:rsidRPr="005303F7">
              <w:rPr>
                <w:rFonts w:ascii="Times New Roman" w:hAnsi="Times New Roman"/>
                <w:sz w:val="20"/>
                <w:lang w:val="sr-Cyrl-CS" w:eastAsia="en-US"/>
              </w:rPr>
              <w:t>Агенција</w:t>
            </w:r>
            <w:r w:rsidR="009F229E" w:rsidRPr="005303F7">
              <w:rPr>
                <w:rFonts w:ascii="Times New Roman" w:hAnsi="Times New Roman"/>
                <w:sz w:val="20"/>
                <w:lang w:val="sr-Cyrl-CS" w:eastAsia="en-US"/>
              </w:rPr>
              <w:t xml:space="preserve"> </w:t>
            </w:r>
            <w:r w:rsidRPr="005303F7">
              <w:rPr>
                <w:rFonts w:ascii="Times New Roman" w:hAnsi="Times New Roman"/>
                <w:sz w:val="20"/>
                <w:lang w:val="sr-Cyrl-CS" w:eastAsia="en-US"/>
              </w:rPr>
              <w:t>за</w:t>
            </w:r>
            <w:r w:rsidR="009F229E" w:rsidRPr="005303F7">
              <w:rPr>
                <w:rFonts w:ascii="Times New Roman" w:hAnsi="Times New Roman"/>
                <w:sz w:val="20"/>
                <w:lang w:val="sr-Cyrl-CS" w:eastAsia="en-US"/>
              </w:rPr>
              <w:t xml:space="preserve"> </w:t>
            </w:r>
            <w:r w:rsidRPr="005303F7">
              <w:rPr>
                <w:rFonts w:ascii="Times New Roman" w:hAnsi="Times New Roman"/>
                <w:sz w:val="20"/>
                <w:lang w:val="sr-Cyrl-CS" w:eastAsia="en-US"/>
              </w:rPr>
              <w:t>заштиту</w:t>
            </w:r>
            <w:r w:rsidR="009F229E" w:rsidRPr="005303F7">
              <w:rPr>
                <w:rFonts w:ascii="Times New Roman" w:hAnsi="Times New Roman"/>
                <w:sz w:val="20"/>
                <w:lang w:val="sr-Cyrl-CS" w:eastAsia="en-US"/>
              </w:rPr>
              <w:t xml:space="preserve"> </w:t>
            </w:r>
            <w:r w:rsidRPr="005303F7">
              <w:rPr>
                <w:rFonts w:ascii="Times New Roman" w:hAnsi="Times New Roman"/>
                <w:sz w:val="20"/>
                <w:lang w:val="sr-Cyrl-CS" w:eastAsia="en-US"/>
              </w:rPr>
              <w:t>животне</w:t>
            </w:r>
            <w:r w:rsidR="009F229E" w:rsidRPr="005303F7">
              <w:rPr>
                <w:rFonts w:ascii="Times New Roman" w:hAnsi="Times New Roman"/>
                <w:sz w:val="20"/>
                <w:lang w:val="sr-Cyrl-CS" w:eastAsia="en-US"/>
              </w:rPr>
              <w:t xml:space="preserve"> </w:t>
            </w:r>
            <w:r w:rsidRPr="005303F7">
              <w:rPr>
                <w:rFonts w:ascii="Times New Roman" w:hAnsi="Times New Roman"/>
                <w:sz w:val="20"/>
                <w:lang w:val="sr-Cyrl-CS" w:eastAsia="en-US"/>
              </w:rPr>
              <w:t>средине</w:t>
            </w:r>
            <w:r w:rsidR="0039467B" w:rsidRPr="005303F7">
              <w:rPr>
                <w:rFonts w:ascii="Times New Roman" w:hAnsi="Times New Roman"/>
                <w:sz w:val="20"/>
                <w:lang w:val="sr-Cyrl-CS" w:eastAsia="en-US"/>
              </w:rPr>
              <w:t>)</w:t>
            </w:r>
          </w:p>
        </w:tc>
      </w:tr>
      <w:tr w:rsidR="009E228C" w:rsidRPr="005303F7" w14:paraId="613A72F0" w14:textId="77777777" w:rsidTr="00451EB6">
        <w:trPr>
          <w:trHeight w:val="1065"/>
        </w:trPr>
        <w:tc>
          <w:tcPr>
            <w:tcW w:w="4686" w:type="dxa"/>
            <w:vMerge/>
            <w:tcBorders>
              <w:left w:val="single" w:sz="4" w:space="0" w:color="auto"/>
              <w:right w:val="single" w:sz="4" w:space="0" w:color="auto"/>
            </w:tcBorders>
            <w:shd w:val="clear" w:color="auto" w:fill="auto"/>
            <w:vAlign w:val="center"/>
            <w:hideMark/>
          </w:tcPr>
          <w:p w14:paraId="20813A23" w14:textId="77777777" w:rsidR="009E228C" w:rsidRPr="005303F7" w:rsidRDefault="009E228C" w:rsidP="00A17981">
            <w:pPr>
              <w:tabs>
                <w:tab w:val="clear" w:pos="3825"/>
              </w:tabs>
              <w:overflowPunct/>
              <w:autoSpaceDE/>
              <w:autoSpaceDN/>
              <w:adjustRightInd/>
              <w:spacing w:before="0" w:after="0"/>
              <w:jc w:val="left"/>
              <w:textAlignment w:val="auto"/>
              <w:rPr>
                <w:rFonts w:ascii="Times New Roman" w:hAnsi="Times New Roman"/>
                <w:sz w:val="20"/>
                <w:lang w:val="sr-Cyrl-CS" w:eastAsia="en-US"/>
              </w:rPr>
            </w:pPr>
          </w:p>
        </w:tc>
        <w:tc>
          <w:tcPr>
            <w:tcW w:w="2428" w:type="dxa"/>
            <w:tcBorders>
              <w:top w:val="single" w:sz="4" w:space="0" w:color="auto"/>
              <w:left w:val="nil"/>
              <w:bottom w:val="single" w:sz="4" w:space="0" w:color="auto"/>
              <w:right w:val="single" w:sz="4" w:space="0" w:color="auto"/>
            </w:tcBorders>
            <w:shd w:val="clear" w:color="auto" w:fill="auto"/>
            <w:vAlign w:val="center"/>
            <w:hideMark/>
          </w:tcPr>
          <w:p w14:paraId="18A00D2F" w14:textId="043653FA" w:rsidR="009E228C" w:rsidRPr="005303F7" w:rsidRDefault="008D69AF"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Емисије</w:t>
            </w:r>
            <w:r w:rsidR="001D7115"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GHG</w:t>
            </w:r>
            <w:r w:rsidR="001D7115" w:rsidRPr="005303F7">
              <w:rPr>
                <w:rFonts w:ascii="Times New Roman" w:hAnsi="Times New Roman"/>
                <w:sz w:val="20"/>
                <w:lang w:val="sr-Cyrl-CS" w:eastAsia="en-US"/>
              </w:rPr>
              <w:t xml:space="preserve"> </w:t>
            </w:r>
            <w:r w:rsidRPr="005303F7">
              <w:rPr>
                <w:rFonts w:ascii="Times New Roman" w:hAnsi="Times New Roman"/>
                <w:sz w:val="20"/>
                <w:lang w:val="sr-Cyrl-CS" w:eastAsia="en-US"/>
              </w:rPr>
              <w:t>у</w:t>
            </w:r>
            <w:r w:rsidR="001D711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производној</w:t>
            </w:r>
            <w:r w:rsidR="001D711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индустрији</w:t>
            </w:r>
            <w:r w:rsidR="009E228C"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ktC</w:t>
            </w:r>
            <w:r w:rsidRPr="005303F7">
              <w:rPr>
                <w:rFonts w:ascii="Times New Roman" w:hAnsi="Times New Roman"/>
                <w:sz w:val="20"/>
                <w:lang w:val="sr-Cyrl-CS" w:eastAsia="en-US"/>
              </w:rPr>
              <w:t>О</w:t>
            </w:r>
            <w:r w:rsidR="009E228C" w:rsidRPr="005303F7">
              <w:rPr>
                <w:rFonts w:ascii="Times New Roman" w:hAnsi="Times New Roman"/>
                <w:sz w:val="20"/>
                <w:vertAlign w:val="subscript"/>
                <w:lang w:val="sr-Cyrl-CS" w:eastAsia="en-US"/>
              </w:rPr>
              <w:t>2</w:t>
            </w:r>
            <w:r w:rsidRPr="005303F7">
              <w:rPr>
                <w:rFonts w:ascii="Times New Roman" w:hAnsi="Times New Roman"/>
                <w:sz w:val="20"/>
                <w:lang w:val="sr-Cyrl-CS" w:eastAsia="en-US"/>
              </w:rPr>
              <w:t>е</w:t>
            </w:r>
            <w:r w:rsidR="009E228C" w:rsidRPr="005303F7">
              <w:rPr>
                <w:rFonts w:ascii="Times New Roman" w:hAnsi="Times New Roman"/>
                <w:sz w:val="20"/>
                <w:lang w:val="sr-Cyrl-CS" w:eastAsia="en-US"/>
              </w:rPr>
              <w:t>)</w:t>
            </w:r>
          </w:p>
        </w:tc>
        <w:tc>
          <w:tcPr>
            <w:tcW w:w="1158" w:type="dxa"/>
            <w:tcBorders>
              <w:top w:val="nil"/>
              <w:left w:val="nil"/>
              <w:bottom w:val="single" w:sz="4" w:space="0" w:color="auto"/>
              <w:right w:val="single" w:sz="4" w:space="0" w:color="auto"/>
            </w:tcBorders>
            <w:shd w:val="clear" w:color="auto" w:fill="auto"/>
            <w:vAlign w:val="center"/>
            <w:hideMark/>
          </w:tcPr>
          <w:p w14:paraId="4F268DF4"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3.452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0A73B"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3.651</w:t>
            </w:r>
          </w:p>
        </w:tc>
        <w:tc>
          <w:tcPr>
            <w:tcW w:w="939" w:type="dxa"/>
            <w:tcBorders>
              <w:top w:val="single" w:sz="4" w:space="0" w:color="auto"/>
              <w:left w:val="single" w:sz="4" w:space="0" w:color="auto"/>
              <w:bottom w:val="single" w:sz="4" w:space="0" w:color="auto"/>
              <w:right w:val="nil"/>
            </w:tcBorders>
            <w:shd w:val="clear" w:color="auto" w:fill="auto"/>
            <w:vAlign w:val="center"/>
            <w:hideMark/>
          </w:tcPr>
          <w:p w14:paraId="20BC30E4"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2.691</w:t>
            </w:r>
          </w:p>
        </w:tc>
        <w:tc>
          <w:tcPr>
            <w:tcW w:w="356" w:type="dxa"/>
            <w:tcBorders>
              <w:top w:val="single" w:sz="4" w:space="0" w:color="auto"/>
              <w:left w:val="nil"/>
              <w:bottom w:val="single" w:sz="4" w:space="0" w:color="auto"/>
              <w:right w:val="nil"/>
            </w:tcBorders>
            <w:shd w:val="clear" w:color="auto" w:fill="auto"/>
            <w:vAlign w:val="center"/>
            <w:hideMark/>
          </w:tcPr>
          <w:p w14:paraId="6EAC65FB"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w:t>
            </w:r>
          </w:p>
        </w:tc>
        <w:tc>
          <w:tcPr>
            <w:tcW w:w="995" w:type="dxa"/>
            <w:tcBorders>
              <w:top w:val="single" w:sz="4" w:space="0" w:color="auto"/>
              <w:left w:val="nil"/>
              <w:bottom w:val="single" w:sz="4" w:space="0" w:color="auto"/>
              <w:right w:val="nil"/>
            </w:tcBorders>
            <w:shd w:val="clear" w:color="auto" w:fill="auto"/>
            <w:vAlign w:val="center"/>
            <w:hideMark/>
          </w:tcPr>
          <w:p w14:paraId="66D12F24"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1.917</w:t>
            </w:r>
          </w:p>
        </w:tc>
        <w:tc>
          <w:tcPr>
            <w:tcW w:w="2840" w:type="dxa"/>
            <w:tcBorders>
              <w:top w:val="nil"/>
              <w:left w:val="single" w:sz="4" w:space="0" w:color="auto"/>
              <w:bottom w:val="single" w:sz="4" w:space="0" w:color="auto"/>
              <w:right w:val="single" w:sz="4" w:space="0" w:color="auto"/>
            </w:tcBorders>
            <w:shd w:val="clear" w:color="auto" w:fill="auto"/>
            <w:vAlign w:val="center"/>
            <w:hideMark/>
          </w:tcPr>
          <w:p w14:paraId="020A53B8" w14:textId="20B60949" w:rsidR="009E228C" w:rsidRPr="005303F7" w:rsidRDefault="008D69AF" w:rsidP="001D7115">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Извештај</w:t>
            </w:r>
            <w:r w:rsidR="001D711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Националног</w:t>
            </w:r>
            <w:r w:rsidR="001D711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инвентара</w:t>
            </w:r>
            <w:r w:rsidR="001D7115"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GHG</w:t>
            </w:r>
            <w:r w:rsidR="001D7115" w:rsidRPr="005303F7">
              <w:rPr>
                <w:rFonts w:ascii="Times New Roman" w:hAnsi="Times New Roman"/>
                <w:sz w:val="20"/>
                <w:lang w:val="sr-Cyrl-CS" w:eastAsia="en-US"/>
              </w:rPr>
              <w:t xml:space="preserve"> </w:t>
            </w:r>
            <w:r w:rsidR="009E228C" w:rsidRPr="005303F7">
              <w:rPr>
                <w:rFonts w:ascii="Times New Roman" w:hAnsi="Times New Roman"/>
                <w:sz w:val="20"/>
                <w:lang w:val="sr-Cyrl-CS" w:eastAsia="en-US"/>
              </w:rPr>
              <w:t>(</w:t>
            </w:r>
            <w:r w:rsidR="00D97B92" w:rsidRPr="005303F7">
              <w:rPr>
                <w:rFonts w:ascii="Times New Roman" w:hAnsi="Times New Roman"/>
                <w:sz w:val="20"/>
                <w:lang w:val="sr-Cyrl-CS" w:eastAsia="en-US"/>
              </w:rPr>
              <w:t>IPCC</w:t>
            </w:r>
            <w:r w:rsidR="009E228C" w:rsidRPr="005303F7">
              <w:rPr>
                <w:rFonts w:ascii="Times New Roman" w:hAnsi="Times New Roman"/>
                <w:sz w:val="20"/>
                <w:lang w:val="sr-Cyrl-CS" w:eastAsia="en-US"/>
              </w:rPr>
              <w:t xml:space="preserve"> </w:t>
            </w:r>
            <w:r w:rsidRPr="005303F7">
              <w:rPr>
                <w:rFonts w:ascii="Times New Roman" w:hAnsi="Times New Roman"/>
                <w:sz w:val="20"/>
                <w:lang w:val="sr-Cyrl-CS" w:eastAsia="en-US"/>
              </w:rPr>
              <w:t>категорија</w:t>
            </w:r>
            <w:r w:rsidR="009E228C" w:rsidRPr="005303F7">
              <w:rPr>
                <w:rFonts w:ascii="Times New Roman" w:hAnsi="Times New Roman"/>
                <w:sz w:val="20"/>
                <w:lang w:val="sr-Cyrl-CS" w:eastAsia="en-US"/>
              </w:rPr>
              <w:t xml:space="preserve"> - 1</w:t>
            </w:r>
            <w:r w:rsidRPr="005303F7">
              <w:rPr>
                <w:rFonts w:ascii="Times New Roman" w:hAnsi="Times New Roman"/>
                <w:sz w:val="20"/>
                <w:lang w:val="sr-Cyrl-CS" w:eastAsia="en-US"/>
              </w:rPr>
              <w:t>А</w:t>
            </w:r>
            <w:r w:rsidR="009E228C" w:rsidRPr="005303F7">
              <w:rPr>
                <w:rFonts w:ascii="Times New Roman" w:hAnsi="Times New Roman"/>
                <w:sz w:val="20"/>
                <w:lang w:val="sr-Cyrl-CS" w:eastAsia="en-US"/>
              </w:rPr>
              <w:t>2)</w:t>
            </w:r>
          </w:p>
        </w:tc>
      </w:tr>
      <w:tr w:rsidR="009E228C" w:rsidRPr="005303F7" w14:paraId="4FC5ACD6" w14:textId="77777777" w:rsidTr="00451EB6">
        <w:trPr>
          <w:trHeight w:val="660"/>
        </w:trPr>
        <w:tc>
          <w:tcPr>
            <w:tcW w:w="4686" w:type="dxa"/>
            <w:vMerge/>
            <w:tcBorders>
              <w:left w:val="single" w:sz="4" w:space="0" w:color="auto"/>
              <w:right w:val="single" w:sz="4" w:space="0" w:color="auto"/>
            </w:tcBorders>
            <w:vAlign w:val="center"/>
            <w:hideMark/>
          </w:tcPr>
          <w:p w14:paraId="1A584AC4" w14:textId="77777777" w:rsidR="009E228C" w:rsidRPr="005303F7" w:rsidRDefault="009E228C" w:rsidP="00A17981">
            <w:pPr>
              <w:spacing w:before="0" w:after="0"/>
              <w:jc w:val="left"/>
              <w:rPr>
                <w:rFonts w:ascii="Times New Roman" w:hAnsi="Times New Roman"/>
                <w:sz w:val="20"/>
                <w:lang w:val="sr-Cyrl-CS" w:eastAsia="en-US"/>
              </w:rPr>
            </w:pPr>
          </w:p>
        </w:tc>
        <w:tc>
          <w:tcPr>
            <w:tcW w:w="2428" w:type="dxa"/>
            <w:tcBorders>
              <w:top w:val="single" w:sz="4" w:space="0" w:color="auto"/>
              <w:left w:val="nil"/>
              <w:bottom w:val="single" w:sz="4" w:space="0" w:color="auto"/>
              <w:right w:val="single" w:sz="4" w:space="0" w:color="auto"/>
            </w:tcBorders>
            <w:shd w:val="clear" w:color="auto" w:fill="auto"/>
            <w:vAlign w:val="center"/>
            <w:hideMark/>
          </w:tcPr>
          <w:p w14:paraId="4839090F" w14:textId="5A545094" w:rsidR="009E228C" w:rsidRPr="005303F7" w:rsidRDefault="008D69AF"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Емисије</w:t>
            </w:r>
            <w:r w:rsidR="00D47806"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GHG</w:t>
            </w:r>
            <w:r w:rsidR="00D47806" w:rsidRPr="005303F7">
              <w:rPr>
                <w:rFonts w:ascii="Times New Roman" w:hAnsi="Times New Roman"/>
                <w:sz w:val="20"/>
                <w:lang w:val="sr-Cyrl-CS" w:eastAsia="en-US"/>
              </w:rPr>
              <w:t xml:space="preserve"> </w:t>
            </w:r>
            <w:r w:rsidRPr="005303F7">
              <w:rPr>
                <w:rFonts w:ascii="Times New Roman" w:hAnsi="Times New Roman"/>
                <w:sz w:val="20"/>
                <w:lang w:val="sr-Cyrl-CS" w:eastAsia="en-US"/>
              </w:rPr>
              <w:t>у</w:t>
            </w:r>
            <w:r w:rsidR="00D47806" w:rsidRPr="005303F7">
              <w:rPr>
                <w:rFonts w:ascii="Times New Roman" w:hAnsi="Times New Roman"/>
                <w:sz w:val="20"/>
                <w:lang w:val="sr-Cyrl-CS" w:eastAsia="en-US"/>
              </w:rPr>
              <w:t xml:space="preserve"> </w:t>
            </w:r>
            <w:r w:rsidRPr="005303F7">
              <w:rPr>
                <w:rFonts w:ascii="Times New Roman" w:hAnsi="Times New Roman"/>
                <w:sz w:val="20"/>
                <w:lang w:val="sr-Cyrl-CS" w:eastAsia="en-US"/>
              </w:rPr>
              <w:t>другим</w:t>
            </w:r>
            <w:r w:rsidR="00D47806" w:rsidRPr="005303F7">
              <w:rPr>
                <w:rFonts w:ascii="Times New Roman" w:hAnsi="Times New Roman"/>
                <w:sz w:val="20"/>
                <w:lang w:val="sr-Cyrl-CS" w:eastAsia="en-US"/>
              </w:rPr>
              <w:t xml:space="preserve"> </w:t>
            </w:r>
            <w:r w:rsidRPr="005303F7">
              <w:rPr>
                <w:rFonts w:ascii="Times New Roman" w:hAnsi="Times New Roman"/>
                <w:sz w:val="20"/>
                <w:lang w:val="sr-Cyrl-CS" w:eastAsia="en-US"/>
              </w:rPr>
              <w:t>секторима</w:t>
            </w:r>
            <w:r w:rsidR="009E228C"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ktC</w:t>
            </w:r>
            <w:r w:rsidRPr="005303F7">
              <w:rPr>
                <w:rFonts w:ascii="Times New Roman" w:hAnsi="Times New Roman"/>
                <w:sz w:val="20"/>
                <w:lang w:val="sr-Cyrl-CS" w:eastAsia="en-US"/>
              </w:rPr>
              <w:t>О</w:t>
            </w:r>
            <w:r w:rsidR="009E228C" w:rsidRPr="005303F7">
              <w:rPr>
                <w:rFonts w:ascii="Times New Roman" w:hAnsi="Times New Roman"/>
                <w:sz w:val="20"/>
                <w:vertAlign w:val="subscript"/>
                <w:lang w:val="sr-Cyrl-CS" w:eastAsia="en-US"/>
              </w:rPr>
              <w:t>2</w:t>
            </w:r>
            <w:r w:rsidRPr="005303F7">
              <w:rPr>
                <w:rFonts w:ascii="Times New Roman" w:hAnsi="Times New Roman"/>
                <w:sz w:val="20"/>
                <w:lang w:val="sr-Cyrl-CS" w:eastAsia="en-US"/>
              </w:rPr>
              <w:t>е</w:t>
            </w:r>
            <w:r w:rsidR="009E228C" w:rsidRPr="005303F7">
              <w:rPr>
                <w:rFonts w:ascii="Times New Roman" w:hAnsi="Times New Roman"/>
                <w:sz w:val="20"/>
                <w:lang w:val="sr-Cyrl-CS" w:eastAsia="en-US"/>
              </w:rPr>
              <w:t>)</w:t>
            </w:r>
          </w:p>
        </w:tc>
        <w:tc>
          <w:tcPr>
            <w:tcW w:w="1158" w:type="dxa"/>
            <w:tcBorders>
              <w:top w:val="nil"/>
              <w:left w:val="nil"/>
              <w:bottom w:val="single" w:sz="4" w:space="0" w:color="auto"/>
              <w:right w:val="single" w:sz="4" w:space="0" w:color="auto"/>
            </w:tcBorders>
            <w:shd w:val="clear" w:color="auto" w:fill="auto"/>
            <w:vAlign w:val="center"/>
            <w:hideMark/>
          </w:tcPr>
          <w:p w14:paraId="4F1D65B5"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2.711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3A1C1"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2.089</w:t>
            </w:r>
          </w:p>
        </w:tc>
        <w:tc>
          <w:tcPr>
            <w:tcW w:w="939" w:type="dxa"/>
            <w:tcBorders>
              <w:top w:val="single" w:sz="4" w:space="0" w:color="auto"/>
              <w:left w:val="single" w:sz="4" w:space="0" w:color="auto"/>
              <w:bottom w:val="single" w:sz="4" w:space="0" w:color="auto"/>
              <w:right w:val="nil"/>
            </w:tcBorders>
            <w:shd w:val="clear" w:color="auto" w:fill="auto"/>
            <w:vAlign w:val="center"/>
            <w:hideMark/>
          </w:tcPr>
          <w:p w14:paraId="12F12A27"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1.035</w:t>
            </w:r>
          </w:p>
        </w:tc>
        <w:tc>
          <w:tcPr>
            <w:tcW w:w="356" w:type="dxa"/>
            <w:tcBorders>
              <w:top w:val="single" w:sz="4" w:space="0" w:color="auto"/>
              <w:left w:val="nil"/>
              <w:bottom w:val="single" w:sz="4" w:space="0" w:color="auto"/>
              <w:right w:val="nil"/>
            </w:tcBorders>
            <w:shd w:val="clear" w:color="auto" w:fill="auto"/>
            <w:vAlign w:val="center"/>
            <w:hideMark/>
          </w:tcPr>
          <w:p w14:paraId="48EAE71E"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w:t>
            </w:r>
          </w:p>
        </w:tc>
        <w:tc>
          <w:tcPr>
            <w:tcW w:w="995" w:type="dxa"/>
            <w:tcBorders>
              <w:top w:val="single" w:sz="4" w:space="0" w:color="auto"/>
              <w:left w:val="nil"/>
              <w:bottom w:val="single" w:sz="4" w:space="0" w:color="auto"/>
              <w:right w:val="nil"/>
            </w:tcBorders>
            <w:shd w:val="clear" w:color="auto" w:fill="auto"/>
            <w:vAlign w:val="center"/>
            <w:hideMark/>
          </w:tcPr>
          <w:p w14:paraId="76B158A4"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772</w:t>
            </w:r>
          </w:p>
        </w:tc>
        <w:tc>
          <w:tcPr>
            <w:tcW w:w="2840" w:type="dxa"/>
            <w:tcBorders>
              <w:top w:val="nil"/>
              <w:left w:val="single" w:sz="4" w:space="0" w:color="auto"/>
              <w:bottom w:val="single" w:sz="4" w:space="0" w:color="auto"/>
              <w:right w:val="single" w:sz="4" w:space="0" w:color="auto"/>
            </w:tcBorders>
            <w:shd w:val="clear" w:color="auto" w:fill="auto"/>
            <w:vAlign w:val="center"/>
            <w:hideMark/>
          </w:tcPr>
          <w:p w14:paraId="0CA27741" w14:textId="3D8B0E6B" w:rsidR="009E228C" w:rsidRPr="005303F7" w:rsidRDefault="008D69AF" w:rsidP="001D7115">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Извештај</w:t>
            </w:r>
            <w:r w:rsidR="001D711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Националног</w:t>
            </w:r>
            <w:r w:rsidR="001D711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инвентара</w:t>
            </w:r>
            <w:r w:rsidR="001D7115"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GHG</w:t>
            </w:r>
            <w:r w:rsidR="009E228C" w:rsidRPr="005303F7">
              <w:rPr>
                <w:rFonts w:ascii="Times New Roman" w:hAnsi="Times New Roman"/>
                <w:sz w:val="20"/>
                <w:lang w:val="sr-Cyrl-CS" w:eastAsia="en-US"/>
              </w:rPr>
              <w:br/>
              <w:t>(</w:t>
            </w:r>
            <w:r w:rsidR="00D97B92" w:rsidRPr="005303F7">
              <w:rPr>
                <w:rFonts w:ascii="Times New Roman" w:hAnsi="Times New Roman"/>
                <w:sz w:val="20"/>
                <w:lang w:val="sr-Cyrl-CS" w:eastAsia="en-US"/>
              </w:rPr>
              <w:t>IPCC</w:t>
            </w:r>
            <w:r w:rsidR="009E228C" w:rsidRPr="005303F7">
              <w:rPr>
                <w:rFonts w:ascii="Times New Roman" w:hAnsi="Times New Roman"/>
                <w:sz w:val="20"/>
                <w:lang w:val="sr-Cyrl-CS" w:eastAsia="en-US"/>
              </w:rPr>
              <w:t xml:space="preserve"> </w:t>
            </w:r>
            <w:r w:rsidRPr="005303F7">
              <w:rPr>
                <w:rFonts w:ascii="Times New Roman" w:hAnsi="Times New Roman"/>
                <w:sz w:val="20"/>
                <w:lang w:val="sr-Cyrl-CS" w:eastAsia="en-US"/>
              </w:rPr>
              <w:t>категорија</w:t>
            </w:r>
            <w:r w:rsidR="009E228C" w:rsidRPr="005303F7">
              <w:rPr>
                <w:rFonts w:ascii="Times New Roman" w:hAnsi="Times New Roman"/>
                <w:sz w:val="20"/>
                <w:lang w:val="sr-Cyrl-CS" w:eastAsia="en-US"/>
              </w:rPr>
              <w:t xml:space="preserve"> - 1</w:t>
            </w:r>
            <w:r w:rsidRPr="005303F7">
              <w:rPr>
                <w:rFonts w:ascii="Times New Roman" w:hAnsi="Times New Roman"/>
                <w:sz w:val="20"/>
                <w:lang w:val="sr-Cyrl-CS" w:eastAsia="en-US"/>
              </w:rPr>
              <w:t>А</w:t>
            </w:r>
            <w:r w:rsidR="009E228C" w:rsidRPr="005303F7">
              <w:rPr>
                <w:rFonts w:ascii="Times New Roman" w:hAnsi="Times New Roman"/>
                <w:sz w:val="20"/>
                <w:lang w:val="sr-Cyrl-CS" w:eastAsia="en-US"/>
              </w:rPr>
              <w:t xml:space="preserve">4 </w:t>
            </w:r>
            <w:r w:rsidRPr="005303F7">
              <w:rPr>
                <w:rFonts w:ascii="Times New Roman" w:hAnsi="Times New Roman"/>
                <w:sz w:val="20"/>
                <w:lang w:val="sr-Cyrl-CS" w:eastAsia="en-US"/>
              </w:rPr>
              <w:t>и</w:t>
            </w:r>
            <w:r w:rsidR="009E228C" w:rsidRPr="005303F7">
              <w:rPr>
                <w:rFonts w:ascii="Times New Roman" w:hAnsi="Times New Roman"/>
                <w:sz w:val="20"/>
                <w:lang w:val="sr-Cyrl-CS" w:eastAsia="en-US"/>
              </w:rPr>
              <w:t xml:space="preserve"> 1</w:t>
            </w:r>
            <w:r w:rsidRPr="005303F7">
              <w:rPr>
                <w:rFonts w:ascii="Times New Roman" w:hAnsi="Times New Roman"/>
                <w:sz w:val="20"/>
                <w:lang w:val="sr-Cyrl-CS" w:eastAsia="en-US"/>
              </w:rPr>
              <w:t>А</w:t>
            </w:r>
            <w:r w:rsidR="009E228C" w:rsidRPr="005303F7">
              <w:rPr>
                <w:rFonts w:ascii="Times New Roman" w:hAnsi="Times New Roman"/>
                <w:sz w:val="20"/>
                <w:lang w:val="sr-Cyrl-CS" w:eastAsia="en-US"/>
              </w:rPr>
              <w:t>5)</w:t>
            </w:r>
          </w:p>
        </w:tc>
      </w:tr>
      <w:tr w:rsidR="009E228C" w:rsidRPr="005303F7" w14:paraId="76B8C0D0" w14:textId="77777777" w:rsidTr="00451EB6">
        <w:trPr>
          <w:trHeight w:val="1095"/>
        </w:trPr>
        <w:tc>
          <w:tcPr>
            <w:tcW w:w="4686" w:type="dxa"/>
            <w:vMerge/>
            <w:tcBorders>
              <w:left w:val="single" w:sz="4" w:space="0" w:color="auto"/>
              <w:right w:val="single" w:sz="4" w:space="0" w:color="auto"/>
            </w:tcBorders>
            <w:shd w:val="clear" w:color="auto" w:fill="auto"/>
            <w:vAlign w:val="center"/>
            <w:hideMark/>
          </w:tcPr>
          <w:p w14:paraId="6D847EBB" w14:textId="77777777" w:rsidR="009E228C" w:rsidRPr="005303F7" w:rsidRDefault="009E228C" w:rsidP="00A17981">
            <w:pPr>
              <w:spacing w:before="0" w:after="0"/>
              <w:jc w:val="left"/>
              <w:rPr>
                <w:rFonts w:ascii="Times New Roman" w:hAnsi="Times New Roman"/>
                <w:sz w:val="20"/>
                <w:lang w:val="sr-Cyrl-CS" w:eastAsia="en-US"/>
              </w:rPr>
            </w:pPr>
          </w:p>
        </w:tc>
        <w:tc>
          <w:tcPr>
            <w:tcW w:w="2428" w:type="dxa"/>
            <w:tcBorders>
              <w:top w:val="nil"/>
              <w:left w:val="nil"/>
              <w:bottom w:val="single" w:sz="4" w:space="0" w:color="auto"/>
              <w:right w:val="single" w:sz="4" w:space="0" w:color="auto"/>
            </w:tcBorders>
            <w:shd w:val="clear" w:color="auto" w:fill="auto"/>
            <w:vAlign w:val="center"/>
            <w:hideMark/>
          </w:tcPr>
          <w:p w14:paraId="0EFEC8D8" w14:textId="0C79298C" w:rsidR="009E228C" w:rsidRPr="005303F7" w:rsidRDefault="00915AF8" w:rsidP="00915AF8">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Угљенични и</w:t>
            </w:r>
            <w:r w:rsidR="008D69AF" w:rsidRPr="005303F7">
              <w:rPr>
                <w:rFonts w:ascii="Times New Roman" w:hAnsi="Times New Roman"/>
                <w:sz w:val="20"/>
                <w:lang w:val="sr-Cyrl-CS" w:eastAsia="en-US"/>
              </w:rPr>
              <w:t>нтензитет</w:t>
            </w:r>
            <w:r w:rsidR="00D47806" w:rsidRPr="005303F7">
              <w:rPr>
                <w:rFonts w:ascii="Times New Roman" w:hAnsi="Times New Roman"/>
                <w:sz w:val="20"/>
                <w:lang w:val="sr-Cyrl-CS" w:eastAsia="en-US"/>
              </w:rPr>
              <w:t xml:space="preserve"> </w:t>
            </w:r>
            <w:r w:rsidRPr="005303F7">
              <w:rPr>
                <w:rFonts w:ascii="Times New Roman" w:hAnsi="Times New Roman"/>
                <w:sz w:val="20"/>
                <w:lang w:val="sr-Cyrl-CS" w:eastAsia="en-US"/>
              </w:rPr>
              <w:t>индустрије</w:t>
            </w:r>
            <w:r w:rsidR="009E228C" w:rsidRPr="005303F7">
              <w:rPr>
                <w:rFonts w:ascii="Times New Roman" w:hAnsi="Times New Roman"/>
                <w:sz w:val="20"/>
                <w:lang w:val="sr-Cyrl-CS" w:eastAsia="en-US"/>
              </w:rPr>
              <w:br/>
            </w:r>
            <w:r w:rsidR="00D97B92" w:rsidRPr="005303F7">
              <w:rPr>
                <w:rFonts w:ascii="Times New Roman" w:hAnsi="Times New Roman"/>
                <w:sz w:val="20"/>
                <w:lang w:val="sr-Cyrl-CS" w:eastAsia="en-US"/>
              </w:rPr>
              <w:t>tC</w:t>
            </w:r>
            <w:r w:rsidR="008D69AF" w:rsidRPr="005303F7">
              <w:rPr>
                <w:rFonts w:ascii="Times New Roman" w:hAnsi="Times New Roman"/>
                <w:sz w:val="20"/>
                <w:lang w:val="sr-Cyrl-CS" w:eastAsia="en-US"/>
              </w:rPr>
              <w:t>О</w:t>
            </w:r>
            <w:r w:rsidR="009E228C" w:rsidRPr="005303F7">
              <w:rPr>
                <w:rFonts w:ascii="Times New Roman" w:hAnsi="Times New Roman"/>
                <w:sz w:val="20"/>
                <w:vertAlign w:val="subscript"/>
                <w:lang w:val="sr-Cyrl-CS" w:eastAsia="en-US"/>
              </w:rPr>
              <w:t>2</w:t>
            </w:r>
            <w:r w:rsidR="009E228C" w:rsidRPr="005303F7">
              <w:rPr>
                <w:rFonts w:ascii="Times New Roman" w:hAnsi="Times New Roman"/>
                <w:sz w:val="20"/>
                <w:lang w:val="sr-Cyrl-CS" w:eastAsia="en-US"/>
              </w:rPr>
              <w:t>/</w:t>
            </w:r>
            <w:r w:rsidR="00D97B92" w:rsidRPr="005303F7">
              <w:rPr>
                <w:rFonts w:ascii="Times New Roman" w:hAnsi="Times New Roman"/>
                <w:sz w:val="20"/>
                <w:lang w:val="sr-Cyrl-CS" w:eastAsia="en-US"/>
              </w:rPr>
              <w:t>toe</w:t>
            </w:r>
          </w:p>
        </w:tc>
        <w:tc>
          <w:tcPr>
            <w:tcW w:w="1158" w:type="dxa"/>
            <w:tcBorders>
              <w:top w:val="nil"/>
              <w:left w:val="nil"/>
              <w:bottom w:val="single" w:sz="4" w:space="0" w:color="auto"/>
              <w:right w:val="single" w:sz="4" w:space="0" w:color="auto"/>
            </w:tcBorders>
            <w:shd w:val="clear" w:color="auto" w:fill="auto"/>
            <w:vAlign w:val="center"/>
            <w:hideMark/>
          </w:tcPr>
          <w:p w14:paraId="5F6BB226"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1,89</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E5809"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1,44</w:t>
            </w:r>
          </w:p>
        </w:tc>
        <w:tc>
          <w:tcPr>
            <w:tcW w:w="939" w:type="dxa"/>
            <w:tcBorders>
              <w:top w:val="single" w:sz="4" w:space="0" w:color="auto"/>
              <w:left w:val="single" w:sz="4" w:space="0" w:color="auto"/>
              <w:bottom w:val="single" w:sz="4" w:space="0" w:color="auto"/>
              <w:right w:val="nil"/>
            </w:tcBorders>
            <w:shd w:val="clear" w:color="auto" w:fill="auto"/>
            <w:vAlign w:val="center"/>
            <w:hideMark/>
          </w:tcPr>
          <w:p w14:paraId="72A43140"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0,80</w:t>
            </w:r>
          </w:p>
        </w:tc>
        <w:tc>
          <w:tcPr>
            <w:tcW w:w="356" w:type="dxa"/>
            <w:tcBorders>
              <w:top w:val="single" w:sz="4" w:space="0" w:color="auto"/>
              <w:left w:val="nil"/>
              <w:bottom w:val="single" w:sz="4" w:space="0" w:color="auto"/>
              <w:right w:val="nil"/>
            </w:tcBorders>
            <w:shd w:val="clear" w:color="auto" w:fill="auto"/>
            <w:vAlign w:val="center"/>
            <w:hideMark/>
          </w:tcPr>
          <w:p w14:paraId="2002583E"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w:t>
            </w:r>
          </w:p>
        </w:tc>
        <w:tc>
          <w:tcPr>
            <w:tcW w:w="995" w:type="dxa"/>
            <w:tcBorders>
              <w:top w:val="single" w:sz="4" w:space="0" w:color="auto"/>
              <w:left w:val="nil"/>
              <w:bottom w:val="single" w:sz="4" w:space="0" w:color="auto"/>
              <w:right w:val="nil"/>
            </w:tcBorders>
            <w:shd w:val="clear" w:color="auto" w:fill="auto"/>
            <w:vAlign w:val="center"/>
            <w:hideMark/>
          </w:tcPr>
          <w:p w14:paraId="14FFFCE5"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0,58</w:t>
            </w:r>
          </w:p>
        </w:tc>
        <w:tc>
          <w:tcPr>
            <w:tcW w:w="2840" w:type="dxa"/>
            <w:tcBorders>
              <w:top w:val="nil"/>
              <w:left w:val="single" w:sz="4" w:space="0" w:color="auto"/>
              <w:bottom w:val="single" w:sz="4" w:space="0" w:color="auto"/>
              <w:right w:val="single" w:sz="4" w:space="0" w:color="auto"/>
            </w:tcBorders>
            <w:shd w:val="clear" w:color="auto" w:fill="auto"/>
            <w:vAlign w:val="center"/>
            <w:hideMark/>
          </w:tcPr>
          <w:p w14:paraId="3B95A3C6" w14:textId="0765BAE5" w:rsidR="009E228C" w:rsidRPr="005303F7" w:rsidRDefault="008D69AF" w:rsidP="001D7115">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Извештај</w:t>
            </w:r>
            <w:r w:rsidR="001D711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Националног</w:t>
            </w:r>
            <w:r w:rsidR="001D711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инвентара</w:t>
            </w:r>
            <w:r w:rsidR="001D7115"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GHG</w:t>
            </w:r>
            <w:r w:rsidR="009E228C" w:rsidRPr="005303F7">
              <w:rPr>
                <w:rFonts w:ascii="Times New Roman" w:hAnsi="Times New Roman"/>
                <w:sz w:val="20"/>
                <w:lang w:val="sr-Cyrl-CS" w:eastAsia="en-US"/>
              </w:rPr>
              <w:br/>
              <w:t>(</w:t>
            </w:r>
            <w:r w:rsidR="00D97B92" w:rsidRPr="005303F7">
              <w:rPr>
                <w:rFonts w:ascii="Times New Roman" w:hAnsi="Times New Roman"/>
                <w:sz w:val="20"/>
                <w:lang w:val="sr-Cyrl-CS" w:eastAsia="en-US"/>
              </w:rPr>
              <w:t>IPCC</w:t>
            </w:r>
            <w:r w:rsidR="009E228C" w:rsidRPr="005303F7">
              <w:rPr>
                <w:rFonts w:ascii="Times New Roman" w:hAnsi="Times New Roman"/>
                <w:sz w:val="20"/>
                <w:lang w:val="sr-Cyrl-CS" w:eastAsia="en-US"/>
              </w:rPr>
              <w:t xml:space="preserve"> </w:t>
            </w:r>
            <w:r w:rsidRPr="005303F7">
              <w:rPr>
                <w:rFonts w:ascii="Times New Roman" w:hAnsi="Times New Roman"/>
                <w:sz w:val="20"/>
                <w:lang w:val="sr-Cyrl-CS" w:eastAsia="en-US"/>
              </w:rPr>
              <w:t>категорија</w:t>
            </w:r>
            <w:r w:rsidR="009E228C" w:rsidRPr="005303F7">
              <w:rPr>
                <w:rFonts w:ascii="Times New Roman" w:hAnsi="Times New Roman"/>
                <w:sz w:val="20"/>
                <w:lang w:val="sr-Cyrl-CS" w:eastAsia="en-US"/>
              </w:rPr>
              <w:t xml:space="preserve"> - 1</w:t>
            </w:r>
            <w:r w:rsidRPr="005303F7">
              <w:rPr>
                <w:rFonts w:ascii="Times New Roman" w:hAnsi="Times New Roman"/>
                <w:sz w:val="20"/>
                <w:lang w:val="sr-Cyrl-CS" w:eastAsia="en-US"/>
              </w:rPr>
              <w:t>А</w:t>
            </w:r>
            <w:r w:rsidR="009E228C" w:rsidRPr="005303F7">
              <w:rPr>
                <w:rFonts w:ascii="Times New Roman" w:hAnsi="Times New Roman"/>
                <w:sz w:val="20"/>
                <w:lang w:val="sr-Cyrl-CS" w:eastAsia="en-US"/>
              </w:rPr>
              <w:t xml:space="preserve">2) / </w:t>
            </w:r>
            <w:r w:rsidRPr="005303F7">
              <w:rPr>
                <w:rFonts w:ascii="Times New Roman" w:hAnsi="Times New Roman"/>
                <w:sz w:val="20"/>
                <w:lang w:val="sr-Cyrl-CS" w:eastAsia="en-US"/>
              </w:rPr>
              <w:t>ЕБ</w:t>
            </w:r>
            <w:r w:rsidR="009E228C" w:rsidRPr="005303F7">
              <w:rPr>
                <w:rFonts w:ascii="Times New Roman" w:hAnsi="Times New Roman"/>
                <w:sz w:val="20"/>
                <w:lang w:val="sr-Cyrl-CS" w:eastAsia="en-US"/>
              </w:rPr>
              <w:t xml:space="preserve"> </w:t>
            </w:r>
            <w:r w:rsidR="00163F7B" w:rsidRPr="005303F7">
              <w:rPr>
                <w:rFonts w:ascii="Times New Roman" w:hAnsi="Times New Roman"/>
                <w:sz w:val="20"/>
                <w:lang w:val="sr-Cyrl-CS" w:eastAsia="en-US"/>
              </w:rPr>
              <w:t xml:space="preserve">Републике </w:t>
            </w:r>
            <w:r w:rsidR="00D73AAB" w:rsidRPr="005303F7">
              <w:rPr>
                <w:rFonts w:ascii="Times New Roman" w:hAnsi="Times New Roman"/>
                <w:sz w:val="20"/>
                <w:lang w:val="sr-Cyrl-CS" w:eastAsia="en-US"/>
              </w:rPr>
              <w:t>Србије</w:t>
            </w:r>
          </w:p>
        </w:tc>
      </w:tr>
      <w:tr w:rsidR="009E228C" w:rsidRPr="005303F7" w14:paraId="7A9C71E8" w14:textId="77777777" w:rsidTr="00451EB6">
        <w:trPr>
          <w:trHeight w:val="660"/>
        </w:trPr>
        <w:tc>
          <w:tcPr>
            <w:tcW w:w="4686" w:type="dxa"/>
            <w:vMerge/>
            <w:tcBorders>
              <w:left w:val="single" w:sz="4" w:space="0" w:color="auto"/>
              <w:right w:val="single" w:sz="4" w:space="0" w:color="auto"/>
            </w:tcBorders>
            <w:shd w:val="clear" w:color="auto" w:fill="auto"/>
            <w:vAlign w:val="center"/>
            <w:hideMark/>
          </w:tcPr>
          <w:p w14:paraId="28C9DC42" w14:textId="77777777" w:rsidR="009E228C" w:rsidRPr="005303F7" w:rsidRDefault="009E228C" w:rsidP="00A17981">
            <w:pPr>
              <w:tabs>
                <w:tab w:val="clear" w:pos="3825"/>
              </w:tabs>
              <w:overflowPunct/>
              <w:autoSpaceDE/>
              <w:autoSpaceDN/>
              <w:adjustRightInd/>
              <w:spacing w:before="0" w:after="0"/>
              <w:jc w:val="left"/>
              <w:textAlignment w:val="auto"/>
              <w:rPr>
                <w:rFonts w:ascii="Times New Roman" w:hAnsi="Times New Roman"/>
                <w:sz w:val="20"/>
                <w:lang w:val="sr-Cyrl-CS" w:eastAsia="en-US"/>
              </w:rPr>
            </w:pPr>
          </w:p>
        </w:tc>
        <w:tc>
          <w:tcPr>
            <w:tcW w:w="2428" w:type="dxa"/>
            <w:tcBorders>
              <w:top w:val="nil"/>
              <w:left w:val="nil"/>
              <w:bottom w:val="single" w:sz="4" w:space="0" w:color="auto"/>
              <w:right w:val="single" w:sz="4" w:space="0" w:color="auto"/>
            </w:tcBorders>
            <w:shd w:val="clear" w:color="auto" w:fill="auto"/>
            <w:vAlign w:val="center"/>
            <w:hideMark/>
          </w:tcPr>
          <w:p w14:paraId="63138AA5" w14:textId="767980A6" w:rsidR="009E228C" w:rsidRPr="005303F7" w:rsidRDefault="00915AF8" w:rsidP="00915AF8">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Угљенични и</w:t>
            </w:r>
            <w:r w:rsidR="008D69AF" w:rsidRPr="005303F7">
              <w:rPr>
                <w:rFonts w:ascii="Times New Roman" w:hAnsi="Times New Roman"/>
                <w:sz w:val="20"/>
                <w:lang w:val="sr-Cyrl-CS" w:eastAsia="en-US"/>
              </w:rPr>
              <w:t>нтензитет</w:t>
            </w:r>
            <w:r w:rsidR="00D47806" w:rsidRPr="005303F7">
              <w:rPr>
                <w:rFonts w:ascii="Times New Roman" w:hAnsi="Times New Roman"/>
                <w:sz w:val="20"/>
                <w:lang w:val="sr-Cyrl-CS" w:eastAsia="en-US"/>
              </w:rPr>
              <w:t xml:space="preserve"> </w:t>
            </w:r>
            <w:r w:rsidR="008D69AF" w:rsidRPr="005303F7">
              <w:rPr>
                <w:rFonts w:ascii="Times New Roman" w:hAnsi="Times New Roman"/>
                <w:sz w:val="20"/>
                <w:lang w:val="sr-Cyrl-CS" w:eastAsia="en-US"/>
              </w:rPr>
              <w:t>стамбено</w:t>
            </w:r>
            <w:r w:rsidRPr="005303F7">
              <w:rPr>
                <w:rFonts w:ascii="Times New Roman" w:hAnsi="Times New Roman"/>
                <w:sz w:val="20"/>
                <w:lang w:val="sr-Cyrl-CS" w:eastAsia="en-US"/>
              </w:rPr>
              <w:t>г</w:t>
            </w:r>
            <w:r w:rsidR="00D47806" w:rsidRPr="005303F7">
              <w:rPr>
                <w:rFonts w:ascii="Times New Roman" w:hAnsi="Times New Roman"/>
                <w:sz w:val="20"/>
                <w:lang w:val="sr-Cyrl-CS" w:eastAsia="en-US"/>
              </w:rPr>
              <w:t xml:space="preserve"> </w:t>
            </w:r>
            <w:r w:rsidR="008D69AF" w:rsidRPr="005303F7">
              <w:rPr>
                <w:rFonts w:ascii="Times New Roman" w:hAnsi="Times New Roman"/>
                <w:sz w:val="20"/>
                <w:lang w:val="sr-Cyrl-CS" w:eastAsia="en-US"/>
              </w:rPr>
              <w:t>сектор</w:t>
            </w:r>
            <w:r w:rsidRPr="005303F7">
              <w:rPr>
                <w:rFonts w:ascii="Times New Roman" w:hAnsi="Times New Roman"/>
                <w:sz w:val="20"/>
                <w:lang w:val="sr-Cyrl-CS" w:eastAsia="en-US"/>
              </w:rPr>
              <w:t>а</w:t>
            </w:r>
            <w:r w:rsidR="00D47806"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tC</w:t>
            </w:r>
            <w:r w:rsidR="008D69AF" w:rsidRPr="005303F7">
              <w:rPr>
                <w:rFonts w:ascii="Times New Roman" w:hAnsi="Times New Roman"/>
                <w:sz w:val="20"/>
                <w:lang w:val="sr-Cyrl-CS" w:eastAsia="en-US"/>
              </w:rPr>
              <w:t>О</w:t>
            </w:r>
            <w:r w:rsidR="009E228C" w:rsidRPr="005303F7">
              <w:rPr>
                <w:rFonts w:ascii="Times New Roman" w:hAnsi="Times New Roman"/>
                <w:sz w:val="20"/>
                <w:vertAlign w:val="subscript"/>
                <w:lang w:val="sr-Cyrl-CS" w:eastAsia="en-US"/>
              </w:rPr>
              <w:t>2</w:t>
            </w:r>
            <w:r w:rsidR="009E228C" w:rsidRPr="005303F7">
              <w:rPr>
                <w:rFonts w:ascii="Times New Roman" w:hAnsi="Times New Roman"/>
                <w:sz w:val="20"/>
                <w:lang w:val="sr-Cyrl-CS" w:eastAsia="en-US"/>
              </w:rPr>
              <w:t>/</w:t>
            </w:r>
            <w:r w:rsidR="00D97B92" w:rsidRPr="005303F7">
              <w:rPr>
                <w:rFonts w:ascii="Times New Roman" w:hAnsi="Times New Roman"/>
                <w:sz w:val="20"/>
                <w:lang w:val="sr-Cyrl-CS" w:eastAsia="en-US"/>
              </w:rPr>
              <w:t>toe</w:t>
            </w:r>
          </w:p>
        </w:tc>
        <w:tc>
          <w:tcPr>
            <w:tcW w:w="1158" w:type="dxa"/>
            <w:tcBorders>
              <w:top w:val="nil"/>
              <w:left w:val="nil"/>
              <w:bottom w:val="single" w:sz="4" w:space="0" w:color="auto"/>
              <w:right w:val="single" w:sz="4" w:space="0" w:color="auto"/>
            </w:tcBorders>
            <w:shd w:val="clear" w:color="auto" w:fill="auto"/>
            <w:vAlign w:val="center"/>
            <w:hideMark/>
          </w:tcPr>
          <w:p w14:paraId="7FBABE65"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0,51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71C75"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0,28</w:t>
            </w:r>
          </w:p>
        </w:tc>
        <w:tc>
          <w:tcPr>
            <w:tcW w:w="939" w:type="dxa"/>
            <w:tcBorders>
              <w:top w:val="single" w:sz="4" w:space="0" w:color="auto"/>
              <w:left w:val="single" w:sz="4" w:space="0" w:color="auto"/>
              <w:bottom w:val="single" w:sz="4" w:space="0" w:color="auto"/>
              <w:right w:val="nil"/>
            </w:tcBorders>
            <w:shd w:val="clear" w:color="auto" w:fill="auto"/>
            <w:vAlign w:val="center"/>
            <w:hideMark/>
          </w:tcPr>
          <w:p w14:paraId="097B8069"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0,09</w:t>
            </w:r>
          </w:p>
        </w:tc>
        <w:tc>
          <w:tcPr>
            <w:tcW w:w="356" w:type="dxa"/>
            <w:tcBorders>
              <w:top w:val="single" w:sz="4" w:space="0" w:color="auto"/>
              <w:left w:val="nil"/>
              <w:bottom w:val="single" w:sz="4" w:space="0" w:color="auto"/>
              <w:right w:val="nil"/>
            </w:tcBorders>
            <w:shd w:val="clear" w:color="auto" w:fill="auto"/>
            <w:vAlign w:val="center"/>
            <w:hideMark/>
          </w:tcPr>
          <w:p w14:paraId="61F9EFB2"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w:t>
            </w:r>
          </w:p>
        </w:tc>
        <w:tc>
          <w:tcPr>
            <w:tcW w:w="995" w:type="dxa"/>
            <w:tcBorders>
              <w:top w:val="single" w:sz="4" w:space="0" w:color="auto"/>
              <w:left w:val="nil"/>
              <w:bottom w:val="single" w:sz="4" w:space="0" w:color="auto"/>
              <w:right w:val="nil"/>
            </w:tcBorders>
            <w:shd w:val="clear" w:color="auto" w:fill="auto"/>
            <w:vAlign w:val="center"/>
            <w:hideMark/>
          </w:tcPr>
          <w:p w14:paraId="4C6D584E"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0,04</w:t>
            </w:r>
          </w:p>
        </w:tc>
        <w:tc>
          <w:tcPr>
            <w:tcW w:w="2840" w:type="dxa"/>
            <w:tcBorders>
              <w:top w:val="nil"/>
              <w:left w:val="single" w:sz="4" w:space="0" w:color="auto"/>
              <w:bottom w:val="single" w:sz="4" w:space="0" w:color="auto"/>
              <w:right w:val="single" w:sz="4" w:space="0" w:color="auto"/>
            </w:tcBorders>
            <w:shd w:val="clear" w:color="auto" w:fill="auto"/>
            <w:vAlign w:val="center"/>
            <w:hideMark/>
          </w:tcPr>
          <w:p w14:paraId="19E17D9B" w14:textId="321BC496" w:rsidR="009E228C" w:rsidRPr="005303F7" w:rsidRDefault="008D69AF" w:rsidP="001D7115">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Извештај</w:t>
            </w:r>
            <w:r w:rsidR="001D711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Националног</w:t>
            </w:r>
            <w:r w:rsidR="001D711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инвентара</w:t>
            </w:r>
            <w:r w:rsidR="001D7115"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GHG</w:t>
            </w:r>
            <w:r w:rsidR="009E228C" w:rsidRPr="005303F7">
              <w:rPr>
                <w:rFonts w:ascii="Times New Roman" w:hAnsi="Times New Roman"/>
                <w:sz w:val="20"/>
                <w:lang w:val="sr-Cyrl-CS" w:eastAsia="en-US"/>
              </w:rPr>
              <w:br/>
              <w:t>(</w:t>
            </w:r>
            <w:r w:rsidR="00D97B92" w:rsidRPr="005303F7">
              <w:rPr>
                <w:rFonts w:ascii="Times New Roman" w:hAnsi="Times New Roman"/>
                <w:sz w:val="20"/>
                <w:lang w:val="sr-Cyrl-CS" w:eastAsia="en-US"/>
              </w:rPr>
              <w:t>IPCC</w:t>
            </w:r>
            <w:r w:rsidR="009E228C" w:rsidRPr="005303F7">
              <w:rPr>
                <w:rFonts w:ascii="Times New Roman" w:hAnsi="Times New Roman"/>
                <w:sz w:val="20"/>
                <w:lang w:val="sr-Cyrl-CS" w:eastAsia="en-US"/>
              </w:rPr>
              <w:t xml:space="preserve"> </w:t>
            </w:r>
            <w:r w:rsidRPr="005303F7">
              <w:rPr>
                <w:rFonts w:ascii="Times New Roman" w:hAnsi="Times New Roman"/>
                <w:sz w:val="20"/>
                <w:lang w:val="sr-Cyrl-CS" w:eastAsia="en-US"/>
              </w:rPr>
              <w:t>категорија</w:t>
            </w:r>
            <w:r w:rsidR="009E228C" w:rsidRPr="005303F7">
              <w:rPr>
                <w:rFonts w:ascii="Times New Roman" w:hAnsi="Times New Roman"/>
                <w:sz w:val="20"/>
                <w:lang w:val="sr-Cyrl-CS" w:eastAsia="en-US"/>
              </w:rPr>
              <w:t xml:space="preserve"> - 1</w:t>
            </w:r>
            <w:r w:rsidRPr="005303F7">
              <w:rPr>
                <w:rFonts w:ascii="Times New Roman" w:hAnsi="Times New Roman"/>
                <w:sz w:val="20"/>
                <w:lang w:val="sr-Cyrl-CS" w:eastAsia="en-US"/>
              </w:rPr>
              <w:t>А</w:t>
            </w:r>
            <w:r w:rsidR="009E228C" w:rsidRPr="005303F7">
              <w:rPr>
                <w:rFonts w:ascii="Times New Roman" w:hAnsi="Times New Roman"/>
                <w:sz w:val="20"/>
                <w:lang w:val="sr-Cyrl-CS" w:eastAsia="en-US"/>
              </w:rPr>
              <w:t>4</w:t>
            </w:r>
            <w:r w:rsidRPr="005303F7">
              <w:rPr>
                <w:rFonts w:ascii="Times New Roman" w:hAnsi="Times New Roman"/>
                <w:sz w:val="20"/>
                <w:lang w:val="sr-Cyrl-CS" w:eastAsia="en-US"/>
              </w:rPr>
              <w:t>б</w:t>
            </w:r>
            <w:r w:rsidR="009E228C" w:rsidRPr="005303F7">
              <w:rPr>
                <w:rFonts w:ascii="Times New Roman" w:hAnsi="Times New Roman"/>
                <w:sz w:val="20"/>
                <w:lang w:val="sr-Cyrl-CS" w:eastAsia="en-US"/>
              </w:rPr>
              <w:t xml:space="preserve">) / </w:t>
            </w:r>
            <w:r w:rsidRPr="005303F7">
              <w:rPr>
                <w:rFonts w:ascii="Times New Roman" w:hAnsi="Times New Roman"/>
                <w:sz w:val="20"/>
                <w:lang w:val="sr-Cyrl-CS" w:eastAsia="en-US"/>
              </w:rPr>
              <w:t>ЕБ</w:t>
            </w:r>
            <w:r w:rsidR="009E228C" w:rsidRPr="005303F7">
              <w:rPr>
                <w:rFonts w:ascii="Times New Roman" w:hAnsi="Times New Roman"/>
                <w:sz w:val="20"/>
                <w:lang w:val="sr-Cyrl-CS" w:eastAsia="en-US"/>
              </w:rPr>
              <w:t xml:space="preserve"> </w:t>
            </w:r>
            <w:r w:rsidR="00D73AAB" w:rsidRPr="005303F7">
              <w:rPr>
                <w:rFonts w:ascii="Times New Roman" w:hAnsi="Times New Roman"/>
                <w:sz w:val="20"/>
                <w:lang w:val="sr-Cyrl-CS" w:eastAsia="en-US"/>
              </w:rPr>
              <w:t>Републике Србије</w:t>
            </w:r>
          </w:p>
        </w:tc>
      </w:tr>
      <w:tr w:rsidR="009E228C" w:rsidRPr="005303F7" w14:paraId="2DD1E829" w14:textId="77777777" w:rsidTr="00451EB6">
        <w:trPr>
          <w:trHeight w:val="660"/>
        </w:trPr>
        <w:tc>
          <w:tcPr>
            <w:tcW w:w="4686" w:type="dxa"/>
            <w:vMerge/>
            <w:tcBorders>
              <w:left w:val="single" w:sz="4" w:space="0" w:color="auto"/>
              <w:right w:val="single" w:sz="4" w:space="0" w:color="auto"/>
            </w:tcBorders>
            <w:shd w:val="clear" w:color="auto" w:fill="auto"/>
            <w:vAlign w:val="center"/>
            <w:hideMark/>
          </w:tcPr>
          <w:p w14:paraId="5ECABFE0" w14:textId="77777777" w:rsidR="009E228C" w:rsidRPr="005303F7" w:rsidRDefault="009E228C" w:rsidP="00A17981">
            <w:pPr>
              <w:tabs>
                <w:tab w:val="clear" w:pos="3825"/>
              </w:tabs>
              <w:overflowPunct/>
              <w:autoSpaceDE/>
              <w:autoSpaceDN/>
              <w:adjustRightInd/>
              <w:spacing w:before="0" w:after="0"/>
              <w:jc w:val="left"/>
              <w:textAlignment w:val="auto"/>
              <w:rPr>
                <w:rFonts w:ascii="Times New Roman" w:hAnsi="Times New Roman"/>
                <w:sz w:val="20"/>
                <w:lang w:val="sr-Cyrl-CS" w:eastAsia="en-US"/>
              </w:rPr>
            </w:pPr>
          </w:p>
        </w:tc>
        <w:tc>
          <w:tcPr>
            <w:tcW w:w="2428" w:type="dxa"/>
            <w:tcBorders>
              <w:top w:val="single" w:sz="4" w:space="0" w:color="auto"/>
              <w:left w:val="nil"/>
              <w:bottom w:val="single" w:sz="4" w:space="0" w:color="auto"/>
              <w:right w:val="single" w:sz="4" w:space="0" w:color="auto"/>
            </w:tcBorders>
            <w:shd w:val="clear" w:color="auto" w:fill="auto"/>
            <w:vAlign w:val="center"/>
            <w:hideMark/>
          </w:tcPr>
          <w:p w14:paraId="232FD21D" w14:textId="3F4BEACD" w:rsidR="009E228C" w:rsidRPr="005303F7" w:rsidRDefault="008D69AF" w:rsidP="003358E9">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Емисије</w:t>
            </w:r>
            <w:r w:rsidR="00D47806"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GHG</w:t>
            </w:r>
            <w:r w:rsidR="00D47806" w:rsidRPr="005303F7">
              <w:rPr>
                <w:rFonts w:ascii="Times New Roman" w:hAnsi="Times New Roman"/>
                <w:sz w:val="20"/>
                <w:lang w:val="sr-Cyrl-CS" w:eastAsia="en-US"/>
              </w:rPr>
              <w:t xml:space="preserve"> </w:t>
            </w:r>
            <w:r w:rsidRPr="005303F7">
              <w:rPr>
                <w:rFonts w:ascii="Times New Roman" w:hAnsi="Times New Roman"/>
                <w:sz w:val="20"/>
                <w:lang w:val="sr-Cyrl-CS" w:eastAsia="en-US"/>
              </w:rPr>
              <w:t>у</w:t>
            </w:r>
            <w:r w:rsidR="00D47806" w:rsidRPr="005303F7">
              <w:rPr>
                <w:rFonts w:ascii="Times New Roman" w:hAnsi="Times New Roman"/>
                <w:sz w:val="20"/>
                <w:lang w:val="sr-Cyrl-CS" w:eastAsia="en-US"/>
              </w:rPr>
              <w:t xml:space="preserve"> </w:t>
            </w:r>
            <w:r w:rsidRPr="005303F7">
              <w:rPr>
                <w:rFonts w:ascii="Times New Roman" w:hAnsi="Times New Roman"/>
                <w:sz w:val="20"/>
                <w:lang w:val="sr-Cyrl-CS" w:eastAsia="en-US"/>
              </w:rPr>
              <w:t>сектору</w:t>
            </w:r>
            <w:r w:rsidR="00D47806" w:rsidRPr="005303F7">
              <w:rPr>
                <w:rFonts w:ascii="Times New Roman" w:hAnsi="Times New Roman"/>
                <w:sz w:val="20"/>
                <w:lang w:val="sr-Cyrl-CS" w:eastAsia="en-US"/>
              </w:rPr>
              <w:t xml:space="preserve"> </w:t>
            </w:r>
            <w:r w:rsidRPr="005303F7">
              <w:rPr>
                <w:rFonts w:ascii="Times New Roman" w:hAnsi="Times New Roman"/>
                <w:sz w:val="20"/>
                <w:lang w:val="sr-Cyrl-CS" w:eastAsia="en-US"/>
              </w:rPr>
              <w:t>саобраћаја</w:t>
            </w:r>
            <w:r w:rsidR="003358E9" w:rsidRPr="005303F7">
              <w:rPr>
                <w:rFonts w:ascii="Times New Roman" w:hAnsi="Times New Roman"/>
                <w:sz w:val="20"/>
                <w:lang w:val="sr-Cyrl-CS" w:eastAsia="en-US"/>
              </w:rPr>
              <w:t xml:space="preserve"> </w:t>
            </w:r>
            <w:r w:rsidR="009E228C" w:rsidRPr="005303F7">
              <w:rPr>
                <w:rFonts w:ascii="Times New Roman" w:hAnsi="Times New Roman"/>
                <w:sz w:val="20"/>
                <w:lang w:val="sr-Cyrl-CS" w:eastAsia="en-US"/>
              </w:rPr>
              <w:t>(</w:t>
            </w:r>
            <w:r w:rsidR="00D97B92" w:rsidRPr="005303F7">
              <w:rPr>
                <w:rFonts w:ascii="Times New Roman" w:hAnsi="Times New Roman"/>
                <w:sz w:val="20"/>
                <w:lang w:val="sr-Cyrl-CS" w:eastAsia="en-US"/>
              </w:rPr>
              <w:t>ktC</w:t>
            </w:r>
            <w:r w:rsidRPr="005303F7">
              <w:rPr>
                <w:rFonts w:ascii="Times New Roman" w:hAnsi="Times New Roman"/>
                <w:sz w:val="20"/>
                <w:lang w:val="sr-Cyrl-CS" w:eastAsia="en-US"/>
              </w:rPr>
              <w:t>О</w:t>
            </w:r>
            <w:r w:rsidR="009E228C" w:rsidRPr="005303F7">
              <w:rPr>
                <w:rFonts w:ascii="Times New Roman" w:hAnsi="Times New Roman"/>
                <w:sz w:val="20"/>
                <w:vertAlign w:val="subscript"/>
                <w:lang w:val="sr-Cyrl-CS" w:eastAsia="en-US"/>
              </w:rPr>
              <w:t>2</w:t>
            </w:r>
            <w:r w:rsidRPr="005303F7">
              <w:rPr>
                <w:rFonts w:ascii="Times New Roman" w:hAnsi="Times New Roman"/>
                <w:sz w:val="20"/>
                <w:lang w:val="sr-Cyrl-CS" w:eastAsia="en-US"/>
              </w:rPr>
              <w:t>е</w:t>
            </w:r>
            <w:r w:rsidR="009E228C" w:rsidRPr="005303F7">
              <w:rPr>
                <w:rFonts w:ascii="Times New Roman" w:hAnsi="Times New Roman"/>
                <w:sz w:val="20"/>
                <w:lang w:val="sr-Cyrl-CS" w:eastAsia="en-US"/>
              </w:rPr>
              <w:t>)</w:t>
            </w:r>
          </w:p>
        </w:tc>
        <w:tc>
          <w:tcPr>
            <w:tcW w:w="1158" w:type="dxa"/>
            <w:tcBorders>
              <w:top w:val="nil"/>
              <w:left w:val="nil"/>
              <w:bottom w:val="single" w:sz="4" w:space="0" w:color="auto"/>
              <w:right w:val="single" w:sz="4" w:space="0" w:color="auto"/>
            </w:tcBorders>
            <w:shd w:val="clear" w:color="auto" w:fill="auto"/>
            <w:vAlign w:val="center"/>
            <w:hideMark/>
          </w:tcPr>
          <w:p w14:paraId="7C9C5EED"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5.995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29360"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7.433</w:t>
            </w:r>
          </w:p>
        </w:tc>
        <w:tc>
          <w:tcPr>
            <w:tcW w:w="939" w:type="dxa"/>
            <w:tcBorders>
              <w:top w:val="single" w:sz="4" w:space="0" w:color="auto"/>
              <w:left w:val="single" w:sz="4" w:space="0" w:color="auto"/>
              <w:bottom w:val="single" w:sz="4" w:space="0" w:color="auto"/>
              <w:right w:val="nil"/>
            </w:tcBorders>
            <w:shd w:val="clear" w:color="auto" w:fill="auto"/>
            <w:vAlign w:val="center"/>
            <w:hideMark/>
          </w:tcPr>
          <w:p w14:paraId="160C854C"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4.731</w:t>
            </w:r>
          </w:p>
        </w:tc>
        <w:tc>
          <w:tcPr>
            <w:tcW w:w="356" w:type="dxa"/>
            <w:tcBorders>
              <w:top w:val="single" w:sz="4" w:space="0" w:color="auto"/>
              <w:left w:val="nil"/>
              <w:bottom w:val="single" w:sz="4" w:space="0" w:color="auto"/>
              <w:right w:val="nil"/>
            </w:tcBorders>
            <w:shd w:val="clear" w:color="auto" w:fill="auto"/>
            <w:vAlign w:val="center"/>
            <w:hideMark/>
          </w:tcPr>
          <w:p w14:paraId="796269A8"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w:t>
            </w:r>
          </w:p>
        </w:tc>
        <w:tc>
          <w:tcPr>
            <w:tcW w:w="995" w:type="dxa"/>
            <w:tcBorders>
              <w:top w:val="single" w:sz="4" w:space="0" w:color="auto"/>
              <w:left w:val="nil"/>
              <w:bottom w:val="single" w:sz="4" w:space="0" w:color="auto"/>
              <w:right w:val="nil"/>
            </w:tcBorders>
            <w:shd w:val="clear" w:color="auto" w:fill="auto"/>
            <w:vAlign w:val="center"/>
            <w:hideMark/>
          </w:tcPr>
          <w:p w14:paraId="4F7C42F3"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3.091</w:t>
            </w:r>
          </w:p>
        </w:tc>
        <w:tc>
          <w:tcPr>
            <w:tcW w:w="2840" w:type="dxa"/>
            <w:tcBorders>
              <w:top w:val="nil"/>
              <w:left w:val="single" w:sz="4" w:space="0" w:color="auto"/>
              <w:bottom w:val="single" w:sz="4" w:space="0" w:color="auto"/>
              <w:right w:val="single" w:sz="4" w:space="0" w:color="auto"/>
            </w:tcBorders>
            <w:shd w:val="clear" w:color="auto" w:fill="auto"/>
            <w:vAlign w:val="center"/>
            <w:hideMark/>
          </w:tcPr>
          <w:p w14:paraId="6D2133EC" w14:textId="6B689663" w:rsidR="009E228C" w:rsidRPr="005303F7" w:rsidRDefault="008D69AF" w:rsidP="001D7115">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Извештај</w:t>
            </w:r>
            <w:r w:rsidR="001D711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Националног</w:t>
            </w:r>
            <w:r w:rsidR="001D711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инвентара</w:t>
            </w:r>
            <w:r w:rsidR="001D7115" w:rsidRPr="005303F7">
              <w:rPr>
                <w:rFonts w:ascii="Times New Roman" w:hAnsi="Times New Roman"/>
                <w:sz w:val="20"/>
                <w:lang w:val="sr-Cyrl-CS" w:eastAsia="en-US"/>
              </w:rPr>
              <w:t xml:space="preserve"> </w:t>
            </w:r>
            <w:r w:rsidR="00D97B92" w:rsidRPr="005303F7">
              <w:rPr>
                <w:rFonts w:ascii="Times New Roman" w:hAnsi="Times New Roman"/>
                <w:sz w:val="20"/>
                <w:lang w:val="sr-Cyrl-CS" w:eastAsia="en-US"/>
              </w:rPr>
              <w:t>GHG</w:t>
            </w:r>
            <w:r w:rsidR="009E228C" w:rsidRPr="005303F7">
              <w:rPr>
                <w:rFonts w:ascii="Times New Roman" w:hAnsi="Times New Roman"/>
                <w:sz w:val="20"/>
                <w:lang w:val="sr-Cyrl-CS" w:eastAsia="en-US"/>
              </w:rPr>
              <w:br/>
              <w:t>(</w:t>
            </w:r>
            <w:r w:rsidR="00D97B92" w:rsidRPr="005303F7">
              <w:rPr>
                <w:rFonts w:ascii="Times New Roman" w:hAnsi="Times New Roman"/>
                <w:sz w:val="20"/>
                <w:lang w:val="sr-Cyrl-CS" w:eastAsia="en-US"/>
              </w:rPr>
              <w:t>IPCC</w:t>
            </w:r>
            <w:r w:rsidR="009E228C" w:rsidRPr="005303F7">
              <w:rPr>
                <w:rFonts w:ascii="Times New Roman" w:hAnsi="Times New Roman"/>
                <w:sz w:val="20"/>
                <w:lang w:val="sr-Cyrl-CS" w:eastAsia="en-US"/>
              </w:rPr>
              <w:t xml:space="preserve"> </w:t>
            </w:r>
            <w:r w:rsidRPr="005303F7">
              <w:rPr>
                <w:rFonts w:ascii="Times New Roman" w:hAnsi="Times New Roman"/>
                <w:sz w:val="20"/>
                <w:lang w:val="sr-Cyrl-CS" w:eastAsia="en-US"/>
              </w:rPr>
              <w:t>категорија</w:t>
            </w:r>
            <w:r w:rsidR="00733F76" w:rsidRPr="005303F7">
              <w:rPr>
                <w:rFonts w:ascii="Times New Roman" w:hAnsi="Times New Roman"/>
                <w:sz w:val="20"/>
                <w:lang w:val="sr-Cyrl-CS" w:eastAsia="en-US"/>
              </w:rPr>
              <w:t xml:space="preserve"> </w:t>
            </w:r>
            <w:r w:rsidR="009E228C" w:rsidRPr="005303F7">
              <w:rPr>
                <w:rFonts w:ascii="Times New Roman" w:hAnsi="Times New Roman"/>
                <w:sz w:val="20"/>
                <w:lang w:val="sr-Cyrl-CS" w:eastAsia="en-US"/>
              </w:rPr>
              <w:t>- 1</w:t>
            </w:r>
            <w:r w:rsidRPr="005303F7">
              <w:rPr>
                <w:rFonts w:ascii="Times New Roman" w:hAnsi="Times New Roman"/>
                <w:sz w:val="20"/>
                <w:lang w:val="sr-Cyrl-CS" w:eastAsia="en-US"/>
              </w:rPr>
              <w:t>А</w:t>
            </w:r>
            <w:r w:rsidR="009E228C" w:rsidRPr="005303F7">
              <w:rPr>
                <w:rFonts w:ascii="Times New Roman" w:hAnsi="Times New Roman"/>
                <w:sz w:val="20"/>
                <w:lang w:val="sr-Cyrl-CS" w:eastAsia="en-US"/>
              </w:rPr>
              <w:t>3)</w:t>
            </w:r>
          </w:p>
        </w:tc>
      </w:tr>
      <w:tr w:rsidR="009E228C" w:rsidRPr="005303F7" w14:paraId="5E7EC1E6" w14:textId="77777777" w:rsidTr="00451EB6">
        <w:trPr>
          <w:trHeight w:val="660"/>
        </w:trPr>
        <w:tc>
          <w:tcPr>
            <w:tcW w:w="4686" w:type="dxa"/>
            <w:vMerge/>
            <w:tcBorders>
              <w:left w:val="single" w:sz="4" w:space="0" w:color="auto"/>
              <w:right w:val="single" w:sz="4" w:space="0" w:color="auto"/>
            </w:tcBorders>
            <w:shd w:val="clear" w:color="auto" w:fill="auto"/>
            <w:vAlign w:val="center"/>
            <w:hideMark/>
          </w:tcPr>
          <w:p w14:paraId="68C43772" w14:textId="77777777" w:rsidR="009E228C" w:rsidRPr="005303F7" w:rsidRDefault="009E228C" w:rsidP="00A17981">
            <w:pPr>
              <w:spacing w:before="0" w:after="0"/>
              <w:jc w:val="left"/>
              <w:rPr>
                <w:rFonts w:ascii="Times New Roman" w:hAnsi="Times New Roman"/>
                <w:sz w:val="20"/>
                <w:lang w:val="sr-Cyrl-CS" w:eastAsia="en-US"/>
              </w:rPr>
            </w:pPr>
          </w:p>
        </w:tc>
        <w:tc>
          <w:tcPr>
            <w:tcW w:w="2428" w:type="dxa"/>
            <w:tcBorders>
              <w:top w:val="nil"/>
              <w:left w:val="nil"/>
              <w:bottom w:val="single" w:sz="4" w:space="0" w:color="auto"/>
              <w:right w:val="single" w:sz="4" w:space="0" w:color="auto"/>
            </w:tcBorders>
            <w:shd w:val="clear" w:color="auto" w:fill="auto"/>
            <w:vAlign w:val="center"/>
            <w:hideMark/>
          </w:tcPr>
          <w:p w14:paraId="4A90065A" w14:textId="55DB523A" w:rsidR="009E228C" w:rsidRPr="005303F7" w:rsidRDefault="00FE15B2" w:rsidP="00FE15B2">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Угљенични и</w:t>
            </w:r>
            <w:r w:rsidR="008D69AF" w:rsidRPr="005303F7">
              <w:rPr>
                <w:rFonts w:ascii="Times New Roman" w:hAnsi="Times New Roman"/>
                <w:sz w:val="20"/>
                <w:lang w:val="sr-Cyrl-CS" w:eastAsia="en-US"/>
              </w:rPr>
              <w:t>нтензитет</w:t>
            </w:r>
            <w:r w:rsidR="00AF46CE" w:rsidRPr="005303F7">
              <w:rPr>
                <w:rFonts w:ascii="Times New Roman" w:hAnsi="Times New Roman"/>
                <w:sz w:val="20"/>
                <w:lang w:val="sr-Cyrl-CS" w:eastAsia="en-US"/>
              </w:rPr>
              <w:t xml:space="preserve"> </w:t>
            </w:r>
            <w:r w:rsidR="008D69AF" w:rsidRPr="005303F7">
              <w:rPr>
                <w:rFonts w:ascii="Times New Roman" w:hAnsi="Times New Roman"/>
                <w:sz w:val="20"/>
                <w:lang w:val="sr-Cyrl-CS" w:eastAsia="en-US"/>
              </w:rPr>
              <w:t>друмско</w:t>
            </w:r>
            <w:r w:rsidRPr="005303F7">
              <w:rPr>
                <w:rFonts w:ascii="Times New Roman" w:hAnsi="Times New Roman"/>
                <w:sz w:val="20"/>
                <w:lang w:val="sr-Cyrl-CS" w:eastAsia="en-US"/>
              </w:rPr>
              <w:t>г</w:t>
            </w:r>
            <w:r w:rsidR="00AF46CE" w:rsidRPr="005303F7">
              <w:rPr>
                <w:rFonts w:ascii="Times New Roman" w:hAnsi="Times New Roman"/>
                <w:sz w:val="20"/>
                <w:lang w:val="sr-Cyrl-CS" w:eastAsia="en-US"/>
              </w:rPr>
              <w:t xml:space="preserve"> </w:t>
            </w:r>
            <w:r w:rsidR="008D69AF" w:rsidRPr="005303F7">
              <w:rPr>
                <w:rFonts w:ascii="Times New Roman" w:hAnsi="Times New Roman"/>
                <w:sz w:val="20"/>
                <w:lang w:val="sr-Cyrl-CS" w:eastAsia="en-US"/>
              </w:rPr>
              <w:t>саобраћај</w:t>
            </w:r>
            <w:r w:rsidRPr="005303F7">
              <w:rPr>
                <w:rFonts w:ascii="Times New Roman" w:hAnsi="Times New Roman"/>
                <w:sz w:val="20"/>
                <w:lang w:val="sr-Cyrl-CS" w:eastAsia="en-US"/>
              </w:rPr>
              <w:t>а</w:t>
            </w:r>
            <w:r w:rsidR="009E228C" w:rsidRPr="005303F7">
              <w:rPr>
                <w:rFonts w:ascii="Times New Roman" w:hAnsi="Times New Roman"/>
                <w:sz w:val="20"/>
                <w:lang w:val="sr-Cyrl-CS" w:eastAsia="en-US"/>
              </w:rPr>
              <w:br/>
              <w:t>(</w:t>
            </w:r>
            <w:r w:rsidR="00D97B92" w:rsidRPr="005303F7">
              <w:rPr>
                <w:rFonts w:ascii="Times New Roman" w:hAnsi="Times New Roman"/>
                <w:sz w:val="20"/>
                <w:lang w:val="sr-Cyrl-CS" w:eastAsia="en-US"/>
              </w:rPr>
              <w:t>tC</w:t>
            </w:r>
            <w:r w:rsidR="008D69AF" w:rsidRPr="005303F7">
              <w:rPr>
                <w:rFonts w:ascii="Times New Roman" w:hAnsi="Times New Roman"/>
                <w:sz w:val="20"/>
                <w:lang w:val="sr-Cyrl-CS" w:eastAsia="en-US"/>
              </w:rPr>
              <w:t>О</w:t>
            </w:r>
            <w:r w:rsidR="009E228C" w:rsidRPr="005303F7">
              <w:rPr>
                <w:rFonts w:ascii="Times New Roman" w:hAnsi="Times New Roman"/>
                <w:sz w:val="20"/>
                <w:vertAlign w:val="subscript"/>
                <w:lang w:val="sr-Cyrl-CS" w:eastAsia="en-US"/>
              </w:rPr>
              <w:t>2</w:t>
            </w:r>
            <w:r w:rsidR="009E228C" w:rsidRPr="005303F7">
              <w:rPr>
                <w:rFonts w:ascii="Times New Roman" w:hAnsi="Times New Roman"/>
                <w:sz w:val="20"/>
                <w:lang w:val="sr-Cyrl-CS" w:eastAsia="en-US"/>
              </w:rPr>
              <w:t>/</w:t>
            </w:r>
            <w:r w:rsidR="00D97B92" w:rsidRPr="005303F7">
              <w:rPr>
                <w:rFonts w:ascii="Times New Roman" w:hAnsi="Times New Roman"/>
                <w:sz w:val="20"/>
                <w:lang w:val="sr-Cyrl-CS" w:eastAsia="en-US"/>
              </w:rPr>
              <w:t>toe</w:t>
            </w:r>
            <w:r w:rsidR="009E228C" w:rsidRPr="005303F7">
              <w:rPr>
                <w:rFonts w:ascii="Times New Roman" w:hAnsi="Times New Roman"/>
                <w:sz w:val="20"/>
                <w:lang w:val="sr-Cyrl-CS" w:eastAsia="en-US"/>
              </w:rPr>
              <w:t>)</w:t>
            </w:r>
          </w:p>
        </w:tc>
        <w:tc>
          <w:tcPr>
            <w:tcW w:w="1158" w:type="dxa"/>
            <w:tcBorders>
              <w:top w:val="nil"/>
              <w:left w:val="nil"/>
              <w:bottom w:val="single" w:sz="4" w:space="0" w:color="auto"/>
              <w:right w:val="single" w:sz="4" w:space="0" w:color="auto"/>
            </w:tcBorders>
            <w:shd w:val="clear" w:color="auto" w:fill="auto"/>
            <w:vAlign w:val="center"/>
            <w:hideMark/>
          </w:tcPr>
          <w:p w14:paraId="125080CB"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3,0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993E9"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2,9</w:t>
            </w:r>
          </w:p>
        </w:tc>
        <w:tc>
          <w:tcPr>
            <w:tcW w:w="939" w:type="dxa"/>
            <w:tcBorders>
              <w:top w:val="single" w:sz="4" w:space="0" w:color="auto"/>
              <w:left w:val="single" w:sz="4" w:space="0" w:color="auto"/>
              <w:bottom w:val="single" w:sz="4" w:space="0" w:color="auto"/>
              <w:right w:val="nil"/>
            </w:tcBorders>
            <w:shd w:val="clear" w:color="auto" w:fill="auto"/>
            <w:vAlign w:val="center"/>
            <w:hideMark/>
          </w:tcPr>
          <w:p w14:paraId="2E5C12E9"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2,7</w:t>
            </w:r>
          </w:p>
        </w:tc>
        <w:tc>
          <w:tcPr>
            <w:tcW w:w="356" w:type="dxa"/>
            <w:tcBorders>
              <w:top w:val="single" w:sz="4" w:space="0" w:color="auto"/>
              <w:left w:val="nil"/>
              <w:bottom w:val="single" w:sz="4" w:space="0" w:color="auto"/>
              <w:right w:val="nil"/>
            </w:tcBorders>
            <w:shd w:val="clear" w:color="auto" w:fill="auto"/>
            <w:vAlign w:val="center"/>
            <w:hideMark/>
          </w:tcPr>
          <w:p w14:paraId="1D4E3024"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w:t>
            </w:r>
          </w:p>
        </w:tc>
        <w:tc>
          <w:tcPr>
            <w:tcW w:w="995" w:type="dxa"/>
            <w:tcBorders>
              <w:top w:val="single" w:sz="4" w:space="0" w:color="auto"/>
              <w:left w:val="nil"/>
              <w:bottom w:val="single" w:sz="4" w:space="0" w:color="auto"/>
              <w:right w:val="nil"/>
            </w:tcBorders>
            <w:shd w:val="clear" w:color="auto" w:fill="auto"/>
            <w:vAlign w:val="center"/>
            <w:hideMark/>
          </w:tcPr>
          <w:p w14:paraId="5B999118"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2,5</w:t>
            </w:r>
          </w:p>
        </w:tc>
        <w:tc>
          <w:tcPr>
            <w:tcW w:w="2840" w:type="dxa"/>
            <w:tcBorders>
              <w:top w:val="nil"/>
              <w:left w:val="single" w:sz="4" w:space="0" w:color="auto"/>
              <w:bottom w:val="single" w:sz="4" w:space="0" w:color="auto"/>
              <w:right w:val="single" w:sz="4" w:space="0" w:color="auto"/>
            </w:tcBorders>
            <w:shd w:val="clear" w:color="auto" w:fill="auto"/>
            <w:vAlign w:val="center"/>
            <w:hideMark/>
          </w:tcPr>
          <w:p w14:paraId="2D603284" w14:textId="6A745419" w:rsidR="009E228C" w:rsidRPr="005303F7" w:rsidRDefault="008D69AF" w:rsidP="00AF46CE">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Извештај</w:t>
            </w:r>
            <w:r w:rsidR="00AF46CE" w:rsidRPr="005303F7">
              <w:rPr>
                <w:rFonts w:ascii="Times New Roman" w:hAnsi="Times New Roman"/>
                <w:sz w:val="20"/>
                <w:lang w:val="sr-Cyrl-CS" w:eastAsia="en-US"/>
              </w:rPr>
              <w:t xml:space="preserve"> </w:t>
            </w:r>
            <w:r w:rsidRPr="005303F7">
              <w:rPr>
                <w:rFonts w:ascii="Times New Roman" w:hAnsi="Times New Roman"/>
                <w:sz w:val="20"/>
                <w:lang w:val="sr-Cyrl-CS" w:eastAsia="en-US"/>
              </w:rPr>
              <w:t>националног</w:t>
            </w:r>
            <w:r w:rsidR="00AF46CE" w:rsidRPr="005303F7">
              <w:rPr>
                <w:rFonts w:ascii="Times New Roman" w:hAnsi="Times New Roman"/>
                <w:sz w:val="20"/>
                <w:lang w:val="sr-Cyrl-CS" w:eastAsia="en-US"/>
              </w:rPr>
              <w:t xml:space="preserve"> </w:t>
            </w:r>
            <w:r w:rsidRPr="005303F7">
              <w:rPr>
                <w:rFonts w:ascii="Times New Roman" w:hAnsi="Times New Roman"/>
                <w:sz w:val="20"/>
                <w:lang w:val="sr-Cyrl-CS" w:eastAsia="en-US"/>
              </w:rPr>
              <w:t>инвентара</w:t>
            </w:r>
            <w:r w:rsidR="009E228C" w:rsidRPr="005303F7">
              <w:rPr>
                <w:rFonts w:ascii="Times New Roman" w:hAnsi="Times New Roman"/>
                <w:sz w:val="20"/>
                <w:lang w:val="sr-Cyrl-CS" w:eastAsia="en-US"/>
              </w:rPr>
              <w:t xml:space="preserve"> </w:t>
            </w:r>
            <w:r w:rsidR="009E228C" w:rsidRPr="005303F7">
              <w:rPr>
                <w:rFonts w:ascii="Times New Roman" w:hAnsi="Times New Roman"/>
                <w:sz w:val="20"/>
                <w:lang w:val="sr-Cyrl-CS" w:eastAsia="en-US"/>
              </w:rPr>
              <w:br/>
              <w:t>(1</w:t>
            </w:r>
            <w:r w:rsidRPr="005303F7">
              <w:rPr>
                <w:rFonts w:ascii="Times New Roman" w:hAnsi="Times New Roman"/>
                <w:sz w:val="20"/>
                <w:lang w:val="sr-Cyrl-CS" w:eastAsia="en-US"/>
              </w:rPr>
              <w:t>А</w:t>
            </w:r>
            <w:r w:rsidR="009E228C" w:rsidRPr="005303F7">
              <w:rPr>
                <w:rFonts w:ascii="Times New Roman" w:hAnsi="Times New Roman"/>
                <w:sz w:val="20"/>
                <w:lang w:val="sr-Cyrl-CS" w:eastAsia="en-US"/>
              </w:rPr>
              <w:t>3-</w:t>
            </w:r>
            <w:r w:rsidR="00D97B92" w:rsidRPr="005303F7">
              <w:rPr>
                <w:rFonts w:ascii="Times New Roman" w:hAnsi="Times New Roman"/>
                <w:sz w:val="20"/>
                <w:lang w:val="sr-Cyrl-CS" w:eastAsia="en-US"/>
              </w:rPr>
              <w:t>C</w:t>
            </w:r>
            <w:r w:rsidRPr="005303F7">
              <w:rPr>
                <w:rFonts w:ascii="Times New Roman" w:hAnsi="Times New Roman"/>
                <w:sz w:val="20"/>
                <w:lang w:val="sr-Cyrl-CS" w:eastAsia="en-US"/>
              </w:rPr>
              <w:t>О</w:t>
            </w:r>
            <w:r w:rsidR="009E228C" w:rsidRPr="005303F7">
              <w:rPr>
                <w:rFonts w:ascii="Times New Roman" w:hAnsi="Times New Roman"/>
                <w:sz w:val="20"/>
                <w:vertAlign w:val="subscript"/>
                <w:lang w:val="sr-Cyrl-CS" w:eastAsia="en-US"/>
              </w:rPr>
              <w:t>2</w:t>
            </w:r>
            <w:r w:rsidR="009E228C" w:rsidRPr="005303F7">
              <w:rPr>
                <w:rFonts w:ascii="Times New Roman" w:hAnsi="Times New Roman"/>
                <w:sz w:val="20"/>
                <w:lang w:val="sr-Cyrl-CS" w:eastAsia="en-US"/>
              </w:rPr>
              <w:t xml:space="preserve"> </w:t>
            </w:r>
            <w:r w:rsidRPr="005303F7">
              <w:rPr>
                <w:rFonts w:ascii="Times New Roman" w:hAnsi="Times New Roman"/>
                <w:sz w:val="20"/>
                <w:lang w:val="sr-Cyrl-CS" w:eastAsia="en-US"/>
              </w:rPr>
              <w:t>путнички</w:t>
            </w:r>
            <w:r w:rsidR="00AF46CE" w:rsidRPr="005303F7">
              <w:rPr>
                <w:rFonts w:ascii="Times New Roman" w:hAnsi="Times New Roman"/>
                <w:sz w:val="20"/>
                <w:lang w:val="sr-Cyrl-CS" w:eastAsia="en-US"/>
              </w:rPr>
              <w:t xml:space="preserve"> </w:t>
            </w:r>
            <w:r w:rsidRPr="005303F7">
              <w:rPr>
                <w:rFonts w:ascii="Times New Roman" w:hAnsi="Times New Roman"/>
                <w:sz w:val="20"/>
                <w:lang w:val="sr-Cyrl-CS" w:eastAsia="en-US"/>
              </w:rPr>
              <w:t>транспорт</w:t>
            </w:r>
            <w:r w:rsidR="009E228C" w:rsidRPr="005303F7">
              <w:rPr>
                <w:rFonts w:ascii="Times New Roman" w:hAnsi="Times New Roman"/>
                <w:sz w:val="20"/>
                <w:lang w:val="sr-Cyrl-CS" w:eastAsia="en-US"/>
              </w:rPr>
              <w:t xml:space="preserve">)/ </w:t>
            </w:r>
            <w:r w:rsidRPr="005303F7">
              <w:rPr>
                <w:rFonts w:ascii="Times New Roman" w:hAnsi="Times New Roman"/>
                <w:sz w:val="20"/>
                <w:lang w:val="sr-Cyrl-CS" w:eastAsia="en-US"/>
              </w:rPr>
              <w:t>Енергетски</w:t>
            </w:r>
            <w:r w:rsidR="00DD3496" w:rsidRPr="005303F7">
              <w:rPr>
                <w:rFonts w:ascii="Times New Roman" w:hAnsi="Times New Roman"/>
                <w:sz w:val="20"/>
                <w:lang w:val="sr-Cyrl-CS" w:eastAsia="en-US"/>
              </w:rPr>
              <w:t xml:space="preserve"> </w:t>
            </w:r>
            <w:r w:rsidRPr="005303F7">
              <w:rPr>
                <w:rFonts w:ascii="Times New Roman" w:hAnsi="Times New Roman"/>
                <w:sz w:val="20"/>
                <w:lang w:val="sr-Cyrl-CS" w:eastAsia="en-US"/>
              </w:rPr>
              <w:t>биланс</w:t>
            </w:r>
            <w:r w:rsidR="009E228C" w:rsidRPr="005303F7">
              <w:rPr>
                <w:rFonts w:ascii="Times New Roman" w:hAnsi="Times New Roman"/>
                <w:sz w:val="20"/>
                <w:lang w:val="sr-Cyrl-CS" w:eastAsia="en-US"/>
              </w:rPr>
              <w:t xml:space="preserve"> </w:t>
            </w:r>
            <w:r w:rsidR="00D73AAB" w:rsidRPr="005303F7">
              <w:rPr>
                <w:rFonts w:ascii="Times New Roman" w:hAnsi="Times New Roman"/>
                <w:sz w:val="20"/>
                <w:lang w:val="sr-Cyrl-CS" w:eastAsia="en-US"/>
              </w:rPr>
              <w:t>Републике Србије</w:t>
            </w:r>
          </w:p>
        </w:tc>
      </w:tr>
      <w:tr w:rsidR="009E228C" w:rsidRPr="005303F7" w14:paraId="6AABF01E" w14:textId="77777777" w:rsidTr="00451EB6">
        <w:trPr>
          <w:trHeight w:val="945"/>
        </w:trPr>
        <w:tc>
          <w:tcPr>
            <w:tcW w:w="4686" w:type="dxa"/>
            <w:vMerge/>
            <w:tcBorders>
              <w:left w:val="single" w:sz="4" w:space="0" w:color="auto"/>
              <w:bottom w:val="single" w:sz="4" w:space="0" w:color="auto"/>
              <w:right w:val="single" w:sz="4" w:space="0" w:color="auto"/>
            </w:tcBorders>
            <w:shd w:val="clear" w:color="auto" w:fill="auto"/>
            <w:vAlign w:val="center"/>
            <w:hideMark/>
          </w:tcPr>
          <w:p w14:paraId="3FE18D7D" w14:textId="77777777" w:rsidR="009E228C" w:rsidRPr="005303F7" w:rsidRDefault="009E228C" w:rsidP="00A17981">
            <w:pPr>
              <w:tabs>
                <w:tab w:val="clear" w:pos="3825"/>
              </w:tabs>
              <w:overflowPunct/>
              <w:autoSpaceDE/>
              <w:autoSpaceDN/>
              <w:adjustRightInd/>
              <w:spacing w:before="0" w:after="0"/>
              <w:jc w:val="left"/>
              <w:textAlignment w:val="auto"/>
              <w:rPr>
                <w:rFonts w:ascii="Times New Roman" w:hAnsi="Times New Roman"/>
                <w:sz w:val="20"/>
                <w:lang w:val="sr-Cyrl-CS" w:eastAsia="en-US"/>
              </w:rPr>
            </w:pPr>
          </w:p>
        </w:tc>
        <w:tc>
          <w:tcPr>
            <w:tcW w:w="2428" w:type="dxa"/>
            <w:tcBorders>
              <w:top w:val="nil"/>
              <w:left w:val="nil"/>
              <w:bottom w:val="single" w:sz="4" w:space="0" w:color="auto"/>
              <w:right w:val="single" w:sz="4" w:space="0" w:color="auto"/>
            </w:tcBorders>
            <w:shd w:val="clear" w:color="auto" w:fill="auto"/>
            <w:vAlign w:val="center"/>
            <w:hideMark/>
          </w:tcPr>
          <w:p w14:paraId="4AFDD4B1" w14:textId="10D438DA" w:rsidR="009E228C" w:rsidRPr="005303F7" w:rsidRDefault="008D69AF"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Ефикасност</w:t>
            </w:r>
            <w:r w:rsidR="00AF46CE"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теретног</w:t>
            </w:r>
            <w:r w:rsidR="00AF46CE"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транспорта</w:t>
            </w:r>
            <w:r w:rsidR="009E228C" w:rsidRPr="005303F7">
              <w:rPr>
                <w:rFonts w:ascii="Times New Roman" w:hAnsi="Times New Roman"/>
                <w:color w:val="000000"/>
                <w:sz w:val="20"/>
                <w:lang w:val="sr-Cyrl-CS" w:eastAsia="en-US"/>
              </w:rPr>
              <w:br/>
              <w:t>(</w:t>
            </w:r>
            <w:r w:rsidR="00D97B92" w:rsidRPr="005303F7">
              <w:rPr>
                <w:rFonts w:ascii="Times New Roman" w:hAnsi="Times New Roman"/>
                <w:color w:val="000000"/>
                <w:sz w:val="20"/>
                <w:lang w:val="sr-Cyrl-CS" w:eastAsia="en-US"/>
              </w:rPr>
              <w:t>toe</w:t>
            </w:r>
            <w:r w:rsidR="009E228C" w:rsidRPr="005303F7">
              <w:rPr>
                <w:rFonts w:ascii="Times New Roman" w:hAnsi="Times New Roman"/>
                <w:color w:val="000000"/>
                <w:sz w:val="20"/>
                <w:lang w:val="sr-Cyrl-CS" w:eastAsia="en-US"/>
              </w:rPr>
              <w:t>/</w:t>
            </w:r>
            <w:r w:rsidRPr="005303F7">
              <w:rPr>
                <w:rFonts w:ascii="Times New Roman" w:hAnsi="Times New Roman"/>
                <w:color w:val="000000"/>
                <w:sz w:val="20"/>
                <w:lang w:val="sr-Cyrl-CS" w:eastAsia="en-US"/>
              </w:rPr>
              <w:t>М</w:t>
            </w:r>
            <w:r w:rsidR="00D97B92" w:rsidRPr="005303F7">
              <w:rPr>
                <w:rFonts w:ascii="Times New Roman" w:hAnsi="Times New Roman"/>
                <w:color w:val="000000"/>
                <w:sz w:val="20"/>
                <w:lang w:val="sr-Cyrl-CS" w:eastAsia="en-US"/>
              </w:rPr>
              <w:t>tkm</w:t>
            </w:r>
            <w:r w:rsidR="009E228C" w:rsidRPr="005303F7">
              <w:rPr>
                <w:rFonts w:ascii="Times New Roman" w:hAnsi="Times New Roman"/>
                <w:color w:val="000000"/>
                <w:sz w:val="20"/>
                <w:lang w:val="sr-Cyrl-CS" w:eastAsia="en-US"/>
              </w:rPr>
              <w:t>)</w:t>
            </w:r>
          </w:p>
        </w:tc>
        <w:tc>
          <w:tcPr>
            <w:tcW w:w="1158" w:type="dxa"/>
            <w:tcBorders>
              <w:top w:val="nil"/>
              <w:left w:val="nil"/>
              <w:bottom w:val="single" w:sz="4" w:space="0" w:color="auto"/>
              <w:right w:val="single" w:sz="4" w:space="0" w:color="auto"/>
            </w:tcBorders>
            <w:shd w:val="clear" w:color="auto" w:fill="auto"/>
            <w:vAlign w:val="center"/>
            <w:hideMark/>
          </w:tcPr>
          <w:p w14:paraId="06D573CE"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25,4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84FB9"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22,6</w:t>
            </w:r>
          </w:p>
        </w:tc>
        <w:tc>
          <w:tcPr>
            <w:tcW w:w="939" w:type="dxa"/>
            <w:tcBorders>
              <w:top w:val="single" w:sz="4" w:space="0" w:color="auto"/>
              <w:left w:val="single" w:sz="4" w:space="0" w:color="auto"/>
              <w:bottom w:val="single" w:sz="4" w:space="0" w:color="auto"/>
              <w:right w:val="nil"/>
            </w:tcBorders>
            <w:shd w:val="clear" w:color="auto" w:fill="auto"/>
            <w:vAlign w:val="center"/>
            <w:hideMark/>
          </w:tcPr>
          <w:p w14:paraId="30A7344A"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19,0</w:t>
            </w:r>
          </w:p>
        </w:tc>
        <w:tc>
          <w:tcPr>
            <w:tcW w:w="356" w:type="dxa"/>
            <w:tcBorders>
              <w:top w:val="single" w:sz="4" w:space="0" w:color="auto"/>
              <w:left w:val="nil"/>
              <w:bottom w:val="single" w:sz="4" w:space="0" w:color="auto"/>
              <w:right w:val="nil"/>
            </w:tcBorders>
            <w:shd w:val="clear" w:color="auto" w:fill="auto"/>
            <w:vAlign w:val="center"/>
            <w:hideMark/>
          </w:tcPr>
          <w:p w14:paraId="198DCAAF"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w:t>
            </w:r>
          </w:p>
        </w:tc>
        <w:tc>
          <w:tcPr>
            <w:tcW w:w="995" w:type="dxa"/>
            <w:tcBorders>
              <w:top w:val="single" w:sz="4" w:space="0" w:color="auto"/>
              <w:left w:val="nil"/>
              <w:bottom w:val="single" w:sz="4" w:space="0" w:color="auto"/>
              <w:right w:val="nil"/>
            </w:tcBorders>
            <w:shd w:val="clear" w:color="auto" w:fill="auto"/>
            <w:vAlign w:val="center"/>
            <w:hideMark/>
          </w:tcPr>
          <w:p w14:paraId="6FA56035"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15,6</w:t>
            </w:r>
          </w:p>
        </w:tc>
        <w:tc>
          <w:tcPr>
            <w:tcW w:w="2840" w:type="dxa"/>
            <w:tcBorders>
              <w:top w:val="nil"/>
              <w:left w:val="single" w:sz="4" w:space="0" w:color="auto"/>
              <w:bottom w:val="single" w:sz="4" w:space="0" w:color="auto"/>
              <w:right w:val="single" w:sz="4" w:space="0" w:color="auto"/>
            </w:tcBorders>
            <w:shd w:val="clear" w:color="auto" w:fill="auto"/>
            <w:vAlign w:val="center"/>
            <w:hideMark/>
          </w:tcPr>
          <w:p w14:paraId="3668B9C8" w14:textId="6555D827" w:rsidR="009E228C" w:rsidRPr="005303F7" w:rsidRDefault="00903CD0" w:rsidP="00AF46CE">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РЗС</w:t>
            </w:r>
            <w:r w:rsidR="00AF46CE" w:rsidRPr="005303F7">
              <w:rPr>
                <w:rFonts w:ascii="Times New Roman" w:hAnsi="Times New Roman"/>
                <w:color w:val="000000"/>
                <w:sz w:val="20"/>
                <w:lang w:val="sr-Cyrl-CS" w:eastAsia="en-US"/>
              </w:rPr>
              <w:t>–</w:t>
            </w:r>
            <w:r w:rsidR="009E228C" w:rsidRPr="005303F7">
              <w:rPr>
                <w:rFonts w:ascii="Times New Roman" w:hAnsi="Times New Roman"/>
                <w:color w:val="000000"/>
                <w:sz w:val="20"/>
                <w:lang w:val="sr-Cyrl-CS" w:eastAsia="en-US"/>
              </w:rPr>
              <w:t xml:space="preserve"> </w:t>
            </w:r>
            <w:r w:rsidR="008D69AF" w:rsidRPr="005303F7">
              <w:rPr>
                <w:rFonts w:ascii="Times New Roman" w:hAnsi="Times New Roman"/>
                <w:color w:val="000000"/>
                <w:sz w:val="20"/>
                <w:lang w:val="sr-Cyrl-CS" w:eastAsia="en-US"/>
              </w:rPr>
              <w:t>статистике</w:t>
            </w:r>
            <w:r w:rsidR="00AF46CE" w:rsidRPr="005303F7">
              <w:rPr>
                <w:rFonts w:ascii="Times New Roman" w:hAnsi="Times New Roman"/>
                <w:color w:val="000000"/>
                <w:sz w:val="20"/>
                <w:lang w:val="sr-Cyrl-CS" w:eastAsia="en-US"/>
              </w:rPr>
              <w:t xml:space="preserve"> </w:t>
            </w:r>
            <w:r w:rsidR="008D69AF" w:rsidRPr="005303F7">
              <w:rPr>
                <w:rFonts w:ascii="Times New Roman" w:hAnsi="Times New Roman"/>
                <w:color w:val="000000"/>
                <w:sz w:val="20"/>
                <w:lang w:val="sr-Cyrl-CS" w:eastAsia="en-US"/>
              </w:rPr>
              <w:t>о</w:t>
            </w:r>
            <w:r w:rsidR="00AF46CE" w:rsidRPr="005303F7">
              <w:rPr>
                <w:rFonts w:ascii="Times New Roman" w:hAnsi="Times New Roman"/>
                <w:color w:val="000000"/>
                <w:sz w:val="20"/>
                <w:lang w:val="sr-Cyrl-CS" w:eastAsia="en-US"/>
              </w:rPr>
              <w:t xml:space="preserve"> </w:t>
            </w:r>
            <w:r w:rsidR="008D69AF" w:rsidRPr="005303F7">
              <w:rPr>
                <w:rFonts w:ascii="Times New Roman" w:hAnsi="Times New Roman"/>
                <w:color w:val="000000"/>
                <w:sz w:val="20"/>
                <w:lang w:val="sr-Cyrl-CS" w:eastAsia="en-US"/>
              </w:rPr>
              <w:t>теретном</w:t>
            </w:r>
            <w:r w:rsidR="00AF46CE" w:rsidRPr="005303F7">
              <w:rPr>
                <w:rFonts w:ascii="Times New Roman" w:hAnsi="Times New Roman"/>
                <w:color w:val="000000"/>
                <w:sz w:val="20"/>
                <w:lang w:val="sr-Cyrl-CS" w:eastAsia="en-US"/>
              </w:rPr>
              <w:t xml:space="preserve"> </w:t>
            </w:r>
            <w:r w:rsidR="008D69AF" w:rsidRPr="005303F7">
              <w:rPr>
                <w:rFonts w:ascii="Times New Roman" w:hAnsi="Times New Roman"/>
                <w:color w:val="000000"/>
                <w:sz w:val="20"/>
                <w:lang w:val="sr-Cyrl-CS" w:eastAsia="en-US"/>
              </w:rPr>
              <w:t>саобраћају</w:t>
            </w:r>
          </w:p>
        </w:tc>
      </w:tr>
      <w:tr w:rsidR="009E228C" w:rsidRPr="005303F7" w14:paraId="775818AB" w14:textId="77777777" w:rsidTr="00451EB6">
        <w:trPr>
          <w:trHeight w:val="705"/>
        </w:trPr>
        <w:tc>
          <w:tcPr>
            <w:tcW w:w="4686" w:type="dxa"/>
            <w:vMerge/>
            <w:tcBorders>
              <w:left w:val="single" w:sz="4" w:space="0" w:color="auto"/>
              <w:right w:val="single" w:sz="4" w:space="0" w:color="auto"/>
            </w:tcBorders>
            <w:shd w:val="clear" w:color="auto" w:fill="auto"/>
            <w:vAlign w:val="center"/>
            <w:hideMark/>
          </w:tcPr>
          <w:p w14:paraId="61278D28" w14:textId="77777777" w:rsidR="009E228C" w:rsidRPr="005303F7" w:rsidRDefault="009E228C" w:rsidP="00A17981">
            <w:pPr>
              <w:tabs>
                <w:tab w:val="clear" w:pos="3825"/>
              </w:tabs>
              <w:overflowPunct/>
              <w:autoSpaceDE/>
              <w:autoSpaceDN/>
              <w:adjustRightInd/>
              <w:spacing w:before="0" w:after="0"/>
              <w:jc w:val="left"/>
              <w:textAlignment w:val="auto"/>
              <w:rPr>
                <w:rFonts w:ascii="Times New Roman" w:hAnsi="Times New Roman"/>
                <w:sz w:val="20"/>
                <w:lang w:val="sr-Cyrl-CS" w:eastAsia="en-US"/>
              </w:rPr>
            </w:pPr>
          </w:p>
        </w:tc>
        <w:tc>
          <w:tcPr>
            <w:tcW w:w="2428" w:type="dxa"/>
            <w:tcBorders>
              <w:top w:val="nil"/>
              <w:left w:val="nil"/>
              <w:bottom w:val="single" w:sz="4" w:space="0" w:color="auto"/>
              <w:right w:val="single" w:sz="4" w:space="0" w:color="auto"/>
            </w:tcBorders>
            <w:shd w:val="clear" w:color="auto" w:fill="auto"/>
            <w:vAlign w:val="center"/>
            <w:hideMark/>
          </w:tcPr>
          <w:p w14:paraId="455F24B4" w14:textId="2952467B" w:rsidR="009E228C" w:rsidRPr="005303F7" w:rsidRDefault="008D69AF" w:rsidP="00FE15B2">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Просечни</w:t>
            </w:r>
            <w:r w:rsidR="002F3D7B"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потенцијал</w:t>
            </w:r>
            <w:r w:rsidR="002F3D7B"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глобалног</w:t>
            </w:r>
            <w:r w:rsidR="002F3D7B"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загревања</w:t>
            </w:r>
            <w:r w:rsidR="002F3D7B" w:rsidRPr="005303F7">
              <w:rPr>
                <w:rFonts w:ascii="Times New Roman" w:hAnsi="Times New Roman"/>
                <w:color w:val="000000"/>
                <w:sz w:val="20"/>
                <w:lang w:val="sr-Cyrl-CS" w:eastAsia="en-US"/>
              </w:rPr>
              <w:t xml:space="preserve"> </w:t>
            </w:r>
            <w:r w:rsidR="00674F6E" w:rsidRPr="005303F7">
              <w:rPr>
                <w:rFonts w:ascii="Times New Roman" w:hAnsi="Times New Roman"/>
                <w:color w:val="000000"/>
                <w:sz w:val="20"/>
                <w:lang w:val="sr-Cyrl-CS" w:eastAsia="en-US"/>
              </w:rPr>
              <w:t>F</w:t>
            </w:r>
            <w:r w:rsidR="002F3D7B" w:rsidRPr="005303F7">
              <w:rPr>
                <w:rFonts w:ascii="Times New Roman" w:hAnsi="Times New Roman"/>
                <w:color w:val="000000"/>
                <w:sz w:val="20"/>
                <w:lang w:val="sr-Cyrl-CS" w:eastAsia="en-US"/>
              </w:rPr>
              <w:t>-</w:t>
            </w:r>
            <w:r w:rsidRPr="005303F7">
              <w:rPr>
                <w:rFonts w:ascii="Times New Roman" w:hAnsi="Times New Roman"/>
                <w:color w:val="000000"/>
                <w:sz w:val="20"/>
                <w:lang w:val="sr-Cyrl-CS" w:eastAsia="en-US"/>
              </w:rPr>
              <w:t>гасова</w:t>
            </w:r>
            <w:r w:rsidR="002F3D7B"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у</w:t>
            </w:r>
            <w:r w:rsidR="002F3D7B" w:rsidRPr="005303F7">
              <w:rPr>
                <w:rFonts w:ascii="Times New Roman" w:hAnsi="Times New Roman"/>
                <w:color w:val="000000"/>
                <w:sz w:val="20"/>
                <w:lang w:val="sr-Cyrl-CS" w:eastAsia="en-US"/>
              </w:rPr>
              <w:t xml:space="preserve"> </w:t>
            </w:r>
            <w:r w:rsidR="00FE15B2" w:rsidRPr="005303F7">
              <w:rPr>
                <w:rFonts w:ascii="Times New Roman" w:hAnsi="Times New Roman"/>
                <w:color w:val="000000"/>
                <w:sz w:val="20"/>
                <w:lang w:val="sr-Cyrl-CS" w:eastAsia="en-US"/>
              </w:rPr>
              <w:t>употреби</w:t>
            </w:r>
            <w:r w:rsidR="002F3D7B"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производа</w:t>
            </w:r>
          </w:p>
        </w:tc>
        <w:tc>
          <w:tcPr>
            <w:tcW w:w="1158" w:type="dxa"/>
            <w:tcBorders>
              <w:top w:val="nil"/>
              <w:left w:val="nil"/>
              <w:bottom w:val="single" w:sz="4" w:space="0" w:color="auto"/>
              <w:right w:val="single" w:sz="4" w:space="0" w:color="auto"/>
            </w:tcBorders>
            <w:shd w:val="clear" w:color="auto" w:fill="auto"/>
            <w:vAlign w:val="center"/>
            <w:hideMark/>
          </w:tcPr>
          <w:p w14:paraId="6E0FD9D1"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2.790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40B41"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2.440</w:t>
            </w:r>
          </w:p>
        </w:tc>
        <w:tc>
          <w:tcPr>
            <w:tcW w:w="939" w:type="dxa"/>
            <w:tcBorders>
              <w:top w:val="single" w:sz="4" w:space="0" w:color="auto"/>
              <w:left w:val="single" w:sz="4" w:space="0" w:color="auto"/>
              <w:bottom w:val="single" w:sz="4" w:space="0" w:color="auto"/>
              <w:right w:val="nil"/>
            </w:tcBorders>
            <w:shd w:val="clear" w:color="auto" w:fill="auto"/>
            <w:vAlign w:val="center"/>
            <w:hideMark/>
          </w:tcPr>
          <w:p w14:paraId="0ED09ED9"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2.320</w:t>
            </w:r>
          </w:p>
        </w:tc>
        <w:tc>
          <w:tcPr>
            <w:tcW w:w="356" w:type="dxa"/>
            <w:tcBorders>
              <w:top w:val="single" w:sz="4" w:space="0" w:color="auto"/>
              <w:left w:val="nil"/>
              <w:bottom w:val="single" w:sz="4" w:space="0" w:color="auto"/>
              <w:right w:val="nil"/>
            </w:tcBorders>
            <w:shd w:val="clear" w:color="auto" w:fill="auto"/>
            <w:vAlign w:val="center"/>
            <w:hideMark/>
          </w:tcPr>
          <w:p w14:paraId="746AA366"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w:t>
            </w:r>
          </w:p>
        </w:tc>
        <w:tc>
          <w:tcPr>
            <w:tcW w:w="995" w:type="dxa"/>
            <w:tcBorders>
              <w:top w:val="single" w:sz="4" w:space="0" w:color="auto"/>
              <w:left w:val="nil"/>
              <w:bottom w:val="single" w:sz="4" w:space="0" w:color="auto"/>
              <w:right w:val="nil"/>
            </w:tcBorders>
            <w:shd w:val="clear" w:color="auto" w:fill="auto"/>
            <w:vAlign w:val="center"/>
            <w:hideMark/>
          </w:tcPr>
          <w:p w14:paraId="3A0B8594"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1.998</w:t>
            </w:r>
          </w:p>
        </w:tc>
        <w:tc>
          <w:tcPr>
            <w:tcW w:w="2840" w:type="dxa"/>
            <w:tcBorders>
              <w:top w:val="nil"/>
              <w:left w:val="single" w:sz="4" w:space="0" w:color="auto"/>
              <w:bottom w:val="single" w:sz="4" w:space="0" w:color="auto"/>
              <w:right w:val="single" w:sz="4" w:space="0" w:color="auto"/>
            </w:tcBorders>
            <w:shd w:val="clear" w:color="auto" w:fill="auto"/>
            <w:vAlign w:val="center"/>
            <w:hideMark/>
          </w:tcPr>
          <w:p w14:paraId="67104C9D" w14:textId="5466AF41" w:rsidR="009E228C" w:rsidRPr="005303F7" w:rsidRDefault="008D69AF" w:rsidP="00AF46CE">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Извештај</w:t>
            </w:r>
            <w:r w:rsidR="00AF46CE"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Националног</w:t>
            </w:r>
            <w:r w:rsidR="00AF46CE"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инвентара</w:t>
            </w:r>
            <w:r w:rsidR="00AF46CE" w:rsidRPr="005303F7">
              <w:rPr>
                <w:rFonts w:ascii="Times New Roman" w:hAnsi="Times New Roman"/>
                <w:color w:val="000000"/>
                <w:sz w:val="20"/>
                <w:lang w:val="sr-Cyrl-CS" w:eastAsia="en-US"/>
              </w:rPr>
              <w:t xml:space="preserve"> </w:t>
            </w:r>
            <w:r w:rsidR="00903CD0" w:rsidRPr="005303F7">
              <w:rPr>
                <w:rFonts w:ascii="Times New Roman" w:hAnsi="Times New Roman"/>
                <w:color w:val="000000"/>
                <w:sz w:val="20"/>
                <w:lang w:val="sr-Cyrl-CS" w:eastAsia="en-US"/>
              </w:rPr>
              <w:t>GHG</w:t>
            </w:r>
            <w:r w:rsidR="009E228C" w:rsidRPr="005303F7">
              <w:rPr>
                <w:rFonts w:ascii="Times New Roman" w:hAnsi="Times New Roman"/>
                <w:color w:val="000000"/>
                <w:sz w:val="20"/>
                <w:lang w:val="sr-Cyrl-CS" w:eastAsia="en-US"/>
              </w:rPr>
              <w:br/>
              <w:t>(</w:t>
            </w:r>
            <w:r w:rsidR="00D97B92" w:rsidRPr="005303F7">
              <w:rPr>
                <w:rFonts w:ascii="Times New Roman" w:hAnsi="Times New Roman"/>
                <w:color w:val="000000"/>
                <w:sz w:val="20"/>
                <w:lang w:val="sr-Cyrl-CS" w:eastAsia="en-US"/>
              </w:rPr>
              <w:t>IPCC</w:t>
            </w:r>
            <w:r w:rsidR="009E228C"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категорија</w:t>
            </w:r>
            <w:r w:rsidR="00733F76" w:rsidRPr="005303F7">
              <w:rPr>
                <w:rFonts w:ascii="Times New Roman" w:hAnsi="Times New Roman"/>
                <w:color w:val="000000"/>
                <w:sz w:val="20"/>
                <w:lang w:val="sr-Cyrl-CS" w:eastAsia="en-US"/>
              </w:rPr>
              <w:t xml:space="preserve"> </w:t>
            </w:r>
            <w:r w:rsidR="009E228C" w:rsidRPr="005303F7">
              <w:rPr>
                <w:rFonts w:ascii="Times New Roman" w:hAnsi="Times New Roman"/>
                <w:color w:val="000000"/>
                <w:sz w:val="20"/>
                <w:lang w:val="sr-Cyrl-CS" w:eastAsia="en-US"/>
              </w:rPr>
              <w:t>- 2</w:t>
            </w:r>
            <w:r w:rsidR="00D97B92" w:rsidRPr="005303F7">
              <w:rPr>
                <w:rFonts w:ascii="Times New Roman" w:hAnsi="Times New Roman"/>
                <w:color w:val="000000"/>
                <w:sz w:val="20"/>
                <w:lang w:val="sr-Cyrl-CS" w:eastAsia="en-US"/>
              </w:rPr>
              <w:t>F</w:t>
            </w:r>
            <w:r w:rsidR="009E228C" w:rsidRPr="005303F7">
              <w:rPr>
                <w:rFonts w:ascii="Times New Roman" w:hAnsi="Times New Roman"/>
                <w:color w:val="000000"/>
                <w:sz w:val="20"/>
                <w:lang w:val="sr-Cyrl-CS" w:eastAsia="en-US"/>
              </w:rPr>
              <w:t>)</w:t>
            </w:r>
          </w:p>
        </w:tc>
      </w:tr>
      <w:tr w:rsidR="009E228C" w:rsidRPr="005303F7" w14:paraId="5A72CF5A" w14:textId="77777777" w:rsidTr="00451EB6">
        <w:trPr>
          <w:trHeight w:val="900"/>
        </w:trPr>
        <w:tc>
          <w:tcPr>
            <w:tcW w:w="4686" w:type="dxa"/>
            <w:vMerge/>
            <w:tcBorders>
              <w:left w:val="single" w:sz="4" w:space="0" w:color="auto"/>
              <w:right w:val="single" w:sz="4" w:space="0" w:color="auto"/>
            </w:tcBorders>
            <w:shd w:val="clear" w:color="auto" w:fill="auto"/>
            <w:vAlign w:val="center"/>
            <w:hideMark/>
          </w:tcPr>
          <w:p w14:paraId="09B75F12" w14:textId="77777777" w:rsidR="009E228C" w:rsidRPr="005303F7" w:rsidRDefault="009E228C" w:rsidP="00A17981">
            <w:pPr>
              <w:tabs>
                <w:tab w:val="clear" w:pos="3825"/>
              </w:tabs>
              <w:overflowPunct/>
              <w:autoSpaceDE/>
              <w:autoSpaceDN/>
              <w:adjustRightInd/>
              <w:spacing w:before="0" w:after="0"/>
              <w:jc w:val="left"/>
              <w:textAlignment w:val="auto"/>
              <w:rPr>
                <w:rFonts w:ascii="Times New Roman" w:hAnsi="Times New Roman"/>
                <w:sz w:val="20"/>
                <w:lang w:val="sr-Cyrl-CS" w:eastAsia="en-US"/>
              </w:rPr>
            </w:pPr>
          </w:p>
        </w:tc>
        <w:tc>
          <w:tcPr>
            <w:tcW w:w="2428" w:type="dxa"/>
            <w:tcBorders>
              <w:top w:val="nil"/>
              <w:left w:val="nil"/>
              <w:bottom w:val="single" w:sz="4" w:space="0" w:color="auto"/>
              <w:right w:val="single" w:sz="4" w:space="0" w:color="auto"/>
            </w:tcBorders>
            <w:shd w:val="clear" w:color="auto" w:fill="auto"/>
            <w:vAlign w:val="center"/>
            <w:hideMark/>
          </w:tcPr>
          <w:p w14:paraId="5AC6EE42" w14:textId="44336197" w:rsidR="009E228C" w:rsidRPr="005303F7" w:rsidRDefault="008D69AF"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Емисије</w:t>
            </w:r>
            <w:r w:rsidR="0099285D" w:rsidRPr="005303F7">
              <w:rPr>
                <w:rFonts w:ascii="Times New Roman" w:hAnsi="Times New Roman"/>
                <w:color w:val="000000"/>
                <w:sz w:val="20"/>
                <w:lang w:val="sr-Cyrl-CS" w:eastAsia="en-US"/>
              </w:rPr>
              <w:t xml:space="preserve"> </w:t>
            </w:r>
            <w:r w:rsidR="00D97B92" w:rsidRPr="005303F7">
              <w:rPr>
                <w:rFonts w:ascii="Times New Roman" w:hAnsi="Times New Roman"/>
                <w:color w:val="000000"/>
                <w:sz w:val="20"/>
                <w:lang w:val="sr-Cyrl-CS" w:eastAsia="en-US"/>
              </w:rPr>
              <w:t>GHG</w:t>
            </w:r>
            <w:r w:rsidR="0099285D"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у</w:t>
            </w:r>
            <w:r w:rsidR="0099285D"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сектору</w:t>
            </w:r>
            <w:r w:rsidR="0099285D"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по</w:t>
            </w:r>
            <w:r w:rsidR="00D553BE" w:rsidRPr="005303F7">
              <w:rPr>
                <w:rFonts w:ascii="Times New Roman" w:hAnsi="Times New Roman"/>
                <w:sz w:val="20"/>
                <w:lang w:val="sr-Cyrl-CS" w:eastAsia="en-US"/>
              </w:rPr>
              <w:t>љ</w:t>
            </w:r>
            <w:r w:rsidRPr="005303F7">
              <w:rPr>
                <w:rFonts w:ascii="Times New Roman" w:hAnsi="Times New Roman"/>
                <w:color w:val="000000"/>
                <w:sz w:val="20"/>
                <w:lang w:val="sr-Cyrl-CS" w:eastAsia="en-US"/>
              </w:rPr>
              <w:t>опривреде</w:t>
            </w:r>
            <w:r w:rsidR="0099285D" w:rsidRPr="005303F7">
              <w:rPr>
                <w:rFonts w:ascii="Times New Roman" w:hAnsi="Times New Roman"/>
                <w:color w:val="000000"/>
                <w:sz w:val="20"/>
                <w:lang w:val="sr-Cyrl-CS" w:eastAsia="en-US"/>
              </w:rPr>
              <w:t xml:space="preserve"> </w:t>
            </w:r>
            <w:r w:rsidR="009E228C" w:rsidRPr="005303F7">
              <w:rPr>
                <w:rFonts w:ascii="Times New Roman" w:hAnsi="Times New Roman"/>
                <w:color w:val="000000"/>
                <w:sz w:val="20"/>
                <w:lang w:val="sr-Cyrl-CS" w:eastAsia="en-US"/>
              </w:rPr>
              <w:t>(</w:t>
            </w:r>
            <w:r w:rsidR="00D97B92" w:rsidRPr="005303F7">
              <w:rPr>
                <w:rFonts w:ascii="Times New Roman" w:hAnsi="Times New Roman"/>
                <w:color w:val="000000"/>
                <w:sz w:val="20"/>
                <w:lang w:val="sr-Cyrl-CS" w:eastAsia="en-US"/>
              </w:rPr>
              <w:t>ktC</w:t>
            </w:r>
            <w:r w:rsidRPr="005303F7">
              <w:rPr>
                <w:rFonts w:ascii="Times New Roman" w:hAnsi="Times New Roman"/>
                <w:sz w:val="20"/>
                <w:lang w:val="sr-Cyrl-CS" w:eastAsia="en-US"/>
              </w:rPr>
              <w:t>О</w:t>
            </w:r>
            <w:r w:rsidR="00A87FA6" w:rsidRPr="005303F7">
              <w:rPr>
                <w:rFonts w:ascii="Times New Roman" w:hAnsi="Times New Roman"/>
                <w:sz w:val="20"/>
                <w:vertAlign w:val="subscript"/>
                <w:lang w:val="sr-Cyrl-CS" w:eastAsia="en-US"/>
              </w:rPr>
              <w:t>2</w:t>
            </w:r>
            <w:r w:rsidRPr="005303F7">
              <w:rPr>
                <w:rFonts w:ascii="Times New Roman" w:hAnsi="Times New Roman"/>
                <w:color w:val="000000"/>
                <w:sz w:val="20"/>
                <w:lang w:val="sr-Cyrl-CS" w:eastAsia="en-US"/>
              </w:rPr>
              <w:t>е</w:t>
            </w:r>
            <w:r w:rsidR="009E228C" w:rsidRPr="005303F7">
              <w:rPr>
                <w:rFonts w:ascii="Times New Roman" w:hAnsi="Times New Roman"/>
                <w:color w:val="000000"/>
                <w:sz w:val="20"/>
                <w:lang w:val="sr-Cyrl-CS" w:eastAsia="en-US"/>
              </w:rPr>
              <w:t>)</w:t>
            </w:r>
          </w:p>
        </w:tc>
        <w:tc>
          <w:tcPr>
            <w:tcW w:w="1158" w:type="dxa"/>
            <w:tcBorders>
              <w:top w:val="nil"/>
              <w:left w:val="nil"/>
              <w:bottom w:val="single" w:sz="4" w:space="0" w:color="auto"/>
              <w:right w:val="single" w:sz="4" w:space="0" w:color="auto"/>
            </w:tcBorders>
            <w:shd w:val="clear" w:color="auto" w:fill="auto"/>
            <w:vAlign w:val="center"/>
            <w:hideMark/>
          </w:tcPr>
          <w:p w14:paraId="1CAF4713"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3.883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6695D"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4.994</w:t>
            </w:r>
          </w:p>
        </w:tc>
        <w:tc>
          <w:tcPr>
            <w:tcW w:w="939" w:type="dxa"/>
            <w:tcBorders>
              <w:top w:val="single" w:sz="4" w:space="0" w:color="auto"/>
              <w:left w:val="single" w:sz="4" w:space="0" w:color="auto"/>
              <w:bottom w:val="single" w:sz="4" w:space="0" w:color="auto"/>
              <w:right w:val="nil"/>
            </w:tcBorders>
            <w:shd w:val="clear" w:color="auto" w:fill="auto"/>
            <w:vAlign w:val="center"/>
            <w:hideMark/>
          </w:tcPr>
          <w:p w14:paraId="2744D6E0"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4.539</w:t>
            </w:r>
          </w:p>
        </w:tc>
        <w:tc>
          <w:tcPr>
            <w:tcW w:w="356" w:type="dxa"/>
            <w:tcBorders>
              <w:top w:val="single" w:sz="4" w:space="0" w:color="auto"/>
              <w:left w:val="nil"/>
              <w:bottom w:val="single" w:sz="4" w:space="0" w:color="auto"/>
              <w:right w:val="nil"/>
            </w:tcBorders>
            <w:shd w:val="clear" w:color="auto" w:fill="auto"/>
            <w:vAlign w:val="center"/>
            <w:hideMark/>
          </w:tcPr>
          <w:p w14:paraId="16F40ACC"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w:t>
            </w:r>
          </w:p>
        </w:tc>
        <w:tc>
          <w:tcPr>
            <w:tcW w:w="995" w:type="dxa"/>
            <w:tcBorders>
              <w:top w:val="single" w:sz="4" w:space="0" w:color="auto"/>
              <w:left w:val="nil"/>
              <w:bottom w:val="single" w:sz="4" w:space="0" w:color="auto"/>
              <w:right w:val="nil"/>
            </w:tcBorders>
            <w:shd w:val="clear" w:color="auto" w:fill="auto"/>
            <w:vAlign w:val="center"/>
            <w:hideMark/>
          </w:tcPr>
          <w:p w14:paraId="2B4EE929"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4.787</w:t>
            </w:r>
          </w:p>
        </w:tc>
        <w:tc>
          <w:tcPr>
            <w:tcW w:w="2840" w:type="dxa"/>
            <w:tcBorders>
              <w:top w:val="nil"/>
              <w:left w:val="single" w:sz="4" w:space="0" w:color="auto"/>
              <w:bottom w:val="single" w:sz="4" w:space="0" w:color="auto"/>
              <w:right w:val="single" w:sz="4" w:space="0" w:color="auto"/>
            </w:tcBorders>
            <w:shd w:val="clear" w:color="auto" w:fill="auto"/>
            <w:vAlign w:val="center"/>
            <w:hideMark/>
          </w:tcPr>
          <w:p w14:paraId="0D539474" w14:textId="1CBF712C" w:rsidR="009E228C" w:rsidRPr="005303F7" w:rsidRDefault="008D69AF" w:rsidP="00AF46CE">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Извештај</w:t>
            </w:r>
            <w:r w:rsidR="00AF46CE"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Националног</w:t>
            </w:r>
            <w:r w:rsidR="00AF46CE"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инвентара</w:t>
            </w:r>
            <w:r w:rsidR="00AF46CE" w:rsidRPr="005303F7">
              <w:rPr>
                <w:rFonts w:ascii="Times New Roman" w:hAnsi="Times New Roman"/>
                <w:color w:val="000000"/>
                <w:sz w:val="20"/>
                <w:lang w:val="sr-Cyrl-CS" w:eastAsia="en-US"/>
              </w:rPr>
              <w:t xml:space="preserve"> </w:t>
            </w:r>
            <w:r w:rsidR="00D97B92" w:rsidRPr="005303F7">
              <w:rPr>
                <w:rFonts w:ascii="Times New Roman" w:hAnsi="Times New Roman"/>
                <w:color w:val="000000"/>
                <w:sz w:val="20"/>
                <w:lang w:val="sr-Cyrl-CS" w:eastAsia="en-US"/>
              </w:rPr>
              <w:t>GHG</w:t>
            </w:r>
            <w:r w:rsidR="009E228C" w:rsidRPr="005303F7">
              <w:rPr>
                <w:rFonts w:ascii="Times New Roman" w:hAnsi="Times New Roman"/>
                <w:color w:val="000000"/>
                <w:sz w:val="20"/>
                <w:lang w:val="sr-Cyrl-CS" w:eastAsia="en-US"/>
              </w:rPr>
              <w:br/>
              <w:t>(</w:t>
            </w:r>
            <w:r w:rsidR="00D97B92" w:rsidRPr="005303F7">
              <w:rPr>
                <w:rFonts w:ascii="Times New Roman" w:hAnsi="Times New Roman"/>
                <w:color w:val="000000"/>
                <w:sz w:val="20"/>
                <w:lang w:val="sr-Cyrl-CS" w:eastAsia="en-US"/>
              </w:rPr>
              <w:t>IPCC</w:t>
            </w:r>
            <w:r w:rsidR="009E228C"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категорија</w:t>
            </w:r>
            <w:r w:rsidR="009E228C" w:rsidRPr="005303F7">
              <w:rPr>
                <w:rFonts w:ascii="Times New Roman" w:hAnsi="Times New Roman"/>
                <w:color w:val="000000"/>
                <w:sz w:val="20"/>
                <w:lang w:val="sr-Cyrl-CS" w:eastAsia="en-US"/>
              </w:rPr>
              <w:t xml:space="preserve"> - 3)</w:t>
            </w:r>
          </w:p>
        </w:tc>
      </w:tr>
      <w:tr w:rsidR="009E228C" w:rsidRPr="005303F7" w14:paraId="7D12AC25" w14:textId="77777777" w:rsidTr="00451EB6">
        <w:trPr>
          <w:trHeight w:val="840"/>
        </w:trPr>
        <w:tc>
          <w:tcPr>
            <w:tcW w:w="4686" w:type="dxa"/>
            <w:vMerge/>
            <w:tcBorders>
              <w:left w:val="single" w:sz="4" w:space="0" w:color="auto"/>
              <w:right w:val="single" w:sz="4" w:space="0" w:color="auto"/>
            </w:tcBorders>
            <w:shd w:val="clear" w:color="auto" w:fill="auto"/>
            <w:vAlign w:val="center"/>
          </w:tcPr>
          <w:p w14:paraId="018985CB" w14:textId="77777777" w:rsidR="009E228C" w:rsidRPr="005303F7" w:rsidRDefault="009E228C" w:rsidP="00A17981">
            <w:pPr>
              <w:tabs>
                <w:tab w:val="clear" w:pos="3825"/>
              </w:tabs>
              <w:overflowPunct/>
              <w:autoSpaceDE/>
              <w:autoSpaceDN/>
              <w:adjustRightInd/>
              <w:spacing w:before="0" w:after="0"/>
              <w:jc w:val="left"/>
              <w:textAlignment w:val="auto"/>
              <w:rPr>
                <w:rFonts w:ascii="Times New Roman" w:hAnsi="Times New Roman"/>
                <w:b/>
                <w:bCs/>
                <w:sz w:val="20"/>
                <w:lang w:val="sr-Cyrl-CS" w:eastAsia="en-US"/>
              </w:rPr>
            </w:pPr>
          </w:p>
        </w:tc>
        <w:tc>
          <w:tcPr>
            <w:tcW w:w="2428" w:type="dxa"/>
            <w:tcBorders>
              <w:top w:val="nil"/>
              <w:left w:val="nil"/>
              <w:bottom w:val="single" w:sz="4" w:space="0" w:color="auto"/>
              <w:right w:val="single" w:sz="4" w:space="0" w:color="auto"/>
            </w:tcBorders>
            <w:shd w:val="clear" w:color="auto" w:fill="auto"/>
            <w:vAlign w:val="center"/>
          </w:tcPr>
          <w:p w14:paraId="13DE64E9" w14:textId="056F9A91" w:rsidR="009E228C" w:rsidRPr="005303F7" w:rsidRDefault="008D69AF"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Емисије</w:t>
            </w:r>
            <w:r w:rsidR="0099285D" w:rsidRPr="005303F7">
              <w:rPr>
                <w:rFonts w:ascii="Times New Roman" w:hAnsi="Times New Roman"/>
                <w:color w:val="000000"/>
                <w:sz w:val="20"/>
                <w:lang w:val="sr-Cyrl-CS" w:eastAsia="en-US"/>
              </w:rPr>
              <w:t xml:space="preserve"> </w:t>
            </w:r>
            <w:r w:rsidR="00D97B92" w:rsidRPr="005303F7">
              <w:rPr>
                <w:rFonts w:ascii="Times New Roman" w:hAnsi="Times New Roman"/>
                <w:color w:val="000000"/>
                <w:sz w:val="20"/>
                <w:lang w:val="sr-Cyrl-CS" w:eastAsia="en-US"/>
              </w:rPr>
              <w:t>GHG</w:t>
            </w:r>
            <w:r w:rsidR="0099285D"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у</w:t>
            </w:r>
            <w:r w:rsidR="0099285D"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сектору</w:t>
            </w:r>
            <w:r w:rsidR="0099285D"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отпада</w:t>
            </w:r>
            <w:r w:rsidR="0099285D" w:rsidRPr="005303F7">
              <w:rPr>
                <w:rFonts w:ascii="Times New Roman" w:hAnsi="Times New Roman"/>
                <w:color w:val="000000"/>
                <w:sz w:val="20"/>
                <w:lang w:val="sr-Cyrl-CS" w:eastAsia="en-US"/>
              </w:rPr>
              <w:t xml:space="preserve"> </w:t>
            </w:r>
            <w:r w:rsidR="009E228C" w:rsidRPr="005303F7">
              <w:rPr>
                <w:rFonts w:ascii="Times New Roman" w:hAnsi="Times New Roman"/>
                <w:color w:val="000000"/>
                <w:sz w:val="20"/>
                <w:lang w:val="sr-Cyrl-CS" w:eastAsia="en-US"/>
              </w:rPr>
              <w:t>(</w:t>
            </w:r>
            <w:r w:rsidR="00D97B92" w:rsidRPr="005303F7">
              <w:rPr>
                <w:rFonts w:ascii="Times New Roman" w:hAnsi="Times New Roman"/>
                <w:color w:val="000000"/>
                <w:sz w:val="20"/>
                <w:lang w:val="sr-Cyrl-CS" w:eastAsia="en-US"/>
              </w:rPr>
              <w:t>ktC</w:t>
            </w:r>
            <w:r w:rsidRPr="005303F7">
              <w:rPr>
                <w:rFonts w:ascii="Times New Roman" w:hAnsi="Times New Roman"/>
                <w:sz w:val="20"/>
                <w:lang w:val="sr-Cyrl-CS" w:eastAsia="en-US"/>
              </w:rPr>
              <w:t>О</w:t>
            </w:r>
            <w:r w:rsidR="00A87FA6" w:rsidRPr="005303F7">
              <w:rPr>
                <w:rFonts w:ascii="Times New Roman" w:hAnsi="Times New Roman"/>
                <w:sz w:val="20"/>
                <w:vertAlign w:val="subscript"/>
                <w:lang w:val="sr-Cyrl-CS" w:eastAsia="en-US"/>
              </w:rPr>
              <w:t>2</w:t>
            </w:r>
            <w:r w:rsidRPr="005303F7">
              <w:rPr>
                <w:rFonts w:ascii="Times New Roman" w:hAnsi="Times New Roman"/>
                <w:color w:val="000000"/>
                <w:sz w:val="20"/>
                <w:lang w:val="sr-Cyrl-CS" w:eastAsia="en-US"/>
              </w:rPr>
              <w:t>е</w:t>
            </w:r>
            <w:r w:rsidR="009E228C" w:rsidRPr="005303F7">
              <w:rPr>
                <w:rFonts w:ascii="Times New Roman" w:hAnsi="Times New Roman"/>
                <w:color w:val="000000"/>
                <w:sz w:val="20"/>
                <w:lang w:val="sr-Cyrl-CS" w:eastAsia="en-US"/>
              </w:rPr>
              <w:t>)</w:t>
            </w:r>
          </w:p>
        </w:tc>
        <w:tc>
          <w:tcPr>
            <w:tcW w:w="1158" w:type="dxa"/>
            <w:tcBorders>
              <w:top w:val="nil"/>
              <w:left w:val="nil"/>
              <w:bottom w:val="single" w:sz="4" w:space="0" w:color="auto"/>
              <w:right w:val="single" w:sz="4" w:space="0" w:color="auto"/>
            </w:tcBorders>
            <w:shd w:val="clear" w:color="auto" w:fill="auto"/>
            <w:vAlign w:val="center"/>
          </w:tcPr>
          <w:p w14:paraId="55D1FFE8"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2.709</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745354A3"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2.371</w:t>
            </w:r>
          </w:p>
        </w:tc>
        <w:tc>
          <w:tcPr>
            <w:tcW w:w="939" w:type="dxa"/>
            <w:tcBorders>
              <w:top w:val="single" w:sz="4" w:space="0" w:color="auto"/>
              <w:left w:val="single" w:sz="4" w:space="0" w:color="auto"/>
              <w:bottom w:val="single" w:sz="4" w:space="0" w:color="auto"/>
              <w:right w:val="nil"/>
            </w:tcBorders>
            <w:shd w:val="clear" w:color="auto" w:fill="auto"/>
            <w:vAlign w:val="center"/>
          </w:tcPr>
          <w:p w14:paraId="3BE2E235"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1.936</w:t>
            </w:r>
          </w:p>
        </w:tc>
        <w:tc>
          <w:tcPr>
            <w:tcW w:w="356" w:type="dxa"/>
            <w:tcBorders>
              <w:top w:val="single" w:sz="4" w:space="0" w:color="auto"/>
              <w:left w:val="nil"/>
              <w:bottom w:val="single" w:sz="4" w:space="0" w:color="auto"/>
              <w:right w:val="nil"/>
            </w:tcBorders>
            <w:shd w:val="clear" w:color="auto" w:fill="auto"/>
            <w:vAlign w:val="center"/>
          </w:tcPr>
          <w:p w14:paraId="0A0CE1CD"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w:t>
            </w:r>
          </w:p>
        </w:tc>
        <w:tc>
          <w:tcPr>
            <w:tcW w:w="995" w:type="dxa"/>
            <w:tcBorders>
              <w:top w:val="single" w:sz="4" w:space="0" w:color="auto"/>
              <w:left w:val="nil"/>
              <w:bottom w:val="single" w:sz="4" w:space="0" w:color="auto"/>
              <w:right w:val="nil"/>
            </w:tcBorders>
            <w:shd w:val="clear" w:color="auto" w:fill="auto"/>
            <w:vAlign w:val="center"/>
          </w:tcPr>
          <w:p w14:paraId="2B3F2115"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845</w:t>
            </w:r>
          </w:p>
        </w:tc>
        <w:tc>
          <w:tcPr>
            <w:tcW w:w="2840" w:type="dxa"/>
            <w:tcBorders>
              <w:top w:val="nil"/>
              <w:left w:val="single" w:sz="4" w:space="0" w:color="auto"/>
              <w:bottom w:val="single" w:sz="4" w:space="0" w:color="auto"/>
              <w:right w:val="single" w:sz="4" w:space="0" w:color="auto"/>
            </w:tcBorders>
            <w:shd w:val="clear" w:color="auto" w:fill="auto"/>
            <w:vAlign w:val="center"/>
          </w:tcPr>
          <w:p w14:paraId="2FE4F188" w14:textId="6D5234CE" w:rsidR="009E228C" w:rsidRPr="005303F7" w:rsidRDefault="008D69AF" w:rsidP="002F3D7B">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Извештај</w:t>
            </w:r>
            <w:r w:rsidR="002F3D7B"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Националног</w:t>
            </w:r>
            <w:r w:rsidR="002F3D7B"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инвентара</w:t>
            </w:r>
            <w:r w:rsidR="002F3D7B" w:rsidRPr="005303F7">
              <w:rPr>
                <w:rFonts w:ascii="Times New Roman" w:hAnsi="Times New Roman"/>
                <w:color w:val="000000"/>
                <w:sz w:val="20"/>
                <w:lang w:val="sr-Cyrl-CS" w:eastAsia="en-US"/>
              </w:rPr>
              <w:t xml:space="preserve"> </w:t>
            </w:r>
            <w:r w:rsidR="00D97B92" w:rsidRPr="005303F7">
              <w:rPr>
                <w:rFonts w:ascii="Times New Roman" w:hAnsi="Times New Roman"/>
                <w:color w:val="000000"/>
                <w:sz w:val="20"/>
                <w:lang w:val="sr-Cyrl-CS" w:eastAsia="en-US"/>
              </w:rPr>
              <w:t>GHG</w:t>
            </w:r>
            <w:r w:rsidR="009E228C" w:rsidRPr="005303F7">
              <w:rPr>
                <w:rFonts w:ascii="Times New Roman" w:hAnsi="Times New Roman"/>
                <w:color w:val="000000"/>
                <w:sz w:val="20"/>
                <w:lang w:val="sr-Cyrl-CS" w:eastAsia="en-US"/>
              </w:rPr>
              <w:br/>
              <w:t>(</w:t>
            </w:r>
            <w:r w:rsidR="00D97B92" w:rsidRPr="005303F7">
              <w:rPr>
                <w:rFonts w:ascii="Times New Roman" w:hAnsi="Times New Roman"/>
                <w:color w:val="000000"/>
                <w:sz w:val="20"/>
                <w:lang w:val="sr-Cyrl-CS" w:eastAsia="en-US"/>
              </w:rPr>
              <w:t>IPCC</w:t>
            </w:r>
            <w:r w:rsidR="009E228C"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категорија</w:t>
            </w:r>
            <w:r w:rsidR="009E228C" w:rsidRPr="005303F7">
              <w:rPr>
                <w:rFonts w:ascii="Times New Roman" w:hAnsi="Times New Roman"/>
                <w:color w:val="000000"/>
                <w:sz w:val="20"/>
                <w:lang w:val="sr-Cyrl-CS" w:eastAsia="en-US"/>
              </w:rPr>
              <w:t xml:space="preserve"> - 5)</w:t>
            </w:r>
          </w:p>
        </w:tc>
      </w:tr>
      <w:tr w:rsidR="009E228C" w:rsidRPr="005303F7" w14:paraId="784FA939" w14:textId="77777777" w:rsidTr="00451EB6">
        <w:trPr>
          <w:trHeight w:val="840"/>
        </w:trPr>
        <w:tc>
          <w:tcPr>
            <w:tcW w:w="4686" w:type="dxa"/>
            <w:vMerge/>
            <w:tcBorders>
              <w:left w:val="single" w:sz="4" w:space="0" w:color="auto"/>
              <w:bottom w:val="single" w:sz="4" w:space="0" w:color="auto"/>
              <w:right w:val="single" w:sz="4" w:space="0" w:color="auto"/>
            </w:tcBorders>
            <w:shd w:val="clear" w:color="auto" w:fill="auto"/>
            <w:vAlign w:val="center"/>
          </w:tcPr>
          <w:p w14:paraId="5062FB0E" w14:textId="77777777" w:rsidR="009E228C" w:rsidRPr="005303F7" w:rsidRDefault="009E228C" w:rsidP="00A17981">
            <w:pPr>
              <w:tabs>
                <w:tab w:val="clear" w:pos="3825"/>
              </w:tabs>
              <w:overflowPunct/>
              <w:autoSpaceDE/>
              <w:autoSpaceDN/>
              <w:adjustRightInd/>
              <w:spacing w:before="0" w:after="0"/>
              <w:jc w:val="left"/>
              <w:textAlignment w:val="auto"/>
              <w:rPr>
                <w:rFonts w:ascii="Times New Roman" w:hAnsi="Times New Roman"/>
                <w:b/>
                <w:bCs/>
                <w:sz w:val="20"/>
                <w:lang w:val="sr-Cyrl-CS" w:eastAsia="en-US"/>
              </w:rPr>
            </w:pPr>
          </w:p>
        </w:tc>
        <w:tc>
          <w:tcPr>
            <w:tcW w:w="2428" w:type="dxa"/>
            <w:tcBorders>
              <w:top w:val="nil"/>
              <w:left w:val="nil"/>
              <w:bottom w:val="single" w:sz="4" w:space="0" w:color="auto"/>
              <w:right w:val="single" w:sz="4" w:space="0" w:color="auto"/>
            </w:tcBorders>
            <w:shd w:val="clear" w:color="auto" w:fill="auto"/>
            <w:vAlign w:val="center"/>
          </w:tcPr>
          <w:p w14:paraId="00462C6B" w14:textId="7A9CF518" w:rsidR="009E228C" w:rsidRPr="005303F7" w:rsidRDefault="008D69AF"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Удео</w:t>
            </w:r>
            <w:r w:rsidR="00315AA9"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хране</w:t>
            </w:r>
            <w:r w:rsidR="003D7D91"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и</w:t>
            </w:r>
            <w:r w:rsidR="003D7D91"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баштенског</w:t>
            </w:r>
            <w:r w:rsidR="003D7D91"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отпада</w:t>
            </w:r>
            <w:r w:rsidR="00451EB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на</w:t>
            </w:r>
            <w:r w:rsidR="00451EB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депонијама</w:t>
            </w:r>
            <w:r w:rsidR="003D7D91" w:rsidRPr="005303F7">
              <w:rPr>
                <w:rFonts w:ascii="Times New Roman" w:hAnsi="Times New Roman"/>
                <w:color w:val="000000"/>
                <w:sz w:val="20"/>
                <w:lang w:val="sr-Cyrl-CS" w:eastAsia="en-US"/>
              </w:rPr>
              <w:t xml:space="preserve"> </w:t>
            </w:r>
            <w:r w:rsidR="009E228C" w:rsidRPr="005303F7">
              <w:rPr>
                <w:rFonts w:ascii="Times New Roman" w:hAnsi="Times New Roman"/>
                <w:color w:val="000000"/>
                <w:sz w:val="20"/>
                <w:lang w:val="sr-Cyrl-CS" w:eastAsia="en-US"/>
              </w:rPr>
              <w:t>(%)</w:t>
            </w:r>
          </w:p>
        </w:tc>
        <w:tc>
          <w:tcPr>
            <w:tcW w:w="1158" w:type="dxa"/>
            <w:tcBorders>
              <w:top w:val="nil"/>
              <w:left w:val="nil"/>
              <w:bottom w:val="single" w:sz="4" w:space="0" w:color="auto"/>
              <w:right w:val="single" w:sz="4" w:space="0" w:color="auto"/>
            </w:tcBorders>
            <w:shd w:val="clear" w:color="auto" w:fill="auto"/>
            <w:vAlign w:val="center"/>
          </w:tcPr>
          <w:p w14:paraId="1F22C0AB"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85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134611A7"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55</w:t>
            </w:r>
          </w:p>
        </w:tc>
        <w:tc>
          <w:tcPr>
            <w:tcW w:w="939" w:type="dxa"/>
            <w:tcBorders>
              <w:top w:val="single" w:sz="4" w:space="0" w:color="auto"/>
              <w:left w:val="single" w:sz="4" w:space="0" w:color="auto"/>
              <w:bottom w:val="single" w:sz="4" w:space="0" w:color="auto"/>
              <w:right w:val="nil"/>
            </w:tcBorders>
            <w:shd w:val="clear" w:color="auto" w:fill="auto"/>
            <w:vAlign w:val="center"/>
          </w:tcPr>
          <w:p w14:paraId="021FF802"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35</w:t>
            </w:r>
          </w:p>
        </w:tc>
        <w:tc>
          <w:tcPr>
            <w:tcW w:w="356" w:type="dxa"/>
            <w:tcBorders>
              <w:top w:val="single" w:sz="4" w:space="0" w:color="auto"/>
              <w:left w:val="nil"/>
              <w:bottom w:val="single" w:sz="4" w:space="0" w:color="auto"/>
              <w:right w:val="nil"/>
            </w:tcBorders>
            <w:shd w:val="clear" w:color="auto" w:fill="auto"/>
            <w:vAlign w:val="center"/>
          </w:tcPr>
          <w:p w14:paraId="1F7A0B04"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w:t>
            </w:r>
          </w:p>
        </w:tc>
        <w:tc>
          <w:tcPr>
            <w:tcW w:w="995" w:type="dxa"/>
            <w:tcBorders>
              <w:top w:val="single" w:sz="4" w:space="0" w:color="auto"/>
              <w:left w:val="nil"/>
              <w:bottom w:val="single" w:sz="4" w:space="0" w:color="auto"/>
              <w:right w:val="nil"/>
            </w:tcBorders>
            <w:shd w:val="clear" w:color="auto" w:fill="auto"/>
            <w:vAlign w:val="center"/>
          </w:tcPr>
          <w:p w14:paraId="28056B54"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0</w:t>
            </w:r>
          </w:p>
        </w:tc>
        <w:tc>
          <w:tcPr>
            <w:tcW w:w="2840" w:type="dxa"/>
            <w:tcBorders>
              <w:top w:val="nil"/>
              <w:left w:val="single" w:sz="4" w:space="0" w:color="auto"/>
              <w:bottom w:val="single" w:sz="4" w:space="0" w:color="auto"/>
              <w:right w:val="single" w:sz="4" w:space="0" w:color="auto"/>
            </w:tcBorders>
            <w:shd w:val="clear" w:color="auto" w:fill="auto"/>
            <w:vAlign w:val="center"/>
          </w:tcPr>
          <w:p w14:paraId="72F33BF2" w14:textId="76AA8BCC" w:rsidR="009E228C" w:rsidRPr="005303F7" w:rsidRDefault="008D69AF"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Министарство</w:t>
            </w:r>
            <w:r w:rsidR="002F3D7B"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заштите</w:t>
            </w:r>
            <w:r w:rsidR="002F3D7B"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животне</w:t>
            </w:r>
            <w:r w:rsidR="002F3D7B"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средине</w:t>
            </w:r>
            <w:r w:rsidR="002F3D7B" w:rsidRPr="005303F7">
              <w:rPr>
                <w:rFonts w:ascii="Times New Roman" w:hAnsi="Times New Roman"/>
                <w:color w:val="000000"/>
                <w:sz w:val="20"/>
                <w:lang w:val="sr-Cyrl-CS" w:eastAsia="en-US"/>
              </w:rPr>
              <w:t xml:space="preserve"> </w:t>
            </w:r>
            <w:r w:rsidR="009E228C" w:rsidRPr="005303F7">
              <w:rPr>
                <w:rFonts w:ascii="Times New Roman" w:hAnsi="Times New Roman"/>
                <w:color w:val="000000"/>
                <w:sz w:val="20"/>
                <w:lang w:val="sr-Cyrl-CS" w:eastAsia="en-US"/>
              </w:rPr>
              <w:t>/</w:t>
            </w:r>
            <w:r w:rsidR="002F3D7B"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Агенција</w:t>
            </w:r>
            <w:r w:rsidR="002D1F70"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за</w:t>
            </w:r>
            <w:r w:rsidR="002D1F70"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заштиту</w:t>
            </w:r>
            <w:r w:rsidR="002D1F70"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животне</w:t>
            </w:r>
            <w:r w:rsidR="002D1F70"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средине</w:t>
            </w:r>
          </w:p>
        </w:tc>
      </w:tr>
      <w:tr w:rsidR="009E228C" w:rsidRPr="005303F7" w14:paraId="614C7054" w14:textId="77777777" w:rsidTr="00EE2062">
        <w:trPr>
          <w:trHeight w:val="1113"/>
        </w:trPr>
        <w:tc>
          <w:tcPr>
            <w:tcW w:w="4686" w:type="dxa"/>
            <w:tcBorders>
              <w:top w:val="nil"/>
              <w:left w:val="single" w:sz="4" w:space="0" w:color="auto"/>
              <w:bottom w:val="single" w:sz="4" w:space="0" w:color="auto"/>
              <w:right w:val="single" w:sz="4" w:space="0" w:color="auto"/>
            </w:tcBorders>
            <w:shd w:val="clear" w:color="auto" w:fill="auto"/>
            <w:vAlign w:val="center"/>
            <w:hideMark/>
          </w:tcPr>
          <w:p w14:paraId="73E4E811" w14:textId="1787DD68" w:rsidR="009E0825" w:rsidRPr="005303F7" w:rsidRDefault="008D69AF" w:rsidP="00A17981">
            <w:pPr>
              <w:tabs>
                <w:tab w:val="clear" w:pos="3825"/>
              </w:tabs>
              <w:overflowPunct/>
              <w:autoSpaceDE/>
              <w:autoSpaceDN/>
              <w:adjustRightInd/>
              <w:spacing w:before="0" w:after="0"/>
              <w:jc w:val="left"/>
              <w:textAlignment w:val="auto"/>
              <w:rPr>
                <w:rFonts w:ascii="Times New Roman" w:hAnsi="Times New Roman"/>
                <w:b/>
                <w:bCs/>
                <w:sz w:val="20"/>
                <w:lang w:val="sr-Cyrl-CS" w:eastAsia="en-US"/>
              </w:rPr>
            </w:pPr>
            <w:r w:rsidRPr="005303F7">
              <w:rPr>
                <w:rFonts w:ascii="Times New Roman" w:hAnsi="Times New Roman"/>
                <w:b/>
                <w:bCs/>
                <w:sz w:val="20"/>
                <w:lang w:val="sr-Cyrl-CS" w:eastAsia="en-US"/>
              </w:rPr>
              <w:t>Посебан</w:t>
            </w:r>
            <w:r w:rsidR="002F3D7B" w:rsidRPr="005303F7">
              <w:rPr>
                <w:rFonts w:ascii="Times New Roman" w:hAnsi="Times New Roman"/>
                <w:b/>
                <w:bCs/>
                <w:sz w:val="20"/>
                <w:lang w:val="sr-Cyrl-CS" w:eastAsia="en-US"/>
              </w:rPr>
              <w:t xml:space="preserve"> </w:t>
            </w:r>
            <w:r w:rsidRPr="005303F7">
              <w:rPr>
                <w:rFonts w:ascii="Times New Roman" w:hAnsi="Times New Roman"/>
                <w:b/>
                <w:bCs/>
                <w:sz w:val="20"/>
                <w:lang w:val="sr-Cyrl-CS" w:eastAsia="en-US"/>
              </w:rPr>
              <w:t>ци</w:t>
            </w:r>
            <w:r w:rsidR="00D553BE" w:rsidRPr="005303F7">
              <w:rPr>
                <w:rFonts w:ascii="Times New Roman" w:hAnsi="Times New Roman"/>
                <w:b/>
                <w:bCs/>
                <w:sz w:val="20"/>
                <w:lang w:val="sr-Cyrl-CS" w:eastAsia="en-US"/>
              </w:rPr>
              <w:t>љ</w:t>
            </w:r>
            <w:r w:rsidR="009E0825" w:rsidRPr="005303F7">
              <w:rPr>
                <w:rFonts w:ascii="Times New Roman" w:hAnsi="Times New Roman"/>
                <w:b/>
                <w:bCs/>
                <w:sz w:val="20"/>
                <w:lang w:val="sr-Cyrl-CS" w:eastAsia="en-US"/>
              </w:rPr>
              <w:t xml:space="preserve"> 3:</w:t>
            </w:r>
          </w:p>
          <w:p w14:paraId="00BB9BD0" w14:textId="119B6AB2" w:rsidR="009E228C" w:rsidRPr="005303F7" w:rsidRDefault="008D69AF" w:rsidP="005F638D">
            <w:pPr>
              <w:tabs>
                <w:tab w:val="clear" w:pos="3825"/>
              </w:tabs>
              <w:overflowPunct/>
              <w:autoSpaceDE/>
              <w:autoSpaceDN/>
              <w:adjustRightInd/>
              <w:spacing w:before="0" w:after="0"/>
              <w:jc w:val="left"/>
              <w:textAlignment w:val="auto"/>
              <w:rPr>
                <w:rFonts w:ascii="Times New Roman" w:hAnsi="Times New Roman"/>
                <w:b/>
                <w:bCs/>
                <w:sz w:val="20"/>
                <w:lang w:val="sr-Cyrl-CS" w:eastAsia="en-US"/>
              </w:rPr>
            </w:pPr>
            <w:r w:rsidRPr="005303F7">
              <w:rPr>
                <w:rFonts w:ascii="Times New Roman" w:hAnsi="Times New Roman"/>
                <w:sz w:val="20"/>
                <w:lang w:val="sr-Cyrl-CS" w:eastAsia="en-US"/>
              </w:rPr>
              <w:t>Повећање</w:t>
            </w:r>
            <w:r w:rsidR="009E082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понора</w:t>
            </w:r>
            <w:r w:rsidR="00EE2062" w:rsidRPr="005303F7">
              <w:rPr>
                <w:rFonts w:ascii="Times New Roman" w:hAnsi="Times New Roman"/>
                <w:sz w:val="20"/>
                <w:lang w:val="sr-Cyrl-CS" w:eastAsia="en-US"/>
              </w:rPr>
              <w:t xml:space="preserve"> </w:t>
            </w:r>
            <w:r w:rsidRPr="005303F7">
              <w:rPr>
                <w:rFonts w:ascii="Times New Roman" w:hAnsi="Times New Roman"/>
                <w:sz w:val="20"/>
                <w:lang w:val="sr-Cyrl-CS" w:eastAsia="en-US"/>
              </w:rPr>
              <w:t>уг</w:t>
            </w:r>
            <w:r w:rsidR="00D553BE" w:rsidRPr="005303F7">
              <w:rPr>
                <w:rFonts w:ascii="Times New Roman" w:hAnsi="Times New Roman"/>
                <w:sz w:val="20"/>
                <w:lang w:val="sr-Cyrl-CS" w:eastAsia="en-US"/>
              </w:rPr>
              <w:t>љ</w:t>
            </w:r>
            <w:r w:rsidRPr="005303F7">
              <w:rPr>
                <w:rFonts w:ascii="Times New Roman" w:hAnsi="Times New Roman"/>
                <w:sz w:val="20"/>
                <w:lang w:val="sr-Cyrl-CS" w:eastAsia="en-US"/>
              </w:rPr>
              <w:t>еника</w:t>
            </w:r>
            <w:r w:rsidR="009E0825" w:rsidRPr="005303F7">
              <w:rPr>
                <w:rFonts w:ascii="Times New Roman" w:hAnsi="Times New Roman"/>
                <w:sz w:val="20"/>
                <w:lang w:val="sr-Cyrl-CS" w:eastAsia="en-US"/>
              </w:rPr>
              <w:t xml:space="preserve"> </w:t>
            </w:r>
            <w:r w:rsidRPr="005303F7">
              <w:rPr>
                <w:rFonts w:ascii="Times New Roman" w:hAnsi="Times New Roman"/>
                <w:sz w:val="20"/>
                <w:lang w:val="sr-Cyrl-CS" w:eastAsia="en-US"/>
              </w:rPr>
              <w:t>у</w:t>
            </w:r>
            <w:r w:rsidR="009E0825" w:rsidRPr="005303F7">
              <w:rPr>
                <w:rFonts w:ascii="Times New Roman" w:hAnsi="Times New Roman"/>
                <w:sz w:val="20"/>
                <w:lang w:val="sr-Cyrl-CS" w:eastAsia="en-US"/>
              </w:rPr>
              <w:t xml:space="preserve"> </w:t>
            </w:r>
            <w:r w:rsidRPr="005303F7">
              <w:rPr>
                <w:rFonts w:ascii="Times New Roman" w:hAnsi="Times New Roman"/>
                <w:sz w:val="20"/>
                <w:lang w:val="sr-Cyrl-CS" w:eastAsia="en-US"/>
              </w:rPr>
              <w:t>српским</w:t>
            </w:r>
            <w:r w:rsidR="009E0825" w:rsidRPr="005303F7">
              <w:rPr>
                <w:rFonts w:ascii="Times New Roman" w:hAnsi="Times New Roman"/>
                <w:sz w:val="20"/>
                <w:lang w:val="sr-Cyrl-CS" w:eastAsia="en-US"/>
              </w:rPr>
              <w:t xml:space="preserve"> </w:t>
            </w:r>
            <w:r w:rsidRPr="005303F7">
              <w:rPr>
                <w:rFonts w:ascii="Times New Roman" w:hAnsi="Times New Roman"/>
                <w:sz w:val="20"/>
                <w:lang w:val="sr-Cyrl-CS" w:eastAsia="en-US"/>
              </w:rPr>
              <w:t>шумама</w:t>
            </w:r>
            <w:r w:rsidR="009E082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за</w:t>
            </w:r>
            <w:r w:rsidR="009E0825" w:rsidRPr="005303F7">
              <w:rPr>
                <w:rFonts w:ascii="Times New Roman" w:hAnsi="Times New Roman"/>
                <w:sz w:val="20"/>
                <w:lang w:val="sr-Cyrl-CS" w:eastAsia="en-US"/>
              </w:rPr>
              <w:t xml:space="preserve"> 17% </w:t>
            </w:r>
            <w:r w:rsidRPr="005303F7">
              <w:rPr>
                <w:rFonts w:ascii="Times New Roman" w:hAnsi="Times New Roman"/>
                <w:sz w:val="20"/>
                <w:lang w:val="sr-Cyrl-CS" w:eastAsia="en-US"/>
              </w:rPr>
              <w:t>до</w:t>
            </w:r>
            <w:r w:rsidR="009E0825" w:rsidRPr="005303F7">
              <w:rPr>
                <w:rFonts w:ascii="Times New Roman" w:hAnsi="Times New Roman"/>
                <w:sz w:val="20"/>
                <w:lang w:val="sr-Cyrl-CS" w:eastAsia="en-US"/>
              </w:rPr>
              <w:t xml:space="preserve"> 2030. </w:t>
            </w:r>
            <w:r w:rsidRPr="005303F7">
              <w:rPr>
                <w:rFonts w:ascii="Times New Roman" w:hAnsi="Times New Roman"/>
                <w:sz w:val="20"/>
                <w:lang w:val="sr-Cyrl-CS" w:eastAsia="en-US"/>
              </w:rPr>
              <w:t>и</w:t>
            </w:r>
            <w:r w:rsidR="009E082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између</w:t>
            </w:r>
            <w:r w:rsidR="009E0825" w:rsidRPr="005303F7">
              <w:rPr>
                <w:rFonts w:ascii="Times New Roman" w:hAnsi="Times New Roman"/>
                <w:sz w:val="20"/>
                <w:lang w:val="sr-Cyrl-CS" w:eastAsia="en-US"/>
              </w:rPr>
              <w:t xml:space="preserve"> 22% </w:t>
            </w:r>
            <w:r w:rsidRPr="005303F7">
              <w:rPr>
                <w:rFonts w:ascii="Times New Roman" w:hAnsi="Times New Roman"/>
                <w:sz w:val="20"/>
                <w:lang w:val="sr-Cyrl-CS" w:eastAsia="en-US"/>
              </w:rPr>
              <w:t>и</w:t>
            </w:r>
            <w:r w:rsidR="009E0825" w:rsidRPr="005303F7">
              <w:rPr>
                <w:rFonts w:ascii="Times New Roman" w:hAnsi="Times New Roman"/>
                <w:sz w:val="20"/>
                <w:lang w:val="sr-Cyrl-CS" w:eastAsia="en-US"/>
              </w:rPr>
              <w:t xml:space="preserve"> 132% </w:t>
            </w:r>
            <w:r w:rsidRPr="005303F7">
              <w:rPr>
                <w:rFonts w:ascii="Times New Roman" w:hAnsi="Times New Roman"/>
                <w:sz w:val="20"/>
                <w:lang w:val="sr-Cyrl-CS" w:eastAsia="en-US"/>
              </w:rPr>
              <w:t>до</w:t>
            </w:r>
            <w:r w:rsidR="009E0825" w:rsidRPr="005303F7">
              <w:rPr>
                <w:rFonts w:ascii="Times New Roman" w:hAnsi="Times New Roman"/>
                <w:sz w:val="20"/>
                <w:lang w:val="sr-Cyrl-CS" w:eastAsia="en-US"/>
              </w:rPr>
              <w:t xml:space="preserve"> 2050. </w:t>
            </w:r>
            <w:r w:rsidRPr="005303F7">
              <w:rPr>
                <w:rFonts w:ascii="Times New Roman" w:hAnsi="Times New Roman"/>
                <w:sz w:val="20"/>
                <w:lang w:val="sr-Cyrl-CS" w:eastAsia="en-US"/>
              </w:rPr>
              <w:t>у</w:t>
            </w:r>
            <w:r w:rsidR="009E0825" w:rsidRPr="005303F7">
              <w:rPr>
                <w:rFonts w:ascii="Times New Roman" w:hAnsi="Times New Roman"/>
                <w:sz w:val="20"/>
                <w:lang w:val="sr-Cyrl-CS" w:eastAsia="en-US"/>
              </w:rPr>
              <w:t xml:space="preserve"> </w:t>
            </w:r>
            <w:r w:rsidRPr="005303F7">
              <w:rPr>
                <w:rFonts w:ascii="Times New Roman" w:hAnsi="Times New Roman"/>
                <w:sz w:val="20"/>
                <w:lang w:val="sr-Cyrl-CS" w:eastAsia="en-US"/>
              </w:rPr>
              <w:t>поређењу</w:t>
            </w:r>
            <w:r w:rsidR="009E0825" w:rsidRPr="005303F7">
              <w:rPr>
                <w:rFonts w:ascii="Times New Roman" w:hAnsi="Times New Roman"/>
                <w:sz w:val="20"/>
                <w:lang w:val="sr-Cyrl-CS" w:eastAsia="en-US"/>
              </w:rPr>
              <w:t xml:space="preserve"> </w:t>
            </w:r>
            <w:r w:rsidRPr="005303F7">
              <w:rPr>
                <w:rFonts w:ascii="Times New Roman" w:hAnsi="Times New Roman"/>
                <w:sz w:val="20"/>
                <w:lang w:val="sr-Cyrl-CS" w:eastAsia="en-US"/>
              </w:rPr>
              <w:t>са</w:t>
            </w:r>
            <w:r w:rsidR="009E0825" w:rsidRPr="005303F7">
              <w:rPr>
                <w:rFonts w:ascii="Times New Roman" w:hAnsi="Times New Roman"/>
                <w:sz w:val="20"/>
                <w:lang w:val="sr-Cyrl-CS" w:eastAsia="en-US"/>
              </w:rPr>
              <w:t xml:space="preserve"> 2010. </w:t>
            </w:r>
            <w:r w:rsidRPr="005303F7">
              <w:rPr>
                <w:rFonts w:ascii="Times New Roman" w:hAnsi="Times New Roman"/>
                <w:sz w:val="20"/>
                <w:lang w:val="sr-Cyrl-CS" w:eastAsia="en-US"/>
              </w:rPr>
              <w:t>годином</w:t>
            </w:r>
          </w:p>
        </w:tc>
        <w:tc>
          <w:tcPr>
            <w:tcW w:w="2428" w:type="dxa"/>
            <w:tcBorders>
              <w:top w:val="nil"/>
              <w:left w:val="nil"/>
              <w:bottom w:val="single" w:sz="4" w:space="0" w:color="auto"/>
              <w:right w:val="single" w:sz="4" w:space="0" w:color="auto"/>
            </w:tcBorders>
            <w:shd w:val="clear" w:color="auto" w:fill="auto"/>
            <w:vAlign w:val="center"/>
            <w:hideMark/>
          </w:tcPr>
          <w:p w14:paraId="38551A2F" w14:textId="1B3F9F6E" w:rsidR="009E228C" w:rsidRPr="005303F7" w:rsidRDefault="008D69AF"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Нето</w:t>
            </w:r>
            <w:r w:rsidR="003D7D91"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емисије</w:t>
            </w:r>
            <w:r w:rsidR="003D7D91" w:rsidRPr="005303F7">
              <w:rPr>
                <w:rFonts w:ascii="Times New Roman" w:hAnsi="Times New Roman"/>
                <w:color w:val="000000"/>
                <w:sz w:val="20"/>
                <w:lang w:val="sr-Cyrl-CS" w:eastAsia="en-US"/>
              </w:rPr>
              <w:t xml:space="preserve"> </w:t>
            </w:r>
            <w:r w:rsidR="00D97B92" w:rsidRPr="005303F7">
              <w:rPr>
                <w:rFonts w:ascii="Times New Roman" w:hAnsi="Times New Roman"/>
                <w:color w:val="000000"/>
                <w:sz w:val="20"/>
                <w:lang w:val="sr-Cyrl-CS" w:eastAsia="en-US"/>
              </w:rPr>
              <w:t>GHG</w:t>
            </w:r>
            <w:r w:rsidR="003D7D91"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у</w:t>
            </w:r>
            <w:r w:rsidR="003D7D91"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сектору</w:t>
            </w:r>
            <w:r w:rsidR="003D7D91" w:rsidRPr="005303F7">
              <w:rPr>
                <w:rFonts w:ascii="Times New Roman" w:hAnsi="Times New Roman"/>
                <w:color w:val="000000"/>
                <w:sz w:val="20"/>
                <w:lang w:val="sr-Cyrl-CS" w:eastAsia="en-US"/>
              </w:rPr>
              <w:t xml:space="preserve"> </w:t>
            </w:r>
            <w:r w:rsidR="00D97B92" w:rsidRPr="005303F7">
              <w:rPr>
                <w:rFonts w:ascii="Times New Roman" w:hAnsi="Times New Roman"/>
                <w:color w:val="000000"/>
                <w:sz w:val="20"/>
                <w:lang w:val="sr-Cyrl-CS" w:eastAsia="en-US"/>
              </w:rPr>
              <w:t>LULUCF</w:t>
            </w:r>
            <w:r w:rsidR="009E228C" w:rsidRPr="005303F7">
              <w:rPr>
                <w:rFonts w:ascii="Times New Roman" w:hAnsi="Times New Roman"/>
                <w:color w:val="000000"/>
                <w:sz w:val="20"/>
                <w:lang w:val="sr-Cyrl-CS" w:eastAsia="en-US"/>
              </w:rPr>
              <w:t xml:space="preserve"> (</w:t>
            </w:r>
            <w:r w:rsidR="00D97B92" w:rsidRPr="005303F7">
              <w:rPr>
                <w:rFonts w:ascii="Times New Roman" w:hAnsi="Times New Roman"/>
                <w:color w:val="000000"/>
                <w:sz w:val="20"/>
                <w:lang w:val="sr-Cyrl-CS" w:eastAsia="en-US"/>
              </w:rPr>
              <w:t>ktC</w:t>
            </w:r>
            <w:r w:rsidRPr="005303F7">
              <w:rPr>
                <w:rFonts w:ascii="Times New Roman" w:hAnsi="Times New Roman"/>
                <w:sz w:val="20"/>
                <w:lang w:val="sr-Cyrl-CS" w:eastAsia="en-US"/>
              </w:rPr>
              <w:t>О</w:t>
            </w:r>
            <w:r w:rsidR="00A87FA6" w:rsidRPr="005303F7">
              <w:rPr>
                <w:rFonts w:ascii="Times New Roman" w:hAnsi="Times New Roman"/>
                <w:sz w:val="20"/>
                <w:vertAlign w:val="subscript"/>
                <w:lang w:val="sr-Cyrl-CS" w:eastAsia="en-US"/>
              </w:rPr>
              <w:t>2</w:t>
            </w:r>
            <w:r w:rsidRPr="005303F7">
              <w:rPr>
                <w:rFonts w:ascii="Times New Roman" w:hAnsi="Times New Roman"/>
                <w:color w:val="000000"/>
                <w:sz w:val="20"/>
                <w:lang w:val="sr-Cyrl-CS" w:eastAsia="en-US"/>
              </w:rPr>
              <w:t>е</w:t>
            </w:r>
            <w:r w:rsidR="009E228C" w:rsidRPr="005303F7">
              <w:rPr>
                <w:rFonts w:ascii="Times New Roman" w:hAnsi="Times New Roman"/>
                <w:color w:val="000000"/>
                <w:sz w:val="20"/>
                <w:lang w:val="sr-Cyrl-CS" w:eastAsia="en-US"/>
              </w:rPr>
              <w:t>)</w:t>
            </w:r>
          </w:p>
        </w:tc>
        <w:tc>
          <w:tcPr>
            <w:tcW w:w="1158" w:type="dxa"/>
            <w:tcBorders>
              <w:top w:val="nil"/>
              <w:left w:val="nil"/>
              <w:bottom w:val="single" w:sz="4" w:space="0" w:color="auto"/>
              <w:right w:val="single" w:sz="4" w:space="0" w:color="auto"/>
            </w:tcBorders>
            <w:shd w:val="clear" w:color="auto" w:fill="auto"/>
            <w:vAlign w:val="center"/>
            <w:hideMark/>
          </w:tcPr>
          <w:p w14:paraId="33DA4994"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-4.533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5832A"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-6.576</w:t>
            </w:r>
          </w:p>
        </w:tc>
        <w:tc>
          <w:tcPr>
            <w:tcW w:w="939" w:type="dxa"/>
            <w:tcBorders>
              <w:top w:val="single" w:sz="4" w:space="0" w:color="auto"/>
              <w:left w:val="single" w:sz="4" w:space="0" w:color="auto"/>
              <w:bottom w:val="single" w:sz="4" w:space="0" w:color="auto"/>
              <w:right w:val="nil"/>
            </w:tcBorders>
            <w:shd w:val="clear" w:color="auto" w:fill="auto"/>
            <w:vAlign w:val="center"/>
            <w:hideMark/>
          </w:tcPr>
          <w:p w14:paraId="7DC5B846"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-4.414</w:t>
            </w:r>
          </w:p>
        </w:tc>
        <w:tc>
          <w:tcPr>
            <w:tcW w:w="356" w:type="dxa"/>
            <w:tcBorders>
              <w:top w:val="single" w:sz="4" w:space="0" w:color="auto"/>
              <w:left w:val="nil"/>
              <w:bottom w:val="single" w:sz="4" w:space="0" w:color="auto"/>
              <w:right w:val="nil"/>
            </w:tcBorders>
            <w:shd w:val="clear" w:color="auto" w:fill="auto"/>
            <w:vAlign w:val="center"/>
            <w:hideMark/>
          </w:tcPr>
          <w:p w14:paraId="253B435A"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w:t>
            </w:r>
          </w:p>
        </w:tc>
        <w:tc>
          <w:tcPr>
            <w:tcW w:w="995" w:type="dxa"/>
            <w:tcBorders>
              <w:top w:val="single" w:sz="4" w:space="0" w:color="auto"/>
              <w:left w:val="nil"/>
              <w:bottom w:val="single" w:sz="4" w:space="0" w:color="auto"/>
              <w:right w:val="nil"/>
            </w:tcBorders>
            <w:shd w:val="clear" w:color="auto" w:fill="auto"/>
            <w:vAlign w:val="center"/>
            <w:hideMark/>
          </w:tcPr>
          <w:p w14:paraId="6D939927"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-13.082</w:t>
            </w:r>
          </w:p>
        </w:tc>
        <w:tc>
          <w:tcPr>
            <w:tcW w:w="2840" w:type="dxa"/>
            <w:tcBorders>
              <w:top w:val="nil"/>
              <w:left w:val="single" w:sz="4" w:space="0" w:color="auto"/>
              <w:bottom w:val="single" w:sz="4" w:space="0" w:color="auto"/>
              <w:right w:val="single" w:sz="4" w:space="0" w:color="auto"/>
            </w:tcBorders>
            <w:shd w:val="clear" w:color="auto" w:fill="auto"/>
            <w:vAlign w:val="center"/>
            <w:hideMark/>
          </w:tcPr>
          <w:p w14:paraId="5267559E" w14:textId="0C90FE11" w:rsidR="009E228C" w:rsidRPr="005303F7" w:rsidRDefault="008D69AF" w:rsidP="002F3D7B">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Извештај</w:t>
            </w:r>
            <w:r w:rsidR="002F3D7B"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Националног</w:t>
            </w:r>
            <w:r w:rsidR="002F3D7B"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инвентара</w:t>
            </w:r>
            <w:r w:rsidR="002F3D7B" w:rsidRPr="005303F7">
              <w:rPr>
                <w:rFonts w:ascii="Times New Roman" w:hAnsi="Times New Roman"/>
                <w:color w:val="000000"/>
                <w:sz w:val="20"/>
                <w:lang w:val="sr-Cyrl-CS" w:eastAsia="en-US"/>
              </w:rPr>
              <w:t xml:space="preserve"> </w:t>
            </w:r>
            <w:r w:rsidR="00D97B92" w:rsidRPr="005303F7">
              <w:rPr>
                <w:rFonts w:ascii="Times New Roman" w:hAnsi="Times New Roman"/>
                <w:color w:val="000000"/>
                <w:sz w:val="20"/>
                <w:lang w:val="sr-Cyrl-CS" w:eastAsia="en-US"/>
              </w:rPr>
              <w:t>GHG</w:t>
            </w:r>
            <w:r w:rsidR="009E228C" w:rsidRPr="005303F7">
              <w:rPr>
                <w:rFonts w:ascii="Times New Roman" w:hAnsi="Times New Roman"/>
                <w:color w:val="000000"/>
                <w:sz w:val="20"/>
                <w:lang w:val="sr-Cyrl-CS" w:eastAsia="en-US"/>
              </w:rPr>
              <w:br/>
              <w:t>(</w:t>
            </w:r>
            <w:r w:rsidR="00D97B92" w:rsidRPr="005303F7">
              <w:rPr>
                <w:rFonts w:ascii="Times New Roman" w:hAnsi="Times New Roman"/>
                <w:color w:val="000000"/>
                <w:sz w:val="20"/>
                <w:lang w:val="sr-Cyrl-CS" w:eastAsia="en-US"/>
              </w:rPr>
              <w:t>IPCC</w:t>
            </w:r>
            <w:r w:rsidR="009E228C"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категорија</w:t>
            </w:r>
            <w:r w:rsidR="009E228C" w:rsidRPr="005303F7">
              <w:rPr>
                <w:rFonts w:ascii="Times New Roman" w:hAnsi="Times New Roman"/>
                <w:color w:val="000000"/>
                <w:sz w:val="20"/>
                <w:lang w:val="sr-Cyrl-CS" w:eastAsia="en-US"/>
              </w:rPr>
              <w:t xml:space="preserve"> - 4)</w:t>
            </w:r>
          </w:p>
        </w:tc>
      </w:tr>
      <w:tr w:rsidR="009E228C" w:rsidRPr="005303F7" w14:paraId="53A4C838" w14:textId="77777777" w:rsidTr="00451EB6">
        <w:trPr>
          <w:trHeight w:val="1020"/>
        </w:trPr>
        <w:tc>
          <w:tcPr>
            <w:tcW w:w="4686" w:type="dxa"/>
            <w:vMerge w:val="restart"/>
            <w:tcBorders>
              <w:top w:val="single" w:sz="4" w:space="0" w:color="auto"/>
              <w:left w:val="single" w:sz="4" w:space="0" w:color="auto"/>
              <w:right w:val="single" w:sz="4" w:space="0" w:color="auto"/>
            </w:tcBorders>
            <w:shd w:val="clear" w:color="auto" w:fill="auto"/>
            <w:vAlign w:val="center"/>
            <w:hideMark/>
          </w:tcPr>
          <w:p w14:paraId="288C9B44" w14:textId="43D92D05" w:rsidR="00EE2062" w:rsidRPr="005303F7" w:rsidRDefault="008D69AF" w:rsidP="00A17981">
            <w:pPr>
              <w:tabs>
                <w:tab w:val="clear" w:pos="3825"/>
              </w:tabs>
              <w:overflowPunct/>
              <w:autoSpaceDE/>
              <w:autoSpaceDN/>
              <w:adjustRightInd/>
              <w:spacing w:before="0" w:after="0"/>
              <w:jc w:val="left"/>
              <w:textAlignment w:val="auto"/>
              <w:rPr>
                <w:rFonts w:ascii="Times New Roman" w:hAnsi="Times New Roman"/>
                <w:b/>
                <w:bCs/>
                <w:sz w:val="20"/>
                <w:lang w:val="sr-Cyrl-CS" w:eastAsia="en-US"/>
              </w:rPr>
            </w:pPr>
            <w:r w:rsidRPr="005303F7">
              <w:rPr>
                <w:rFonts w:ascii="Times New Roman" w:hAnsi="Times New Roman"/>
                <w:b/>
                <w:bCs/>
                <w:sz w:val="20"/>
                <w:lang w:val="sr-Cyrl-CS" w:eastAsia="en-US"/>
              </w:rPr>
              <w:lastRenderedPageBreak/>
              <w:t>Посебан</w:t>
            </w:r>
            <w:r w:rsidR="00131C61" w:rsidRPr="005303F7">
              <w:rPr>
                <w:rFonts w:ascii="Times New Roman" w:hAnsi="Times New Roman"/>
                <w:b/>
                <w:bCs/>
                <w:sz w:val="20"/>
                <w:lang w:val="sr-Cyrl-CS" w:eastAsia="en-US"/>
              </w:rPr>
              <w:t xml:space="preserve"> </w:t>
            </w:r>
            <w:r w:rsidRPr="005303F7">
              <w:rPr>
                <w:rFonts w:ascii="Times New Roman" w:hAnsi="Times New Roman"/>
                <w:b/>
                <w:bCs/>
                <w:sz w:val="20"/>
                <w:lang w:val="sr-Cyrl-CS" w:eastAsia="en-US"/>
              </w:rPr>
              <w:t>ци</w:t>
            </w:r>
            <w:r w:rsidR="00D553BE" w:rsidRPr="005303F7">
              <w:rPr>
                <w:rFonts w:ascii="Times New Roman" w:hAnsi="Times New Roman"/>
                <w:b/>
                <w:bCs/>
                <w:sz w:val="20"/>
                <w:lang w:val="sr-Cyrl-CS" w:eastAsia="en-US"/>
              </w:rPr>
              <w:t>љ</w:t>
            </w:r>
            <w:r w:rsidR="00131C61" w:rsidRPr="005303F7">
              <w:rPr>
                <w:rFonts w:ascii="Times New Roman" w:hAnsi="Times New Roman"/>
                <w:b/>
                <w:bCs/>
                <w:sz w:val="20"/>
                <w:lang w:val="sr-Cyrl-CS" w:eastAsia="en-US"/>
              </w:rPr>
              <w:t xml:space="preserve"> 4: </w:t>
            </w:r>
          </w:p>
          <w:p w14:paraId="1FFF19F6" w14:textId="4313A492" w:rsidR="009E228C" w:rsidRPr="005303F7" w:rsidRDefault="00E4098A" w:rsidP="00C70572">
            <w:pPr>
              <w:tabs>
                <w:tab w:val="clear" w:pos="3825"/>
              </w:tabs>
              <w:overflowPunct/>
              <w:autoSpaceDE/>
              <w:autoSpaceDN/>
              <w:adjustRightInd/>
              <w:spacing w:before="0" w:after="0"/>
              <w:jc w:val="left"/>
              <w:textAlignment w:val="auto"/>
              <w:rPr>
                <w:rFonts w:ascii="Times New Roman" w:hAnsi="Times New Roman"/>
                <w:sz w:val="20"/>
                <w:lang w:val="sr-Cyrl-CS" w:eastAsia="en-US"/>
              </w:rPr>
            </w:pPr>
            <w:r w:rsidRPr="005303F7">
              <w:rPr>
                <w:rFonts w:ascii="Times New Roman" w:hAnsi="Times New Roman"/>
                <w:bCs/>
                <w:sz w:val="20"/>
                <w:lang w:val="sr-Cyrl-CS" w:eastAsia="en-US"/>
              </w:rPr>
              <w:t>Очување</w:t>
            </w:r>
            <w:r w:rsidR="00131C61" w:rsidRPr="005303F7">
              <w:rPr>
                <w:rFonts w:ascii="Times New Roman" w:hAnsi="Times New Roman"/>
                <w:bCs/>
                <w:sz w:val="20"/>
                <w:lang w:val="sr-Cyrl-CS" w:eastAsia="en-US"/>
              </w:rPr>
              <w:t xml:space="preserve"> </w:t>
            </w:r>
            <w:r w:rsidRPr="005303F7">
              <w:rPr>
                <w:rFonts w:ascii="Times New Roman" w:hAnsi="Times New Roman"/>
                <w:bCs/>
                <w:sz w:val="20"/>
                <w:lang w:val="sr-Cyrl-CS" w:eastAsia="en-US"/>
              </w:rPr>
              <w:t>потенцијала</w:t>
            </w:r>
            <w:r w:rsidR="00131C61" w:rsidRPr="005303F7">
              <w:rPr>
                <w:rFonts w:ascii="Times New Roman" w:hAnsi="Times New Roman"/>
                <w:bCs/>
                <w:sz w:val="20"/>
                <w:lang w:val="sr-Cyrl-CS" w:eastAsia="en-US"/>
              </w:rPr>
              <w:t xml:space="preserve"> </w:t>
            </w:r>
            <w:r w:rsidRPr="005303F7">
              <w:rPr>
                <w:rFonts w:ascii="Times New Roman" w:hAnsi="Times New Roman"/>
                <w:bCs/>
                <w:sz w:val="20"/>
                <w:lang w:val="sr-Cyrl-CS" w:eastAsia="en-US"/>
              </w:rPr>
              <w:t>мера</w:t>
            </w:r>
            <w:r w:rsidR="00131C61" w:rsidRPr="005303F7">
              <w:rPr>
                <w:rFonts w:ascii="Times New Roman" w:hAnsi="Times New Roman"/>
                <w:bCs/>
                <w:sz w:val="20"/>
                <w:lang w:val="sr-Cyrl-CS" w:eastAsia="en-US"/>
              </w:rPr>
              <w:t xml:space="preserve"> </w:t>
            </w:r>
            <w:r w:rsidRPr="005303F7">
              <w:rPr>
                <w:rFonts w:ascii="Times New Roman" w:hAnsi="Times New Roman"/>
                <w:bCs/>
                <w:sz w:val="20"/>
                <w:lang w:val="sr-Cyrl-CS" w:eastAsia="en-US"/>
              </w:rPr>
              <w:t>ублажавања</w:t>
            </w:r>
            <w:r w:rsidR="00131C61" w:rsidRPr="005303F7">
              <w:rPr>
                <w:rFonts w:ascii="Times New Roman" w:hAnsi="Times New Roman"/>
                <w:bCs/>
                <w:sz w:val="20"/>
                <w:lang w:val="sr-Cyrl-CS" w:eastAsia="en-US"/>
              </w:rPr>
              <w:t xml:space="preserve">, </w:t>
            </w:r>
            <w:r w:rsidRPr="005303F7">
              <w:rPr>
                <w:rFonts w:ascii="Times New Roman" w:hAnsi="Times New Roman"/>
                <w:bCs/>
                <w:sz w:val="20"/>
                <w:lang w:val="sr-Cyrl-CS" w:eastAsia="en-US"/>
              </w:rPr>
              <w:t>повећањем</w:t>
            </w:r>
            <w:r w:rsidR="00131C61" w:rsidRPr="005303F7">
              <w:rPr>
                <w:rFonts w:ascii="Times New Roman" w:hAnsi="Times New Roman"/>
                <w:bCs/>
                <w:sz w:val="20"/>
                <w:lang w:val="sr-Cyrl-CS" w:eastAsia="en-US"/>
              </w:rPr>
              <w:t xml:space="preserve"> </w:t>
            </w:r>
            <w:r w:rsidRPr="005303F7">
              <w:rPr>
                <w:rFonts w:ascii="Times New Roman" w:hAnsi="Times New Roman"/>
                <w:bCs/>
                <w:sz w:val="20"/>
                <w:lang w:val="sr-Cyrl-CS" w:eastAsia="en-US"/>
              </w:rPr>
              <w:t>отпорности</w:t>
            </w:r>
            <w:r w:rsidR="00131C61" w:rsidRPr="005303F7">
              <w:rPr>
                <w:rFonts w:ascii="Times New Roman" w:hAnsi="Times New Roman"/>
                <w:bCs/>
                <w:sz w:val="20"/>
                <w:lang w:val="sr-Cyrl-CS" w:eastAsia="en-US"/>
              </w:rPr>
              <w:t xml:space="preserve"> </w:t>
            </w:r>
            <w:r w:rsidR="00FE15B2" w:rsidRPr="005303F7">
              <w:rPr>
                <w:rFonts w:ascii="Times New Roman" w:hAnsi="Times New Roman"/>
                <w:bCs/>
                <w:sz w:val="20"/>
                <w:lang w:val="sr-Cyrl-CS" w:eastAsia="en-US"/>
              </w:rPr>
              <w:t xml:space="preserve">приоритетних сектора </w:t>
            </w:r>
            <w:r w:rsidRPr="005303F7">
              <w:rPr>
                <w:rFonts w:ascii="Times New Roman" w:hAnsi="Times New Roman"/>
                <w:bCs/>
                <w:sz w:val="20"/>
                <w:lang w:val="sr-Cyrl-CS" w:eastAsia="en-US"/>
              </w:rPr>
              <w:t>на</w:t>
            </w:r>
            <w:r w:rsidR="00131C61" w:rsidRPr="005303F7">
              <w:rPr>
                <w:rFonts w:ascii="Times New Roman" w:hAnsi="Times New Roman"/>
                <w:bCs/>
                <w:sz w:val="20"/>
                <w:lang w:val="sr-Cyrl-CS" w:eastAsia="en-US"/>
              </w:rPr>
              <w:t xml:space="preserve"> </w:t>
            </w:r>
            <w:r w:rsidRPr="005303F7">
              <w:rPr>
                <w:rFonts w:ascii="Times New Roman" w:hAnsi="Times New Roman"/>
                <w:bCs/>
                <w:sz w:val="20"/>
                <w:lang w:val="sr-Cyrl-CS" w:eastAsia="en-US"/>
              </w:rPr>
              <w:t>климатске</w:t>
            </w:r>
            <w:r w:rsidR="00131C61" w:rsidRPr="005303F7">
              <w:rPr>
                <w:rFonts w:ascii="Times New Roman" w:hAnsi="Times New Roman"/>
                <w:bCs/>
                <w:sz w:val="20"/>
                <w:lang w:val="sr-Cyrl-CS" w:eastAsia="en-US"/>
              </w:rPr>
              <w:t xml:space="preserve"> </w:t>
            </w:r>
            <w:r w:rsidRPr="005303F7">
              <w:rPr>
                <w:rFonts w:ascii="Times New Roman" w:hAnsi="Times New Roman"/>
                <w:bCs/>
                <w:sz w:val="20"/>
                <w:lang w:val="sr-Cyrl-CS" w:eastAsia="en-US"/>
              </w:rPr>
              <w:t>промене</w:t>
            </w:r>
            <w:r w:rsidR="00131C61" w:rsidRPr="005303F7">
              <w:rPr>
                <w:rFonts w:ascii="Times New Roman" w:hAnsi="Times New Roman"/>
                <w:bCs/>
                <w:sz w:val="20"/>
                <w:lang w:val="sr-Cyrl-CS" w:eastAsia="en-US"/>
              </w:rPr>
              <w:t xml:space="preserve"> </w:t>
            </w:r>
          </w:p>
        </w:tc>
        <w:tc>
          <w:tcPr>
            <w:tcW w:w="2428" w:type="dxa"/>
            <w:tcBorders>
              <w:top w:val="single" w:sz="4" w:space="0" w:color="auto"/>
              <w:left w:val="nil"/>
              <w:bottom w:val="nil"/>
              <w:right w:val="single" w:sz="4" w:space="0" w:color="auto"/>
            </w:tcBorders>
            <w:shd w:val="clear" w:color="auto" w:fill="auto"/>
            <w:vAlign w:val="center"/>
            <w:hideMark/>
          </w:tcPr>
          <w:p w14:paraId="1893C2B1" w14:textId="1DF08C92" w:rsidR="009E228C" w:rsidRPr="005303F7" w:rsidRDefault="008D69AF" w:rsidP="00E27E4A">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По</w:t>
            </w:r>
            <w:r w:rsidR="00D553BE" w:rsidRPr="005303F7">
              <w:rPr>
                <w:rFonts w:ascii="Times New Roman" w:hAnsi="Times New Roman"/>
                <w:sz w:val="20"/>
                <w:lang w:val="sr-Cyrl-CS" w:eastAsia="en-US"/>
              </w:rPr>
              <w:t>љ</w:t>
            </w:r>
            <w:r w:rsidRPr="005303F7">
              <w:rPr>
                <w:rFonts w:ascii="Times New Roman" w:hAnsi="Times New Roman"/>
                <w:color w:val="000000"/>
                <w:sz w:val="20"/>
                <w:lang w:val="sr-Cyrl-CS" w:eastAsia="en-US"/>
              </w:rPr>
              <w:t>опривредно</w:t>
            </w:r>
            <w:r w:rsidR="008D2A19"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зем</w:t>
            </w:r>
            <w:r w:rsidR="00D553BE" w:rsidRPr="005303F7">
              <w:rPr>
                <w:rFonts w:ascii="Times New Roman" w:hAnsi="Times New Roman"/>
                <w:sz w:val="20"/>
                <w:lang w:val="sr-Cyrl-CS" w:eastAsia="en-US"/>
              </w:rPr>
              <w:t>љ</w:t>
            </w:r>
            <w:r w:rsidRPr="005303F7">
              <w:rPr>
                <w:rFonts w:ascii="Times New Roman" w:hAnsi="Times New Roman"/>
                <w:color w:val="000000"/>
                <w:sz w:val="20"/>
                <w:lang w:val="sr-Cyrl-CS" w:eastAsia="en-US"/>
              </w:rPr>
              <w:t>иште</w:t>
            </w:r>
            <w:r w:rsidR="008D2A19"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под</w:t>
            </w:r>
            <w:r w:rsidR="008D2A19"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системом</w:t>
            </w:r>
            <w:r w:rsidR="00E27E4A"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за</w:t>
            </w:r>
            <w:r w:rsidR="00E27E4A"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наводњавање</w:t>
            </w:r>
            <w:r w:rsidR="008D2A19" w:rsidRPr="005303F7">
              <w:rPr>
                <w:rFonts w:ascii="Times New Roman" w:hAnsi="Times New Roman"/>
                <w:color w:val="000000"/>
                <w:sz w:val="20"/>
                <w:lang w:val="sr-Cyrl-CS" w:eastAsia="en-US"/>
              </w:rPr>
              <w:t xml:space="preserve"> </w:t>
            </w:r>
            <w:r w:rsidR="009E228C" w:rsidRPr="005303F7">
              <w:rPr>
                <w:rFonts w:ascii="Times New Roman" w:hAnsi="Times New Roman"/>
                <w:color w:val="000000"/>
                <w:sz w:val="20"/>
                <w:lang w:val="sr-Cyrl-CS" w:eastAsia="en-US"/>
              </w:rPr>
              <w:t>(%)</w:t>
            </w:r>
          </w:p>
        </w:tc>
        <w:tc>
          <w:tcPr>
            <w:tcW w:w="1158" w:type="dxa"/>
            <w:tcBorders>
              <w:top w:val="nil"/>
              <w:left w:val="nil"/>
              <w:bottom w:val="single" w:sz="4" w:space="0" w:color="auto"/>
              <w:right w:val="single" w:sz="4" w:space="0" w:color="auto"/>
            </w:tcBorders>
            <w:shd w:val="clear" w:color="auto" w:fill="auto"/>
            <w:vAlign w:val="center"/>
            <w:hideMark/>
          </w:tcPr>
          <w:p w14:paraId="77A0CF59"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1,5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7B5F"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7</w:t>
            </w:r>
          </w:p>
        </w:tc>
        <w:tc>
          <w:tcPr>
            <w:tcW w:w="939" w:type="dxa"/>
            <w:tcBorders>
              <w:top w:val="single" w:sz="4" w:space="0" w:color="auto"/>
              <w:left w:val="single" w:sz="4" w:space="0" w:color="auto"/>
              <w:bottom w:val="single" w:sz="4" w:space="0" w:color="auto"/>
              <w:right w:val="nil"/>
            </w:tcBorders>
            <w:shd w:val="clear" w:color="auto" w:fill="auto"/>
            <w:vAlign w:val="center"/>
            <w:hideMark/>
          </w:tcPr>
          <w:p w14:paraId="716CD708"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10</w:t>
            </w:r>
          </w:p>
        </w:tc>
        <w:tc>
          <w:tcPr>
            <w:tcW w:w="356" w:type="dxa"/>
            <w:tcBorders>
              <w:top w:val="single" w:sz="4" w:space="0" w:color="auto"/>
              <w:left w:val="nil"/>
              <w:bottom w:val="single" w:sz="4" w:space="0" w:color="auto"/>
              <w:right w:val="nil"/>
            </w:tcBorders>
            <w:shd w:val="clear" w:color="auto" w:fill="auto"/>
            <w:vAlign w:val="center"/>
            <w:hideMark/>
          </w:tcPr>
          <w:p w14:paraId="778240EB"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w:t>
            </w:r>
          </w:p>
        </w:tc>
        <w:tc>
          <w:tcPr>
            <w:tcW w:w="995" w:type="dxa"/>
            <w:tcBorders>
              <w:top w:val="single" w:sz="4" w:space="0" w:color="auto"/>
              <w:left w:val="nil"/>
              <w:bottom w:val="single" w:sz="4" w:space="0" w:color="auto"/>
              <w:right w:val="nil"/>
            </w:tcBorders>
            <w:shd w:val="clear" w:color="auto" w:fill="auto"/>
            <w:vAlign w:val="center"/>
            <w:hideMark/>
          </w:tcPr>
          <w:p w14:paraId="5B0170AE"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15</w:t>
            </w:r>
          </w:p>
        </w:tc>
        <w:tc>
          <w:tcPr>
            <w:tcW w:w="2840" w:type="dxa"/>
            <w:tcBorders>
              <w:top w:val="nil"/>
              <w:left w:val="single" w:sz="4" w:space="0" w:color="auto"/>
              <w:bottom w:val="single" w:sz="4" w:space="0" w:color="auto"/>
              <w:right w:val="single" w:sz="4" w:space="0" w:color="auto"/>
            </w:tcBorders>
            <w:shd w:val="clear" w:color="auto" w:fill="auto"/>
            <w:vAlign w:val="center"/>
            <w:hideMark/>
          </w:tcPr>
          <w:p w14:paraId="614CA00C" w14:textId="025E30E6" w:rsidR="009E228C" w:rsidRPr="005303F7" w:rsidRDefault="008D69AF"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Републички</w:t>
            </w:r>
            <w:r w:rsidR="00DD349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завод</w:t>
            </w:r>
            <w:r w:rsidR="00DD349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за</w:t>
            </w:r>
            <w:r w:rsidR="00DD349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статистику</w:t>
            </w:r>
            <w:r w:rsidR="00DD3496" w:rsidRPr="005303F7">
              <w:rPr>
                <w:rFonts w:ascii="Times New Roman" w:hAnsi="Times New Roman"/>
                <w:color w:val="000000"/>
                <w:sz w:val="20"/>
                <w:lang w:val="sr-Cyrl-CS" w:eastAsia="en-US"/>
              </w:rPr>
              <w:t xml:space="preserve"> </w:t>
            </w:r>
          </w:p>
        </w:tc>
      </w:tr>
      <w:tr w:rsidR="009E228C" w:rsidRPr="005303F7" w14:paraId="28E0F46A" w14:textId="77777777" w:rsidTr="00451EB6">
        <w:trPr>
          <w:trHeight w:val="900"/>
        </w:trPr>
        <w:tc>
          <w:tcPr>
            <w:tcW w:w="4686" w:type="dxa"/>
            <w:vMerge/>
            <w:tcBorders>
              <w:left w:val="single" w:sz="4" w:space="0" w:color="auto"/>
              <w:right w:val="single" w:sz="4" w:space="0" w:color="auto"/>
            </w:tcBorders>
            <w:shd w:val="clear" w:color="auto" w:fill="auto"/>
            <w:vAlign w:val="center"/>
            <w:hideMark/>
          </w:tcPr>
          <w:p w14:paraId="73A200B4" w14:textId="77777777" w:rsidR="009E228C" w:rsidRPr="005303F7" w:rsidRDefault="009E228C" w:rsidP="00A17981">
            <w:pPr>
              <w:spacing w:before="0" w:after="0"/>
              <w:jc w:val="center"/>
              <w:rPr>
                <w:rFonts w:ascii="Times New Roman" w:hAnsi="Times New Roman"/>
                <w:b/>
                <w:bCs/>
                <w:color w:val="000000"/>
                <w:sz w:val="20"/>
                <w:lang w:val="sr-Cyrl-CS" w:eastAsia="en-US"/>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1FCF7" w14:textId="7286AAB0" w:rsidR="009E228C" w:rsidRPr="005303F7" w:rsidRDefault="00712AC0" w:rsidP="00A17981">
            <w:pPr>
              <w:tabs>
                <w:tab w:val="clear" w:pos="3825"/>
              </w:tabs>
              <w:overflowPunct/>
              <w:autoSpaceDE/>
              <w:autoSpaceDN/>
              <w:adjustRightInd/>
              <w:spacing w:before="0"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Биолошке, биотехничке и техничке мере заштите од ерозија и бујица на сливовима водотока</w:t>
            </w:r>
            <w:r w:rsidRPr="005303F7" w:rsidDel="00712AC0">
              <w:rPr>
                <w:rFonts w:ascii="Times New Roman" w:hAnsi="Times New Roman"/>
                <w:sz w:val="20"/>
                <w:lang w:val="sr-Cyrl-CS" w:eastAsia="en-US"/>
              </w:rPr>
              <w:t xml:space="preserve"> </w:t>
            </w:r>
            <w:r w:rsidR="009E228C" w:rsidRPr="005303F7">
              <w:rPr>
                <w:rFonts w:ascii="Times New Roman" w:hAnsi="Times New Roman"/>
                <w:sz w:val="20"/>
                <w:lang w:val="sr-Cyrl-CS" w:eastAsia="en-US"/>
              </w:rPr>
              <w:t>(</w:t>
            </w:r>
            <w:r w:rsidR="008D69AF" w:rsidRPr="005303F7">
              <w:rPr>
                <w:rFonts w:ascii="Times New Roman" w:hAnsi="Times New Roman"/>
                <w:sz w:val="20"/>
                <w:lang w:val="sr-Cyrl-CS" w:eastAsia="en-US"/>
              </w:rPr>
              <w:t>М</w:t>
            </w:r>
            <w:r w:rsidR="00D7102F" w:rsidRPr="005303F7">
              <w:rPr>
                <w:rFonts w:ascii="Times New Roman" w:hAnsi="Times New Roman"/>
                <w:sz w:val="20"/>
                <w:lang w:val="sr-Cyrl-CS" w:eastAsia="en-US"/>
              </w:rPr>
              <w:t>io</w:t>
            </w:r>
            <w:r w:rsidR="009E228C" w:rsidRPr="005303F7">
              <w:rPr>
                <w:rFonts w:ascii="Times New Roman" w:hAnsi="Times New Roman"/>
                <w:sz w:val="20"/>
                <w:lang w:val="sr-Cyrl-CS" w:eastAsia="en-US"/>
              </w:rPr>
              <w:t xml:space="preserve"> </w:t>
            </w:r>
            <w:r w:rsidR="00D7102F" w:rsidRPr="005303F7">
              <w:rPr>
                <w:rFonts w:ascii="Times New Roman" w:hAnsi="Times New Roman"/>
                <w:sz w:val="20"/>
                <w:lang w:val="sr-Cyrl-CS" w:eastAsia="en-US"/>
              </w:rPr>
              <w:t>m</w:t>
            </w:r>
            <w:r w:rsidR="009E228C" w:rsidRPr="005303F7">
              <w:rPr>
                <w:rFonts w:ascii="Times New Roman" w:hAnsi="Times New Roman"/>
                <w:sz w:val="20"/>
                <w:vertAlign w:val="superscript"/>
                <w:lang w:val="sr-Cyrl-CS" w:eastAsia="en-US"/>
              </w:rPr>
              <w:t>3</w:t>
            </w:r>
            <w:r w:rsidR="009E228C" w:rsidRPr="005303F7">
              <w:rPr>
                <w:rFonts w:ascii="Times New Roman" w:hAnsi="Times New Roman"/>
                <w:sz w:val="20"/>
                <w:lang w:val="sr-Cyrl-CS" w:eastAsia="en-US"/>
              </w:rPr>
              <w:t>)</w:t>
            </w:r>
          </w:p>
        </w:tc>
        <w:tc>
          <w:tcPr>
            <w:tcW w:w="1158" w:type="dxa"/>
            <w:tcBorders>
              <w:top w:val="nil"/>
              <w:left w:val="nil"/>
              <w:bottom w:val="single" w:sz="4" w:space="0" w:color="auto"/>
              <w:right w:val="single" w:sz="4" w:space="0" w:color="auto"/>
            </w:tcBorders>
            <w:shd w:val="clear" w:color="auto" w:fill="auto"/>
            <w:vAlign w:val="center"/>
            <w:hideMark/>
          </w:tcPr>
          <w:p w14:paraId="4C526812"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0,35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F5A4D"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1,00</w:t>
            </w:r>
          </w:p>
        </w:tc>
        <w:tc>
          <w:tcPr>
            <w:tcW w:w="939" w:type="dxa"/>
            <w:tcBorders>
              <w:top w:val="single" w:sz="4" w:space="0" w:color="auto"/>
              <w:left w:val="single" w:sz="4" w:space="0" w:color="auto"/>
              <w:bottom w:val="single" w:sz="4" w:space="0" w:color="auto"/>
              <w:right w:val="nil"/>
            </w:tcBorders>
            <w:shd w:val="clear" w:color="auto" w:fill="auto"/>
            <w:vAlign w:val="center"/>
            <w:hideMark/>
          </w:tcPr>
          <w:p w14:paraId="1AE7F4B2"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1,00</w:t>
            </w:r>
          </w:p>
        </w:tc>
        <w:tc>
          <w:tcPr>
            <w:tcW w:w="356" w:type="dxa"/>
            <w:tcBorders>
              <w:top w:val="single" w:sz="4" w:space="0" w:color="auto"/>
              <w:left w:val="nil"/>
              <w:bottom w:val="single" w:sz="4" w:space="0" w:color="auto"/>
              <w:right w:val="nil"/>
            </w:tcBorders>
            <w:shd w:val="clear" w:color="auto" w:fill="auto"/>
            <w:vAlign w:val="center"/>
            <w:hideMark/>
          </w:tcPr>
          <w:p w14:paraId="4FA31765"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w:t>
            </w:r>
          </w:p>
        </w:tc>
        <w:tc>
          <w:tcPr>
            <w:tcW w:w="995" w:type="dxa"/>
            <w:tcBorders>
              <w:top w:val="single" w:sz="4" w:space="0" w:color="auto"/>
              <w:left w:val="nil"/>
              <w:bottom w:val="single" w:sz="4" w:space="0" w:color="auto"/>
              <w:right w:val="nil"/>
            </w:tcBorders>
            <w:shd w:val="clear" w:color="auto" w:fill="auto"/>
            <w:vAlign w:val="center"/>
            <w:hideMark/>
          </w:tcPr>
          <w:p w14:paraId="3EC56983"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1,00</w:t>
            </w:r>
          </w:p>
        </w:tc>
        <w:tc>
          <w:tcPr>
            <w:tcW w:w="2840" w:type="dxa"/>
            <w:tcBorders>
              <w:top w:val="nil"/>
              <w:left w:val="single" w:sz="4" w:space="0" w:color="auto"/>
              <w:bottom w:val="single" w:sz="4" w:space="0" w:color="auto"/>
              <w:right w:val="single" w:sz="4" w:space="0" w:color="auto"/>
            </w:tcBorders>
            <w:shd w:val="clear" w:color="auto" w:fill="auto"/>
            <w:vAlign w:val="center"/>
            <w:hideMark/>
          </w:tcPr>
          <w:p w14:paraId="366DAF0A" w14:textId="2184E439" w:rsidR="009E228C" w:rsidRPr="005303F7" w:rsidRDefault="008D69AF"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Републичка</w:t>
            </w:r>
            <w:r w:rsidR="00FC2F09"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дирекција</w:t>
            </w:r>
            <w:r w:rsidR="00FC2F09"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за</w:t>
            </w:r>
            <w:r w:rsidR="00FC2F09"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воде</w:t>
            </w:r>
            <w:r w:rsidR="00712AC0" w:rsidRPr="005303F7">
              <w:rPr>
                <w:rFonts w:ascii="Times New Roman" w:hAnsi="Times New Roman"/>
                <w:color w:val="000000"/>
                <w:sz w:val="20"/>
                <w:lang w:val="sr-Cyrl-CS" w:eastAsia="en-US"/>
              </w:rPr>
              <w:t xml:space="preserve"> преко надлежних јавних водопривредних предузећа </w:t>
            </w:r>
            <w:r w:rsidR="009E228C" w:rsidRPr="005303F7">
              <w:rPr>
                <w:rFonts w:ascii="Times New Roman" w:hAnsi="Times New Roman"/>
                <w:color w:val="000000"/>
                <w:sz w:val="20"/>
                <w:lang w:val="sr-Cyrl-CS" w:eastAsia="en-US"/>
              </w:rPr>
              <w:t>/</w:t>
            </w:r>
            <w:r w:rsidRPr="005303F7">
              <w:rPr>
                <w:rFonts w:ascii="Times New Roman" w:hAnsi="Times New Roman"/>
                <w:sz w:val="20"/>
                <w:lang w:val="sr-Cyrl-CS"/>
              </w:rPr>
              <w:t>Праћење</w:t>
            </w:r>
            <w:r w:rsidR="00CA0CA6" w:rsidRPr="005303F7">
              <w:rPr>
                <w:rFonts w:ascii="Times New Roman" w:hAnsi="Times New Roman"/>
                <w:sz w:val="20"/>
                <w:lang w:val="sr-Cyrl-CS"/>
              </w:rPr>
              <w:t xml:space="preserve"> </w:t>
            </w:r>
            <w:r w:rsidRPr="005303F7">
              <w:rPr>
                <w:rFonts w:ascii="Times New Roman" w:hAnsi="Times New Roman"/>
                <w:sz w:val="20"/>
                <w:lang w:val="sr-Cyrl-CS"/>
              </w:rPr>
              <w:t>имплементације</w:t>
            </w:r>
            <w:r w:rsidR="00CA0CA6" w:rsidRPr="005303F7">
              <w:rPr>
                <w:rFonts w:ascii="Times New Roman" w:hAnsi="Times New Roman"/>
                <w:sz w:val="20"/>
                <w:lang w:val="sr-Cyrl-CS"/>
              </w:rPr>
              <w:t xml:space="preserve"> </w:t>
            </w:r>
            <w:r w:rsidRPr="005303F7">
              <w:rPr>
                <w:rFonts w:ascii="Times New Roman" w:hAnsi="Times New Roman"/>
                <w:color w:val="000000"/>
                <w:sz w:val="20"/>
                <w:lang w:val="sr-Cyrl-CS" w:eastAsia="en-US"/>
              </w:rPr>
              <w:t>Стратегије</w:t>
            </w:r>
            <w:r w:rsidR="00CA0CA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управ</w:t>
            </w:r>
            <w:r w:rsidR="00D553BE" w:rsidRPr="005303F7">
              <w:rPr>
                <w:rFonts w:ascii="Times New Roman" w:hAnsi="Times New Roman"/>
                <w:sz w:val="20"/>
                <w:lang w:val="sr-Cyrl-CS" w:eastAsia="en-US"/>
              </w:rPr>
              <w:t>љ</w:t>
            </w:r>
            <w:r w:rsidRPr="005303F7">
              <w:rPr>
                <w:rFonts w:ascii="Times New Roman" w:hAnsi="Times New Roman"/>
                <w:color w:val="000000"/>
                <w:sz w:val="20"/>
                <w:lang w:val="sr-Cyrl-CS" w:eastAsia="en-US"/>
              </w:rPr>
              <w:t>ања</w:t>
            </w:r>
            <w:r w:rsidR="00CA0CA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водама</w:t>
            </w:r>
          </w:p>
        </w:tc>
      </w:tr>
      <w:tr w:rsidR="009E228C" w:rsidRPr="005303F7" w14:paraId="0F1BD3F8" w14:textId="77777777" w:rsidTr="00451EB6">
        <w:trPr>
          <w:trHeight w:val="870"/>
        </w:trPr>
        <w:tc>
          <w:tcPr>
            <w:tcW w:w="4686" w:type="dxa"/>
            <w:vMerge/>
            <w:tcBorders>
              <w:left w:val="single" w:sz="4" w:space="0" w:color="auto"/>
              <w:bottom w:val="single" w:sz="4" w:space="0" w:color="auto"/>
              <w:right w:val="single" w:sz="4" w:space="0" w:color="auto"/>
            </w:tcBorders>
            <w:shd w:val="clear" w:color="auto" w:fill="auto"/>
            <w:vAlign w:val="center"/>
            <w:hideMark/>
          </w:tcPr>
          <w:p w14:paraId="590D61EB"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b/>
                <w:bCs/>
                <w:color w:val="000000"/>
                <w:sz w:val="20"/>
                <w:lang w:val="sr-Cyrl-CS" w:eastAsia="en-US"/>
              </w:rPr>
            </w:pPr>
          </w:p>
        </w:tc>
        <w:tc>
          <w:tcPr>
            <w:tcW w:w="2428" w:type="dxa"/>
            <w:tcBorders>
              <w:top w:val="nil"/>
              <w:left w:val="nil"/>
              <w:bottom w:val="single" w:sz="4" w:space="0" w:color="auto"/>
              <w:right w:val="single" w:sz="4" w:space="0" w:color="auto"/>
            </w:tcBorders>
            <w:shd w:val="clear" w:color="auto" w:fill="auto"/>
            <w:noWrap/>
            <w:vAlign w:val="center"/>
            <w:hideMark/>
          </w:tcPr>
          <w:p w14:paraId="71726549" w14:textId="5B002A86" w:rsidR="009E228C" w:rsidRPr="005303F7" w:rsidRDefault="00FE15B2" w:rsidP="00FE15B2">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Ш</w:t>
            </w:r>
            <w:r w:rsidR="008D69AF" w:rsidRPr="005303F7">
              <w:rPr>
                <w:rFonts w:ascii="Times New Roman" w:hAnsi="Times New Roman"/>
                <w:color w:val="000000"/>
                <w:sz w:val="20"/>
                <w:lang w:val="sr-Cyrl-CS" w:eastAsia="en-US"/>
              </w:rPr>
              <w:t>умско</w:t>
            </w:r>
            <w:r w:rsidR="008D2A19" w:rsidRPr="005303F7">
              <w:rPr>
                <w:rFonts w:ascii="Times New Roman" w:hAnsi="Times New Roman"/>
                <w:color w:val="000000"/>
                <w:sz w:val="20"/>
                <w:lang w:val="sr-Cyrl-CS" w:eastAsia="en-US"/>
              </w:rPr>
              <w:t xml:space="preserve"> </w:t>
            </w:r>
            <w:r w:rsidR="008D69AF" w:rsidRPr="005303F7">
              <w:rPr>
                <w:rFonts w:ascii="Times New Roman" w:hAnsi="Times New Roman"/>
                <w:color w:val="000000"/>
                <w:sz w:val="20"/>
                <w:lang w:val="sr-Cyrl-CS" w:eastAsia="en-US"/>
              </w:rPr>
              <w:t>зем</w:t>
            </w:r>
            <w:r w:rsidR="00D553BE" w:rsidRPr="005303F7">
              <w:rPr>
                <w:rFonts w:ascii="Times New Roman" w:hAnsi="Times New Roman"/>
                <w:sz w:val="20"/>
                <w:lang w:val="sr-Cyrl-CS" w:eastAsia="en-US"/>
              </w:rPr>
              <w:t>љ</w:t>
            </w:r>
            <w:r w:rsidR="008D69AF" w:rsidRPr="005303F7">
              <w:rPr>
                <w:rFonts w:ascii="Times New Roman" w:hAnsi="Times New Roman"/>
                <w:color w:val="000000"/>
                <w:sz w:val="20"/>
                <w:lang w:val="sr-Cyrl-CS" w:eastAsia="en-US"/>
              </w:rPr>
              <w:t>ишт</w:t>
            </w:r>
            <w:r w:rsidRPr="005303F7">
              <w:rPr>
                <w:rFonts w:ascii="Times New Roman" w:hAnsi="Times New Roman"/>
                <w:color w:val="000000"/>
                <w:sz w:val="20"/>
                <w:lang w:val="sr-Cyrl-CS" w:eastAsia="en-US"/>
              </w:rPr>
              <w:t>е</w:t>
            </w:r>
            <w:r w:rsidR="008D2A19" w:rsidRPr="005303F7">
              <w:rPr>
                <w:rFonts w:ascii="Times New Roman" w:hAnsi="Times New Roman"/>
                <w:color w:val="000000"/>
                <w:sz w:val="20"/>
                <w:lang w:val="sr-Cyrl-CS" w:eastAsia="en-US"/>
              </w:rPr>
              <w:t xml:space="preserve"> </w:t>
            </w:r>
            <w:r w:rsidR="009E228C" w:rsidRPr="005303F7">
              <w:rPr>
                <w:rFonts w:ascii="Times New Roman" w:hAnsi="Times New Roman"/>
                <w:color w:val="000000"/>
                <w:sz w:val="20"/>
                <w:lang w:val="sr-Cyrl-CS" w:eastAsia="en-US"/>
              </w:rPr>
              <w:t>(</w:t>
            </w:r>
            <w:r w:rsidR="00D7102F" w:rsidRPr="005303F7">
              <w:rPr>
                <w:rFonts w:ascii="Times New Roman" w:hAnsi="Times New Roman"/>
                <w:color w:val="000000"/>
                <w:sz w:val="20"/>
                <w:lang w:val="sr-Cyrl-CS" w:eastAsia="en-US"/>
              </w:rPr>
              <w:t>ktC</w:t>
            </w:r>
            <w:r w:rsidR="008D69AF" w:rsidRPr="005303F7">
              <w:rPr>
                <w:rFonts w:ascii="Times New Roman" w:hAnsi="Times New Roman"/>
                <w:color w:val="000000"/>
                <w:sz w:val="20"/>
                <w:lang w:val="sr-Cyrl-CS" w:eastAsia="en-US"/>
              </w:rPr>
              <w:t>О</w:t>
            </w:r>
            <w:r w:rsidR="009E228C" w:rsidRPr="005303F7">
              <w:rPr>
                <w:rFonts w:ascii="Times New Roman" w:hAnsi="Times New Roman"/>
                <w:color w:val="000000"/>
                <w:sz w:val="20"/>
                <w:vertAlign w:val="subscript"/>
                <w:lang w:val="sr-Cyrl-CS" w:eastAsia="en-US"/>
              </w:rPr>
              <w:t>2</w:t>
            </w:r>
            <w:r w:rsidR="009E228C" w:rsidRPr="005303F7">
              <w:rPr>
                <w:rFonts w:ascii="Times New Roman" w:hAnsi="Times New Roman"/>
                <w:color w:val="000000"/>
                <w:sz w:val="20"/>
                <w:lang w:val="sr-Cyrl-CS" w:eastAsia="en-US"/>
              </w:rPr>
              <w:t>)</w:t>
            </w:r>
          </w:p>
        </w:tc>
        <w:tc>
          <w:tcPr>
            <w:tcW w:w="1158" w:type="dxa"/>
            <w:tcBorders>
              <w:top w:val="nil"/>
              <w:left w:val="nil"/>
              <w:bottom w:val="single" w:sz="4" w:space="0" w:color="auto"/>
              <w:right w:val="single" w:sz="4" w:space="0" w:color="auto"/>
            </w:tcBorders>
            <w:shd w:val="clear" w:color="auto" w:fill="auto"/>
            <w:vAlign w:val="center"/>
            <w:hideMark/>
          </w:tcPr>
          <w:p w14:paraId="4CA49775"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-5.150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339BF"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-6.626</w:t>
            </w:r>
          </w:p>
        </w:tc>
        <w:tc>
          <w:tcPr>
            <w:tcW w:w="939" w:type="dxa"/>
            <w:tcBorders>
              <w:top w:val="single" w:sz="4" w:space="0" w:color="auto"/>
              <w:left w:val="single" w:sz="4" w:space="0" w:color="auto"/>
              <w:bottom w:val="single" w:sz="4" w:space="0" w:color="auto"/>
              <w:right w:val="nil"/>
            </w:tcBorders>
            <w:shd w:val="clear" w:color="auto" w:fill="auto"/>
            <w:vAlign w:val="center"/>
            <w:hideMark/>
          </w:tcPr>
          <w:p w14:paraId="50DB30D9"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-4.439</w:t>
            </w:r>
          </w:p>
        </w:tc>
        <w:tc>
          <w:tcPr>
            <w:tcW w:w="356" w:type="dxa"/>
            <w:tcBorders>
              <w:top w:val="single" w:sz="4" w:space="0" w:color="auto"/>
              <w:left w:val="nil"/>
              <w:bottom w:val="single" w:sz="4" w:space="0" w:color="auto"/>
              <w:right w:val="nil"/>
            </w:tcBorders>
            <w:shd w:val="clear" w:color="auto" w:fill="auto"/>
            <w:vAlign w:val="center"/>
            <w:hideMark/>
          </w:tcPr>
          <w:p w14:paraId="03EDD438"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5F32496" w14:textId="77777777" w:rsidR="009E228C" w:rsidRPr="005303F7" w:rsidRDefault="009E228C"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-13.106</w:t>
            </w:r>
          </w:p>
        </w:tc>
        <w:tc>
          <w:tcPr>
            <w:tcW w:w="2840" w:type="dxa"/>
            <w:tcBorders>
              <w:top w:val="nil"/>
              <w:left w:val="nil"/>
              <w:bottom w:val="single" w:sz="4" w:space="0" w:color="auto"/>
              <w:right w:val="single" w:sz="4" w:space="0" w:color="auto"/>
            </w:tcBorders>
            <w:shd w:val="clear" w:color="auto" w:fill="auto"/>
            <w:vAlign w:val="center"/>
            <w:hideMark/>
          </w:tcPr>
          <w:p w14:paraId="6BCF69D4" w14:textId="702DCEA9" w:rsidR="009E228C" w:rsidRPr="005303F7" w:rsidRDefault="008D69AF" w:rsidP="00FC2F09">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Извештај</w:t>
            </w:r>
            <w:r w:rsidR="00FC2F09"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Националног</w:t>
            </w:r>
            <w:r w:rsidR="00FC2F09"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инвентара</w:t>
            </w:r>
            <w:r w:rsidR="00FC2F09" w:rsidRPr="005303F7">
              <w:rPr>
                <w:rFonts w:ascii="Times New Roman" w:hAnsi="Times New Roman"/>
                <w:color w:val="000000"/>
                <w:sz w:val="20"/>
                <w:lang w:val="sr-Cyrl-CS" w:eastAsia="en-US"/>
              </w:rPr>
              <w:t xml:space="preserve"> </w:t>
            </w:r>
            <w:r w:rsidR="00D7102F" w:rsidRPr="005303F7">
              <w:rPr>
                <w:rFonts w:ascii="Times New Roman" w:hAnsi="Times New Roman"/>
                <w:color w:val="000000"/>
                <w:sz w:val="20"/>
                <w:lang w:val="sr-Cyrl-CS" w:eastAsia="en-US"/>
              </w:rPr>
              <w:t>GHG</w:t>
            </w:r>
            <w:r w:rsidR="009E228C" w:rsidRPr="005303F7">
              <w:rPr>
                <w:rFonts w:ascii="Times New Roman" w:hAnsi="Times New Roman"/>
                <w:color w:val="000000"/>
                <w:sz w:val="20"/>
                <w:lang w:val="sr-Cyrl-CS" w:eastAsia="en-US"/>
              </w:rPr>
              <w:br/>
              <w:t>(</w:t>
            </w:r>
            <w:r w:rsidR="00D7102F" w:rsidRPr="005303F7">
              <w:rPr>
                <w:rFonts w:ascii="Times New Roman" w:hAnsi="Times New Roman"/>
                <w:color w:val="000000"/>
                <w:sz w:val="20"/>
                <w:lang w:val="sr-Cyrl-CS" w:eastAsia="en-US"/>
              </w:rPr>
              <w:t>IPCC</w:t>
            </w:r>
            <w:r w:rsidR="009E228C"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категорија</w:t>
            </w:r>
            <w:r w:rsidR="009E228C" w:rsidRPr="005303F7">
              <w:rPr>
                <w:rFonts w:ascii="Times New Roman" w:hAnsi="Times New Roman"/>
                <w:color w:val="000000"/>
                <w:sz w:val="20"/>
                <w:lang w:val="sr-Cyrl-CS" w:eastAsia="en-US"/>
              </w:rPr>
              <w:t xml:space="preserve"> - 4</w:t>
            </w:r>
            <w:r w:rsidRPr="005303F7">
              <w:rPr>
                <w:rFonts w:ascii="Times New Roman" w:hAnsi="Times New Roman"/>
                <w:color w:val="000000"/>
                <w:sz w:val="20"/>
                <w:lang w:val="sr-Cyrl-CS" w:eastAsia="en-US"/>
              </w:rPr>
              <w:t>А</w:t>
            </w:r>
            <w:r w:rsidR="009E228C" w:rsidRPr="005303F7">
              <w:rPr>
                <w:rFonts w:ascii="Times New Roman" w:hAnsi="Times New Roman"/>
                <w:color w:val="000000"/>
                <w:sz w:val="20"/>
                <w:lang w:val="sr-Cyrl-CS" w:eastAsia="en-US"/>
              </w:rPr>
              <w:t>)</w:t>
            </w:r>
          </w:p>
        </w:tc>
      </w:tr>
      <w:tr w:rsidR="00451EB6" w:rsidRPr="005303F7" w14:paraId="3E8B7061" w14:textId="77777777" w:rsidTr="00451EB6">
        <w:trPr>
          <w:trHeight w:val="870"/>
        </w:trPr>
        <w:tc>
          <w:tcPr>
            <w:tcW w:w="4686" w:type="dxa"/>
            <w:vMerge w:val="restart"/>
            <w:tcBorders>
              <w:top w:val="single" w:sz="4" w:space="0" w:color="auto"/>
              <w:left w:val="single" w:sz="4" w:space="0" w:color="auto"/>
              <w:right w:val="single" w:sz="4" w:space="0" w:color="auto"/>
            </w:tcBorders>
            <w:shd w:val="clear" w:color="auto" w:fill="auto"/>
            <w:vAlign w:val="center"/>
          </w:tcPr>
          <w:p w14:paraId="09B63DB2" w14:textId="3BB8378C" w:rsidR="00EE2062" w:rsidRPr="005303F7" w:rsidRDefault="008D69AF" w:rsidP="00EE2062">
            <w:pPr>
              <w:tabs>
                <w:tab w:val="clear" w:pos="3825"/>
              </w:tabs>
              <w:spacing w:before="0" w:after="60"/>
              <w:rPr>
                <w:rFonts w:ascii="Times New Roman" w:hAnsi="Times New Roman"/>
                <w:b/>
                <w:bCs/>
                <w:sz w:val="20"/>
                <w:lang w:val="sr-Cyrl-CS"/>
              </w:rPr>
            </w:pPr>
            <w:r w:rsidRPr="005303F7">
              <w:rPr>
                <w:rFonts w:ascii="Times New Roman" w:hAnsi="Times New Roman"/>
                <w:b/>
                <w:bCs/>
                <w:sz w:val="20"/>
                <w:lang w:val="sr-Cyrl-CS"/>
              </w:rPr>
              <w:t>Посебан</w:t>
            </w:r>
            <w:r w:rsidR="00451EB6" w:rsidRPr="005303F7">
              <w:rPr>
                <w:rFonts w:ascii="Times New Roman" w:hAnsi="Times New Roman"/>
                <w:b/>
                <w:bCs/>
                <w:sz w:val="20"/>
                <w:lang w:val="sr-Cyrl-CS"/>
              </w:rPr>
              <w:t xml:space="preserve"> </w:t>
            </w:r>
            <w:r w:rsidRPr="005303F7">
              <w:rPr>
                <w:rFonts w:ascii="Times New Roman" w:hAnsi="Times New Roman"/>
                <w:b/>
                <w:bCs/>
                <w:sz w:val="20"/>
                <w:lang w:val="sr-Cyrl-CS"/>
              </w:rPr>
              <w:t>ци</w:t>
            </w:r>
            <w:r w:rsidR="00D553BE" w:rsidRPr="005303F7">
              <w:rPr>
                <w:rFonts w:ascii="Times New Roman" w:hAnsi="Times New Roman"/>
                <w:b/>
                <w:bCs/>
                <w:sz w:val="20"/>
                <w:lang w:val="sr-Cyrl-CS"/>
              </w:rPr>
              <w:t>љ</w:t>
            </w:r>
            <w:r w:rsidR="00451EB6" w:rsidRPr="005303F7">
              <w:rPr>
                <w:rFonts w:ascii="Times New Roman" w:hAnsi="Times New Roman"/>
                <w:b/>
                <w:bCs/>
                <w:sz w:val="20"/>
                <w:lang w:val="sr-Cyrl-CS"/>
              </w:rPr>
              <w:t xml:space="preserve"> 5: </w:t>
            </w:r>
          </w:p>
          <w:p w14:paraId="399F7E93" w14:textId="2CF2F6DD" w:rsidR="00451EB6" w:rsidRPr="005303F7" w:rsidRDefault="008D69AF" w:rsidP="00EE2062">
            <w:pPr>
              <w:tabs>
                <w:tab w:val="clear" w:pos="3825"/>
              </w:tabs>
              <w:spacing w:before="0" w:after="0"/>
              <w:rPr>
                <w:rFonts w:ascii="Times New Roman" w:hAnsi="Times New Roman"/>
                <w:bCs/>
                <w:sz w:val="20"/>
                <w:lang w:val="sr-Cyrl-CS"/>
              </w:rPr>
            </w:pPr>
            <w:r w:rsidRPr="005303F7">
              <w:rPr>
                <w:rFonts w:ascii="Times New Roman" w:hAnsi="Times New Roman"/>
                <w:bCs/>
                <w:sz w:val="20"/>
                <w:lang w:val="sr-Cyrl-CS"/>
              </w:rPr>
              <w:t>Промовисање</w:t>
            </w:r>
            <w:r w:rsidR="00451EB6" w:rsidRPr="005303F7">
              <w:rPr>
                <w:rFonts w:ascii="Times New Roman" w:hAnsi="Times New Roman"/>
                <w:bCs/>
                <w:sz w:val="20"/>
                <w:lang w:val="sr-Cyrl-CS"/>
              </w:rPr>
              <w:t xml:space="preserve"> </w:t>
            </w:r>
            <w:r w:rsidRPr="005303F7">
              <w:rPr>
                <w:rFonts w:ascii="Times New Roman" w:hAnsi="Times New Roman"/>
                <w:bCs/>
                <w:sz w:val="20"/>
                <w:lang w:val="sr-Cyrl-CS"/>
              </w:rPr>
              <w:t>преласка</w:t>
            </w:r>
            <w:r w:rsidR="00451EB6" w:rsidRPr="005303F7">
              <w:rPr>
                <w:rFonts w:ascii="Times New Roman" w:hAnsi="Times New Roman"/>
                <w:bCs/>
                <w:sz w:val="20"/>
                <w:lang w:val="sr-Cyrl-CS"/>
              </w:rPr>
              <w:t xml:space="preserve"> </w:t>
            </w:r>
            <w:r w:rsidRPr="005303F7">
              <w:rPr>
                <w:rFonts w:ascii="Times New Roman" w:hAnsi="Times New Roman"/>
                <w:bCs/>
                <w:sz w:val="20"/>
                <w:lang w:val="sr-Cyrl-CS"/>
              </w:rPr>
              <w:t>на</w:t>
            </w:r>
            <w:r w:rsidR="00451EB6" w:rsidRPr="005303F7">
              <w:rPr>
                <w:rFonts w:ascii="Times New Roman" w:hAnsi="Times New Roman"/>
                <w:bCs/>
                <w:sz w:val="20"/>
                <w:lang w:val="sr-Cyrl-CS"/>
              </w:rPr>
              <w:t xml:space="preserve"> </w:t>
            </w:r>
            <w:r w:rsidRPr="005303F7">
              <w:rPr>
                <w:rFonts w:ascii="Times New Roman" w:hAnsi="Times New Roman"/>
                <w:bCs/>
                <w:sz w:val="20"/>
                <w:lang w:val="sr-Cyrl-CS"/>
              </w:rPr>
              <w:t>климатски</w:t>
            </w:r>
            <w:r w:rsidR="00451EB6" w:rsidRPr="005303F7">
              <w:rPr>
                <w:rFonts w:ascii="Times New Roman" w:hAnsi="Times New Roman"/>
                <w:bCs/>
                <w:sz w:val="20"/>
                <w:lang w:val="sr-Cyrl-CS"/>
              </w:rPr>
              <w:t xml:space="preserve"> </w:t>
            </w:r>
            <w:r w:rsidRPr="005303F7">
              <w:rPr>
                <w:rFonts w:ascii="Times New Roman" w:hAnsi="Times New Roman"/>
                <w:bCs/>
                <w:sz w:val="20"/>
                <w:lang w:val="sr-Cyrl-CS"/>
              </w:rPr>
              <w:t>неутралну</w:t>
            </w:r>
            <w:r w:rsidR="00451EB6" w:rsidRPr="005303F7">
              <w:rPr>
                <w:rFonts w:ascii="Times New Roman" w:hAnsi="Times New Roman"/>
                <w:bCs/>
                <w:sz w:val="20"/>
                <w:lang w:val="sr-Cyrl-CS"/>
              </w:rPr>
              <w:t xml:space="preserve"> </w:t>
            </w:r>
            <w:r w:rsidRPr="005303F7">
              <w:rPr>
                <w:rFonts w:ascii="Times New Roman" w:hAnsi="Times New Roman"/>
                <w:bCs/>
                <w:sz w:val="20"/>
                <w:lang w:val="sr-Cyrl-CS"/>
              </w:rPr>
              <w:t>економију</w:t>
            </w:r>
            <w:r w:rsidR="00451EB6" w:rsidRPr="005303F7">
              <w:rPr>
                <w:rFonts w:ascii="Times New Roman" w:hAnsi="Times New Roman"/>
                <w:bCs/>
                <w:sz w:val="20"/>
                <w:lang w:val="sr-Cyrl-CS"/>
              </w:rPr>
              <w:t xml:space="preserve"> </w:t>
            </w:r>
            <w:r w:rsidRPr="005303F7">
              <w:rPr>
                <w:rFonts w:ascii="Times New Roman" w:hAnsi="Times New Roman"/>
                <w:bCs/>
                <w:sz w:val="20"/>
                <w:lang w:val="sr-Cyrl-CS"/>
              </w:rPr>
              <w:t>и</w:t>
            </w:r>
            <w:r w:rsidR="00451EB6" w:rsidRPr="005303F7">
              <w:rPr>
                <w:rFonts w:ascii="Times New Roman" w:hAnsi="Times New Roman"/>
                <w:bCs/>
                <w:sz w:val="20"/>
                <w:lang w:val="sr-Cyrl-CS"/>
              </w:rPr>
              <w:t xml:space="preserve"> </w:t>
            </w:r>
            <w:r w:rsidRPr="005303F7">
              <w:rPr>
                <w:rFonts w:ascii="Times New Roman" w:hAnsi="Times New Roman"/>
                <w:bCs/>
                <w:sz w:val="20"/>
                <w:lang w:val="sr-Cyrl-CS"/>
              </w:rPr>
              <w:t>друштво</w:t>
            </w:r>
            <w:r w:rsidR="00451EB6" w:rsidRPr="005303F7">
              <w:rPr>
                <w:rFonts w:ascii="Times New Roman" w:hAnsi="Times New Roman"/>
                <w:bCs/>
                <w:sz w:val="20"/>
                <w:lang w:val="sr-Cyrl-CS"/>
              </w:rPr>
              <w:t xml:space="preserve"> </w:t>
            </w:r>
            <w:r w:rsidRPr="005303F7">
              <w:rPr>
                <w:rFonts w:ascii="Times New Roman" w:hAnsi="Times New Roman"/>
                <w:bCs/>
                <w:sz w:val="20"/>
                <w:lang w:val="sr-Cyrl-CS"/>
              </w:rPr>
              <w:t>отпорно</w:t>
            </w:r>
            <w:r w:rsidR="00451EB6" w:rsidRPr="005303F7">
              <w:rPr>
                <w:rFonts w:ascii="Times New Roman" w:hAnsi="Times New Roman"/>
                <w:bCs/>
                <w:sz w:val="20"/>
                <w:lang w:val="sr-Cyrl-CS"/>
              </w:rPr>
              <w:t xml:space="preserve"> </w:t>
            </w:r>
            <w:r w:rsidRPr="005303F7">
              <w:rPr>
                <w:rFonts w:ascii="Times New Roman" w:hAnsi="Times New Roman"/>
                <w:bCs/>
                <w:sz w:val="20"/>
                <w:lang w:val="sr-Cyrl-CS"/>
              </w:rPr>
              <w:t>на</w:t>
            </w:r>
            <w:r w:rsidR="00451EB6" w:rsidRPr="005303F7">
              <w:rPr>
                <w:rFonts w:ascii="Times New Roman" w:hAnsi="Times New Roman"/>
                <w:bCs/>
                <w:sz w:val="20"/>
                <w:lang w:val="sr-Cyrl-CS"/>
              </w:rPr>
              <w:t xml:space="preserve"> </w:t>
            </w:r>
            <w:r w:rsidRPr="005303F7">
              <w:rPr>
                <w:rFonts w:ascii="Times New Roman" w:hAnsi="Times New Roman"/>
                <w:bCs/>
                <w:sz w:val="20"/>
                <w:lang w:val="sr-Cyrl-CS"/>
              </w:rPr>
              <w:t>климатске</w:t>
            </w:r>
            <w:r w:rsidR="00451EB6" w:rsidRPr="005303F7">
              <w:rPr>
                <w:rFonts w:ascii="Times New Roman" w:hAnsi="Times New Roman"/>
                <w:bCs/>
                <w:sz w:val="20"/>
                <w:lang w:val="sr-Cyrl-CS"/>
              </w:rPr>
              <w:t xml:space="preserve"> </w:t>
            </w:r>
            <w:r w:rsidRPr="005303F7">
              <w:rPr>
                <w:rFonts w:ascii="Times New Roman" w:hAnsi="Times New Roman"/>
                <w:bCs/>
                <w:sz w:val="20"/>
                <w:lang w:val="sr-Cyrl-CS"/>
              </w:rPr>
              <w:t>промене</w:t>
            </w:r>
          </w:p>
          <w:p w14:paraId="36C7B10F" w14:textId="77777777" w:rsidR="00451EB6" w:rsidRPr="005303F7" w:rsidRDefault="00451EB6" w:rsidP="00A17981">
            <w:pPr>
              <w:tabs>
                <w:tab w:val="clear" w:pos="3825"/>
              </w:tabs>
              <w:overflowPunct/>
              <w:autoSpaceDE/>
              <w:autoSpaceDN/>
              <w:adjustRightInd/>
              <w:spacing w:before="0" w:after="0"/>
              <w:jc w:val="center"/>
              <w:textAlignment w:val="auto"/>
              <w:rPr>
                <w:rFonts w:ascii="Times New Roman" w:hAnsi="Times New Roman"/>
                <w:b/>
                <w:bCs/>
                <w:color w:val="000000"/>
                <w:sz w:val="20"/>
                <w:lang w:val="sr-Cyrl-CS" w:eastAsia="en-US"/>
              </w:rPr>
            </w:pPr>
          </w:p>
        </w:tc>
        <w:tc>
          <w:tcPr>
            <w:tcW w:w="2428" w:type="dxa"/>
            <w:tcBorders>
              <w:top w:val="single" w:sz="4" w:space="0" w:color="auto"/>
              <w:left w:val="nil"/>
              <w:bottom w:val="single" w:sz="4" w:space="0" w:color="auto"/>
              <w:right w:val="single" w:sz="4" w:space="0" w:color="auto"/>
            </w:tcBorders>
            <w:shd w:val="clear" w:color="auto" w:fill="auto"/>
            <w:noWrap/>
            <w:vAlign w:val="center"/>
          </w:tcPr>
          <w:p w14:paraId="2F575205" w14:textId="7EE3DF84" w:rsidR="00451EB6" w:rsidRPr="005303F7" w:rsidRDefault="008D69AF" w:rsidP="00614618">
            <w:pPr>
              <w:tabs>
                <w:tab w:val="clear" w:pos="3825"/>
              </w:tabs>
              <w:overflowPunct/>
              <w:autoSpaceDE/>
              <w:autoSpaceDN/>
              <w:adjustRightInd/>
              <w:spacing w:before="100" w:beforeAutospacing="1" w:after="0"/>
              <w:jc w:val="center"/>
              <w:textAlignment w:val="auto"/>
              <w:rPr>
                <w:rFonts w:ascii="Times New Roman" w:hAnsi="Times New Roman"/>
                <w:sz w:val="20"/>
                <w:lang w:val="sr-Cyrl-CS" w:eastAsia="en-US"/>
              </w:rPr>
            </w:pPr>
            <w:r w:rsidRPr="005303F7">
              <w:rPr>
                <w:rFonts w:ascii="Times New Roman" w:hAnsi="Times New Roman"/>
                <w:sz w:val="20"/>
                <w:lang w:val="sr-Cyrl-CS" w:eastAsia="en-US"/>
              </w:rPr>
              <w:t>Национални</w:t>
            </w:r>
            <w:r w:rsidR="00451EB6" w:rsidRPr="005303F7">
              <w:rPr>
                <w:rFonts w:ascii="Times New Roman" w:hAnsi="Times New Roman"/>
                <w:sz w:val="20"/>
                <w:lang w:val="sr-Cyrl-CS" w:eastAsia="en-US"/>
              </w:rPr>
              <w:t xml:space="preserve"> </w:t>
            </w:r>
            <w:r w:rsidRPr="005303F7">
              <w:rPr>
                <w:rFonts w:ascii="Times New Roman" w:hAnsi="Times New Roman"/>
                <w:sz w:val="20"/>
                <w:lang w:val="sr-Cyrl-CS" w:eastAsia="en-US"/>
              </w:rPr>
              <w:t>план</w:t>
            </w:r>
            <w:r w:rsidR="00451EB6" w:rsidRPr="005303F7">
              <w:rPr>
                <w:rFonts w:ascii="Times New Roman" w:hAnsi="Times New Roman"/>
                <w:sz w:val="20"/>
                <w:lang w:val="sr-Cyrl-CS" w:eastAsia="en-US"/>
              </w:rPr>
              <w:t xml:space="preserve"> </w:t>
            </w:r>
            <w:r w:rsidRPr="005303F7">
              <w:rPr>
                <w:rFonts w:ascii="Times New Roman" w:hAnsi="Times New Roman"/>
                <w:sz w:val="20"/>
                <w:lang w:val="sr-Cyrl-CS" w:eastAsia="en-US"/>
              </w:rPr>
              <w:t>о</w:t>
            </w:r>
            <w:r w:rsidR="00451EB6" w:rsidRPr="005303F7">
              <w:rPr>
                <w:rFonts w:ascii="Times New Roman" w:hAnsi="Times New Roman"/>
                <w:sz w:val="20"/>
                <w:lang w:val="sr-Cyrl-CS" w:eastAsia="en-US"/>
              </w:rPr>
              <w:t xml:space="preserve"> </w:t>
            </w:r>
            <w:r w:rsidRPr="005303F7">
              <w:rPr>
                <w:rFonts w:ascii="Times New Roman" w:hAnsi="Times New Roman"/>
                <w:sz w:val="20"/>
                <w:lang w:val="sr-Cyrl-CS" w:eastAsia="en-US"/>
              </w:rPr>
              <w:t>образовању</w:t>
            </w:r>
            <w:r w:rsidR="00451EB6" w:rsidRPr="005303F7">
              <w:rPr>
                <w:rFonts w:ascii="Times New Roman" w:hAnsi="Times New Roman"/>
                <w:sz w:val="20"/>
                <w:lang w:val="sr-Cyrl-CS" w:eastAsia="en-US"/>
              </w:rPr>
              <w:t xml:space="preserve">, </w:t>
            </w:r>
            <w:r w:rsidRPr="005303F7">
              <w:rPr>
                <w:rFonts w:ascii="Times New Roman" w:hAnsi="Times New Roman"/>
                <w:sz w:val="20"/>
                <w:lang w:val="sr-Cyrl-CS" w:eastAsia="en-US"/>
              </w:rPr>
              <w:t>обуци</w:t>
            </w:r>
            <w:r w:rsidR="00451EB6" w:rsidRPr="005303F7">
              <w:rPr>
                <w:rFonts w:ascii="Times New Roman" w:hAnsi="Times New Roman"/>
                <w:sz w:val="20"/>
                <w:lang w:val="sr-Cyrl-CS" w:eastAsia="en-US"/>
              </w:rPr>
              <w:t xml:space="preserve"> </w:t>
            </w:r>
            <w:r w:rsidRPr="005303F7">
              <w:rPr>
                <w:rFonts w:ascii="Times New Roman" w:hAnsi="Times New Roman"/>
                <w:sz w:val="20"/>
                <w:lang w:val="sr-Cyrl-CS" w:eastAsia="en-US"/>
              </w:rPr>
              <w:t>за</w:t>
            </w:r>
            <w:r w:rsidR="00451EB6" w:rsidRPr="005303F7">
              <w:rPr>
                <w:rFonts w:ascii="Times New Roman" w:hAnsi="Times New Roman"/>
                <w:sz w:val="20"/>
                <w:lang w:val="sr-Cyrl-CS" w:eastAsia="en-US"/>
              </w:rPr>
              <w:t xml:space="preserve"> </w:t>
            </w:r>
            <w:r w:rsidRPr="005303F7">
              <w:rPr>
                <w:rFonts w:ascii="Times New Roman" w:hAnsi="Times New Roman"/>
                <w:sz w:val="20"/>
                <w:lang w:val="sr-Cyrl-CS" w:eastAsia="en-US"/>
              </w:rPr>
              <w:t>нове</w:t>
            </w:r>
            <w:r w:rsidR="00451EB6" w:rsidRPr="005303F7">
              <w:rPr>
                <w:rFonts w:ascii="Times New Roman" w:hAnsi="Times New Roman"/>
                <w:sz w:val="20"/>
                <w:lang w:val="sr-Cyrl-CS" w:eastAsia="en-US"/>
              </w:rPr>
              <w:t xml:space="preserve"> </w:t>
            </w:r>
            <w:r w:rsidRPr="005303F7">
              <w:rPr>
                <w:rFonts w:ascii="Times New Roman" w:hAnsi="Times New Roman"/>
                <w:sz w:val="20"/>
                <w:lang w:val="sr-Cyrl-CS" w:eastAsia="en-US"/>
              </w:rPr>
              <w:t>вештине</w:t>
            </w:r>
            <w:r w:rsidR="00451EB6" w:rsidRPr="005303F7">
              <w:rPr>
                <w:rFonts w:ascii="Times New Roman" w:hAnsi="Times New Roman"/>
                <w:sz w:val="20"/>
                <w:lang w:val="sr-Cyrl-CS" w:eastAsia="en-US"/>
              </w:rPr>
              <w:t xml:space="preserve"> </w:t>
            </w:r>
            <w:r w:rsidRPr="005303F7">
              <w:rPr>
                <w:rFonts w:ascii="Times New Roman" w:hAnsi="Times New Roman"/>
                <w:sz w:val="20"/>
                <w:lang w:val="sr-Cyrl-CS" w:eastAsia="en-US"/>
              </w:rPr>
              <w:t>и</w:t>
            </w:r>
            <w:r w:rsidR="00451EB6" w:rsidRPr="005303F7">
              <w:rPr>
                <w:rFonts w:ascii="Times New Roman" w:hAnsi="Times New Roman"/>
                <w:sz w:val="20"/>
                <w:lang w:val="sr-Cyrl-CS" w:eastAsia="en-US"/>
              </w:rPr>
              <w:t xml:space="preserve"> </w:t>
            </w:r>
            <w:r w:rsidRPr="005303F7">
              <w:rPr>
                <w:rFonts w:ascii="Times New Roman" w:hAnsi="Times New Roman"/>
                <w:sz w:val="20"/>
                <w:lang w:val="sr-Cyrl-CS" w:eastAsia="en-US"/>
              </w:rPr>
              <w:t>подизању</w:t>
            </w:r>
            <w:r w:rsidR="00451EB6" w:rsidRPr="005303F7">
              <w:rPr>
                <w:rFonts w:ascii="Times New Roman" w:hAnsi="Times New Roman"/>
                <w:sz w:val="20"/>
                <w:lang w:val="sr-Cyrl-CS" w:eastAsia="en-US"/>
              </w:rPr>
              <w:t xml:space="preserve"> </w:t>
            </w:r>
            <w:r w:rsidRPr="005303F7">
              <w:rPr>
                <w:rFonts w:ascii="Times New Roman" w:hAnsi="Times New Roman"/>
                <w:sz w:val="20"/>
                <w:lang w:val="sr-Cyrl-CS" w:eastAsia="en-US"/>
              </w:rPr>
              <w:t>свести</w:t>
            </w:r>
            <w:r w:rsidR="00451EB6" w:rsidRPr="005303F7">
              <w:rPr>
                <w:rFonts w:ascii="Times New Roman" w:hAnsi="Times New Roman"/>
                <w:sz w:val="20"/>
                <w:lang w:val="sr-Cyrl-CS" w:eastAsia="en-US"/>
              </w:rPr>
              <w:t xml:space="preserve"> </w:t>
            </w:r>
            <w:r w:rsidRPr="005303F7">
              <w:rPr>
                <w:rFonts w:ascii="Times New Roman" w:hAnsi="Times New Roman"/>
                <w:sz w:val="20"/>
                <w:lang w:val="sr-Cyrl-CS" w:eastAsia="en-US"/>
              </w:rPr>
              <w:t>у</w:t>
            </w:r>
            <w:r w:rsidR="00451EB6" w:rsidRPr="005303F7">
              <w:rPr>
                <w:rFonts w:ascii="Times New Roman" w:hAnsi="Times New Roman"/>
                <w:sz w:val="20"/>
                <w:lang w:val="sr-Cyrl-CS" w:eastAsia="en-US"/>
              </w:rPr>
              <w:t xml:space="preserve"> </w:t>
            </w:r>
            <w:r w:rsidRPr="005303F7">
              <w:rPr>
                <w:rFonts w:ascii="Times New Roman" w:hAnsi="Times New Roman"/>
                <w:sz w:val="20"/>
                <w:lang w:val="sr-Cyrl-CS" w:eastAsia="en-US"/>
              </w:rPr>
              <w:t>области</w:t>
            </w:r>
            <w:r w:rsidR="00451EB6" w:rsidRPr="005303F7">
              <w:rPr>
                <w:rFonts w:ascii="Times New Roman" w:hAnsi="Times New Roman"/>
                <w:sz w:val="20"/>
                <w:lang w:val="sr-Cyrl-CS" w:eastAsia="en-US"/>
              </w:rPr>
              <w:t xml:space="preserve"> </w:t>
            </w:r>
            <w:r w:rsidRPr="005303F7">
              <w:rPr>
                <w:rFonts w:ascii="Times New Roman" w:hAnsi="Times New Roman"/>
                <w:sz w:val="20"/>
                <w:lang w:val="sr-Cyrl-CS" w:eastAsia="en-US"/>
              </w:rPr>
              <w:t>климатских</w:t>
            </w:r>
            <w:r w:rsidR="00451EB6" w:rsidRPr="005303F7">
              <w:rPr>
                <w:rFonts w:ascii="Times New Roman" w:hAnsi="Times New Roman"/>
                <w:sz w:val="20"/>
                <w:lang w:val="sr-Cyrl-CS" w:eastAsia="en-US"/>
              </w:rPr>
              <w:t xml:space="preserve"> </w:t>
            </w:r>
            <w:r w:rsidRPr="005303F7">
              <w:rPr>
                <w:rFonts w:ascii="Times New Roman" w:hAnsi="Times New Roman"/>
                <w:sz w:val="20"/>
                <w:lang w:val="sr-Cyrl-CS" w:eastAsia="en-US"/>
              </w:rPr>
              <w:t>промена</w:t>
            </w:r>
            <w:r w:rsidR="00451EB6" w:rsidRPr="005303F7">
              <w:rPr>
                <w:rFonts w:ascii="Times New Roman" w:hAnsi="Times New Roman"/>
                <w:sz w:val="20"/>
                <w:lang w:val="sr-Cyrl-CS" w:eastAsia="en-US"/>
              </w:rPr>
              <w:t>.</w:t>
            </w:r>
          </w:p>
          <w:p w14:paraId="2A59D23B" w14:textId="140A980A" w:rsidR="00451EB6" w:rsidRPr="005303F7" w:rsidRDefault="00451EB6" w:rsidP="008D2A19">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52E2FA5F" w14:textId="77777777" w:rsidR="00451EB6" w:rsidRPr="005303F7" w:rsidRDefault="00451EB6"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68ABFFA7" w14:textId="6EDD3DB9" w:rsidR="00451EB6" w:rsidRPr="005303F7" w:rsidRDefault="008D69AF"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Усвојен</w:t>
            </w:r>
            <w:r w:rsidR="00451EB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Национални</w:t>
            </w:r>
            <w:r w:rsidR="00451EB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план</w:t>
            </w:r>
          </w:p>
        </w:tc>
        <w:tc>
          <w:tcPr>
            <w:tcW w:w="939" w:type="dxa"/>
            <w:tcBorders>
              <w:top w:val="single" w:sz="4" w:space="0" w:color="auto"/>
              <w:left w:val="single" w:sz="4" w:space="0" w:color="auto"/>
              <w:bottom w:val="single" w:sz="4" w:space="0" w:color="auto"/>
              <w:right w:val="nil"/>
            </w:tcBorders>
            <w:shd w:val="clear" w:color="auto" w:fill="auto"/>
            <w:vAlign w:val="center"/>
          </w:tcPr>
          <w:p w14:paraId="297B8E26" w14:textId="77777777" w:rsidR="00451EB6" w:rsidRPr="005303F7" w:rsidRDefault="00451EB6"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w:t>
            </w:r>
          </w:p>
        </w:tc>
        <w:tc>
          <w:tcPr>
            <w:tcW w:w="356" w:type="dxa"/>
            <w:tcBorders>
              <w:top w:val="single" w:sz="4" w:space="0" w:color="auto"/>
              <w:left w:val="nil"/>
              <w:bottom w:val="single" w:sz="4" w:space="0" w:color="auto"/>
              <w:right w:val="nil"/>
            </w:tcBorders>
            <w:shd w:val="clear" w:color="auto" w:fill="auto"/>
            <w:vAlign w:val="center"/>
          </w:tcPr>
          <w:p w14:paraId="0409118A" w14:textId="77777777" w:rsidR="00451EB6" w:rsidRPr="005303F7" w:rsidRDefault="00451EB6"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p>
        </w:tc>
        <w:tc>
          <w:tcPr>
            <w:tcW w:w="995" w:type="dxa"/>
            <w:tcBorders>
              <w:top w:val="single" w:sz="4" w:space="0" w:color="auto"/>
              <w:left w:val="nil"/>
              <w:bottom w:val="single" w:sz="4" w:space="0" w:color="auto"/>
              <w:right w:val="single" w:sz="4" w:space="0" w:color="auto"/>
            </w:tcBorders>
            <w:shd w:val="clear" w:color="auto" w:fill="auto"/>
            <w:vAlign w:val="center"/>
          </w:tcPr>
          <w:p w14:paraId="6AF2846A" w14:textId="77777777" w:rsidR="00451EB6" w:rsidRPr="005303F7" w:rsidRDefault="00451EB6"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w:t>
            </w:r>
          </w:p>
        </w:tc>
        <w:tc>
          <w:tcPr>
            <w:tcW w:w="2840" w:type="dxa"/>
            <w:tcBorders>
              <w:top w:val="single" w:sz="4" w:space="0" w:color="auto"/>
              <w:left w:val="nil"/>
              <w:bottom w:val="single" w:sz="4" w:space="0" w:color="auto"/>
              <w:right w:val="single" w:sz="4" w:space="0" w:color="auto"/>
            </w:tcBorders>
            <w:shd w:val="clear" w:color="auto" w:fill="auto"/>
            <w:vAlign w:val="center"/>
          </w:tcPr>
          <w:p w14:paraId="74CED9EE" w14:textId="212E77FD" w:rsidR="00451EB6" w:rsidRPr="005303F7" w:rsidRDefault="008D69AF" w:rsidP="00FC2F09">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Министарство</w:t>
            </w:r>
            <w:r w:rsidR="00451EB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заштите</w:t>
            </w:r>
            <w:r w:rsidR="00451EB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животне</w:t>
            </w:r>
            <w:r w:rsidR="00451EB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средине</w:t>
            </w:r>
          </w:p>
        </w:tc>
      </w:tr>
      <w:tr w:rsidR="00451EB6" w:rsidRPr="005303F7" w14:paraId="03996348" w14:textId="77777777" w:rsidTr="00451EB6">
        <w:trPr>
          <w:trHeight w:val="870"/>
        </w:trPr>
        <w:tc>
          <w:tcPr>
            <w:tcW w:w="4686" w:type="dxa"/>
            <w:vMerge/>
            <w:tcBorders>
              <w:left w:val="single" w:sz="4" w:space="0" w:color="auto"/>
              <w:bottom w:val="single" w:sz="4" w:space="0" w:color="auto"/>
              <w:right w:val="single" w:sz="4" w:space="0" w:color="auto"/>
            </w:tcBorders>
            <w:shd w:val="clear" w:color="auto" w:fill="auto"/>
            <w:vAlign w:val="center"/>
          </w:tcPr>
          <w:p w14:paraId="066308E4" w14:textId="77777777" w:rsidR="00451EB6" w:rsidRPr="005303F7" w:rsidRDefault="00451EB6" w:rsidP="00A17981">
            <w:pPr>
              <w:tabs>
                <w:tab w:val="clear" w:pos="3825"/>
              </w:tabs>
              <w:spacing w:after="0"/>
              <w:rPr>
                <w:rFonts w:ascii="Times New Roman" w:hAnsi="Times New Roman"/>
                <w:b/>
                <w:bCs/>
                <w:sz w:val="20"/>
                <w:lang w:val="sr-Cyrl-CS"/>
              </w:rPr>
            </w:pPr>
          </w:p>
        </w:tc>
        <w:tc>
          <w:tcPr>
            <w:tcW w:w="2428" w:type="dxa"/>
            <w:tcBorders>
              <w:top w:val="single" w:sz="4" w:space="0" w:color="auto"/>
              <w:left w:val="nil"/>
              <w:bottom w:val="single" w:sz="4" w:space="0" w:color="auto"/>
              <w:right w:val="single" w:sz="4" w:space="0" w:color="auto"/>
            </w:tcBorders>
            <w:shd w:val="clear" w:color="auto" w:fill="auto"/>
            <w:noWrap/>
            <w:vAlign w:val="center"/>
          </w:tcPr>
          <w:p w14:paraId="2058C987" w14:textId="639D4536" w:rsidR="00451EB6" w:rsidRPr="005303F7" w:rsidRDefault="008D69AF">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Број</w:t>
            </w:r>
            <w:r w:rsidR="00315AA9"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раднх</w:t>
            </w:r>
            <w:r w:rsidR="00451EB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места</w:t>
            </w:r>
            <w:r w:rsidR="00451EB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у</w:t>
            </w:r>
            <w:r w:rsidR="00451EB6" w:rsidRPr="005303F7">
              <w:rPr>
                <w:rFonts w:ascii="Times New Roman" w:hAnsi="Times New Roman"/>
                <w:color w:val="000000"/>
                <w:sz w:val="20"/>
                <w:lang w:val="sr-Cyrl-CS" w:eastAsia="en-US"/>
              </w:rPr>
              <w:t xml:space="preserve"> </w:t>
            </w:r>
            <w:r w:rsidR="00FE15B2" w:rsidRPr="005303F7">
              <w:rPr>
                <w:rFonts w:ascii="Times New Roman" w:hAnsi="Times New Roman"/>
                <w:color w:val="000000"/>
                <w:sz w:val="20"/>
                <w:lang w:val="sr-Cyrl-CS" w:eastAsia="en-US"/>
              </w:rPr>
              <w:t xml:space="preserve">угљенично интензивним </w:t>
            </w:r>
            <w:r w:rsidRPr="005303F7">
              <w:rPr>
                <w:rFonts w:ascii="Times New Roman" w:hAnsi="Times New Roman"/>
                <w:color w:val="000000"/>
                <w:sz w:val="20"/>
                <w:lang w:val="sr-Cyrl-CS" w:eastAsia="en-US"/>
              </w:rPr>
              <w:t>секторима</w:t>
            </w:r>
            <w:r w:rsidR="00451EB6" w:rsidRPr="005303F7">
              <w:rPr>
                <w:rFonts w:ascii="Times New Roman" w:hAnsi="Times New Roman"/>
                <w:color w:val="000000"/>
                <w:sz w:val="20"/>
                <w:lang w:val="sr-Cyrl-CS" w:eastAsia="en-US"/>
              </w:rPr>
              <w:t xml:space="preserve"> </w:t>
            </w:r>
            <w:r w:rsidR="00FE15B2" w:rsidRPr="005303F7">
              <w:rPr>
                <w:rFonts w:ascii="Times New Roman" w:hAnsi="Times New Roman"/>
                <w:color w:val="000000"/>
                <w:sz w:val="20"/>
                <w:lang w:val="sr-Cyrl-CS" w:eastAsia="en-US"/>
              </w:rPr>
              <w:t>унапређен</w:t>
            </w:r>
            <w:r w:rsidR="00676B3E" w:rsidRPr="005303F7">
              <w:rPr>
                <w:rFonts w:ascii="Times New Roman" w:hAnsi="Times New Roman"/>
                <w:color w:val="000000"/>
                <w:sz w:val="20"/>
                <w:lang w:val="sr-Cyrl-CS" w:eastAsia="en-US"/>
              </w:rPr>
              <w:t>их</w:t>
            </w:r>
            <w:r w:rsidR="00451EB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новим</w:t>
            </w:r>
            <w:r w:rsidR="00451EB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вештинама</w:t>
            </w:r>
            <w:r w:rsidR="00451EB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и</w:t>
            </w:r>
            <w:r w:rsidR="00451EB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промењен</w:t>
            </w:r>
            <w:r w:rsidR="00676B3E" w:rsidRPr="005303F7">
              <w:rPr>
                <w:rFonts w:ascii="Times New Roman" w:hAnsi="Times New Roman"/>
                <w:color w:val="000000"/>
                <w:sz w:val="20"/>
                <w:lang w:val="sr-Cyrl-CS" w:eastAsia="en-US"/>
              </w:rPr>
              <w:t>их</w:t>
            </w:r>
            <w:r w:rsidR="00451EB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у</w:t>
            </w:r>
            <w:r w:rsidR="00451EB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радна</w:t>
            </w:r>
            <w:r w:rsidR="00315AA9"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места</w:t>
            </w:r>
            <w:r w:rsidR="00451EB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у</w:t>
            </w:r>
            <w:r w:rsidR="00451EB6" w:rsidRPr="005303F7">
              <w:rPr>
                <w:rFonts w:ascii="Times New Roman" w:hAnsi="Times New Roman"/>
                <w:color w:val="000000"/>
                <w:sz w:val="20"/>
                <w:lang w:val="sr-Cyrl-CS" w:eastAsia="en-US"/>
              </w:rPr>
              <w:t xml:space="preserve"> </w:t>
            </w:r>
            <w:r w:rsidR="00FE15B2" w:rsidRPr="005303F7">
              <w:rPr>
                <w:rFonts w:ascii="Times New Roman" w:hAnsi="Times New Roman"/>
                <w:color w:val="000000"/>
                <w:sz w:val="20"/>
                <w:lang w:val="sr-Cyrl-CS" w:eastAsia="en-US"/>
              </w:rPr>
              <w:t>еколошкој привреди</w:t>
            </w:r>
            <w:r w:rsidR="00315AA9" w:rsidRPr="005303F7">
              <w:rPr>
                <w:rFonts w:ascii="Times New Roman" w:hAnsi="Times New Roman"/>
                <w:color w:val="000000"/>
                <w:sz w:val="20"/>
                <w:lang w:val="sr-Cyrl-CS" w:eastAsia="en-US"/>
              </w:rPr>
              <w:t xml:space="preserve"> </w:t>
            </w:r>
          </w:p>
        </w:tc>
        <w:tc>
          <w:tcPr>
            <w:tcW w:w="1158" w:type="dxa"/>
            <w:tcBorders>
              <w:top w:val="single" w:sz="4" w:space="0" w:color="auto"/>
              <w:left w:val="nil"/>
              <w:bottom w:val="single" w:sz="4" w:space="0" w:color="auto"/>
              <w:right w:val="single" w:sz="4" w:space="0" w:color="auto"/>
            </w:tcBorders>
            <w:shd w:val="clear" w:color="auto" w:fill="auto"/>
            <w:vAlign w:val="center"/>
          </w:tcPr>
          <w:p w14:paraId="09380A73" w14:textId="77777777" w:rsidR="00451EB6" w:rsidRPr="005303F7" w:rsidRDefault="00451EB6"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45F59F6A" w14:textId="77777777" w:rsidR="00451EB6" w:rsidRPr="005303F7" w:rsidRDefault="00451EB6"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200</w:t>
            </w:r>
          </w:p>
        </w:tc>
        <w:tc>
          <w:tcPr>
            <w:tcW w:w="939" w:type="dxa"/>
            <w:tcBorders>
              <w:top w:val="single" w:sz="4" w:space="0" w:color="auto"/>
              <w:left w:val="single" w:sz="4" w:space="0" w:color="auto"/>
              <w:bottom w:val="single" w:sz="4" w:space="0" w:color="auto"/>
              <w:right w:val="nil"/>
            </w:tcBorders>
            <w:shd w:val="clear" w:color="auto" w:fill="auto"/>
            <w:vAlign w:val="center"/>
          </w:tcPr>
          <w:p w14:paraId="7AF183D7" w14:textId="77777777" w:rsidR="00451EB6" w:rsidRPr="005303F7" w:rsidRDefault="00451EB6"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9000</w:t>
            </w:r>
          </w:p>
        </w:tc>
        <w:tc>
          <w:tcPr>
            <w:tcW w:w="356" w:type="dxa"/>
            <w:tcBorders>
              <w:top w:val="single" w:sz="4" w:space="0" w:color="auto"/>
              <w:left w:val="nil"/>
              <w:bottom w:val="single" w:sz="4" w:space="0" w:color="auto"/>
              <w:right w:val="nil"/>
            </w:tcBorders>
            <w:shd w:val="clear" w:color="auto" w:fill="auto"/>
            <w:vAlign w:val="center"/>
          </w:tcPr>
          <w:p w14:paraId="1E5BC33F" w14:textId="77777777" w:rsidR="00451EB6" w:rsidRPr="005303F7" w:rsidRDefault="00451EB6"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w:t>
            </w:r>
          </w:p>
        </w:tc>
        <w:tc>
          <w:tcPr>
            <w:tcW w:w="995" w:type="dxa"/>
            <w:tcBorders>
              <w:top w:val="single" w:sz="4" w:space="0" w:color="auto"/>
              <w:left w:val="nil"/>
              <w:bottom w:val="single" w:sz="4" w:space="0" w:color="auto"/>
              <w:right w:val="single" w:sz="4" w:space="0" w:color="auto"/>
            </w:tcBorders>
            <w:shd w:val="clear" w:color="auto" w:fill="auto"/>
            <w:vAlign w:val="center"/>
          </w:tcPr>
          <w:p w14:paraId="415E1058" w14:textId="77777777" w:rsidR="00451EB6" w:rsidRPr="005303F7" w:rsidRDefault="00451EB6" w:rsidP="00A17981">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20000</w:t>
            </w:r>
            <w:r w:rsidRPr="005303F7">
              <w:rPr>
                <w:rStyle w:val="FootnoteReference"/>
                <w:rFonts w:ascii="Times New Roman" w:hAnsi="Times New Roman"/>
                <w:color w:val="000000"/>
                <w:sz w:val="20"/>
                <w:lang w:val="sr-Cyrl-CS" w:eastAsia="en-US"/>
              </w:rPr>
              <w:footnoteReference w:id="65"/>
            </w:r>
          </w:p>
        </w:tc>
        <w:tc>
          <w:tcPr>
            <w:tcW w:w="2840" w:type="dxa"/>
            <w:tcBorders>
              <w:top w:val="single" w:sz="4" w:space="0" w:color="auto"/>
              <w:left w:val="nil"/>
              <w:bottom w:val="single" w:sz="4" w:space="0" w:color="auto"/>
              <w:right w:val="single" w:sz="4" w:space="0" w:color="auto"/>
            </w:tcBorders>
            <w:shd w:val="clear" w:color="auto" w:fill="auto"/>
            <w:vAlign w:val="center"/>
          </w:tcPr>
          <w:p w14:paraId="50A5CC3F" w14:textId="7C6DB84E" w:rsidR="00451EB6" w:rsidRPr="005303F7" w:rsidRDefault="008D69AF" w:rsidP="00FC2F09">
            <w:pPr>
              <w:tabs>
                <w:tab w:val="clear" w:pos="3825"/>
              </w:tabs>
              <w:overflowPunct/>
              <w:autoSpaceDE/>
              <w:autoSpaceDN/>
              <w:adjustRightInd/>
              <w:spacing w:before="0" w:after="0"/>
              <w:jc w:val="center"/>
              <w:textAlignment w:val="auto"/>
              <w:rPr>
                <w:rFonts w:ascii="Times New Roman" w:hAnsi="Times New Roman"/>
                <w:color w:val="000000"/>
                <w:sz w:val="20"/>
                <w:lang w:val="sr-Cyrl-CS" w:eastAsia="en-US"/>
              </w:rPr>
            </w:pPr>
            <w:r w:rsidRPr="005303F7">
              <w:rPr>
                <w:rFonts w:ascii="Times New Roman" w:hAnsi="Times New Roman"/>
                <w:color w:val="000000"/>
                <w:sz w:val="20"/>
                <w:lang w:val="sr-Cyrl-CS" w:eastAsia="en-US"/>
              </w:rPr>
              <w:t>Републички</w:t>
            </w:r>
            <w:r w:rsidR="00DD349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завод</w:t>
            </w:r>
            <w:r w:rsidR="00451EB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за</w:t>
            </w:r>
            <w:r w:rsidR="00451EB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статистику</w:t>
            </w:r>
            <w:r w:rsidR="00451EB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статистика</w:t>
            </w:r>
            <w:r w:rsidR="00451EB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о</w:t>
            </w:r>
            <w:r w:rsidR="00451EB6" w:rsidRPr="005303F7">
              <w:rPr>
                <w:rFonts w:ascii="Times New Roman" w:hAnsi="Times New Roman"/>
                <w:color w:val="000000"/>
                <w:sz w:val="20"/>
                <w:lang w:val="sr-Cyrl-CS" w:eastAsia="en-US"/>
              </w:rPr>
              <w:t xml:space="preserve"> </w:t>
            </w:r>
            <w:r w:rsidRPr="005303F7">
              <w:rPr>
                <w:rFonts w:ascii="Times New Roman" w:hAnsi="Times New Roman"/>
                <w:color w:val="000000"/>
                <w:sz w:val="20"/>
                <w:lang w:val="sr-Cyrl-CS" w:eastAsia="en-US"/>
              </w:rPr>
              <w:t>запослености</w:t>
            </w:r>
          </w:p>
        </w:tc>
      </w:tr>
    </w:tbl>
    <w:p w14:paraId="6A5C2A22" w14:textId="77777777" w:rsidR="00BD116A" w:rsidRPr="005303F7" w:rsidRDefault="00BD116A" w:rsidP="00D35AFD">
      <w:pPr>
        <w:rPr>
          <w:rFonts w:ascii="Times New Roman" w:hAnsi="Times New Roman"/>
          <w:lang w:val="sr-Cyrl-CS"/>
        </w:rPr>
        <w:sectPr w:rsidR="00BD116A" w:rsidRPr="005303F7" w:rsidSect="00C86BF1">
          <w:headerReference w:type="default" r:id="rId24"/>
          <w:footerReference w:type="default" r:id="rId25"/>
          <w:headerReference w:type="first" r:id="rId26"/>
          <w:footerReference w:type="first" r:id="rId27"/>
          <w:pgSz w:w="16834" w:h="11909" w:orient="landscape" w:code="9"/>
          <w:pgMar w:top="1560" w:right="1440" w:bottom="1247" w:left="1440" w:header="284" w:footer="239" w:gutter="0"/>
          <w:cols w:space="720"/>
          <w:docGrid w:linePitch="360"/>
        </w:sectPr>
      </w:pPr>
    </w:p>
    <w:p w14:paraId="0E0BE238" w14:textId="05DBE24F" w:rsidR="00BD116A" w:rsidRPr="005303F7" w:rsidRDefault="00841548" w:rsidP="00BC78E8">
      <w:pPr>
        <w:pStyle w:val="Einzug1"/>
        <w:numPr>
          <w:ilvl w:val="0"/>
          <w:numId w:val="0"/>
        </w:numPr>
        <w:spacing w:after="60"/>
        <w:textAlignment w:val="auto"/>
        <w:rPr>
          <w:rFonts w:ascii="Times New Roman" w:hAnsi="Times New Roman" w:cs="Times New Roman"/>
          <w:b w:val="0"/>
          <w:bCs/>
          <w:lang w:val="sr-Cyrl-CS"/>
        </w:rPr>
      </w:pPr>
      <w:r w:rsidRPr="005303F7">
        <w:rPr>
          <w:rFonts w:ascii="Times New Roman" w:hAnsi="Times New Roman" w:cs="Times New Roman"/>
          <w:bCs/>
          <w:lang w:val="sr-Cyrl-CS"/>
        </w:rPr>
        <w:lastRenderedPageBreak/>
        <w:t>8. ОПИС МЕРА УКЉУЧЕНИХ У СТРАТЕГИЈУ</w:t>
      </w:r>
    </w:p>
    <w:p w14:paraId="78F241B3" w14:textId="77777777" w:rsidR="00BD116A" w:rsidRPr="005303F7" w:rsidRDefault="00BD116A" w:rsidP="00614618">
      <w:pPr>
        <w:spacing w:before="0" w:after="0"/>
        <w:rPr>
          <w:rFonts w:ascii="Times New Roman" w:hAnsi="Times New Roman"/>
          <w:iCs/>
          <w:sz w:val="20"/>
          <w:szCs w:val="18"/>
          <w:lang w:val="sr-Cyrl-CS"/>
        </w:rPr>
      </w:pPr>
    </w:p>
    <w:p w14:paraId="00CF7B8C" w14:textId="0AE5BE62" w:rsidR="00BD116A" w:rsidRPr="005303F7" w:rsidRDefault="008D69AF" w:rsidP="006204CB">
      <w:pPr>
        <w:spacing w:after="60"/>
        <w:ind w:left="993" w:hanging="993"/>
        <w:rPr>
          <w:rFonts w:ascii="Times New Roman" w:hAnsi="Times New Roman"/>
          <w:b/>
          <w:bCs/>
          <w:i/>
          <w:iCs/>
          <w:sz w:val="20"/>
          <w:szCs w:val="18"/>
          <w:lang w:val="sr-Cyrl-CS"/>
        </w:rPr>
      </w:pPr>
      <w:bookmarkStart w:id="399" w:name="_Toc25820332"/>
      <w:bookmarkStart w:id="400" w:name="_Toc26450888"/>
      <w:r w:rsidRPr="005303F7">
        <w:rPr>
          <w:rFonts w:ascii="Times New Roman" w:hAnsi="Times New Roman"/>
          <w:b/>
          <w:bCs/>
          <w:i/>
          <w:iCs/>
          <w:sz w:val="20"/>
          <w:szCs w:val="18"/>
          <w:lang w:val="sr-Cyrl-CS"/>
        </w:rPr>
        <w:t>Табела</w:t>
      </w:r>
      <w:r w:rsidR="00BD116A" w:rsidRPr="005303F7">
        <w:rPr>
          <w:rFonts w:ascii="Times New Roman" w:hAnsi="Times New Roman"/>
          <w:b/>
          <w:bCs/>
          <w:i/>
          <w:iCs/>
          <w:sz w:val="20"/>
          <w:szCs w:val="18"/>
          <w:lang w:val="sr-Cyrl-CS"/>
        </w:rPr>
        <w:t xml:space="preserve"> </w:t>
      </w:r>
      <w:r w:rsidR="00BD116A" w:rsidRPr="005303F7">
        <w:rPr>
          <w:rFonts w:ascii="Times New Roman" w:hAnsi="Times New Roman"/>
          <w:b/>
          <w:bCs/>
          <w:i/>
          <w:iCs/>
          <w:sz w:val="20"/>
          <w:szCs w:val="18"/>
          <w:lang w:val="sr-Cyrl-CS"/>
        </w:rPr>
        <w:fldChar w:fldCharType="begin"/>
      </w:r>
      <w:r w:rsidR="00BD116A" w:rsidRPr="005303F7">
        <w:rPr>
          <w:rFonts w:ascii="Times New Roman" w:hAnsi="Times New Roman"/>
          <w:b/>
          <w:bCs/>
          <w:i/>
          <w:iCs/>
          <w:sz w:val="20"/>
          <w:szCs w:val="18"/>
          <w:lang w:val="sr-Cyrl-CS"/>
        </w:rPr>
        <w:instrText xml:space="preserve"> SEQ Table \* ARABIC </w:instrText>
      </w:r>
      <w:r w:rsidR="00BD116A" w:rsidRPr="005303F7">
        <w:rPr>
          <w:rFonts w:ascii="Times New Roman" w:hAnsi="Times New Roman"/>
          <w:b/>
          <w:bCs/>
          <w:i/>
          <w:iCs/>
          <w:sz w:val="20"/>
          <w:szCs w:val="18"/>
          <w:lang w:val="sr-Cyrl-CS"/>
        </w:rPr>
        <w:fldChar w:fldCharType="separate"/>
      </w:r>
      <w:r w:rsidR="00DA2595" w:rsidRPr="005303F7">
        <w:rPr>
          <w:rFonts w:ascii="Times New Roman" w:hAnsi="Times New Roman"/>
          <w:b/>
          <w:bCs/>
          <w:i/>
          <w:iCs/>
          <w:noProof/>
          <w:sz w:val="20"/>
          <w:szCs w:val="18"/>
          <w:lang w:val="sr-Cyrl-CS"/>
        </w:rPr>
        <w:t>16</w:t>
      </w:r>
      <w:r w:rsidR="00BD116A" w:rsidRPr="005303F7">
        <w:rPr>
          <w:rFonts w:ascii="Times New Roman" w:hAnsi="Times New Roman"/>
          <w:b/>
          <w:bCs/>
          <w:i/>
          <w:iCs/>
          <w:sz w:val="20"/>
          <w:szCs w:val="18"/>
          <w:lang w:val="sr-Cyrl-CS"/>
        </w:rPr>
        <w:fldChar w:fldCharType="end"/>
      </w:r>
      <w:r w:rsidR="00BD116A"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Листа</w:t>
      </w:r>
      <w:r w:rsidR="009F2AA5" w:rsidRPr="005303F7">
        <w:rPr>
          <w:rFonts w:ascii="Times New Roman" w:hAnsi="Times New Roman"/>
          <w:b/>
          <w:bCs/>
          <w:i/>
          <w:iCs/>
          <w:sz w:val="20"/>
          <w:szCs w:val="18"/>
          <w:lang w:val="sr-Cyrl-CS"/>
        </w:rPr>
        <w:t xml:space="preserve"> </w:t>
      </w:r>
      <w:bookmarkEnd w:id="399"/>
      <w:r w:rsidRPr="005303F7">
        <w:rPr>
          <w:rFonts w:ascii="Times New Roman" w:hAnsi="Times New Roman"/>
          <w:b/>
          <w:bCs/>
          <w:i/>
          <w:iCs/>
          <w:sz w:val="20"/>
          <w:szCs w:val="18"/>
          <w:lang w:val="sr-Cyrl-CS"/>
        </w:rPr>
        <w:t>мера</w:t>
      </w:r>
      <w:r w:rsidR="00354C7B"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са</w:t>
      </w:r>
      <w:r w:rsidR="009F2AA5"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главним</w:t>
      </w:r>
      <w:r w:rsidR="009F2AA5"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описима</w:t>
      </w:r>
      <w:r w:rsidR="009F2AA5"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утицајем</w:t>
      </w:r>
      <w:r w:rsidR="009F2AA5"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на</w:t>
      </w:r>
      <w:r w:rsidR="002F5361"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гасове</w:t>
      </w:r>
      <w:r w:rsidR="009F2AA5" w:rsidRPr="005303F7">
        <w:rPr>
          <w:rFonts w:ascii="Times New Roman" w:hAnsi="Times New Roman"/>
          <w:b/>
          <w:bCs/>
          <w:i/>
          <w:iCs/>
          <w:sz w:val="20"/>
          <w:szCs w:val="18"/>
          <w:lang w:val="sr-Cyrl-CS"/>
        </w:rPr>
        <w:t xml:space="preserve">, </w:t>
      </w:r>
      <w:r w:rsidR="004A1F5D" w:rsidRPr="005303F7">
        <w:rPr>
          <w:rFonts w:ascii="Times New Roman" w:hAnsi="Times New Roman"/>
          <w:b/>
          <w:bCs/>
          <w:i/>
          <w:iCs/>
          <w:sz w:val="20"/>
          <w:szCs w:val="18"/>
          <w:lang w:val="sr-Cyrl-CS"/>
        </w:rPr>
        <w:t>проценом утицаја ублажавања климатских промена (у даљем тексту:</w:t>
      </w:r>
      <w:r w:rsidR="00DC2380" w:rsidRPr="005303F7">
        <w:rPr>
          <w:rFonts w:ascii="Times New Roman" w:hAnsi="Times New Roman"/>
          <w:b/>
          <w:bCs/>
          <w:i/>
          <w:iCs/>
          <w:sz w:val="20"/>
          <w:szCs w:val="18"/>
          <w:lang w:val="sr-Cyrl-CS"/>
        </w:rPr>
        <w:t xml:space="preserve"> процењен утицај</w:t>
      </w:r>
      <w:r w:rsidR="004A1F5D" w:rsidRPr="005303F7">
        <w:rPr>
          <w:rFonts w:ascii="Times New Roman" w:hAnsi="Times New Roman"/>
          <w:b/>
          <w:bCs/>
          <w:i/>
          <w:iCs/>
          <w:sz w:val="20"/>
          <w:szCs w:val="18"/>
          <w:lang w:val="sr-Cyrl-CS"/>
        </w:rPr>
        <w:t xml:space="preserve"> ублажавања)</w:t>
      </w:r>
      <w:r w:rsidR="009F2AA5"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и</w:t>
      </w:r>
      <w:r w:rsidR="009F2AA5"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субјектима</w:t>
      </w:r>
      <w:r w:rsidR="009F2AA5"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и</w:t>
      </w:r>
      <w:r w:rsidR="009F2AA5"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партнерима</w:t>
      </w:r>
      <w:r w:rsidR="009F2AA5"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који</w:t>
      </w:r>
      <w:r w:rsidR="009F2AA5"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их</w:t>
      </w:r>
      <w:r w:rsidR="009F2AA5"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спровод</w:t>
      </w:r>
      <w:bookmarkEnd w:id="400"/>
      <w:r w:rsidRPr="005303F7">
        <w:rPr>
          <w:rFonts w:ascii="Times New Roman" w:hAnsi="Times New Roman"/>
          <w:b/>
          <w:bCs/>
          <w:i/>
          <w:iCs/>
          <w:sz w:val="20"/>
          <w:szCs w:val="18"/>
          <w:lang w:val="sr-Cyrl-CS"/>
        </w:rPr>
        <w:t>е</w:t>
      </w:r>
    </w:p>
    <w:tbl>
      <w:tblPr>
        <w:tblW w:w="159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2"/>
        <w:gridCol w:w="126"/>
        <w:gridCol w:w="8"/>
        <w:gridCol w:w="3258"/>
        <w:gridCol w:w="144"/>
        <w:gridCol w:w="118"/>
        <w:gridCol w:w="458"/>
        <w:gridCol w:w="76"/>
        <w:gridCol w:w="26"/>
        <w:gridCol w:w="157"/>
        <w:gridCol w:w="17"/>
        <w:gridCol w:w="4336"/>
        <w:gridCol w:w="448"/>
        <w:gridCol w:w="19"/>
        <w:gridCol w:w="366"/>
        <w:gridCol w:w="62"/>
        <w:gridCol w:w="116"/>
        <w:gridCol w:w="32"/>
        <w:gridCol w:w="60"/>
        <w:gridCol w:w="744"/>
        <w:gridCol w:w="215"/>
        <w:gridCol w:w="116"/>
        <w:gridCol w:w="62"/>
        <w:gridCol w:w="68"/>
        <w:gridCol w:w="48"/>
        <w:gridCol w:w="101"/>
        <w:gridCol w:w="775"/>
        <w:gridCol w:w="366"/>
        <w:gridCol w:w="95"/>
        <w:gridCol w:w="64"/>
        <w:gridCol w:w="31"/>
        <w:gridCol w:w="99"/>
        <w:gridCol w:w="2818"/>
      </w:tblGrid>
      <w:tr w:rsidR="00BD116A" w:rsidRPr="005303F7" w14:paraId="65342AF8" w14:textId="77777777" w:rsidTr="00BD116A">
        <w:trPr>
          <w:trHeight w:val="391"/>
        </w:trPr>
        <w:tc>
          <w:tcPr>
            <w:tcW w:w="15990" w:type="dxa"/>
            <w:gridSpan w:val="34"/>
            <w:tcBorders>
              <w:top w:val="single" w:sz="4" w:space="0" w:color="auto"/>
              <w:left w:val="single" w:sz="4" w:space="0" w:color="auto"/>
              <w:bottom w:val="single" w:sz="4" w:space="0" w:color="auto"/>
              <w:right w:val="single" w:sz="4" w:space="0" w:color="auto"/>
            </w:tcBorders>
            <w:shd w:val="solid" w:color="FFCC00" w:fill="auto"/>
            <w:vAlign w:val="center"/>
            <w:hideMark/>
          </w:tcPr>
          <w:p w14:paraId="39AAB6D0" w14:textId="0E7E47C5" w:rsidR="00BD116A" w:rsidRPr="005303F7" w:rsidRDefault="008D69AF" w:rsidP="00353B06">
            <w:pPr>
              <w:overflowPunct/>
              <w:jc w:val="left"/>
              <w:rPr>
                <w:rFonts w:ascii="Times New Roman" w:hAnsi="Times New Roman"/>
                <w:b/>
                <w:bCs/>
                <w:color w:val="000000"/>
                <w:sz w:val="20"/>
                <w:lang w:val="sr-Cyrl-CS"/>
              </w:rPr>
            </w:pPr>
            <w:r w:rsidRPr="005303F7">
              <w:rPr>
                <w:rFonts w:ascii="Times New Roman" w:hAnsi="Times New Roman"/>
                <w:b/>
                <w:bCs/>
                <w:color w:val="000000"/>
                <w:sz w:val="18"/>
                <w:szCs w:val="18"/>
                <w:lang w:val="sr-Cyrl-CS"/>
              </w:rPr>
              <w:t>Посебан</w:t>
            </w:r>
            <w:r w:rsidR="009F2AA5"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ци</w:t>
            </w:r>
            <w:r w:rsidR="00D553BE" w:rsidRPr="005303F7">
              <w:rPr>
                <w:rFonts w:ascii="Times New Roman" w:hAnsi="Times New Roman"/>
                <w:b/>
                <w:bCs/>
                <w:sz w:val="18"/>
                <w:szCs w:val="18"/>
                <w:lang w:val="sr-Cyrl-CS"/>
              </w:rPr>
              <w:t>љ</w:t>
            </w:r>
            <w:r w:rsidR="00BD116A" w:rsidRPr="005303F7">
              <w:rPr>
                <w:rFonts w:ascii="Times New Roman" w:hAnsi="Times New Roman"/>
                <w:b/>
                <w:bCs/>
                <w:color w:val="000000"/>
                <w:sz w:val="18"/>
                <w:szCs w:val="18"/>
                <w:lang w:val="sr-Cyrl-CS"/>
              </w:rPr>
              <w:t xml:space="preserve"> 1: </w:t>
            </w:r>
            <w:r w:rsidRPr="005303F7">
              <w:rPr>
                <w:rFonts w:ascii="Times New Roman" w:hAnsi="Times New Roman"/>
                <w:b/>
                <w:bCs/>
                <w:color w:val="000000"/>
                <w:sz w:val="18"/>
                <w:szCs w:val="18"/>
                <w:lang w:val="sr-Cyrl-CS"/>
              </w:rPr>
              <w:t>Смањење</w:t>
            </w:r>
            <w:r w:rsidR="00342956"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емисија</w:t>
            </w:r>
            <w:r w:rsidR="00342956" w:rsidRPr="005303F7">
              <w:rPr>
                <w:rFonts w:ascii="Times New Roman" w:hAnsi="Times New Roman"/>
                <w:b/>
                <w:bCs/>
                <w:color w:val="000000"/>
                <w:sz w:val="18"/>
                <w:szCs w:val="18"/>
                <w:lang w:val="sr-Cyrl-CS"/>
              </w:rPr>
              <w:t xml:space="preserve"> </w:t>
            </w:r>
            <w:r w:rsidR="00D7102F" w:rsidRPr="005303F7">
              <w:rPr>
                <w:rFonts w:ascii="Times New Roman" w:hAnsi="Times New Roman"/>
                <w:b/>
                <w:bCs/>
                <w:color w:val="000000"/>
                <w:sz w:val="18"/>
                <w:szCs w:val="18"/>
                <w:lang w:val="sr-Cyrl-CS"/>
              </w:rPr>
              <w:t>GHG</w:t>
            </w:r>
            <w:r w:rsidR="00342956" w:rsidRPr="005303F7">
              <w:rPr>
                <w:rFonts w:ascii="Times New Roman" w:hAnsi="Times New Roman"/>
                <w:b/>
                <w:bCs/>
                <w:color w:val="000000"/>
                <w:sz w:val="18"/>
                <w:szCs w:val="18"/>
                <w:lang w:val="sr-Cyrl-CS"/>
              </w:rPr>
              <w:t xml:space="preserve"> </w:t>
            </w:r>
            <w:r w:rsidR="00AB7227" w:rsidRPr="005303F7">
              <w:rPr>
                <w:rFonts w:ascii="Times New Roman" w:hAnsi="Times New Roman"/>
                <w:b/>
                <w:bCs/>
                <w:color w:val="000000"/>
                <w:sz w:val="18"/>
                <w:szCs w:val="18"/>
                <w:lang w:val="sr-Cyrl-CS"/>
              </w:rPr>
              <w:t xml:space="preserve">које ће бити обухваћене </w:t>
            </w:r>
            <w:r w:rsidR="00342956"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Е</w:t>
            </w:r>
            <w:r w:rsidR="00D7102F" w:rsidRPr="005303F7">
              <w:rPr>
                <w:rFonts w:ascii="Times New Roman" w:hAnsi="Times New Roman"/>
                <w:b/>
                <w:bCs/>
                <w:color w:val="000000"/>
                <w:sz w:val="18"/>
                <w:szCs w:val="18"/>
                <w:lang w:val="sr-Cyrl-CS"/>
              </w:rPr>
              <w:t>U</w:t>
            </w:r>
            <w:r w:rsidR="00342956" w:rsidRPr="005303F7">
              <w:rPr>
                <w:rFonts w:ascii="Times New Roman" w:hAnsi="Times New Roman"/>
                <w:b/>
                <w:bCs/>
                <w:color w:val="000000"/>
                <w:sz w:val="18"/>
                <w:szCs w:val="18"/>
                <w:lang w:val="sr-Cyrl-CS"/>
              </w:rPr>
              <w:t>-</w:t>
            </w:r>
            <w:r w:rsidR="00D7102F" w:rsidRPr="005303F7">
              <w:rPr>
                <w:rFonts w:ascii="Times New Roman" w:hAnsi="Times New Roman"/>
                <w:b/>
                <w:bCs/>
                <w:color w:val="000000"/>
                <w:sz w:val="18"/>
                <w:szCs w:val="18"/>
                <w:lang w:val="sr-Cyrl-CS"/>
              </w:rPr>
              <w:t>ETS</w:t>
            </w:r>
            <w:r w:rsidR="00342956" w:rsidRPr="005303F7">
              <w:rPr>
                <w:rFonts w:ascii="Times New Roman" w:hAnsi="Times New Roman"/>
                <w:b/>
                <w:bCs/>
                <w:color w:val="000000"/>
                <w:sz w:val="18"/>
                <w:szCs w:val="18"/>
                <w:lang w:val="sr-Cyrl-CS"/>
              </w:rPr>
              <w:t>-</w:t>
            </w:r>
            <w:r w:rsidRPr="005303F7">
              <w:rPr>
                <w:rFonts w:ascii="Times New Roman" w:hAnsi="Times New Roman"/>
                <w:b/>
                <w:bCs/>
                <w:color w:val="000000"/>
                <w:sz w:val="18"/>
                <w:szCs w:val="18"/>
                <w:lang w:val="sr-Cyrl-CS"/>
              </w:rPr>
              <w:t>ом</w:t>
            </w:r>
            <w:r w:rsidR="00342956"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за</w:t>
            </w:r>
            <w:r w:rsidR="00342956" w:rsidRPr="005303F7">
              <w:rPr>
                <w:rFonts w:ascii="Times New Roman" w:hAnsi="Times New Roman"/>
                <w:b/>
                <w:bCs/>
                <w:color w:val="000000"/>
                <w:sz w:val="18"/>
                <w:szCs w:val="18"/>
                <w:lang w:val="sr-Cyrl-CS"/>
              </w:rPr>
              <w:t xml:space="preserve"> 15% </w:t>
            </w:r>
            <w:r w:rsidRPr="005303F7">
              <w:rPr>
                <w:rFonts w:ascii="Times New Roman" w:hAnsi="Times New Roman"/>
                <w:b/>
                <w:bCs/>
                <w:color w:val="000000"/>
                <w:sz w:val="18"/>
                <w:szCs w:val="18"/>
                <w:lang w:val="sr-Cyrl-CS"/>
              </w:rPr>
              <w:t>у</w:t>
            </w:r>
            <w:r w:rsidR="00342956" w:rsidRPr="005303F7">
              <w:rPr>
                <w:rFonts w:ascii="Times New Roman" w:hAnsi="Times New Roman"/>
                <w:b/>
                <w:bCs/>
                <w:color w:val="000000"/>
                <w:sz w:val="18"/>
                <w:szCs w:val="18"/>
                <w:lang w:val="sr-Cyrl-CS"/>
              </w:rPr>
              <w:t xml:space="preserve"> 2030. </w:t>
            </w:r>
            <w:r w:rsidRPr="005303F7">
              <w:rPr>
                <w:rFonts w:ascii="Times New Roman" w:hAnsi="Times New Roman"/>
                <w:b/>
                <w:bCs/>
                <w:color w:val="000000"/>
                <w:sz w:val="18"/>
                <w:szCs w:val="18"/>
                <w:lang w:val="sr-Cyrl-CS"/>
              </w:rPr>
              <w:t>у</w:t>
            </w:r>
            <w:r w:rsidR="00342956"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поређењу</w:t>
            </w:r>
            <w:r w:rsidR="00342956"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са</w:t>
            </w:r>
            <w:r w:rsidR="00342956" w:rsidRPr="005303F7">
              <w:rPr>
                <w:rFonts w:ascii="Times New Roman" w:hAnsi="Times New Roman"/>
                <w:b/>
                <w:bCs/>
                <w:color w:val="000000"/>
                <w:sz w:val="18"/>
                <w:szCs w:val="18"/>
                <w:lang w:val="sr-Cyrl-CS"/>
              </w:rPr>
              <w:t xml:space="preserve"> 2010. </w:t>
            </w:r>
            <w:r w:rsidRPr="005303F7">
              <w:rPr>
                <w:rFonts w:ascii="Times New Roman" w:hAnsi="Times New Roman"/>
                <w:b/>
                <w:bCs/>
                <w:color w:val="000000"/>
                <w:sz w:val="18"/>
                <w:szCs w:val="18"/>
                <w:lang w:val="sr-Cyrl-CS"/>
              </w:rPr>
              <w:t>годином</w:t>
            </w:r>
          </w:p>
        </w:tc>
      </w:tr>
      <w:tr w:rsidR="00BD116A" w:rsidRPr="005303F7" w14:paraId="5ADB0917" w14:textId="77777777" w:rsidTr="0009461F">
        <w:trPr>
          <w:trHeight w:val="442"/>
        </w:trPr>
        <w:tc>
          <w:tcPr>
            <w:tcW w:w="687" w:type="dxa"/>
            <w:gridSpan w:val="3"/>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1D614B08" w14:textId="5827435C" w:rsidR="00BD116A" w:rsidRPr="005303F7" w:rsidRDefault="008D69AF">
            <w:pPr>
              <w:overflowPunct/>
              <w:spacing w:after="0"/>
              <w:rPr>
                <w:rFonts w:ascii="Times New Roman" w:hAnsi="Times New Roman"/>
                <w:sz w:val="20"/>
                <w:lang w:val="sr-Cyrl-CS"/>
              </w:rPr>
            </w:pPr>
            <w:r w:rsidRPr="005303F7">
              <w:rPr>
                <w:rFonts w:ascii="Times New Roman" w:hAnsi="Times New Roman"/>
                <w:sz w:val="20"/>
                <w:lang w:val="sr-Cyrl-CS"/>
              </w:rPr>
              <w:t>Бр</w:t>
            </w:r>
            <w:r w:rsidR="00BD116A" w:rsidRPr="005303F7">
              <w:rPr>
                <w:rFonts w:ascii="Times New Roman" w:hAnsi="Times New Roman"/>
                <w:sz w:val="20"/>
                <w:lang w:val="sr-Cyrl-CS"/>
              </w:rPr>
              <w:t>.</w:t>
            </w:r>
          </w:p>
        </w:tc>
        <w:tc>
          <w:tcPr>
            <w:tcW w:w="15303" w:type="dxa"/>
            <w:gridSpan w:val="31"/>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38882AB4" w14:textId="312E4F88" w:rsidR="00BD116A" w:rsidRPr="005303F7" w:rsidRDefault="008D69AF" w:rsidP="00AB7227">
            <w:pPr>
              <w:overflowPunct/>
              <w:jc w:val="left"/>
              <w:rPr>
                <w:rFonts w:ascii="Times New Roman" w:hAnsi="Times New Roman"/>
                <w:b/>
                <w:sz w:val="20"/>
                <w:u w:val="single"/>
                <w:lang w:val="sr-Cyrl-CS"/>
              </w:rPr>
            </w:pPr>
            <w:r w:rsidRPr="005303F7">
              <w:rPr>
                <w:rFonts w:ascii="Times New Roman" w:hAnsi="Times New Roman"/>
                <w:b/>
                <w:bCs/>
                <w:sz w:val="20"/>
                <w:lang w:val="sr-Cyrl-CS"/>
              </w:rPr>
              <w:t>Назив</w:t>
            </w:r>
            <w:r w:rsidR="00FC6647"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r w:rsidR="00BD116A" w:rsidRPr="005303F7">
              <w:rPr>
                <w:rFonts w:ascii="Times New Roman" w:hAnsi="Times New Roman"/>
                <w:b/>
                <w:bCs/>
                <w:sz w:val="20"/>
                <w:lang w:val="sr-Cyrl-CS"/>
              </w:rPr>
              <w:t>:</w:t>
            </w:r>
            <w:r w:rsidR="00BD116A"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Примена</w:t>
            </w:r>
            <w:r w:rsidR="00CF2AA4" w:rsidRPr="005303F7">
              <w:rPr>
                <w:rFonts w:ascii="Times New Roman" w:hAnsi="Times New Roman"/>
                <w:b/>
                <w:sz w:val="20"/>
                <w:u w:val="single"/>
                <w:lang w:val="sr-Cyrl-CS"/>
              </w:rPr>
              <w:t xml:space="preserve"> </w:t>
            </w:r>
            <w:r w:rsidR="00AB7227" w:rsidRPr="005303F7">
              <w:rPr>
                <w:rFonts w:ascii="Times New Roman" w:hAnsi="Times New Roman"/>
                <w:b/>
                <w:sz w:val="20"/>
                <w:u w:val="single"/>
                <w:lang w:val="sr-Cyrl-CS"/>
              </w:rPr>
              <w:t>мера за усклађивање са системом за трговање емисијама ЕУ и/или увођење других инструмената  одређивања цена угљеника</w:t>
            </w:r>
          </w:p>
        </w:tc>
      </w:tr>
      <w:tr w:rsidR="00BD116A" w:rsidRPr="005303F7" w14:paraId="0AC2CB7D" w14:textId="77777777" w:rsidTr="00FE004C">
        <w:trPr>
          <w:trHeight w:val="1860"/>
        </w:trPr>
        <w:tc>
          <w:tcPr>
            <w:tcW w:w="68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FF89F0F" w14:textId="77777777" w:rsidR="00BD116A" w:rsidRPr="005303F7" w:rsidRDefault="00BD116A">
            <w:pPr>
              <w:overflowPunct/>
              <w:spacing w:after="0"/>
              <w:jc w:val="center"/>
              <w:rPr>
                <w:rFonts w:ascii="Times New Roman" w:hAnsi="Times New Roman"/>
                <w:b/>
                <w:color w:val="000000"/>
                <w:sz w:val="20"/>
                <w:lang w:val="sr-Cyrl-CS"/>
              </w:rPr>
            </w:pPr>
            <w:r w:rsidRPr="005303F7">
              <w:rPr>
                <w:rFonts w:ascii="Times New Roman" w:hAnsi="Times New Roman"/>
                <w:b/>
                <w:color w:val="000000"/>
                <w:sz w:val="20"/>
                <w:lang w:val="sr-Cyrl-CS"/>
              </w:rPr>
              <w:t>1</w:t>
            </w:r>
          </w:p>
        </w:tc>
        <w:tc>
          <w:tcPr>
            <w:tcW w:w="15303" w:type="dxa"/>
            <w:gridSpan w:val="31"/>
            <w:tcBorders>
              <w:top w:val="single" w:sz="4" w:space="0" w:color="auto"/>
              <w:left w:val="single" w:sz="4" w:space="0" w:color="auto"/>
              <w:bottom w:val="single" w:sz="4" w:space="0" w:color="auto"/>
              <w:right w:val="single" w:sz="4" w:space="0" w:color="auto"/>
            </w:tcBorders>
            <w:vAlign w:val="center"/>
            <w:hideMark/>
          </w:tcPr>
          <w:p w14:paraId="1FFAC4EA" w14:textId="72957451" w:rsidR="00BD116A" w:rsidRPr="005303F7" w:rsidRDefault="008D69AF">
            <w:pPr>
              <w:overflowPunct/>
              <w:rPr>
                <w:rFonts w:ascii="Times New Roman" w:hAnsi="Times New Roman"/>
                <w:b/>
                <w:sz w:val="20"/>
                <w:lang w:val="sr-Cyrl-CS"/>
              </w:rPr>
            </w:pPr>
            <w:r w:rsidRPr="005303F7">
              <w:rPr>
                <w:rFonts w:ascii="Times New Roman" w:hAnsi="Times New Roman"/>
                <w:b/>
                <w:sz w:val="20"/>
                <w:u w:val="single"/>
                <w:lang w:val="sr-Cyrl-CS"/>
              </w:rPr>
              <w:t>Врста</w:t>
            </w:r>
            <w:r w:rsidR="00FC6647"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мере</w:t>
            </w:r>
            <w:r w:rsidR="00BD116A" w:rsidRPr="005303F7">
              <w:rPr>
                <w:rFonts w:ascii="Times New Roman" w:hAnsi="Times New Roman"/>
                <w:b/>
                <w:sz w:val="20"/>
                <w:lang w:val="sr-Cyrl-CS"/>
              </w:rPr>
              <w:t xml:space="preserve">: </w:t>
            </w:r>
            <w:r w:rsidRPr="005303F7">
              <w:rPr>
                <w:rFonts w:ascii="Times New Roman" w:hAnsi="Times New Roman"/>
                <w:bCs/>
                <w:sz w:val="20"/>
                <w:u w:val="single"/>
                <w:lang w:val="sr-Cyrl-CS"/>
              </w:rPr>
              <w:t>Регулаторна</w:t>
            </w:r>
            <w:r w:rsidR="00FC6647" w:rsidRPr="005303F7">
              <w:rPr>
                <w:rFonts w:ascii="Times New Roman" w:hAnsi="Times New Roman"/>
                <w:bCs/>
                <w:sz w:val="20"/>
                <w:u w:val="single"/>
                <w:lang w:val="sr-Cyrl-CS"/>
              </w:rPr>
              <w:t xml:space="preserve">, </w:t>
            </w:r>
            <w:r w:rsidRPr="005303F7">
              <w:rPr>
                <w:rFonts w:ascii="Times New Roman" w:hAnsi="Times New Roman"/>
                <w:bCs/>
                <w:sz w:val="20"/>
                <w:u w:val="single"/>
                <w:lang w:val="sr-Cyrl-CS"/>
              </w:rPr>
              <w:t>финансијска</w:t>
            </w:r>
          </w:p>
          <w:p w14:paraId="257CBDA7" w14:textId="77777777" w:rsidR="00676B3E" w:rsidRPr="005303F7" w:rsidRDefault="008D69AF">
            <w:pPr>
              <w:overflowPunct/>
              <w:spacing w:after="0"/>
              <w:rPr>
                <w:rFonts w:ascii="Times New Roman" w:hAnsi="Times New Roman"/>
                <w:sz w:val="20"/>
                <w:szCs w:val="18"/>
                <w:lang w:val="sr-Cyrl-CS"/>
              </w:rPr>
            </w:pPr>
            <w:r w:rsidRPr="005303F7">
              <w:rPr>
                <w:rFonts w:ascii="Times New Roman" w:hAnsi="Times New Roman"/>
                <w:b/>
                <w:sz w:val="20"/>
                <w:u w:val="single"/>
                <w:lang w:val="sr-Cyrl-CS"/>
              </w:rPr>
              <w:t>Опис</w:t>
            </w:r>
            <w:r w:rsidR="00FC6647"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мере</w:t>
            </w:r>
            <w:r w:rsidR="00BD116A" w:rsidRPr="005303F7">
              <w:rPr>
                <w:rFonts w:ascii="Times New Roman" w:hAnsi="Times New Roman"/>
                <w:bCs/>
                <w:sz w:val="20"/>
                <w:lang w:val="sr-Cyrl-CS"/>
              </w:rPr>
              <w:t>:</w:t>
            </w:r>
            <w:r w:rsidR="00BD116A" w:rsidRPr="005303F7">
              <w:rPr>
                <w:rFonts w:ascii="Times New Roman" w:hAnsi="Times New Roman"/>
                <w:sz w:val="20"/>
                <w:szCs w:val="18"/>
                <w:lang w:val="sr-Cyrl-CS"/>
              </w:rPr>
              <w:t xml:space="preserve"> </w:t>
            </w:r>
          </w:p>
          <w:p w14:paraId="15BE2B09" w14:textId="2F40C645" w:rsidR="00676B3E" w:rsidRPr="005303F7" w:rsidRDefault="004F4501">
            <w:pPr>
              <w:overflowPunct/>
              <w:spacing w:after="0"/>
              <w:rPr>
                <w:rFonts w:ascii="Times New Roman" w:hAnsi="Times New Roman"/>
                <w:sz w:val="20"/>
                <w:szCs w:val="18"/>
                <w:lang w:val="sr-Cyrl-CS"/>
              </w:rPr>
            </w:pPr>
            <w:r w:rsidRPr="005303F7">
              <w:rPr>
                <w:rFonts w:ascii="Times New Roman" w:hAnsi="Times New Roman"/>
                <w:sz w:val="20"/>
                <w:szCs w:val="18"/>
                <w:lang w:val="sr-Cyrl-CS"/>
              </w:rPr>
              <w:t xml:space="preserve">         </w:t>
            </w:r>
            <w:r w:rsidR="00676B3E" w:rsidRPr="005303F7">
              <w:rPr>
                <w:rFonts w:ascii="Times New Roman" w:hAnsi="Times New Roman"/>
                <w:sz w:val="20"/>
                <w:szCs w:val="18"/>
                <w:lang w:val="sr-Cyrl-CS"/>
              </w:rPr>
              <w:t xml:space="preserve">Циљ примене </w:t>
            </w:r>
            <w:r w:rsidR="002267AD" w:rsidRPr="005303F7">
              <w:rPr>
                <w:rFonts w:ascii="Times New Roman" w:hAnsi="Times New Roman"/>
                <w:sz w:val="20"/>
                <w:szCs w:val="18"/>
                <w:lang w:val="sr-Cyrl-CS"/>
              </w:rPr>
              <w:t xml:space="preserve">ове мере  </w:t>
            </w:r>
            <w:r w:rsidR="00676B3E" w:rsidRPr="005303F7">
              <w:rPr>
                <w:rFonts w:ascii="Times New Roman" w:hAnsi="Times New Roman"/>
                <w:sz w:val="20"/>
                <w:szCs w:val="18"/>
                <w:lang w:val="sr-Cyrl-CS"/>
              </w:rPr>
              <w:t xml:space="preserve">је </w:t>
            </w:r>
            <w:r w:rsidR="00724D77" w:rsidRPr="005303F7">
              <w:rPr>
                <w:rFonts w:ascii="Times New Roman" w:hAnsi="Times New Roman"/>
                <w:sz w:val="20"/>
                <w:szCs w:val="18"/>
                <w:lang w:val="sr-Cyrl-CS"/>
              </w:rPr>
              <w:t xml:space="preserve">убрзање </w:t>
            </w:r>
            <w:r w:rsidR="00676B3E" w:rsidRPr="005303F7">
              <w:rPr>
                <w:rFonts w:ascii="Times New Roman" w:hAnsi="Times New Roman"/>
                <w:sz w:val="20"/>
                <w:szCs w:val="18"/>
                <w:lang w:val="sr-Cyrl-CS"/>
              </w:rPr>
              <w:t>смањења емисија</w:t>
            </w:r>
            <w:r w:rsidR="00082E91" w:rsidRPr="005303F7">
              <w:rPr>
                <w:rFonts w:ascii="Times New Roman" w:hAnsi="Times New Roman"/>
                <w:sz w:val="20"/>
                <w:szCs w:val="18"/>
                <w:lang w:val="sr-Cyrl-CS"/>
              </w:rPr>
              <w:t xml:space="preserve"> </w:t>
            </w:r>
            <w:r w:rsidR="00724D77" w:rsidRPr="005303F7">
              <w:rPr>
                <w:rFonts w:ascii="Times New Roman" w:hAnsi="Times New Roman"/>
                <w:sz w:val="20"/>
                <w:szCs w:val="18"/>
                <w:lang w:val="sr-Cyrl-CS"/>
              </w:rPr>
              <w:t>GHG</w:t>
            </w:r>
            <w:r w:rsidR="00724D77" w:rsidRPr="005303F7" w:rsidDel="00724D77">
              <w:rPr>
                <w:rFonts w:ascii="Times New Roman" w:hAnsi="Times New Roman"/>
                <w:sz w:val="20"/>
                <w:szCs w:val="18"/>
                <w:lang w:val="sr-Cyrl-CS"/>
              </w:rPr>
              <w:t xml:space="preserve"> </w:t>
            </w:r>
            <w:r w:rsidR="00724D77" w:rsidRPr="005303F7">
              <w:rPr>
                <w:rFonts w:ascii="Times New Roman" w:hAnsi="Times New Roman"/>
                <w:sz w:val="20"/>
                <w:szCs w:val="18"/>
                <w:lang w:val="sr-Cyrl-CS"/>
              </w:rPr>
              <w:t>из</w:t>
            </w:r>
            <w:r w:rsidR="00676B3E" w:rsidRPr="005303F7">
              <w:rPr>
                <w:rFonts w:ascii="Times New Roman" w:hAnsi="Times New Roman"/>
                <w:sz w:val="20"/>
                <w:szCs w:val="18"/>
                <w:lang w:val="sr-Cyrl-CS"/>
              </w:rPr>
              <w:t xml:space="preserve"> постројења која поседују дозволе за емитовање GHG у складу са чланом 29. Закона о климатским променама.</w:t>
            </w:r>
          </w:p>
          <w:p w14:paraId="07F2F56A" w14:textId="18D89819" w:rsidR="00562911" w:rsidRPr="005303F7" w:rsidRDefault="004F4501">
            <w:pPr>
              <w:overflowPunct/>
              <w:spacing w:after="0"/>
              <w:rPr>
                <w:rFonts w:ascii="Times New Roman" w:hAnsi="Times New Roman"/>
                <w:sz w:val="20"/>
                <w:szCs w:val="18"/>
                <w:lang w:val="sr-Cyrl-CS"/>
              </w:rPr>
            </w:pPr>
            <w:r w:rsidRPr="005303F7">
              <w:rPr>
                <w:rFonts w:ascii="Times New Roman" w:hAnsi="Times New Roman"/>
                <w:sz w:val="20"/>
                <w:szCs w:val="18"/>
                <w:lang w:val="sr-Cyrl-CS"/>
              </w:rPr>
              <w:t xml:space="preserve">         </w:t>
            </w:r>
            <w:r w:rsidR="00676B3E" w:rsidRPr="005303F7">
              <w:rPr>
                <w:rFonts w:ascii="Times New Roman" w:hAnsi="Times New Roman"/>
                <w:sz w:val="20"/>
                <w:szCs w:val="18"/>
                <w:lang w:val="sr-Cyrl-CS"/>
              </w:rPr>
              <w:t>Ово је транзициона мера која ће бити примењена у периоду</w:t>
            </w:r>
            <w:r w:rsidR="000407B8" w:rsidRPr="005303F7">
              <w:rPr>
                <w:rFonts w:ascii="Times New Roman" w:hAnsi="Times New Roman"/>
                <w:sz w:val="20"/>
                <w:szCs w:val="18"/>
                <w:lang w:val="sr-Cyrl-CS"/>
              </w:rPr>
              <w:t xml:space="preserve"> </w:t>
            </w:r>
            <w:r w:rsidR="00564CBA" w:rsidRPr="005303F7">
              <w:rPr>
                <w:rFonts w:ascii="Times New Roman" w:hAnsi="Times New Roman"/>
                <w:sz w:val="20"/>
                <w:szCs w:val="18"/>
                <w:lang w:val="sr-Cyrl-CS"/>
              </w:rPr>
              <w:t>најраније од 2026 . године</w:t>
            </w:r>
            <w:r w:rsidR="00674F6E" w:rsidRPr="005303F7">
              <w:rPr>
                <w:rFonts w:ascii="Times New Roman" w:hAnsi="Times New Roman"/>
                <w:sz w:val="20"/>
                <w:szCs w:val="18"/>
                <w:lang w:val="sr-Cyrl-CS"/>
              </w:rPr>
              <w:t xml:space="preserve"> </w:t>
            </w:r>
            <w:r w:rsidR="00676B3E" w:rsidRPr="005303F7">
              <w:rPr>
                <w:rFonts w:ascii="Times New Roman" w:hAnsi="Times New Roman"/>
                <w:sz w:val="20"/>
                <w:szCs w:val="18"/>
                <w:lang w:val="sr-Cyrl-CS"/>
              </w:rPr>
              <w:t xml:space="preserve">и која ће омогућити </w:t>
            </w:r>
            <w:r w:rsidR="004D2155" w:rsidRPr="005303F7">
              <w:rPr>
                <w:rFonts w:ascii="Times New Roman" w:hAnsi="Times New Roman"/>
                <w:sz w:val="20"/>
                <w:szCs w:val="18"/>
                <w:lang w:val="sr-Cyrl-CS"/>
              </w:rPr>
              <w:t xml:space="preserve">постепену </w:t>
            </w:r>
            <w:r w:rsidR="00676B3E" w:rsidRPr="005303F7">
              <w:rPr>
                <w:rFonts w:ascii="Times New Roman" w:hAnsi="Times New Roman"/>
                <w:sz w:val="20"/>
                <w:szCs w:val="18"/>
                <w:lang w:val="sr-Cyrl-CS"/>
              </w:rPr>
              <w:t xml:space="preserve">транзицију ка пуној интернализацији климатских трошкова у цену електричне енергије и других производа. Границе ове мере (нпр. максималне дозвољене емисије) за 2030. су одређене сценаријом М2. </w:t>
            </w:r>
            <w:r w:rsidR="0028575A" w:rsidRPr="005303F7">
              <w:rPr>
                <w:rFonts w:ascii="Times New Roman" w:hAnsi="Times New Roman"/>
                <w:sz w:val="20"/>
                <w:szCs w:val="18"/>
                <w:lang w:val="sr-Cyrl-CS"/>
              </w:rPr>
              <w:t>Н</w:t>
            </w:r>
            <w:r w:rsidR="00676B3E" w:rsidRPr="005303F7">
              <w:rPr>
                <w:rFonts w:ascii="Times New Roman" w:hAnsi="Times New Roman"/>
                <w:sz w:val="20"/>
                <w:szCs w:val="18"/>
                <w:lang w:val="sr-Cyrl-CS"/>
              </w:rPr>
              <w:t>а при</w:t>
            </w:r>
            <w:r w:rsidR="0028575A" w:rsidRPr="005303F7">
              <w:rPr>
                <w:rFonts w:ascii="Times New Roman" w:hAnsi="Times New Roman"/>
                <w:sz w:val="20"/>
                <w:szCs w:val="18"/>
                <w:lang w:val="sr-Cyrl-CS"/>
              </w:rPr>
              <w:t xml:space="preserve">мер, емисија за производњу електричне и топлотне енергије у јавном сектору </w:t>
            </w:r>
            <w:r w:rsidR="000E1A58" w:rsidRPr="005303F7">
              <w:rPr>
                <w:rFonts w:ascii="Times New Roman" w:hAnsi="Times New Roman"/>
                <w:sz w:val="20"/>
                <w:szCs w:val="18"/>
                <w:lang w:val="sr-Cyrl-CS"/>
              </w:rPr>
              <w:t>би требало да износе</w:t>
            </w:r>
            <w:r w:rsidR="0028575A" w:rsidRPr="005303F7">
              <w:rPr>
                <w:rFonts w:ascii="Times New Roman" w:hAnsi="Times New Roman"/>
                <w:sz w:val="20"/>
                <w:szCs w:val="18"/>
                <w:lang w:val="sr-Cyrl-CS"/>
              </w:rPr>
              <w:t xml:space="preserve"> 26.807kt</w:t>
            </w:r>
            <w:r w:rsidR="000E1A58" w:rsidRPr="005303F7">
              <w:rPr>
                <w:rFonts w:ascii="Times New Roman" w:hAnsi="Times New Roman"/>
                <w:sz w:val="20"/>
                <w:szCs w:val="18"/>
                <w:lang w:val="sr-Cyrl-CS"/>
              </w:rPr>
              <w:t xml:space="preserve"> </w:t>
            </w:r>
            <w:r w:rsidR="0028575A" w:rsidRPr="005303F7">
              <w:rPr>
                <w:rFonts w:ascii="Times New Roman" w:hAnsi="Times New Roman"/>
                <w:sz w:val="20"/>
                <w:szCs w:val="18"/>
                <w:lang w:val="sr-Cyrl-CS"/>
              </w:rPr>
              <w:t>CO</w:t>
            </w:r>
            <w:r w:rsidR="0028575A" w:rsidRPr="005303F7">
              <w:rPr>
                <w:rFonts w:ascii="Times New Roman" w:hAnsi="Times New Roman"/>
                <w:sz w:val="20"/>
                <w:szCs w:val="18"/>
                <w:vertAlign w:val="subscript"/>
                <w:lang w:val="sr-Cyrl-CS"/>
              </w:rPr>
              <w:t>2</w:t>
            </w:r>
            <w:r w:rsidR="0028575A" w:rsidRPr="005303F7">
              <w:rPr>
                <w:rFonts w:ascii="Times New Roman" w:hAnsi="Times New Roman"/>
                <w:sz w:val="20"/>
                <w:szCs w:val="18"/>
                <w:lang w:val="sr-Cyrl-CS"/>
              </w:rPr>
              <w:t xml:space="preserve"> </w:t>
            </w:r>
            <w:r w:rsidR="003F2649" w:rsidRPr="005303F7">
              <w:rPr>
                <w:rFonts w:ascii="Times New Roman" w:hAnsi="Times New Roman"/>
                <w:sz w:val="20"/>
                <w:szCs w:val="18"/>
                <w:lang w:val="sr-Cyrl-CS"/>
              </w:rPr>
              <w:t xml:space="preserve">у 2030. години </w:t>
            </w:r>
            <w:r w:rsidR="0028575A" w:rsidRPr="005303F7">
              <w:rPr>
                <w:rFonts w:ascii="Times New Roman" w:hAnsi="Times New Roman"/>
                <w:sz w:val="20"/>
                <w:szCs w:val="18"/>
                <w:lang w:val="sr-Cyrl-CS"/>
              </w:rPr>
              <w:t xml:space="preserve">што је смањење емисија од 21% у поређењу са 2015. годином. Произвођачима електричне енергије ће бити дозвољено да интегришу трошкове </w:t>
            </w:r>
            <w:r w:rsidR="00FC74B4" w:rsidRPr="005303F7">
              <w:rPr>
                <w:rFonts w:ascii="Times New Roman" w:hAnsi="Times New Roman"/>
                <w:sz w:val="20"/>
                <w:szCs w:val="18"/>
                <w:lang w:val="sr-Cyrl-CS"/>
              </w:rPr>
              <w:t xml:space="preserve">емисије </w:t>
            </w:r>
            <w:r w:rsidR="0028575A" w:rsidRPr="005303F7">
              <w:rPr>
                <w:rFonts w:ascii="Times New Roman" w:hAnsi="Times New Roman"/>
                <w:sz w:val="20"/>
                <w:szCs w:val="18"/>
                <w:lang w:val="sr-Cyrl-CS"/>
              </w:rPr>
              <w:t>у цену њихових производа</w:t>
            </w:r>
            <w:r w:rsidR="00562911" w:rsidRPr="005303F7">
              <w:rPr>
                <w:rFonts w:ascii="Times New Roman" w:hAnsi="Times New Roman"/>
                <w:sz w:val="20"/>
                <w:szCs w:val="18"/>
                <w:lang w:val="sr-Cyrl-CS"/>
              </w:rPr>
              <w:t>, уколико се обавежу</w:t>
            </w:r>
            <w:r w:rsidR="00562911" w:rsidRPr="005303F7">
              <w:rPr>
                <w:rStyle w:val="FootnoteReference"/>
                <w:szCs w:val="18"/>
                <w:lang w:val="sr-Cyrl-CS"/>
              </w:rPr>
              <w:footnoteReference w:id="66"/>
            </w:r>
            <w:r w:rsidR="0028575A" w:rsidRPr="005303F7">
              <w:rPr>
                <w:rFonts w:ascii="Times New Roman" w:hAnsi="Times New Roman"/>
                <w:sz w:val="20"/>
                <w:szCs w:val="18"/>
                <w:lang w:val="sr-Cyrl-CS"/>
              </w:rPr>
              <w:t xml:space="preserve"> да инвестирају у декарбонизацију и допринесу повећаном коришћењу ОИЕ у производњи електричне енергије. Уколико би произвођач електричне енергије премашио дозвољене годишње вредности емисија, </w:t>
            </w:r>
            <w:r w:rsidR="00562911" w:rsidRPr="005303F7">
              <w:rPr>
                <w:rFonts w:ascii="Times New Roman" w:hAnsi="Times New Roman"/>
                <w:sz w:val="20"/>
                <w:szCs w:val="18"/>
                <w:lang w:val="sr-Cyrl-CS"/>
              </w:rPr>
              <w:t>прекорачен</w:t>
            </w:r>
            <w:r w:rsidR="00632ABF" w:rsidRPr="005303F7">
              <w:rPr>
                <w:rFonts w:ascii="Times New Roman" w:hAnsi="Times New Roman"/>
                <w:sz w:val="20"/>
                <w:szCs w:val="18"/>
                <w:lang w:val="sr-Cyrl-CS"/>
              </w:rPr>
              <w:t>а</w:t>
            </w:r>
            <w:r w:rsidR="00562911" w:rsidRPr="005303F7">
              <w:rPr>
                <w:rFonts w:ascii="Times New Roman" w:hAnsi="Times New Roman"/>
                <w:sz w:val="20"/>
                <w:szCs w:val="18"/>
                <w:lang w:val="sr-Cyrl-CS"/>
              </w:rPr>
              <w:t xml:space="preserve"> вредност ће </w:t>
            </w:r>
            <w:r w:rsidR="00632ABF" w:rsidRPr="005303F7">
              <w:rPr>
                <w:rFonts w:ascii="Times New Roman" w:hAnsi="Times New Roman"/>
                <w:sz w:val="20"/>
                <w:szCs w:val="18"/>
                <w:lang w:val="sr-Cyrl-CS"/>
              </w:rPr>
              <w:t>бити сходно регулисана</w:t>
            </w:r>
            <w:r w:rsidR="00562911" w:rsidRPr="005303F7">
              <w:rPr>
                <w:rFonts w:ascii="Times New Roman" w:hAnsi="Times New Roman"/>
                <w:sz w:val="20"/>
                <w:szCs w:val="18"/>
                <w:lang w:val="sr-Cyrl-CS"/>
              </w:rPr>
              <w:t xml:space="preserve">. Како би се омогућила флексибилност и рефлектовале годишње варијације у производњи електричне енергије, залагање и позајмљивање годишњих </w:t>
            </w:r>
            <w:r w:rsidR="003F76DC" w:rsidRPr="005303F7">
              <w:rPr>
                <w:rFonts w:ascii="Times New Roman" w:hAnsi="Times New Roman"/>
                <w:sz w:val="20"/>
                <w:szCs w:val="18"/>
                <w:lang w:val="sr-Cyrl-CS"/>
              </w:rPr>
              <w:t>емисионих јединица</w:t>
            </w:r>
            <w:r w:rsidR="00562911" w:rsidRPr="005303F7">
              <w:rPr>
                <w:rFonts w:ascii="Times New Roman" w:hAnsi="Times New Roman"/>
                <w:sz w:val="20"/>
                <w:szCs w:val="18"/>
                <w:lang w:val="sr-Cyrl-CS"/>
              </w:rPr>
              <w:t xml:space="preserve"> је ограничено на ниво од 5% секторских емисија у 2015. години.</w:t>
            </w:r>
          </w:p>
          <w:p w14:paraId="7230D649" w14:textId="70849AB3" w:rsidR="00562911" w:rsidRPr="005303F7" w:rsidRDefault="004F4501">
            <w:pPr>
              <w:overflowPunct/>
              <w:spacing w:after="0"/>
              <w:rPr>
                <w:rFonts w:ascii="Times New Roman" w:hAnsi="Times New Roman"/>
                <w:sz w:val="20"/>
                <w:szCs w:val="18"/>
                <w:lang w:val="sr-Cyrl-CS"/>
              </w:rPr>
            </w:pPr>
            <w:r w:rsidRPr="005303F7">
              <w:rPr>
                <w:rFonts w:ascii="Times New Roman" w:hAnsi="Times New Roman"/>
                <w:sz w:val="20"/>
                <w:szCs w:val="18"/>
                <w:lang w:val="sr-Cyrl-CS"/>
              </w:rPr>
              <w:t xml:space="preserve">        </w:t>
            </w:r>
            <w:r w:rsidR="00562911" w:rsidRPr="005303F7">
              <w:rPr>
                <w:rFonts w:ascii="Times New Roman" w:hAnsi="Times New Roman"/>
                <w:sz w:val="20"/>
                <w:szCs w:val="18"/>
                <w:lang w:val="sr-Cyrl-CS"/>
              </w:rPr>
              <w:t xml:space="preserve">Исте мере би се могле применити на производну индустрију које би биле у складу са М2 сценаријом са могућношћу да доведу до повећања емисија GHG од 5,8%, док би емисије из индустријских процеса могле да се повећају у просеку за 28,6% до 2030. године у поређењу са нивоима из 2015. године. Механизам за усклађивање са </w:t>
            </w:r>
            <w:r w:rsidR="00FC74B4" w:rsidRPr="005303F7">
              <w:rPr>
                <w:rFonts w:ascii="Times New Roman" w:hAnsi="Times New Roman"/>
                <w:sz w:val="20"/>
                <w:szCs w:val="18"/>
                <w:lang w:val="sr-Cyrl-CS"/>
              </w:rPr>
              <w:t>овим</w:t>
            </w:r>
            <w:r w:rsidR="00674F6E" w:rsidRPr="005303F7">
              <w:rPr>
                <w:rFonts w:ascii="Times New Roman" w:hAnsi="Times New Roman"/>
                <w:sz w:val="20"/>
                <w:szCs w:val="18"/>
                <w:lang w:val="sr-Cyrl-CS"/>
              </w:rPr>
              <w:t xml:space="preserve"> </w:t>
            </w:r>
            <w:r w:rsidR="00562911" w:rsidRPr="005303F7">
              <w:rPr>
                <w:rFonts w:ascii="Times New Roman" w:hAnsi="Times New Roman"/>
                <w:sz w:val="20"/>
                <w:szCs w:val="18"/>
                <w:lang w:val="sr-Cyrl-CS"/>
              </w:rPr>
              <w:t xml:space="preserve">мерама за производну индустрију ће узети у обзир </w:t>
            </w:r>
            <w:r w:rsidR="005235E3" w:rsidRPr="005303F7">
              <w:rPr>
                <w:rFonts w:ascii="Times New Roman" w:hAnsi="Times New Roman"/>
                <w:sz w:val="20"/>
                <w:szCs w:val="18"/>
                <w:lang w:val="sr-Cyrl-CS"/>
              </w:rPr>
              <w:t xml:space="preserve">да те активности у ЕУ имају право добијања бесплатних </w:t>
            </w:r>
            <w:r w:rsidR="00FC74B4" w:rsidRPr="005303F7">
              <w:rPr>
                <w:rFonts w:ascii="Times New Roman" w:hAnsi="Times New Roman"/>
                <w:sz w:val="20"/>
                <w:szCs w:val="18"/>
                <w:lang w:val="sr-Cyrl-CS"/>
              </w:rPr>
              <w:t>емисионих јединица</w:t>
            </w:r>
            <w:r w:rsidR="005235E3" w:rsidRPr="005303F7">
              <w:rPr>
                <w:rFonts w:ascii="Times New Roman" w:hAnsi="Times New Roman"/>
                <w:sz w:val="20"/>
                <w:szCs w:val="18"/>
                <w:lang w:val="sr-Cyrl-CS"/>
              </w:rPr>
              <w:t xml:space="preserve">, у складу са референтним вредностима (engl. </w:t>
            </w:r>
            <w:r w:rsidR="005235E3" w:rsidRPr="005303F7">
              <w:rPr>
                <w:rFonts w:ascii="Times New Roman" w:hAnsi="Times New Roman"/>
                <w:i/>
                <w:sz w:val="20"/>
                <w:szCs w:val="18"/>
                <w:lang w:val="sr-Cyrl-CS"/>
              </w:rPr>
              <w:t>benchmark</w:t>
            </w:r>
            <w:r w:rsidR="005235E3" w:rsidRPr="005303F7">
              <w:rPr>
                <w:rFonts w:ascii="Times New Roman" w:hAnsi="Times New Roman"/>
                <w:sz w:val="20"/>
                <w:szCs w:val="18"/>
                <w:lang w:val="sr-Cyrl-CS"/>
              </w:rPr>
              <w:t>) за дате активности.</w:t>
            </w:r>
          </w:p>
          <w:p w14:paraId="0B8520C2" w14:textId="63030F9E" w:rsidR="0083768C" w:rsidRPr="005303F7" w:rsidRDefault="004F4501">
            <w:pPr>
              <w:overflowPunct/>
              <w:spacing w:after="0"/>
              <w:rPr>
                <w:rFonts w:ascii="Times New Roman" w:hAnsi="Times New Roman"/>
                <w:sz w:val="20"/>
                <w:szCs w:val="18"/>
                <w:lang w:val="sr-Cyrl-CS"/>
              </w:rPr>
            </w:pPr>
            <w:r w:rsidRPr="005303F7">
              <w:rPr>
                <w:rFonts w:ascii="Times New Roman" w:hAnsi="Times New Roman"/>
                <w:sz w:val="20"/>
                <w:szCs w:val="18"/>
                <w:lang w:val="sr-Cyrl-CS"/>
              </w:rPr>
              <w:t xml:space="preserve">       </w:t>
            </w:r>
            <w:r w:rsidR="00A26F4A" w:rsidRPr="005303F7">
              <w:rPr>
                <w:rFonts w:ascii="Times New Roman" w:hAnsi="Times New Roman"/>
                <w:sz w:val="20"/>
                <w:szCs w:val="18"/>
                <w:lang w:val="sr-Cyrl-CS"/>
              </w:rPr>
              <w:t xml:space="preserve">По придруживањеу ЕУ, очекује се да ће се </w:t>
            </w:r>
            <w:r w:rsidR="00D73AAB" w:rsidRPr="005303F7">
              <w:rPr>
                <w:rFonts w:ascii="Times New Roman" w:hAnsi="Times New Roman"/>
                <w:sz w:val="20"/>
                <w:szCs w:val="18"/>
                <w:lang w:val="sr-Cyrl-CS"/>
              </w:rPr>
              <w:t>Република Србија</w:t>
            </w:r>
            <w:r w:rsidR="00A26F4A" w:rsidRPr="005303F7">
              <w:rPr>
                <w:rFonts w:ascii="Times New Roman" w:hAnsi="Times New Roman"/>
                <w:sz w:val="20"/>
                <w:szCs w:val="18"/>
                <w:lang w:val="sr-Cyrl-CS"/>
              </w:rPr>
              <w:t xml:space="preserve"> придружити EU-ETS-у. ETS функционише по принципу „ограничи и тргуј</w:t>
            </w:r>
            <w:r w:rsidR="0035174D" w:rsidRPr="005303F7">
              <w:rPr>
                <w:rFonts w:ascii="Times New Roman" w:hAnsi="Times New Roman"/>
                <w:sz w:val="20"/>
                <w:szCs w:val="18"/>
                <w:lang w:val="sr-Cyrl-CS"/>
              </w:rPr>
              <w:t>”</w:t>
            </w:r>
            <w:r w:rsidR="00A26F4A"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Укупна</w:t>
            </w:r>
            <w:r w:rsidR="000D1C41"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количина</w:t>
            </w:r>
            <w:r w:rsidR="000D1C41"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одређених</w:t>
            </w:r>
            <w:r w:rsidR="000D1C41"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гасова</w:t>
            </w:r>
            <w:r w:rsidR="000D1C41"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са</w:t>
            </w:r>
            <w:r w:rsidR="000D1C41"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ефектом</w:t>
            </w:r>
            <w:r w:rsidR="000D1C41"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стаклене</w:t>
            </w:r>
            <w:r w:rsidR="000D1C41"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баште</w:t>
            </w:r>
            <w:r w:rsidR="000D1C41"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које</w:t>
            </w:r>
            <w:r w:rsidR="000D1C41"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могу</w:t>
            </w:r>
            <w:r w:rsidR="000D1C41"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емитовати</w:t>
            </w:r>
            <w:r w:rsidR="000D1C41"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постројења</w:t>
            </w:r>
            <w:r w:rsidR="000D1C41"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обухваћена</w:t>
            </w:r>
            <w:r w:rsidR="000D1C41"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овим</w:t>
            </w:r>
            <w:r w:rsidR="000D1C41"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системом</w:t>
            </w:r>
            <w:r w:rsidR="00DD3496"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је</w:t>
            </w:r>
            <w:r w:rsidR="00DD3496"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ограничена</w:t>
            </w:r>
            <w:r w:rsidR="000D1C41" w:rsidRPr="005303F7">
              <w:rPr>
                <w:rFonts w:ascii="Times New Roman" w:hAnsi="Times New Roman"/>
                <w:sz w:val="20"/>
                <w:szCs w:val="18"/>
                <w:lang w:val="sr-Cyrl-CS"/>
              </w:rPr>
              <w:t>.</w:t>
            </w:r>
            <w:r w:rsidR="00A26F4A" w:rsidRPr="005303F7">
              <w:rPr>
                <w:rFonts w:ascii="Times New Roman" w:hAnsi="Times New Roman"/>
                <w:sz w:val="20"/>
                <w:szCs w:val="18"/>
                <w:lang w:val="sr-Cyrl-CS"/>
              </w:rPr>
              <w:t xml:space="preserve"> Годишње усклађивање са EU-ETS-ом је извршено кроз предају EUA дозвола једнаких количини емисија одређеној у верификованом извештају о емисијама. </w:t>
            </w:r>
            <w:r w:rsidR="00BC0A7F" w:rsidRPr="005303F7">
              <w:rPr>
                <w:rFonts w:ascii="Times New Roman" w:hAnsi="Times New Roman"/>
                <w:sz w:val="20"/>
                <w:szCs w:val="18"/>
                <w:lang w:val="sr-Cyrl-CS"/>
              </w:rPr>
              <w:t>Очекује се да ће с</w:t>
            </w:r>
            <w:r w:rsidR="00A26F4A" w:rsidRPr="005303F7">
              <w:rPr>
                <w:rFonts w:ascii="Times New Roman" w:hAnsi="Times New Roman"/>
                <w:sz w:val="20"/>
                <w:szCs w:val="18"/>
                <w:lang w:val="sr-Cyrl-CS"/>
              </w:rPr>
              <w:t>провођење мониторинга, извештавања и верификације</w:t>
            </w:r>
            <w:r w:rsidR="0011304F" w:rsidRPr="005303F7">
              <w:rPr>
                <w:rStyle w:val="FootnoteReference"/>
                <w:szCs w:val="18"/>
                <w:lang w:val="sr-Cyrl-CS"/>
              </w:rPr>
              <w:footnoteReference w:id="67"/>
            </w:r>
            <w:r w:rsidR="00A26F4A" w:rsidRPr="005303F7">
              <w:rPr>
                <w:rFonts w:ascii="Times New Roman" w:hAnsi="Times New Roman"/>
                <w:sz w:val="20"/>
                <w:szCs w:val="18"/>
                <w:lang w:val="sr-Cyrl-CS"/>
              </w:rPr>
              <w:t xml:space="preserve"> (engl. </w:t>
            </w:r>
            <w:r w:rsidR="00A26F4A" w:rsidRPr="005303F7">
              <w:rPr>
                <w:rFonts w:ascii="Times New Roman" w:hAnsi="Times New Roman"/>
                <w:i/>
                <w:sz w:val="20"/>
                <w:szCs w:val="18"/>
                <w:lang w:val="sr-Cyrl-CS"/>
              </w:rPr>
              <w:t xml:space="preserve">Monitoring, reporting and verification </w:t>
            </w:r>
            <w:r w:rsidR="00BC0A7F" w:rsidRPr="005303F7">
              <w:rPr>
                <w:rFonts w:ascii="Times New Roman" w:hAnsi="Times New Roman"/>
                <w:i/>
                <w:sz w:val="20"/>
                <w:szCs w:val="18"/>
                <w:lang w:val="sr-Cyrl-CS"/>
              </w:rPr>
              <w:t>–</w:t>
            </w:r>
            <w:r w:rsidR="00A26F4A" w:rsidRPr="005303F7">
              <w:rPr>
                <w:rFonts w:ascii="Times New Roman" w:hAnsi="Times New Roman"/>
                <w:i/>
                <w:sz w:val="20"/>
                <w:szCs w:val="18"/>
                <w:lang w:val="sr-Cyrl-CS"/>
              </w:rPr>
              <w:t xml:space="preserve"> MRV</w:t>
            </w:r>
            <w:r w:rsidR="00A26F4A" w:rsidRPr="005303F7">
              <w:rPr>
                <w:rFonts w:ascii="Times New Roman" w:hAnsi="Times New Roman"/>
                <w:sz w:val="20"/>
                <w:szCs w:val="18"/>
                <w:lang w:val="sr-Cyrl-CS"/>
              </w:rPr>
              <w:t xml:space="preserve">) под EU-ETS, уређених релевантним одредбама Закона о климатским променама, </w:t>
            </w:r>
            <w:r w:rsidR="00BC0A7F" w:rsidRPr="005303F7">
              <w:rPr>
                <w:rFonts w:ascii="Times New Roman" w:hAnsi="Times New Roman"/>
                <w:sz w:val="20"/>
                <w:szCs w:val="18"/>
                <w:lang w:val="sr-Cyrl-CS"/>
              </w:rPr>
              <w:t>отпочети са применом</w:t>
            </w:r>
            <w:r w:rsidR="00A26F4A" w:rsidRPr="005303F7">
              <w:rPr>
                <w:rFonts w:ascii="Times New Roman" w:hAnsi="Times New Roman"/>
                <w:sz w:val="20"/>
                <w:szCs w:val="18"/>
                <w:lang w:val="sr-Cyrl-CS"/>
              </w:rPr>
              <w:t xml:space="preserve"> до </w:t>
            </w:r>
            <w:r w:rsidR="003F2649" w:rsidRPr="005303F7">
              <w:rPr>
                <w:rFonts w:ascii="Times New Roman" w:hAnsi="Times New Roman"/>
                <w:sz w:val="20"/>
                <w:szCs w:val="18"/>
                <w:lang w:val="sr-Cyrl-CS"/>
              </w:rPr>
              <w:t>2024</w:t>
            </w:r>
            <w:r w:rsidR="00A26F4A" w:rsidRPr="005303F7">
              <w:rPr>
                <w:rFonts w:ascii="Times New Roman" w:hAnsi="Times New Roman"/>
                <w:sz w:val="20"/>
                <w:szCs w:val="18"/>
                <w:lang w:val="sr-Cyrl-CS"/>
              </w:rPr>
              <w:t xml:space="preserve">. године, док се усклађивање са механизмом EU-ETS очекује да буде у потпуности имплементирано </w:t>
            </w:r>
            <w:r w:rsidR="00084EE6" w:rsidRPr="005303F7">
              <w:rPr>
                <w:rFonts w:ascii="Times New Roman" w:hAnsi="Times New Roman"/>
                <w:sz w:val="20"/>
                <w:szCs w:val="18"/>
                <w:lang w:val="sr-Cyrl-CS"/>
              </w:rPr>
              <w:t xml:space="preserve">са уласком </w:t>
            </w:r>
            <w:r w:rsidR="00D73AAB" w:rsidRPr="005303F7">
              <w:rPr>
                <w:rFonts w:ascii="Times New Roman" w:hAnsi="Times New Roman"/>
                <w:sz w:val="20"/>
                <w:szCs w:val="18"/>
                <w:lang w:val="sr-Cyrl-CS"/>
              </w:rPr>
              <w:t>Републике Србије</w:t>
            </w:r>
            <w:r w:rsidR="00084EE6" w:rsidRPr="005303F7">
              <w:rPr>
                <w:rFonts w:ascii="Times New Roman" w:hAnsi="Times New Roman"/>
                <w:sz w:val="20"/>
                <w:szCs w:val="18"/>
                <w:lang w:val="sr-Cyrl-CS"/>
              </w:rPr>
              <w:t xml:space="preserve"> у ЕУ.</w:t>
            </w:r>
          </w:p>
          <w:p w14:paraId="0DD31718" w14:textId="071E72BD" w:rsidR="00BD116A" w:rsidRPr="005303F7" w:rsidRDefault="008D69AF">
            <w:pPr>
              <w:overflowPunct/>
              <w:spacing w:after="0"/>
              <w:rPr>
                <w:rFonts w:ascii="Times New Roman" w:hAnsi="Times New Roman"/>
                <w:b/>
                <w:i/>
                <w:u w:val="single"/>
                <w:lang w:val="sr-Cyrl-CS"/>
              </w:rPr>
            </w:pPr>
            <w:r w:rsidRPr="005303F7">
              <w:rPr>
                <w:rFonts w:ascii="Times New Roman" w:hAnsi="Times New Roman"/>
                <w:b/>
                <w:i/>
                <w:sz w:val="20"/>
                <w:szCs w:val="18"/>
                <w:u w:val="single"/>
                <w:lang w:val="sr-Cyrl-CS"/>
              </w:rPr>
              <w:lastRenderedPageBreak/>
              <w:t>Додатни</w:t>
            </w:r>
            <w:r w:rsidR="0082623B" w:rsidRPr="005303F7">
              <w:rPr>
                <w:rFonts w:ascii="Times New Roman" w:hAnsi="Times New Roman"/>
                <w:b/>
                <w:i/>
                <w:sz w:val="20"/>
                <w:szCs w:val="18"/>
                <w:u w:val="single"/>
                <w:lang w:val="sr-Cyrl-CS"/>
              </w:rPr>
              <w:t xml:space="preserve"> </w:t>
            </w:r>
            <w:r w:rsidRPr="005303F7">
              <w:rPr>
                <w:rFonts w:ascii="Times New Roman" w:hAnsi="Times New Roman"/>
                <w:b/>
                <w:i/>
                <w:sz w:val="20"/>
                <w:szCs w:val="18"/>
                <w:u w:val="single"/>
                <w:lang w:val="sr-Cyrl-CS"/>
              </w:rPr>
              <w:t>ци</w:t>
            </w:r>
            <w:r w:rsidR="00D553BE" w:rsidRPr="005303F7">
              <w:rPr>
                <w:rFonts w:ascii="Times New Roman" w:hAnsi="Times New Roman"/>
                <w:b/>
                <w:i/>
                <w:sz w:val="20"/>
                <w:szCs w:val="18"/>
                <w:u w:val="single"/>
                <w:lang w:val="sr-Cyrl-CS"/>
              </w:rPr>
              <w:t>љ</w:t>
            </w:r>
            <w:r w:rsidRPr="005303F7">
              <w:rPr>
                <w:rFonts w:ascii="Times New Roman" w:hAnsi="Times New Roman"/>
                <w:b/>
                <w:i/>
                <w:sz w:val="20"/>
                <w:szCs w:val="18"/>
                <w:u w:val="single"/>
                <w:lang w:val="sr-Cyrl-CS"/>
              </w:rPr>
              <w:t>еви</w:t>
            </w:r>
            <w:r w:rsidR="0082623B" w:rsidRPr="005303F7">
              <w:rPr>
                <w:rFonts w:ascii="Times New Roman" w:hAnsi="Times New Roman"/>
                <w:b/>
                <w:i/>
                <w:sz w:val="20"/>
                <w:szCs w:val="18"/>
                <w:u w:val="single"/>
                <w:lang w:val="sr-Cyrl-CS"/>
              </w:rPr>
              <w:t xml:space="preserve"> </w:t>
            </w:r>
            <w:r w:rsidRPr="005303F7">
              <w:rPr>
                <w:rFonts w:ascii="Times New Roman" w:hAnsi="Times New Roman"/>
                <w:b/>
                <w:i/>
                <w:sz w:val="20"/>
                <w:szCs w:val="18"/>
                <w:u w:val="single"/>
                <w:lang w:val="sr-Cyrl-CS"/>
              </w:rPr>
              <w:t>којима</w:t>
            </w:r>
            <w:r w:rsidR="0082623B" w:rsidRPr="005303F7">
              <w:rPr>
                <w:rFonts w:ascii="Times New Roman" w:hAnsi="Times New Roman"/>
                <w:b/>
                <w:i/>
                <w:sz w:val="20"/>
                <w:szCs w:val="18"/>
                <w:u w:val="single"/>
                <w:lang w:val="sr-Cyrl-CS"/>
              </w:rPr>
              <w:t xml:space="preserve"> </w:t>
            </w:r>
            <w:r w:rsidRPr="005303F7">
              <w:rPr>
                <w:rFonts w:ascii="Times New Roman" w:hAnsi="Times New Roman"/>
                <w:b/>
                <w:i/>
                <w:sz w:val="20"/>
                <w:szCs w:val="18"/>
                <w:u w:val="single"/>
                <w:lang w:val="sr-Cyrl-CS"/>
              </w:rPr>
              <w:t>ова</w:t>
            </w:r>
            <w:r w:rsidR="0082623B" w:rsidRPr="005303F7">
              <w:rPr>
                <w:rFonts w:ascii="Times New Roman" w:hAnsi="Times New Roman"/>
                <w:b/>
                <w:i/>
                <w:sz w:val="20"/>
                <w:szCs w:val="18"/>
                <w:u w:val="single"/>
                <w:lang w:val="sr-Cyrl-CS"/>
              </w:rPr>
              <w:t xml:space="preserve"> </w:t>
            </w:r>
            <w:r w:rsidRPr="005303F7">
              <w:rPr>
                <w:rFonts w:ascii="Times New Roman" w:hAnsi="Times New Roman"/>
                <w:b/>
                <w:i/>
                <w:sz w:val="20"/>
                <w:szCs w:val="18"/>
                <w:u w:val="single"/>
                <w:lang w:val="sr-Cyrl-CS"/>
              </w:rPr>
              <w:t>мера</w:t>
            </w:r>
            <w:r w:rsidR="0082623B" w:rsidRPr="005303F7">
              <w:rPr>
                <w:rFonts w:ascii="Times New Roman" w:hAnsi="Times New Roman"/>
                <w:b/>
                <w:i/>
                <w:sz w:val="20"/>
                <w:szCs w:val="18"/>
                <w:u w:val="single"/>
                <w:lang w:val="sr-Cyrl-CS"/>
              </w:rPr>
              <w:t xml:space="preserve"> </w:t>
            </w:r>
            <w:r w:rsidRPr="005303F7">
              <w:rPr>
                <w:rFonts w:ascii="Times New Roman" w:hAnsi="Times New Roman"/>
                <w:b/>
                <w:i/>
                <w:sz w:val="20"/>
                <w:szCs w:val="18"/>
                <w:u w:val="single"/>
                <w:lang w:val="sr-Cyrl-CS"/>
              </w:rPr>
              <w:t>доприноси</w:t>
            </w:r>
            <w:r w:rsidR="00BD116A" w:rsidRPr="005303F7">
              <w:rPr>
                <w:rFonts w:ascii="Times New Roman" w:hAnsi="Times New Roman"/>
                <w:b/>
                <w:i/>
                <w:u w:val="single"/>
                <w:lang w:val="sr-Cyrl-CS"/>
              </w:rPr>
              <w:t xml:space="preserve">: </w:t>
            </w:r>
          </w:p>
          <w:p w14:paraId="762999DB" w14:textId="75FC4513" w:rsidR="00BD116A" w:rsidRPr="005303F7" w:rsidRDefault="008D69AF">
            <w:pPr>
              <w:overflowPunct/>
              <w:spacing w:after="0"/>
              <w:rPr>
                <w:rFonts w:ascii="Times New Roman" w:hAnsi="Times New Roman"/>
                <w:b/>
                <w:i/>
                <w:u w:val="single"/>
                <w:lang w:val="sr-Cyrl-CS"/>
              </w:rPr>
            </w:pPr>
            <w:r w:rsidRPr="005303F7">
              <w:rPr>
                <w:rFonts w:ascii="Times New Roman" w:hAnsi="Times New Roman"/>
                <w:i/>
                <w:sz w:val="20"/>
                <w:szCs w:val="18"/>
                <w:lang w:val="sr-Cyrl-CS"/>
              </w:rPr>
              <w:t>Посебан</w:t>
            </w:r>
            <w:r w:rsidR="0082623B" w:rsidRPr="005303F7">
              <w:rPr>
                <w:rFonts w:ascii="Times New Roman" w:hAnsi="Times New Roman"/>
                <w:i/>
                <w:sz w:val="20"/>
                <w:szCs w:val="18"/>
                <w:lang w:val="sr-Cyrl-CS"/>
              </w:rPr>
              <w:t xml:space="preserve"> </w:t>
            </w:r>
            <w:r w:rsidRPr="005303F7">
              <w:rPr>
                <w:rFonts w:ascii="Times New Roman" w:hAnsi="Times New Roman"/>
                <w:i/>
                <w:sz w:val="20"/>
                <w:szCs w:val="18"/>
                <w:lang w:val="sr-Cyrl-CS"/>
              </w:rPr>
              <w:t>ци</w:t>
            </w:r>
            <w:r w:rsidR="00D553BE" w:rsidRPr="005303F7">
              <w:rPr>
                <w:rFonts w:ascii="Times New Roman" w:hAnsi="Times New Roman"/>
                <w:i/>
                <w:sz w:val="20"/>
                <w:szCs w:val="18"/>
                <w:lang w:val="sr-Cyrl-CS"/>
              </w:rPr>
              <w:t>љ</w:t>
            </w:r>
            <w:r w:rsidR="00BD116A" w:rsidRPr="005303F7">
              <w:rPr>
                <w:rFonts w:ascii="Times New Roman" w:hAnsi="Times New Roman"/>
                <w:i/>
                <w:sz w:val="20"/>
                <w:szCs w:val="18"/>
                <w:lang w:val="sr-Cyrl-CS"/>
              </w:rPr>
              <w:t xml:space="preserve"> 2, </w:t>
            </w:r>
            <w:r w:rsidRPr="005303F7">
              <w:rPr>
                <w:rFonts w:ascii="Times New Roman" w:hAnsi="Times New Roman"/>
                <w:i/>
                <w:sz w:val="20"/>
                <w:szCs w:val="18"/>
                <w:lang w:val="sr-Cyrl-CS"/>
              </w:rPr>
              <w:t>Секторски</w:t>
            </w:r>
            <w:r w:rsidR="009D5431" w:rsidRPr="005303F7">
              <w:rPr>
                <w:rFonts w:ascii="Times New Roman" w:hAnsi="Times New Roman"/>
                <w:i/>
                <w:sz w:val="20"/>
                <w:szCs w:val="18"/>
                <w:lang w:val="sr-Cyrl-CS"/>
              </w:rPr>
              <w:t xml:space="preserve"> </w:t>
            </w:r>
            <w:r w:rsidRPr="005303F7">
              <w:rPr>
                <w:rFonts w:ascii="Times New Roman" w:hAnsi="Times New Roman"/>
                <w:i/>
                <w:sz w:val="20"/>
                <w:szCs w:val="18"/>
                <w:lang w:val="sr-Cyrl-CS"/>
              </w:rPr>
              <w:t>ци</w:t>
            </w:r>
            <w:r w:rsidR="00D553BE" w:rsidRPr="005303F7">
              <w:rPr>
                <w:rFonts w:ascii="Times New Roman" w:hAnsi="Times New Roman"/>
                <w:i/>
                <w:sz w:val="20"/>
                <w:szCs w:val="18"/>
                <w:lang w:val="sr-Cyrl-CS"/>
              </w:rPr>
              <w:t>љ</w:t>
            </w:r>
            <w:r w:rsidR="00BD116A" w:rsidRPr="005303F7">
              <w:rPr>
                <w:rFonts w:ascii="Times New Roman" w:hAnsi="Times New Roman"/>
                <w:i/>
                <w:sz w:val="20"/>
                <w:szCs w:val="18"/>
                <w:lang w:val="sr-Cyrl-CS"/>
              </w:rPr>
              <w:t>:</w:t>
            </w:r>
            <w:r w:rsidR="00BD116A" w:rsidRPr="005303F7">
              <w:rPr>
                <w:rFonts w:ascii="Times New Roman" w:hAnsi="Times New Roman"/>
                <w:sz w:val="20"/>
                <w:lang w:val="sr-Cyrl-CS"/>
              </w:rPr>
              <w:t xml:space="preserve"> </w:t>
            </w:r>
            <w:r w:rsidRPr="005303F7">
              <w:rPr>
                <w:rFonts w:ascii="Times New Roman" w:hAnsi="Times New Roman"/>
                <w:sz w:val="20"/>
                <w:lang w:val="sr-Cyrl-CS"/>
              </w:rPr>
              <w:t>Смањење</w:t>
            </w:r>
            <w:r w:rsidR="009D5431" w:rsidRPr="005303F7">
              <w:rPr>
                <w:rFonts w:ascii="Times New Roman" w:hAnsi="Times New Roman"/>
                <w:sz w:val="20"/>
                <w:lang w:val="sr-Cyrl-CS"/>
              </w:rPr>
              <w:t xml:space="preserve"> </w:t>
            </w:r>
            <w:r w:rsidRPr="005303F7">
              <w:rPr>
                <w:rFonts w:ascii="Times New Roman" w:hAnsi="Times New Roman"/>
                <w:sz w:val="20"/>
                <w:lang w:val="sr-Cyrl-CS"/>
              </w:rPr>
              <w:t>емисија</w:t>
            </w:r>
            <w:r w:rsidR="009D5431" w:rsidRPr="005303F7">
              <w:rPr>
                <w:rFonts w:ascii="Times New Roman" w:hAnsi="Times New Roman"/>
                <w:sz w:val="20"/>
                <w:lang w:val="sr-Cyrl-CS"/>
              </w:rPr>
              <w:t xml:space="preserve"> </w:t>
            </w:r>
            <w:r w:rsidRPr="005303F7">
              <w:rPr>
                <w:rFonts w:ascii="Times New Roman" w:hAnsi="Times New Roman"/>
                <w:sz w:val="20"/>
                <w:lang w:val="sr-Cyrl-CS"/>
              </w:rPr>
              <w:t>пове</w:t>
            </w:r>
            <w:r w:rsidR="00016298" w:rsidRPr="005303F7">
              <w:rPr>
                <w:rFonts w:ascii="Times New Roman" w:hAnsi="Times New Roman"/>
                <w:sz w:val="20"/>
                <w:lang w:val="sr-Cyrl-CS"/>
              </w:rPr>
              <w:t>ћ</w:t>
            </w:r>
            <w:r w:rsidRPr="005303F7">
              <w:rPr>
                <w:rFonts w:ascii="Times New Roman" w:hAnsi="Times New Roman"/>
                <w:sz w:val="20"/>
                <w:lang w:val="sr-Cyrl-CS"/>
              </w:rPr>
              <w:t>ањем</w:t>
            </w:r>
            <w:r w:rsidR="009D5431" w:rsidRPr="005303F7">
              <w:rPr>
                <w:rFonts w:ascii="Times New Roman" w:hAnsi="Times New Roman"/>
                <w:sz w:val="20"/>
                <w:lang w:val="sr-Cyrl-CS"/>
              </w:rPr>
              <w:t xml:space="preserve"> </w:t>
            </w:r>
            <w:r w:rsidRPr="005303F7">
              <w:rPr>
                <w:rFonts w:ascii="Times New Roman" w:hAnsi="Times New Roman"/>
                <w:sz w:val="20"/>
                <w:lang w:val="sr-Cyrl-CS"/>
              </w:rPr>
              <w:t>енергетске</w:t>
            </w:r>
            <w:r w:rsidR="009D5431" w:rsidRPr="005303F7">
              <w:rPr>
                <w:rFonts w:ascii="Times New Roman" w:hAnsi="Times New Roman"/>
                <w:sz w:val="20"/>
                <w:lang w:val="sr-Cyrl-CS"/>
              </w:rPr>
              <w:t xml:space="preserve"> </w:t>
            </w:r>
            <w:r w:rsidRPr="005303F7">
              <w:rPr>
                <w:rFonts w:ascii="Times New Roman" w:hAnsi="Times New Roman"/>
                <w:sz w:val="20"/>
                <w:lang w:val="sr-Cyrl-CS"/>
              </w:rPr>
              <w:t>ефикасности</w:t>
            </w:r>
            <w:r w:rsidR="009D5431" w:rsidRPr="005303F7">
              <w:rPr>
                <w:rFonts w:ascii="Times New Roman" w:hAnsi="Times New Roman"/>
                <w:sz w:val="20"/>
                <w:lang w:val="sr-Cyrl-CS"/>
              </w:rPr>
              <w:t xml:space="preserve"> </w:t>
            </w:r>
            <w:r w:rsidRPr="005303F7">
              <w:rPr>
                <w:rFonts w:ascii="Times New Roman" w:hAnsi="Times New Roman"/>
                <w:sz w:val="20"/>
                <w:lang w:val="sr-Cyrl-CS"/>
              </w:rPr>
              <w:t>и</w:t>
            </w:r>
            <w:r w:rsidR="009D5431" w:rsidRPr="005303F7">
              <w:rPr>
                <w:rFonts w:ascii="Times New Roman" w:hAnsi="Times New Roman"/>
                <w:sz w:val="20"/>
                <w:lang w:val="sr-Cyrl-CS"/>
              </w:rPr>
              <w:t xml:space="preserve"> </w:t>
            </w:r>
            <w:r w:rsidRPr="005303F7">
              <w:rPr>
                <w:rFonts w:ascii="Times New Roman" w:hAnsi="Times New Roman"/>
                <w:sz w:val="20"/>
                <w:lang w:val="sr-Cyrl-CS"/>
              </w:rPr>
              <w:t>кориш</w:t>
            </w:r>
            <w:r w:rsidR="00016298" w:rsidRPr="005303F7">
              <w:rPr>
                <w:rFonts w:ascii="Times New Roman" w:hAnsi="Times New Roman"/>
                <w:sz w:val="20"/>
                <w:lang w:val="sr-Cyrl-CS"/>
              </w:rPr>
              <w:t>ћ</w:t>
            </w:r>
            <w:r w:rsidRPr="005303F7">
              <w:rPr>
                <w:rFonts w:ascii="Times New Roman" w:hAnsi="Times New Roman"/>
                <w:sz w:val="20"/>
                <w:lang w:val="sr-Cyrl-CS"/>
              </w:rPr>
              <w:t>ења</w:t>
            </w:r>
            <w:r w:rsidR="009D5431" w:rsidRPr="005303F7">
              <w:rPr>
                <w:rFonts w:ascii="Times New Roman" w:hAnsi="Times New Roman"/>
                <w:sz w:val="20"/>
                <w:lang w:val="sr-Cyrl-CS"/>
              </w:rPr>
              <w:t xml:space="preserve"> </w:t>
            </w:r>
            <w:r w:rsidRPr="005303F7">
              <w:rPr>
                <w:rFonts w:ascii="Times New Roman" w:hAnsi="Times New Roman"/>
                <w:sz w:val="20"/>
                <w:lang w:val="sr-Cyrl-CS"/>
              </w:rPr>
              <w:t>ОИЕ</w:t>
            </w:r>
            <w:r w:rsidR="009D5431" w:rsidRPr="005303F7">
              <w:rPr>
                <w:rFonts w:ascii="Times New Roman" w:hAnsi="Times New Roman"/>
                <w:sz w:val="20"/>
                <w:lang w:val="sr-Cyrl-CS"/>
              </w:rPr>
              <w:t xml:space="preserve">, </w:t>
            </w:r>
            <w:r w:rsidRPr="005303F7">
              <w:rPr>
                <w:rFonts w:ascii="Times New Roman" w:hAnsi="Times New Roman"/>
                <w:sz w:val="20"/>
                <w:lang w:val="sr-Cyrl-CS"/>
              </w:rPr>
              <w:t>у</w:t>
            </w:r>
            <w:r w:rsidR="009D5431" w:rsidRPr="005303F7">
              <w:rPr>
                <w:rFonts w:ascii="Times New Roman" w:hAnsi="Times New Roman"/>
                <w:sz w:val="20"/>
                <w:lang w:val="sr-Cyrl-CS"/>
              </w:rPr>
              <w:t xml:space="preserve"> </w:t>
            </w:r>
            <w:r w:rsidRPr="005303F7">
              <w:rPr>
                <w:rFonts w:ascii="Times New Roman" w:hAnsi="Times New Roman"/>
                <w:sz w:val="20"/>
                <w:lang w:val="sr-Cyrl-CS"/>
              </w:rPr>
              <w:t>индустријском</w:t>
            </w:r>
            <w:r w:rsidR="009D5431" w:rsidRPr="005303F7">
              <w:rPr>
                <w:rFonts w:ascii="Times New Roman" w:hAnsi="Times New Roman"/>
                <w:sz w:val="20"/>
                <w:lang w:val="sr-Cyrl-CS"/>
              </w:rPr>
              <w:t xml:space="preserve"> </w:t>
            </w:r>
            <w:r w:rsidRPr="005303F7">
              <w:rPr>
                <w:rFonts w:ascii="Times New Roman" w:hAnsi="Times New Roman"/>
                <w:sz w:val="20"/>
                <w:lang w:val="sr-Cyrl-CS"/>
              </w:rPr>
              <w:t>сектору</w:t>
            </w:r>
            <w:r w:rsidR="009D5431" w:rsidRPr="005303F7">
              <w:rPr>
                <w:rFonts w:ascii="Times New Roman" w:hAnsi="Times New Roman"/>
                <w:sz w:val="20"/>
                <w:lang w:val="sr-Cyrl-CS"/>
              </w:rPr>
              <w:t xml:space="preserve"> </w:t>
            </w:r>
            <w:r w:rsidRPr="005303F7">
              <w:rPr>
                <w:rFonts w:ascii="Times New Roman" w:hAnsi="Times New Roman"/>
                <w:sz w:val="20"/>
                <w:lang w:val="sr-Cyrl-CS"/>
              </w:rPr>
              <w:t>за</w:t>
            </w:r>
            <w:r w:rsidR="009D5431" w:rsidRPr="005303F7">
              <w:rPr>
                <w:rFonts w:ascii="Times New Roman" w:hAnsi="Times New Roman"/>
                <w:sz w:val="20"/>
                <w:lang w:val="sr-Cyrl-CS"/>
              </w:rPr>
              <w:t xml:space="preserve"> 15% </w:t>
            </w:r>
            <w:r w:rsidRPr="005303F7">
              <w:rPr>
                <w:rFonts w:ascii="Times New Roman" w:hAnsi="Times New Roman"/>
                <w:sz w:val="20"/>
                <w:lang w:val="sr-Cyrl-CS"/>
              </w:rPr>
              <w:t>до</w:t>
            </w:r>
            <w:r w:rsidR="009D5431" w:rsidRPr="005303F7">
              <w:rPr>
                <w:rFonts w:ascii="Times New Roman" w:hAnsi="Times New Roman"/>
                <w:sz w:val="20"/>
                <w:lang w:val="sr-Cyrl-CS"/>
              </w:rPr>
              <w:t xml:space="preserve"> 2030. </w:t>
            </w:r>
            <w:r w:rsidRPr="005303F7">
              <w:rPr>
                <w:rFonts w:ascii="Times New Roman" w:hAnsi="Times New Roman"/>
                <w:sz w:val="20"/>
                <w:lang w:val="sr-Cyrl-CS"/>
              </w:rPr>
              <w:t>године</w:t>
            </w:r>
            <w:r w:rsidR="009D5431" w:rsidRPr="005303F7">
              <w:rPr>
                <w:rFonts w:ascii="Times New Roman" w:hAnsi="Times New Roman"/>
                <w:sz w:val="20"/>
                <w:lang w:val="sr-Cyrl-CS"/>
              </w:rPr>
              <w:t xml:space="preserve">, </w:t>
            </w:r>
            <w:r w:rsidRPr="005303F7">
              <w:rPr>
                <w:rFonts w:ascii="Times New Roman" w:hAnsi="Times New Roman"/>
                <w:sz w:val="20"/>
                <w:lang w:val="sr-Cyrl-CS"/>
              </w:rPr>
              <w:t>те</w:t>
            </w:r>
            <w:r w:rsidR="009D5431" w:rsidRPr="005303F7">
              <w:rPr>
                <w:rFonts w:ascii="Times New Roman" w:hAnsi="Times New Roman"/>
                <w:sz w:val="20"/>
                <w:lang w:val="sr-Cyrl-CS"/>
              </w:rPr>
              <w:t xml:space="preserve"> </w:t>
            </w:r>
            <w:r w:rsidRPr="005303F7">
              <w:rPr>
                <w:rFonts w:ascii="Times New Roman" w:hAnsi="Times New Roman"/>
                <w:sz w:val="20"/>
                <w:lang w:val="sr-Cyrl-CS"/>
              </w:rPr>
              <w:t>у</w:t>
            </w:r>
            <w:r w:rsidR="009D5431" w:rsidRPr="005303F7">
              <w:rPr>
                <w:rFonts w:ascii="Times New Roman" w:hAnsi="Times New Roman"/>
                <w:sz w:val="20"/>
                <w:lang w:val="sr-Cyrl-CS"/>
              </w:rPr>
              <w:t xml:space="preserve"> </w:t>
            </w:r>
            <w:r w:rsidRPr="005303F7">
              <w:rPr>
                <w:rFonts w:ascii="Times New Roman" w:hAnsi="Times New Roman"/>
                <w:sz w:val="20"/>
                <w:lang w:val="sr-Cyrl-CS"/>
              </w:rPr>
              <w:t>стамбеном</w:t>
            </w:r>
            <w:r w:rsidR="009D5431" w:rsidRPr="005303F7">
              <w:rPr>
                <w:rFonts w:ascii="Times New Roman" w:hAnsi="Times New Roman"/>
                <w:sz w:val="20"/>
                <w:lang w:val="sr-Cyrl-CS"/>
              </w:rPr>
              <w:t xml:space="preserve"> </w:t>
            </w:r>
            <w:r w:rsidRPr="005303F7">
              <w:rPr>
                <w:rFonts w:ascii="Times New Roman" w:hAnsi="Times New Roman"/>
                <w:sz w:val="20"/>
                <w:lang w:val="sr-Cyrl-CS"/>
              </w:rPr>
              <w:t>и</w:t>
            </w:r>
            <w:r w:rsidR="009D5431" w:rsidRPr="005303F7">
              <w:rPr>
                <w:rFonts w:ascii="Times New Roman" w:hAnsi="Times New Roman"/>
                <w:sz w:val="20"/>
                <w:lang w:val="sr-Cyrl-CS"/>
              </w:rPr>
              <w:t xml:space="preserve"> </w:t>
            </w:r>
            <w:r w:rsidRPr="005303F7">
              <w:rPr>
                <w:rFonts w:ascii="Times New Roman" w:hAnsi="Times New Roman"/>
                <w:sz w:val="20"/>
                <w:lang w:val="sr-Cyrl-CS"/>
              </w:rPr>
              <w:t>комерцијалном</w:t>
            </w:r>
            <w:r w:rsidR="009D5431" w:rsidRPr="005303F7">
              <w:rPr>
                <w:rFonts w:ascii="Times New Roman" w:hAnsi="Times New Roman"/>
                <w:sz w:val="20"/>
                <w:lang w:val="sr-Cyrl-CS"/>
              </w:rPr>
              <w:t xml:space="preserve"> </w:t>
            </w:r>
            <w:r w:rsidRPr="005303F7">
              <w:rPr>
                <w:rFonts w:ascii="Times New Roman" w:hAnsi="Times New Roman"/>
                <w:sz w:val="20"/>
                <w:lang w:val="sr-Cyrl-CS"/>
              </w:rPr>
              <w:t>сектору</w:t>
            </w:r>
            <w:r w:rsidR="009D5431" w:rsidRPr="005303F7">
              <w:rPr>
                <w:rFonts w:ascii="Times New Roman" w:hAnsi="Times New Roman"/>
                <w:sz w:val="20"/>
                <w:lang w:val="sr-Cyrl-CS"/>
              </w:rPr>
              <w:t xml:space="preserve"> </w:t>
            </w:r>
            <w:r w:rsidRPr="005303F7">
              <w:rPr>
                <w:rFonts w:ascii="Times New Roman" w:hAnsi="Times New Roman"/>
                <w:sz w:val="20"/>
                <w:lang w:val="sr-Cyrl-CS"/>
              </w:rPr>
              <w:t>за</w:t>
            </w:r>
            <w:r w:rsidR="009D5431" w:rsidRPr="005303F7">
              <w:rPr>
                <w:rFonts w:ascii="Times New Roman" w:hAnsi="Times New Roman"/>
                <w:sz w:val="20"/>
                <w:lang w:val="sr-Cyrl-CS"/>
              </w:rPr>
              <w:t xml:space="preserve"> 40% </w:t>
            </w:r>
            <w:r w:rsidRPr="005303F7">
              <w:rPr>
                <w:rFonts w:ascii="Times New Roman" w:hAnsi="Times New Roman"/>
                <w:sz w:val="20"/>
                <w:lang w:val="sr-Cyrl-CS"/>
              </w:rPr>
              <w:t>до</w:t>
            </w:r>
            <w:r w:rsidR="009D5431" w:rsidRPr="005303F7">
              <w:rPr>
                <w:rFonts w:ascii="Times New Roman" w:hAnsi="Times New Roman"/>
                <w:sz w:val="20"/>
                <w:lang w:val="sr-Cyrl-CS"/>
              </w:rPr>
              <w:t xml:space="preserve"> 2030. </w:t>
            </w:r>
            <w:r w:rsidRPr="005303F7">
              <w:rPr>
                <w:rFonts w:ascii="Times New Roman" w:hAnsi="Times New Roman"/>
                <w:sz w:val="20"/>
                <w:lang w:val="sr-Cyrl-CS"/>
              </w:rPr>
              <w:t>године</w:t>
            </w:r>
            <w:r w:rsidR="009D5431" w:rsidRPr="005303F7">
              <w:rPr>
                <w:rFonts w:ascii="Times New Roman" w:hAnsi="Times New Roman"/>
                <w:sz w:val="20"/>
                <w:lang w:val="sr-Cyrl-CS"/>
              </w:rPr>
              <w:t xml:space="preserve">, </w:t>
            </w:r>
            <w:r w:rsidRPr="005303F7">
              <w:rPr>
                <w:rFonts w:ascii="Times New Roman" w:hAnsi="Times New Roman"/>
                <w:sz w:val="20"/>
                <w:lang w:val="sr-Cyrl-CS"/>
              </w:rPr>
              <w:t>у</w:t>
            </w:r>
            <w:r w:rsidR="009D5431" w:rsidRPr="005303F7">
              <w:rPr>
                <w:rFonts w:ascii="Times New Roman" w:hAnsi="Times New Roman"/>
                <w:sz w:val="20"/>
                <w:lang w:val="sr-Cyrl-CS"/>
              </w:rPr>
              <w:t xml:space="preserve"> </w:t>
            </w:r>
            <w:r w:rsidRPr="005303F7">
              <w:rPr>
                <w:rFonts w:ascii="Times New Roman" w:hAnsi="Times New Roman"/>
                <w:sz w:val="20"/>
                <w:lang w:val="sr-Cyrl-CS"/>
              </w:rPr>
              <w:t>поређењу</w:t>
            </w:r>
            <w:r w:rsidR="009D5431" w:rsidRPr="005303F7">
              <w:rPr>
                <w:rFonts w:ascii="Times New Roman" w:hAnsi="Times New Roman"/>
                <w:sz w:val="20"/>
                <w:lang w:val="sr-Cyrl-CS"/>
              </w:rPr>
              <w:t xml:space="preserve"> </w:t>
            </w:r>
            <w:r w:rsidRPr="005303F7">
              <w:rPr>
                <w:rFonts w:ascii="Times New Roman" w:hAnsi="Times New Roman"/>
                <w:sz w:val="20"/>
                <w:lang w:val="sr-Cyrl-CS"/>
              </w:rPr>
              <w:t>са</w:t>
            </w:r>
            <w:r w:rsidR="009D5431" w:rsidRPr="005303F7">
              <w:rPr>
                <w:rFonts w:ascii="Times New Roman" w:hAnsi="Times New Roman"/>
                <w:sz w:val="20"/>
                <w:lang w:val="sr-Cyrl-CS"/>
              </w:rPr>
              <w:t xml:space="preserve"> 2010. </w:t>
            </w:r>
            <w:r w:rsidRPr="005303F7">
              <w:rPr>
                <w:rFonts w:ascii="Times New Roman" w:hAnsi="Times New Roman"/>
                <w:sz w:val="20"/>
                <w:lang w:val="sr-Cyrl-CS"/>
              </w:rPr>
              <w:t>годином</w:t>
            </w:r>
            <w:r w:rsidR="009D5431" w:rsidRPr="005303F7">
              <w:rPr>
                <w:rFonts w:ascii="Times New Roman" w:hAnsi="Times New Roman"/>
                <w:sz w:val="20"/>
                <w:lang w:val="sr-Cyrl-CS"/>
              </w:rPr>
              <w:t>.</w:t>
            </w:r>
          </w:p>
          <w:p w14:paraId="350051DB" w14:textId="5AB6DF19" w:rsidR="00BD116A" w:rsidRPr="005303F7" w:rsidRDefault="008D69AF">
            <w:pPr>
              <w:rPr>
                <w:rFonts w:ascii="Times New Roman" w:hAnsi="Times New Roman"/>
                <w:sz w:val="20"/>
                <w:lang w:val="sr-Cyrl-CS"/>
              </w:rPr>
            </w:pPr>
            <w:r w:rsidRPr="005303F7">
              <w:rPr>
                <w:rFonts w:ascii="Times New Roman" w:hAnsi="Times New Roman"/>
                <w:i/>
                <w:sz w:val="20"/>
                <w:szCs w:val="18"/>
                <w:lang w:val="sr-Cyrl-CS"/>
              </w:rPr>
              <w:t>Посебан</w:t>
            </w:r>
            <w:r w:rsidR="009D5431" w:rsidRPr="005303F7">
              <w:rPr>
                <w:rFonts w:ascii="Times New Roman" w:hAnsi="Times New Roman"/>
                <w:i/>
                <w:sz w:val="20"/>
                <w:szCs w:val="18"/>
                <w:lang w:val="sr-Cyrl-CS"/>
              </w:rPr>
              <w:t xml:space="preserve"> </w:t>
            </w:r>
            <w:r w:rsidRPr="005303F7">
              <w:rPr>
                <w:rFonts w:ascii="Times New Roman" w:hAnsi="Times New Roman"/>
                <w:i/>
                <w:sz w:val="20"/>
                <w:szCs w:val="18"/>
                <w:lang w:val="sr-Cyrl-CS"/>
              </w:rPr>
              <w:t>ци</w:t>
            </w:r>
            <w:r w:rsidR="00D553BE" w:rsidRPr="005303F7">
              <w:rPr>
                <w:rFonts w:ascii="Times New Roman" w:hAnsi="Times New Roman"/>
                <w:i/>
                <w:sz w:val="20"/>
                <w:szCs w:val="18"/>
                <w:lang w:val="sr-Cyrl-CS"/>
              </w:rPr>
              <w:t>љ</w:t>
            </w:r>
            <w:r w:rsidR="009D5431" w:rsidRPr="005303F7">
              <w:rPr>
                <w:rFonts w:ascii="Times New Roman" w:hAnsi="Times New Roman"/>
                <w:i/>
                <w:sz w:val="20"/>
                <w:szCs w:val="18"/>
                <w:lang w:val="sr-Cyrl-CS"/>
              </w:rPr>
              <w:t xml:space="preserve"> </w:t>
            </w:r>
            <w:r w:rsidR="00BD116A" w:rsidRPr="005303F7">
              <w:rPr>
                <w:rFonts w:ascii="Times New Roman" w:hAnsi="Times New Roman"/>
                <w:i/>
                <w:sz w:val="20"/>
                <w:szCs w:val="18"/>
                <w:lang w:val="sr-Cyrl-CS"/>
              </w:rPr>
              <w:t xml:space="preserve">2, </w:t>
            </w:r>
            <w:r w:rsidRPr="005303F7">
              <w:rPr>
                <w:rFonts w:ascii="Times New Roman" w:hAnsi="Times New Roman"/>
                <w:i/>
                <w:sz w:val="20"/>
                <w:szCs w:val="18"/>
                <w:lang w:val="sr-Cyrl-CS"/>
              </w:rPr>
              <w:t>Секторски</w:t>
            </w:r>
            <w:r w:rsidR="009D5431" w:rsidRPr="005303F7">
              <w:rPr>
                <w:rFonts w:ascii="Times New Roman" w:hAnsi="Times New Roman"/>
                <w:i/>
                <w:sz w:val="20"/>
                <w:szCs w:val="18"/>
                <w:lang w:val="sr-Cyrl-CS"/>
              </w:rPr>
              <w:t xml:space="preserve"> </w:t>
            </w:r>
            <w:r w:rsidRPr="005303F7">
              <w:rPr>
                <w:rFonts w:ascii="Times New Roman" w:hAnsi="Times New Roman"/>
                <w:i/>
                <w:sz w:val="20"/>
                <w:szCs w:val="18"/>
                <w:lang w:val="sr-Cyrl-CS"/>
              </w:rPr>
              <w:t>ци</w:t>
            </w:r>
            <w:r w:rsidR="00D553BE" w:rsidRPr="005303F7">
              <w:rPr>
                <w:rFonts w:ascii="Times New Roman" w:hAnsi="Times New Roman"/>
                <w:i/>
                <w:sz w:val="20"/>
                <w:szCs w:val="18"/>
                <w:lang w:val="sr-Cyrl-CS"/>
              </w:rPr>
              <w:t>љ</w:t>
            </w:r>
            <w:r w:rsidR="00BD116A" w:rsidRPr="005303F7">
              <w:rPr>
                <w:rFonts w:ascii="Times New Roman" w:hAnsi="Times New Roman"/>
                <w:i/>
                <w:sz w:val="20"/>
                <w:szCs w:val="18"/>
                <w:lang w:val="sr-Cyrl-CS"/>
              </w:rPr>
              <w:t xml:space="preserve">: </w:t>
            </w:r>
            <w:r w:rsidRPr="005303F7">
              <w:rPr>
                <w:rFonts w:ascii="Times New Roman" w:hAnsi="Times New Roman"/>
                <w:sz w:val="20"/>
                <w:lang w:val="sr-Cyrl-CS"/>
              </w:rPr>
              <w:t>Огран</w:t>
            </w:r>
            <w:r w:rsidR="00FE5A6F" w:rsidRPr="005303F7">
              <w:rPr>
                <w:rFonts w:ascii="Times New Roman" w:hAnsi="Times New Roman"/>
                <w:sz w:val="20"/>
                <w:lang w:val="sr-Cyrl-CS"/>
              </w:rPr>
              <w:t>ич</w:t>
            </w:r>
            <w:r w:rsidRPr="005303F7">
              <w:rPr>
                <w:rFonts w:ascii="Times New Roman" w:hAnsi="Times New Roman"/>
                <w:sz w:val="20"/>
                <w:lang w:val="sr-Cyrl-CS"/>
              </w:rPr>
              <w:t>ење</w:t>
            </w:r>
            <w:r w:rsidR="009D5431" w:rsidRPr="005303F7">
              <w:rPr>
                <w:rFonts w:ascii="Times New Roman" w:hAnsi="Times New Roman"/>
                <w:sz w:val="20"/>
                <w:lang w:val="sr-Cyrl-CS"/>
              </w:rPr>
              <w:t xml:space="preserve"> </w:t>
            </w:r>
            <w:r w:rsidRPr="005303F7">
              <w:rPr>
                <w:rFonts w:ascii="Times New Roman" w:hAnsi="Times New Roman"/>
                <w:sz w:val="20"/>
                <w:lang w:val="sr-Cyrl-CS"/>
              </w:rPr>
              <w:t>повећања</w:t>
            </w:r>
            <w:r w:rsidR="009D5431" w:rsidRPr="005303F7">
              <w:rPr>
                <w:rFonts w:ascii="Times New Roman" w:hAnsi="Times New Roman"/>
                <w:sz w:val="20"/>
                <w:lang w:val="sr-Cyrl-CS"/>
              </w:rPr>
              <w:t xml:space="preserve"> </w:t>
            </w:r>
            <w:r w:rsidRPr="005303F7">
              <w:rPr>
                <w:rFonts w:ascii="Times New Roman" w:hAnsi="Times New Roman"/>
                <w:sz w:val="20"/>
                <w:lang w:val="sr-Cyrl-CS"/>
              </w:rPr>
              <w:t>емисија</w:t>
            </w:r>
            <w:r w:rsidR="009D5431" w:rsidRPr="005303F7">
              <w:rPr>
                <w:rFonts w:ascii="Times New Roman" w:hAnsi="Times New Roman"/>
                <w:sz w:val="20"/>
                <w:lang w:val="sr-Cyrl-CS"/>
              </w:rPr>
              <w:t xml:space="preserve"> </w:t>
            </w:r>
            <w:r w:rsidR="00D7102F" w:rsidRPr="005303F7">
              <w:rPr>
                <w:rFonts w:ascii="Times New Roman" w:hAnsi="Times New Roman"/>
                <w:sz w:val="20"/>
                <w:lang w:val="sr-Cyrl-CS"/>
              </w:rPr>
              <w:t>GHG</w:t>
            </w:r>
            <w:r w:rsidR="009D5431" w:rsidRPr="005303F7">
              <w:rPr>
                <w:rFonts w:ascii="Times New Roman" w:hAnsi="Times New Roman"/>
                <w:sz w:val="20"/>
                <w:lang w:val="sr-Cyrl-CS"/>
              </w:rPr>
              <w:t xml:space="preserve"> </w:t>
            </w:r>
            <w:r w:rsidRPr="005303F7">
              <w:rPr>
                <w:rFonts w:ascii="Times New Roman" w:hAnsi="Times New Roman"/>
                <w:sz w:val="20"/>
                <w:lang w:val="sr-Cyrl-CS"/>
              </w:rPr>
              <w:t>из</w:t>
            </w:r>
            <w:r w:rsidR="009D5431" w:rsidRPr="005303F7">
              <w:rPr>
                <w:rFonts w:ascii="Times New Roman" w:hAnsi="Times New Roman"/>
                <w:sz w:val="20"/>
                <w:lang w:val="sr-Cyrl-CS"/>
              </w:rPr>
              <w:t xml:space="preserve"> </w:t>
            </w:r>
            <w:r w:rsidRPr="005303F7">
              <w:rPr>
                <w:rFonts w:ascii="Times New Roman" w:hAnsi="Times New Roman"/>
                <w:sz w:val="20"/>
                <w:lang w:val="sr-Cyrl-CS"/>
              </w:rPr>
              <w:t>индустријског</w:t>
            </w:r>
            <w:r w:rsidR="009D5431" w:rsidRPr="005303F7">
              <w:rPr>
                <w:rFonts w:ascii="Times New Roman" w:hAnsi="Times New Roman"/>
                <w:sz w:val="20"/>
                <w:lang w:val="sr-Cyrl-CS"/>
              </w:rPr>
              <w:t xml:space="preserve"> </w:t>
            </w:r>
            <w:r w:rsidRPr="005303F7">
              <w:rPr>
                <w:rFonts w:ascii="Times New Roman" w:hAnsi="Times New Roman"/>
                <w:sz w:val="20"/>
                <w:lang w:val="sr-Cyrl-CS"/>
              </w:rPr>
              <w:t>процеса</w:t>
            </w:r>
            <w:r w:rsidR="00BD116A" w:rsidRPr="005303F7">
              <w:rPr>
                <w:rFonts w:ascii="Times New Roman" w:hAnsi="Times New Roman"/>
                <w:sz w:val="20"/>
                <w:lang w:val="sr-Cyrl-CS"/>
              </w:rPr>
              <w:t xml:space="preserve"> </w:t>
            </w:r>
            <w:r w:rsidRPr="005303F7">
              <w:rPr>
                <w:rFonts w:ascii="Times New Roman" w:hAnsi="Times New Roman"/>
                <w:sz w:val="20"/>
                <w:lang w:val="sr-Cyrl-CS"/>
              </w:rPr>
              <w:t>и</w:t>
            </w:r>
            <w:r w:rsidR="009D5431" w:rsidRPr="005303F7">
              <w:rPr>
                <w:rFonts w:ascii="Times New Roman" w:hAnsi="Times New Roman"/>
                <w:sz w:val="20"/>
                <w:lang w:val="sr-Cyrl-CS"/>
              </w:rPr>
              <w:t xml:space="preserve"> </w:t>
            </w:r>
            <w:r w:rsidRPr="005303F7">
              <w:rPr>
                <w:rFonts w:ascii="Times New Roman" w:hAnsi="Times New Roman"/>
                <w:sz w:val="20"/>
                <w:lang w:val="sr-Cyrl-CS"/>
              </w:rPr>
              <w:t>коришћења</w:t>
            </w:r>
            <w:r w:rsidR="009D5431" w:rsidRPr="005303F7">
              <w:rPr>
                <w:rFonts w:ascii="Times New Roman" w:hAnsi="Times New Roman"/>
                <w:sz w:val="20"/>
                <w:lang w:val="sr-Cyrl-CS"/>
              </w:rPr>
              <w:t xml:space="preserve"> </w:t>
            </w:r>
            <w:r w:rsidRPr="005303F7">
              <w:rPr>
                <w:rFonts w:ascii="Times New Roman" w:hAnsi="Times New Roman"/>
                <w:sz w:val="20"/>
                <w:lang w:val="sr-Cyrl-CS"/>
              </w:rPr>
              <w:t>производа</w:t>
            </w:r>
            <w:r w:rsidR="009D5431" w:rsidRPr="005303F7">
              <w:rPr>
                <w:rFonts w:ascii="Times New Roman" w:hAnsi="Times New Roman"/>
                <w:sz w:val="20"/>
                <w:lang w:val="sr-Cyrl-CS"/>
              </w:rPr>
              <w:t xml:space="preserve"> </w:t>
            </w:r>
            <w:r w:rsidRPr="005303F7">
              <w:rPr>
                <w:rFonts w:ascii="Times New Roman" w:hAnsi="Times New Roman"/>
                <w:sz w:val="20"/>
                <w:lang w:val="sr-Cyrl-CS"/>
              </w:rPr>
              <w:t>на</w:t>
            </w:r>
            <w:r w:rsidR="009D5431" w:rsidRPr="005303F7">
              <w:rPr>
                <w:rFonts w:ascii="Times New Roman" w:hAnsi="Times New Roman"/>
                <w:sz w:val="20"/>
                <w:lang w:val="sr-Cyrl-CS"/>
              </w:rPr>
              <w:t xml:space="preserve"> </w:t>
            </w:r>
            <w:r w:rsidR="00BD116A" w:rsidRPr="005303F7">
              <w:rPr>
                <w:rFonts w:ascii="Times New Roman" w:hAnsi="Times New Roman"/>
                <w:sz w:val="20"/>
                <w:lang w:val="sr-Cyrl-CS"/>
              </w:rPr>
              <w:t xml:space="preserve">7%, </w:t>
            </w:r>
            <w:r w:rsidRPr="005303F7">
              <w:rPr>
                <w:rFonts w:ascii="Times New Roman" w:hAnsi="Times New Roman"/>
                <w:sz w:val="20"/>
                <w:lang w:val="sr-Cyrl-CS"/>
              </w:rPr>
              <w:t>у</w:t>
            </w:r>
            <w:r w:rsidR="009D5431" w:rsidRPr="005303F7">
              <w:rPr>
                <w:rFonts w:ascii="Times New Roman" w:hAnsi="Times New Roman"/>
                <w:sz w:val="20"/>
                <w:lang w:val="sr-Cyrl-CS"/>
              </w:rPr>
              <w:t xml:space="preserve"> </w:t>
            </w:r>
            <w:r w:rsidRPr="005303F7">
              <w:rPr>
                <w:rFonts w:ascii="Times New Roman" w:hAnsi="Times New Roman"/>
                <w:sz w:val="20"/>
                <w:lang w:val="sr-Cyrl-CS"/>
              </w:rPr>
              <w:t>поређењу</w:t>
            </w:r>
            <w:r w:rsidR="009D5431" w:rsidRPr="005303F7">
              <w:rPr>
                <w:rFonts w:ascii="Times New Roman" w:hAnsi="Times New Roman"/>
                <w:sz w:val="20"/>
                <w:lang w:val="sr-Cyrl-CS"/>
              </w:rPr>
              <w:t xml:space="preserve"> </w:t>
            </w:r>
            <w:r w:rsidRPr="005303F7">
              <w:rPr>
                <w:rFonts w:ascii="Times New Roman" w:hAnsi="Times New Roman"/>
                <w:sz w:val="20"/>
                <w:lang w:val="sr-Cyrl-CS"/>
              </w:rPr>
              <w:t>са</w:t>
            </w:r>
            <w:r w:rsidR="009D5431" w:rsidRPr="005303F7">
              <w:rPr>
                <w:rFonts w:ascii="Times New Roman" w:hAnsi="Times New Roman"/>
                <w:sz w:val="20"/>
                <w:lang w:val="sr-Cyrl-CS"/>
              </w:rPr>
              <w:t xml:space="preserve"> 2010. </w:t>
            </w:r>
            <w:r w:rsidRPr="005303F7">
              <w:rPr>
                <w:rFonts w:ascii="Times New Roman" w:hAnsi="Times New Roman"/>
                <w:sz w:val="20"/>
                <w:lang w:val="sr-Cyrl-CS"/>
              </w:rPr>
              <w:t>годином</w:t>
            </w:r>
          </w:p>
          <w:p w14:paraId="68511C97" w14:textId="75D9F61B" w:rsidR="00BD116A" w:rsidRPr="005303F7" w:rsidRDefault="008D69AF" w:rsidP="000116C9">
            <w:pPr>
              <w:rPr>
                <w:rFonts w:ascii="Times New Roman" w:hAnsi="Times New Roman"/>
                <w:b/>
                <w:i/>
                <w:u w:val="single"/>
                <w:lang w:val="sr-Cyrl-CS"/>
              </w:rPr>
            </w:pPr>
            <w:r w:rsidRPr="005303F7">
              <w:rPr>
                <w:rFonts w:ascii="Times New Roman" w:hAnsi="Times New Roman"/>
                <w:b/>
                <w:bCs/>
                <w:sz w:val="20"/>
                <w:szCs w:val="18"/>
                <w:u w:val="single"/>
                <w:lang w:val="sr-Cyrl-CS"/>
              </w:rPr>
              <w:t>Процес</w:t>
            </w:r>
            <w:r w:rsidR="000116C9"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преговора</w:t>
            </w:r>
            <w:r w:rsidR="000116C9"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о</w:t>
            </w:r>
            <w:r w:rsidR="000116C9"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приступању</w:t>
            </w:r>
            <w:r w:rsidR="000116C9"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ЕУ</w:t>
            </w:r>
            <w:r w:rsidR="00BD116A"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Поглав</w:t>
            </w:r>
            <w:r w:rsidR="00D553BE" w:rsidRPr="005303F7">
              <w:rPr>
                <w:rFonts w:ascii="Times New Roman" w:hAnsi="Times New Roman"/>
                <w:b/>
                <w:bCs/>
                <w:sz w:val="20"/>
                <w:szCs w:val="18"/>
                <w:u w:val="single"/>
                <w:lang w:val="sr-Cyrl-CS"/>
              </w:rPr>
              <w:t>љ</w:t>
            </w:r>
            <w:r w:rsidRPr="005303F7">
              <w:rPr>
                <w:rFonts w:ascii="Times New Roman" w:hAnsi="Times New Roman"/>
                <w:b/>
                <w:bCs/>
                <w:sz w:val="20"/>
                <w:szCs w:val="18"/>
                <w:u w:val="single"/>
                <w:lang w:val="sr-Cyrl-CS"/>
              </w:rPr>
              <w:t>е</w:t>
            </w:r>
            <w:r w:rsidR="000116C9" w:rsidRPr="005303F7">
              <w:rPr>
                <w:rFonts w:ascii="Times New Roman" w:hAnsi="Times New Roman"/>
                <w:b/>
                <w:bCs/>
                <w:sz w:val="20"/>
                <w:szCs w:val="18"/>
                <w:u w:val="single"/>
                <w:lang w:val="sr-Cyrl-CS"/>
              </w:rPr>
              <w:t xml:space="preserve"> 27</w:t>
            </w:r>
            <w:r w:rsidR="00BD116A" w:rsidRPr="005303F7">
              <w:rPr>
                <w:rFonts w:ascii="Times New Roman" w:hAnsi="Times New Roman"/>
                <w:b/>
                <w:bCs/>
                <w:sz w:val="20"/>
                <w:szCs w:val="18"/>
                <w:u w:val="single"/>
                <w:lang w:val="sr-Cyrl-CS"/>
              </w:rPr>
              <w:t xml:space="preserve"> </w:t>
            </w:r>
            <w:r w:rsidR="000116C9" w:rsidRPr="005303F7">
              <w:rPr>
                <w:rFonts w:ascii="Times New Roman" w:hAnsi="Times New Roman"/>
                <w:b/>
                <w:bCs/>
                <w:sz w:val="20"/>
                <w:szCs w:val="18"/>
                <w:u w:val="single"/>
                <w:lang w:val="sr-Cyrl-CS"/>
              </w:rPr>
              <w:t>–</w:t>
            </w:r>
            <w:r w:rsidR="00BD116A"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Животна</w:t>
            </w:r>
            <w:r w:rsidR="000116C9"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средина</w:t>
            </w:r>
          </w:p>
        </w:tc>
      </w:tr>
      <w:tr w:rsidR="00BD116A" w:rsidRPr="005303F7" w14:paraId="19DA9705" w14:textId="77777777" w:rsidTr="0029378D">
        <w:trPr>
          <w:trHeight w:val="560"/>
        </w:trPr>
        <w:tc>
          <w:tcPr>
            <w:tcW w:w="687" w:type="dxa"/>
            <w:gridSpan w:val="3"/>
            <w:vMerge/>
            <w:tcBorders>
              <w:top w:val="single" w:sz="4" w:space="0" w:color="auto"/>
              <w:left w:val="single" w:sz="4" w:space="0" w:color="auto"/>
              <w:bottom w:val="single" w:sz="4" w:space="0" w:color="auto"/>
              <w:right w:val="single" w:sz="4" w:space="0" w:color="auto"/>
            </w:tcBorders>
            <w:vAlign w:val="center"/>
            <w:hideMark/>
          </w:tcPr>
          <w:p w14:paraId="6E052CD6" w14:textId="77777777" w:rsidR="00BD116A" w:rsidRPr="005303F7" w:rsidRDefault="00BD116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52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95F0F2" w14:textId="757BDEC3" w:rsidR="00BD116A" w:rsidRPr="005303F7" w:rsidRDefault="008D69AF" w:rsidP="0029378D">
            <w:pPr>
              <w:spacing w:before="0" w:after="0"/>
              <w:jc w:val="center"/>
              <w:rPr>
                <w:rFonts w:ascii="Times New Roman" w:hAnsi="Times New Roman"/>
                <w:b/>
                <w:bCs/>
                <w:sz w:val="20"/>
                <w:lang w:val="sr-Cyrl-CS"/>
              </w:rPr>
            </w:pPr>
            <w:r w:rsidRPr="005303F7">
              <w:rPr>
                <w:rFonts w:ascii="Times New Roman" w:hAnsi="Times New Roman"/>
                <w:b/>
                <w:bCs/>
                <w:sz w:val="20"/>
                <w:lang w:val="sr-Cyrl-CS"/>
              </w:rPr>
              <w:t>К</w:t>
            </w:r>
            <w:r w:rsidR="00D553BE" w:rsidRPr="005303F7">
              <w:rPr>
                <w:rFonts w:ascii="Times New Roman" w:hAnsi="Times New Roman"/>
                <w:b/>
                <w:bCs/>
                <w:sz w:val="20"/>
                <w:lang w:val="sr-Cyrl-CS"/>
              </w:rPr>
              <w:t>љ</w:t>
            </w:r>
            <w:r w:rsidRPr="005303F7">
              <w:rPr>
                <w:rFonts w:ascii="Times New Roman" w:hAnsi="Times New Roman"/>
                <w:b/>
                <w:bCs/>
                <w:sz w:val="20"/>
                <w:lang w:val="sr-Cyrl-CS"/>
              </w:rPr>
              <w:t>учни</w:t>
            </w:r>
            <w:r w:rsidR="000116C9" w:rsidRPr="005303F7">
              <w:rPr>
                <w:rFonts w:ascii="Times New Roman" w:hAnsi="Times New Roman"/>
                <w:b/>
                <w:bCs/>
                <w:sz w:val="20"/>
                <w:lang w:val="sr-Cyrl-CS"/>
              </w:rPr>
              <w:t xml:space="preserve"> </w:t>
            </w:r>
            <w:r w:rsidRPr="005303F7">
              <w:rPr>
                <w:rFonts w:ascii="Times New Roman" w:hAnsi="Times New Roman"/>
                <w:b/>
                <w:bCs/>
                <w:sz w:val="20"/>
                <w:lang w:val="sr-Cyrl-CS"/>
              </w:rPr>
              <w:t>субјекат</w:t>
            </w:r>
            <w:r w:rsidR="000116C9" w:rsidRPr="005303F7">
              <w:rPr>
                <w:rFonts w:ascii="Times New Roman" w:hAnsi="Times New Roman"/>
                <w:b/>
                <w:bCs/>
                <w:sz w:val="20"/>
                <w:lang w:val="sr-Cyrl-CS"/>
              </w:rPr>
              <w:t xml:space="preserve"> </w:t>
            </w:r>
            <w:r w:rsidRPr="005303F7">
              <w:rPr>
                <w:rFonts w:ascii="Times New Roman" w:hAnsi="Times New Roman"/>
                <w:b/>
                <w:bCs/>
                <w:sz w:val="20"/>
                <w:lang w:val="sr-Cyrl-CS"/>
              </w:rPr>
              <w:t>за</w:t>
            </w:r>
            <w:r w:rsidR="000116C9" w:rsidRPr="005303F7">
              <w:rPr>
                <w:rFonts w:ascii="Times New Roman" w:hAnsi="Times New Roman"/>
                <w:b/>
                <w:bCs/>
                <w:sz w:val="20"/>
                <w:lang w:val="sr-Cyrl-CS"/>
              </w:rPr>
              <w:t xml:space="preserve"> </w:t>
            </w:r>
            <w:r w:rsidRPr="005303F7">
              <w:rPr>
                <w:rFonts w:ascii="Times New Roman" w:hAnsi="Times New Roman"/>
                <w:b/>
                <w:bCs/>
                <w:sz w:val="20"/>
                <w:lang w:val="sr-Cyrl-CS"/>
              </w:rPr>
              <w:t>спровођење</w:t>
            </w:r>
            <w:r w:rsidR="000116C9"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p>
        </w:tc>
        <w:tc>
          <w:tcPr>
            <w:tcW w:w="608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960A3" w14:textId="71914AC8" w:rsidR="00BD116A"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Партнери</w:t>
            </w:r>
          </w:p>
        </w:tc>
        <w:tc>
          <w:tcPr>
            <w:tcW w:w="129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1952DC" w14:textId="0BBC4EFF" w:rsidR="00BD116A" w:rsidRPr="005303F7" w:rsidRDefault="00690489" w:rsidP="0029378D">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 xml:space="preserve">ЕТS/ </w:t>
            </w:r>
            <w:r w:rsidR="004A35C7" w:rsidRPr="005303F7">
              <w:rPr>
                <w:rFonts w:ascii="Times New Roman" w:hAnsi="Times New Roman"/>
                <w:b/>
                <w:sz w:val="20"/>
                <w:lang w:val="sr-Cyrl-CS"/>
              </w:rPr>
              <w:t>не-ЕТS</w:t>
            </w:r>
          </w:p>
        </w:tc>
        <w:tc>
          <w:tcPr>
            <w:tcW w:w="14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C7B77" w14:textId="29D41B62" w:rsidR="00BD116A"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Главни</w:t>
            </w:r>
            <w:r w:rsidR="000116C9" w:rsidRPr="005303F7">
              <w:rPr>
                <w:rFonts w:ascii="Times New Roman" w:hAnsi="Times New Roman"/>
                <w:b/>
                <w:bCs/>
                <w:sz w:val="20"/>
                <w:lang w:val="sr-Cyrl-CS"/>
              </w:rPr>
              <w:t xml:space="preserve"> </w:t>
            </w:r>
            <w:r w:rsidRPr="005303F7">
              <w:rPr>
                <w:rFonts w:ascii="Times New Roman" w:hAnsi="Times New Roman"/>
                <w:b/>
                <w:bCs/>
                <w:sz w:val="20"/>
                <w:lang w:val="sr-Cyrl-CS"/>
              </w:rPr>
              <w:t>гасови</w:t>
            </w:r>
          </w:p>
        </w:tc>
        <w:tc>
          <w:tcPr>
            <w:tcW w:w="29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F09E86" w14:textId="138C5296" w:rsidR="00965FFE" w:rsidRPr="005303F7" w:rsidRDefault="004A1F5D"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П</w:t>
            </w:r>
            <w:r w:rsidR="00DC2380" w:rsidRPr="005303F7">
              <w:rPr>
                <w:rFonts w:ascii="Times New Roman" w:hAnsi="Times New Roman"/>
                <w:b/>
                <w:bCs/>
                <w:sz w:val="20"/>
                <w:lang w:val="sr-Cyrl-CS"/>
              </w:rPr>
              <w:t>роцењен</w:t>
            </w:r>
            <w:r w:rsidRPr="005303F7">
              <w:rPr>
                <w:rFonts w:ascii="Times New Roman" w:hAnsi="Times New Roman"/>
                <w:b/>
                <w:bCs/>
                <w:sz w:val="20"/>
                <w:lang w:val="sr-Cyrl-CS"/>
              </w:rPr>
              <w:t xml:space="preserve"> утицај ублажавања</w:t>
            </w:r>
            <w:r w:rsidRPr="005303F7" w:rsidDel="004A1F5D">
              <w:rPr>
                <w:rFonts w:ascii="Times New Roman" w:hAnsi="Times New Roman"/>
                <w:b/>
                <w:bCs/>
                <w:sz w:val="20"/>
                <w:lang w:val="sr-Cyrl-CS"/>
              </w:rPr>
              <w:t xml:space="preserve"> </w:t>
            </w:r>
            <w:r w:rsidR="008D69AF" w:rsidRPr="005303F7">
              <w:rPr>
                <w:rFonts w:ascii="Times New Roman" w:hAnsi="Times New Roman"/>
                <w:b/>
                <w:bCs/>
                <w:sz w:val="20"/>
                <w:lang w:val="sr-Cyrl-CS"/>
              </w:rPr>
              <w:t>до</w:t>
            </w:r>
            <w:r w:rsidR="00BD116A" w:rsidRPr="005303F7">
              <w:rPr>
                <w:rFonts w:ascii="Times New Roman" w:hAnsi="Times New Roman"/>
                <w:b/>
                <w:bCs/>
                <w:sz w:val="20"/>
                <w:lang w:val="sr-Cyrl-CS"/>
              </w:rPr>
              <w:t xml:space="preserve"> 2030</w:t>
            </w:r>
            <w:r w:rsidR="000116C9" w:rsidRPr="005303F7">
              <w:rPr>
                <w:rFonts w:ascii="Times New Roman" w:hAnsi="Times New Roman"/>
                <w:b/>
                <w:bCs/>
                <w:sz w:val="20"/>
                <w:lang w:val="sr-Cyrl-CS"/>
              </w:rPr>
              <w:t xml:space="preserve">. </w:t>
            </w:r>
          </w:p>
          <w:p w14:paraId="2B2A891B" w14:textId="3BAF845D" w:rsidR="00BD116A" w:rsidRPr="005303F7" w:rsidRDefault="00BD116A">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w:t>
            </w:r>
            <w:r w:rsidR="00D7102F" w:rsidRPr="005303F7">
              <w:rPr>
                <w:rFonts w:ascii="Times New Roman" w:hAnsi="Times New Roman"/>
                <w:b/>
                <w:bCs/>
                <w:sz w:val="20"/>
                <w:lang w:val="sr-Cyrl-CS"/>
              </w:rPr>
              <w:t>kt</w:t>
            </w:r>
            <w:r w:rsidRPr="005303F7">
              <w:rPr>
                <w:rFonts w:ascii="Times New Roman" w:hAnsi="Times New Roman"/>
                <w:b/>
                <w:bCs/>
                <w:sz w:val="20"/>
                <w:lang w:val="sr-Cyrl-CS"/>
              </w:rPr>
              <w:t xml:space="preserve"> </w:t>
            </w:r>
            <w:r w:rsidR="00D7102F" w:rsidRPr="005303F7">
              <w:rPr>
                <w:rFonts w:ascii="Times New Roman" w:hAnsi="Times New Roman"/>
                <w:b/>
                <w:bCs/>
                <w:sz w:val="20"/>
                <w:lang w:val="sr-Cyrl-CS"/>
              </w:rPr>
              <w:t>C</w:t>
            </w:r>
            <w:r w:rsidR="008D69AF" w:rsidRPr="005303F7">
              <w:rPr>
                <w:rFonts w:ascii="Times New Roman" w:hAnsi="Times New Roman"/>
                <w:b/>
                <w:bCs/>
                <w:sz w:val="20"/>
                <w:lang w:val="sr-Cyrl-CS"/>
              </w:rPr>
              <w:t>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w:t>
            </w:r>
            <w:r w:rsidR="008D69AF" w:rsidRPr="005303F7">
              <w:rPr>
                <w:rFonts w:ascii="Times New Roman" w:hAnsi="Times New Roman"/>
                <w:b/>
                <w:bCs/>
                <w:sz w:val="20"/>
                <w:lang w:val="sr-Cyrl-CS"/>
              </w:rPr>
              <w:t>е</w:t>
            </w:r>
            <w:r w:rsidRPr="005303F7">
              <w:rPr>
                <w:rFonts w:ascii="Times New Roman" w:hAnsi="Times New Roman"/>
                <w:b/>
                <w:bCs/>
                <w:sz w:val="20"/>
                <w:lang w:val="sr-Cyrl-CS"/>
              </w:rPr>
              <w:t>q.]</w:t>
            </w:r>
          </w:p>
        </w:tc>
      </w:tr>
      <w:tr w:rsidR="00BD116A" w:rsidRPr="005303F7" w14:paraId="32F9B354" w14:textId="77777777" w:rsidTr="00D27999">
        <w:trPr>
          <w:trHeight w:val="1013"/>
        </w:trPr>
        <w:tc>
          <w:tcPr>
            <w:tcW w:w="687" w:type="dxa"/>
            <w:gridSpan w:val="3"/>
            <w:vMerge/>
            <w:tcBorders>
              <w:top w:val="single" w:sz="4" w:space="0" w:color="auto"/>
              <w:left w:val="single" w:sz="4" w:space="0" w:color="auto"/>
              <w:bottom w:val="single" w:sz="4" w:space="0" w:color="auto"/>
              <w:right w:val="single" w:sz="4" w:space="0" w:color="auto"/>
            </w:tcBorders>
            <w:vAlign w:val="center"/>
            <w:hideMark/>
          </w:tcPr>
          <w:p w14:paraId="71E055DB" w14:textId="77777777" w:rsidR="00BD116A" w:rsidRPr="005303F7" w:rsidRDefault="00BD116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52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8DF6B" w14:textId="6DCA2CC4" w:rsidR="00BD116A" w:rsidRPr="005303F7" w:rsidRDefault="008D69AF" w:rsidP="00614618">
            <w:pPr>
              <w:overflowPunct/>
              <w:spacing w:before="0"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0116C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заштите</w:t>
            </w:r>
            <w:r w:rsidR="000116C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животне</w:t>
            </w:r>
            <w:r w:rsidR="000116C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средине</w:t>
            </w:r>
            <w:r w:rsidR="000116C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а</w:t>
            </w:r>
            <w:r w:rsidR="0025379B"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Министарство</w:t>
            </w:r>
            <w:r w:rsidR="000116C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финансија</w:t>
            </w:r>
            <w:r w:rsidR="00E146AF" w:rsidRPr="005303F7">
              <w:rPr>
                <w:rFonts w:ascii="Times New Roman" w:hAnsi="Times New Roman"/>
                <w:bCs/>
                <w:color w:val="000000"/>
                <w:sz w:val="20"/>
                <w:lang w:val="sr-Cyrl-CS"/>
              </w:rPr>
              <w:t xml:space="preserve"> </w:t>
            </w:r>
            <w:r w:rsidR="00BD116A" w:rsidRPr="005303F7">
              <w:rPr>
                <w:rFonts w:ascii="Times New Roman" w:hAnsi="Times New Roman"/>
                <w:bCs/>
                <w:color w:val="000000"/>
                <w:sz w:val="20"/>
                <w:lang w:val="sr-Cyrl-CS"/>
              </w:rPr>
              <w:t>(</w:t>
            </w:r>
            <w:r w:rsidRPr="005303F7">
              <w:rPr>
                <w:rFonts w:ascii="Times New Roman" w:hAnsi="Times New Roman"/>
                <w:bCs/>
                <w:color w:val="000000"/>
                <w:sz w:val="20"/>
                <w:lang w:val="sr-Cyrl-CS"/>
              </w:rPr>
              <w:t>за</w:t>
            </w:r>
            <w:r w:rsidR="000116C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спровођење</w:t>
            </w:r>
            <w:r w:rsidR="000116C9" w:rsidRPr="005303F7">
              <w:rPr>
                <w:rFonts w:ascii="Times New Roman" w:hAnsi="Times New Roman"/>
                <w:bCs/>
                <w:color w:val="000000"/>
                <w:sz w:val="20"/>
                <w:lang w:val="sr-Cyrl-CS"/>
              </w:rPr>
              <w:t xml:space="preserve"> </w:t>
            </w:r>
            <w:r w:rsidR="00CB358C" w:rsidRPr="005303F7">
              <w:rPr>
                <w:rFonts w:ascii="Times New Roman" w:hAnsi="Times New Roman"/>
                <w:bCs/>
                <w:color w:val="000000"/>
                <w:sz w:val="20"/>
                <w:lang w:val="sr-Cyrl-CS"/>
              </w:rPr>
              <w:t>мера</w:t>
            </w:r>
            <w:r w:rsidR="00CB358C" w:rsidRPr="005303F7" w:rsidDel="00CB358C">
              <w:rPr>
                <w:rFonts w:ascii="Times New Roman" w:hAnsi="Times New Roman"/>
                <w:bCs/>
                <w:color w:val="000000"/>
                <w:sz w:val="20"/>
                <w:lang w:val="sr-Cyrl-CS"/>
              </w:rPr>
              <w:t xml:space="preserve"> </w:t>
            </w:r>
            <w:r w:rsidR="00CB358C" w:rsidRPr="005303F7">
              <w:rPr>
                <w:rFonts w:ascii="Times New Roman" w:hAnsi="Times New Roman"/>
                <w:bCs/>
                <w:sz w:val="20"/>
                <w:lang w:val="sr-Cyrl-CS"/>
              </w:rPr>
              <w:t>за усклађивање са системом за трговање емисијама ЕУ и/или увођење других инструмената  одређивања цена угљеника</w:t>
            </w:r>
            <w:r w:rsidR="00BD116A" w:rsidRPr="005303F7">
              <w:rPr>
                <w:rFonts w:ascii="Times New Roman" w:hAnsi="Times New Roman"/>
                <w:bCs/>
                <w:color w:val="000000"/>
                <w:sz w:val="20"/>
                <w:lang w:val="sr-Cyrl-CS"/>
              </w:rPr>
              <w:t>)</w:t>
            </w:r>
          </w:p>
        </w:tc>
        <w:tc>
          <w:tcPr>
            <w:tcW w:w="6081"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8FC916" w14:textId="002442D5" w:rsidR="00BD116A" w:rsidRPr="005303F7" w:rsidRDefault="008D69AF" w:rsidP="00C70572">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Агенција</w:t>
            </w:r>
            <w:r w:rsidR="000228D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0228D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заштиту</w:t>
            </w:r>
            <w:r w:rsidR="000228D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животне</w:t>
            </w:r>
            <w:r w:rsidR="000228D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средине</w:t>
            </w:r>
            <w:r w:rsidR="000228D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Директорат</w:t>
            </w:r>
            <w:r w:rsidR="000228D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цивилног</w:t>
            </w:r>
            <w:r w:rsidR="000228D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ваздухопловства</w:t>
            </w:r>
            <w:r w:rsidR="00903CD0" w:rsidRPr="005303F7">
              <w:rPr>
                <w:rFonts w:ascii="Times New Roman" w:hAnsi="Times New Roman"/>
                <w:bCs/>
                <w:color w:val="000000"/>
                <w:sz w:val="20"/>
                <w:lang w:val="sr-Cyrl-CS"/>
              </w:rPr>
              <w:t xml:space="preserve"> </w:t>
            </w:r>
            <w:r w:rsidR="00D73AAB" w:rsidRPr="005303F7">
              <w:rPr>
                <w:rFonts w:ascii="Times New Roman" w:hAnsi="Times New Roman"/>
                <w:bCs/>
                <w:color w:val="000000"/>
                <w:sz w:val="20"/>
                <w:lang w:val="sr-Cyrl-CS"/>
              </w:rPr>
              <w:t>Републике Србије</w:t>
            </w:r>
            <w:r w:rsidR="000228D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Акредитационо</w:t>
            </w:r>
            <w:r w:rsidR="000228D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тело</w:t>
            </w:r>
            <w:r w:rsidR="000228D8" w:rsidRPr="005303F7">
              <w:rPr>
                <w:rFonts w:ascii="Times New Roman" w:hAnsi="Times New Roman"/>
                <w:bCs/>
                <w:color w:val="000000"/>
                <w:sz w:val="20"/>
                <w:lang w:val="sr-Cyrl-CS"/>
              </w:rPr>
              <w:t xml:space="preserve"> </w:t>
            </w:r>
            <w:r w:rsidR="00D73AAB" w:rsidRPr="005303F7">
              <w:rPr>
                <w:rFonts w:ascii="Times New Roman" w:hAnsi="Times New Roman"/>
                <w:bCs/>
                <w:color w:val="000000"/>
                <w:sz w:val="20"/>
                <w:lang w:val="sr-Cyrl-CS"/>
              </w:rPr>
              <w:t>Србије</w:t>
            </w:r>
            <w:r w:rsidR="000228D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Министарство</w:t>
            </w:r>
            <w:r w:rsidR="000228D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рударства</w:t>
            </w:r>
            <w:r w:rsidR="000228D8" w:rsidRPr="005303F7">
              <w:rPr>
                <w:rFonts w:ascii="Times New Roman" w:hAnsi="Times New Roman"/>
                <w:bCs/>
                <w:color w:val="000000"/>
                <w:sz w:val="20"/>
                <w:lang w:val="sr-Cyrl-CS"/>
              </w:rPr>
              <w:t xml:space="preserve"> </w:t>
            </w:r>
            <w:r w:rsidR="0011304F" w:rsidRPr="005303F7">
              <w:rPr>
                <w:rFonts w:ascii="Times New Roman" w:hAnsi="Times New Roman"/>
                <w:bCs/>
                <w:color w:val="000000"/>
                <w:sz w:val="20"/>
                <w:lang w:val="sr-Cyrl-CS"/>
              </w:rPr>
              <w:t>и</w:t>
            </w:r>
            <w:r w:rsidR="000228D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енергетике</w:t>
            </w:r>
            <w:r w:rsidR="0011304F" w:rsidRPr="005303F7">
              <w:rPr>
                <w:rFonts w:ascii="Times New Roman" w:hAnsi="Times New Roman"/>
                <w:bCs/>
                <w:color w:val="000000"/>
                <w:sz w:val="20"/>
                <w:lang w:val="sr-Cyrl-CS"/>
              </w:rPr>
              <w:t xml:space="preserve"> </w:t>
            </w:r>
          </w:p>
        </w:tc>
        <w:tc>
          <w:tcPr>
            <w:tcW w:w="129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223A31" w14:textId="4D9AC6D8" w:rsidR="00BD116A" w:rsidRPr="005303F7" w:rsidRDefault="008D69AF">
            <w:pPr>
              <w:overflowPunct/>
              <w:spacing w:after="0"/>
              <w:jc w:val="center"/>
              <w:rPr>
                <w:rFonts w:ascii="Times New Roman" w:hAnsi="Times New Roman"/>
                <w:bCs/>
                <w:sz w:val="20"/>
                <w:lang w:val="sr-Cyrl-CS"/>
              </w:rPr>
            </w:pPr>
            <w:r w:rsidRPr="005303F7">
              <w:rPr>
                <w:rFonts w:ascii="Times New Roman" w:hAnsi="Times New Roman"/>
                <w:bCs/>
                <w:sz w:val="20"/>
                <w:lang w:val="sr-Cyrl-CS"/>
              </w:rPr>
              <w:t>ЕТ</w:t>
            </w:r>
            <w:r w:rsidR="00D7102F" w:rsidRPr="005303F7">
              <w:rPr>
                <w:rFonts w:ascii="Times New Roman" w:hAnsi="Times New Roman"/>
                <w:bCs/>
                <w:sz w:val="20"/>
                <w:lang w:val="sr-Cyrl-CS"/>
              </w:rPr>
              <w:t>S</w:t>
            </w:r>
          </w:p>
        </w:tc>
        <w:tc>
          <w:tcPr>
            <w:tcW w:w="144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1F448B" w14:textId="2BA2F320" w:rsidR="00BD116A" w:rsidRPr="005303F7" w:rsidRDefault="00D7102F">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C</w:t>
            </w:r>
            <w:r w:rsidR="008D69AF" w:rsidRPr="005303F7">
              <w:rPr>
                <w:rFonts w:ascii="Times New Roman" w:hAnsi="Times New Roman"/>
                <w:bCs/>
                <w:color w:val="000000"/>
                <w:sz w:val="20"/>
                <w:lang w:val="sr-Cyrl-CS"/>
              </w:rPr>
              <w:t>О</w:t>
            </w:r>
            <w:r w:rsidR="00BD116A" w:rsidRPr="005303F7">
              <w:rPr>
                <w:rFonts w:ascii="Times New Roman" w:hAnsi="Times New Roman"/>
                <w:bCs/>
                <w:color w:val="000000"/>
                <w:sz w:val="20"/>
                <w:vertAlign w:val="subscript"/>
                <w:lang w:val="sr-Cyrl-CS"/>
              </w:rPr>
              <w:t>2</w:t>
            </w:r>
            <w:r w:rsidR="00BD116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N</w:t>
            </w:r>
            <w:r w:rsidR="00BD116A" w:rsidRPr="005303F7">
              <w:rPr>
                <w:rFonts w:ascii="Times New Roman" w:hAnsi="Times New Roman"/>
                <w:bCs/>
                <w:color w:val="000000"/>
                <w:sz w:val="20"/>
                <w:vertAlign w:val="subscript"/>
                <w:lang w:val="sr-Cyrl-CS"/>
              </w:rPr>
              <w:t>2</w:t>
            </w:r>
            <w:r w:rsidR="008D69AF" w:rsidRPr="005303F7">
              <w:rPr>
                <w:rFonts w:ascii="Times New Roman" w:hAnsi="Times New Roman"/>
                <w:bCs/>
                <w:color w:val="000000"/>
                <w:sz w:val="20"/>
                <w:lang w:val="sr-Cyrl-CS"/>
              </w:rPr>
              <w:t>О</w:t>
            </w:r>
          </w:p>
        </w:tc>
        <w:tc>
          <w:tcPr>
            <w:tcW w:w="29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953AB2" w14:textId="09490E13" w:rsidR="00BD116A" w:rsidRPr="005303F7" w:rsidRDefault="00B06D62">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6942</w:t>
            </w:r>
          </w:p>
        </w:tc>
      </w:tr>
      <w:tr w:rsidR="00BD116A" w:rsidRPr="005303F7" w14:paraId="1D83909A" w14:textId="77777777" w:rsidTr="0009461F">
        <w:trPr>
          <w:trHeight w:val="442"/>
        </w:trPr>
        <w:tc>
          <w:tcPr>
            <w:tcW w:w="561" w:type="dxa"/>
            <w:gridSpan w:val="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30617050" w14:textId="6BB3CA88" w:rsidR="00BD116A" w:rsidRPr="005303F7" w:rsidRDefault="008D69AF">
            <w:pPr>
              <w:overflowPunct/>
              <w:spacing w:after="0"/>
              <w:rPr>
                <w:rFonts w:ascii="Times New Roman" w:hAnsi="Times New Roman"/>
                <w:sz w:val="20"/>
                <w:lang w:val="sr-Cyrl-CS"/>
              </w:rPr>
            </w:pPr>
            <w:r w:rsidRPr="005303F7">
              <w:rPr>
                <w:rFonts w:ascii="Times New Roman" w:hAnsi="Times New Roman"/>
                <w:sz w:val="20"/>
                <w:lang w:val="sr-Cyrl-CS"/>
              </w:rPr>
              <w:t>Бр</w:t>
            </w:r>
            <w:r w:rsidR="00BD116A" w:rsidRPr="005303F7">
              <w:rPr>
                <w:rFonts w:ascii="Times New Roman" w:hAnsi="Times New Roman"/>
                <w:sz w:val="20"/>
                <w:lang w:val="sr-Cyrl-CS"/>
              </w:rPr>
              <w:t>.</w:t>
            </w:r>
          </w:p>
        </w:tc>
        <w:tc>
          <w:tcPr>
            <w:tcW w:w="15429" w:type="dxa"/>
            <w:gridSpan w:val="3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251E7BE4" w14:textId="25BECB1A" w:rsidR="00BD116A" w:rsidRPr="005303F7" w:rsidRDefault="008D69AF" w:rsidP="00652668">
            <w:pPr>
              <w:overflowPunct/>
              <w:jc w:val="left"/>
              <w:rPr>
                <w:rFonts w:ascii="Times New Roman" w:hAnsi="Times New Roman"/>
                <w:b/>
                <w:bCs/>
                <w:sz w:val="20"/>
                <w:lang w:val="sr-Cyrl-CS"/>
              </w:rPr>
            </w:pPr>
            <w:r w:rsidRPr="005303F7">
              <w:rPr>
                <w:rFonts w:ascii="Times New Roman" w:hAnsi="Times New Roman"/>
                <w:b/>
                <w:bCs/>
                <w:sz w:val="20"/>
                <w:lang w:val="sr-Cyrl-CS"/>
              </w:rPr>
              <w:t>Назив</w:t>
            </w:r>
            <w:r w:rsidR="000228D8"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r w:rsidR="00BD116A" w:rsidRPr="005303F7">
              <w:rPr>
                <w:rFonts w:ascii="Times New Roman" w:hAnsi="Times New Roman"/>
                <w:b/>
                <w:bCs/>
                <w:sz w:val="20"/>
                <w:lang w:val="sr-Cyrl-CS"/>
              </w:rPr>
              <w:t xml:space="preserve">: </w:t>
            </w:r>
            <w:r w:rsidRPr="005303F7">
              <w:rPr>
                <w:rFonts w:ascii="Times New Roman" w:hAnsi="Times New Roman"/>
                <w:b/>
                <w:bCs/>
                <w:sz w:val="20"/>
                <w:u w:val="single"/>
                <w:lang w:val="sr-Cyrl-CS"/>
              </w:rPr>
              <w:t>Пове</w:t>
            </w:r>
            <w:r w:rsidR="00016298" w:rsidRPr="005303F7">
              <w:rPr>
                <w:rFonts w:ascii="Times New Roman" w:hAnsi="Times New Roman"/>
                <w:b/>
                <w:bCs/>
                <w:sz w:val="20"/>
                <w:u w:val="single"/>
                <w:lang w:val="sr-Cyrl-CS"/>
              </w:rPr>
              <w:t>ћ</w:t>
            </w:r>
            <w:r w:rsidRPr="005303F7">
              <w:rPr>
                <w:rFonts w:ascii="Times New Roman" w:hAnsi="Times New Roman"/>
                <w:b/>
                <w:bCs/>
                <w:sz w:val="20"/>
                <w:u w:val="single"/>
                <w:lang w:val="sr-Cyrl-CS"/>
              </w:rPr>
              <w:t>ање</w:t>
            </w:r>
            <w:r w:rsidR="000228D8"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употребе</w:t>
            </w:r>
            <w:r w:rsidR="000228D8"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ОИЕ</w:t>
            </w:r>
            <w:r w:rsidR="000228D8"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у</w:t>
            </w:r>
            <w:r w:rsidR="000228D8"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производњи</w:t>
            </w:r>
            <w:r w:rsidR="000228D8"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електричне</w:t>
            </w:r>
            <w:r w:rsidR="000228D8"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енергије</w:t>
            </w:r>
          </w:p>
        </w:tc>
      </w:tr>
      <w:tr w:rsidR="00BD116A" w:rsidRPr="005303F7" w14:paraId="18772396" w14:textId="77777777" w:rsidTr="0070650E">
        <w:trPr>
          <w:trHeight w:val="4300"/>
        </w:trPr>
        <w:tc>
          <w:tcPr>
            <w:tcW w:w="56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B4F3551" w14:textId="77777777" w:rsidR="00BD116A" w:rsidRPr="005303F7" w:rsidRDefault="00BD116A">
            <w:pPr>
              <w:overflowPunct/>
              <w:spacing w:after="0"/>
              <w:jc w:val="center"/>
              <w:rPr>
                <w:rFonts w:ascii="Times New Roman" w:hAnsi="Times New Roman"/>
                <w:b/>
                <w:color w:val="000000"/>
                <w:sz w:val="20"/>
                <w:lang w:val="sr-Cyrl-CS"/>
              </w:rPr>
            </w:pPr>
            <w:r w:rsidRPr="005303F7">
              <w:rPr>
                <w:rFonts w:ascii="Times New Roman" w:hAnsi="Times New Roman"/>
                <w:b/>
                <w:color w:val="000000"/>
                <w:sz w:val="20"/>
                <w:lang w:val="sr-Cyrl-CS"/>
              </w:rPr>
              <w:t>2</w:t>
            </w:r>
          </w:p>
        </w:tc>
        <w:tc>
          <w:tcPr>
            <w:tcW w:w="15429" w:type="dxa"/>
            <w:gridSpan w:val="32"/>
            <w:tcBorders>
              <w:top w:val="single" w:sz="4" w:space="0" w:color="auto"/>
              <w:left w:val="single" w:sz="4" w:space="0" w:color="auto"/>
              <w:bottom w:val="single" w:sz="4" w:space="0" w:color="auto"/>
              <w:right w:val="single" w:sz="4" w:space="0" w:color="auto"/>
            </w:tcBorders>
            <w:vAlign w:val="center"/>
          </w:tcPr>
          <w:p w14:paraId="08BD484F" w14:textId="3A00570B" w:rsidR="00BD116A" w:rsidRPr="005303F7" w:rsidRDefault="008D69AF">
            <w:pPr>
              <w:overflowPunct/>
              <w:jc w:val="left"/>
              <w:rPr>
                <w:rFonts w:ascii="Times New Roman" w:hAnsi="Times New Roman"/>
                <w:b/>
                <w:sz w:val="20"/>
                <w:u w:val="single"/>
                <w:lang w:val="sr-Cyrl-CS"/>
              </w:rPr>
            </w:pPr>
            <w:r w:rsidRPr="005303F7">
              <w:rPr>
                <w:rFonts w:ascii="Times New Roman" w:hAnsi="Times New Roman"/>
                <w:b/>
                <w:sz w:val="20"/>
                <w:u w:val="single"/>
                <w:lang w:val="sr-Cyrl-CS"/>
              </w:rPr>
              <w:t>Врста</w:t>
            </w:r>
            <w:r w:rsidR="00084437"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мере</w:t>
            </w:r>
            <w:r w:rsidR="00BD116A" w:rsidRPr="005303F7">
              <w:rPr>
                <w:rFonts w:ascii="Times New Roman" w:hAnsi="Times New Roman"/>
                <w:b/>
                <w:sz w:val="20"/>
                <w:u w:val="single"/>
                <w:lang w:val="sr-Cyrl-CS"/>
              </w:rPr>
              <w:t xml:space="preserve">: </w:t>
            </w:r>
            <w:r w:rsidRPr="005303F7">
              <w:rPr>
                <w:rFonts w:ascii="Times New Roman" w:hAnsi="Times New Roman"/>
                <w:bCs/>
                <w:sz w:val="20"/>
                <w:lang w:val="sr-Cyrl-CS"/>
              </w:rPr>
              <w:t>Подстицајна</w:t>
            </w:r>
            <w:r w:rsidR="00084437" w:rsidRPr="005303F7">
              <w:rPr>
                <w:rFonts w:ascii="Times New Roman" w:hAnsi="Times New Roman"/>
                <w:bCs/>
                <w:sz w:val="20"/>
                <w:lang w:val="sr-Cyrl-CS"/>
              </w:rPr>
              <w:t xml:space="preserve">, </w:t>
            </w:r>
            <w:r w:rsidRPr="005303F7">
              <w:rPr>
                <w:rFonts w:ascii="Times New Roman" w:hAnsi="Times New Roman"/>
                <w:bCs/>
                <w:sz w:val="20"/>
                <w:lang w:val="sr-Cyrl-CS"/>
              </w:rPr>
              <w:t>финансијска</w:t>
            </w:r>
            <w:r w:rsidR="00084437" w:rsidRPr="005303F7">
              <w:rPr>
                <w:rFonts w:ascii="Times New Roman" w:hAnsi="Times New Roman"/>
                <w:bCs/>
                <w:sz w:val="20"/>
                <w:lang w:val="sr-Cyrl-CS"/>
              </w:rPr>
              <w:t xml:space="preserve">, </w:t>
            </w:r>
            <w:r w:rsidRPr="005303F7">
              <w:rPr>
                <w:rFonts w:ascii="Times New Roman" w:hAnsi="Times New Roman"/>
                <w:bCs/>
                <w:sz w:val="20"/>
                <w:lang w:val="sr-Cyrl-CS"/>
              </w:rPr>
              <w:t>регулаторна</w:t>
            </w:r>
          </w:p>
          <w:p w14:paraId="2A045C11" w14:textId="0A24A0F3" w:rsidR="003D307D" w:rsidRPr="005303F7" w:rsidRDefault="008D69AF" w:rsidP="00764C29">
            <w:pPr>
              <w:overflowPunct/>
              <w:spacing w:after="0"/>
              <w:rPr>
                <w:rFonts w:ascii="Times New Roman" w:hAnsi="Times New Roman"/>
                <w:bCs/>
                <w:sz w:val="20"/>
                <w:lang w:val="sr-Cyrl-CS"/>
              </w:rPr>
            </w:pPr>
            <w:r w:rsidRPr="005303F7">
              <w:rPr>
                <w:rFonts w:ascii="Times New Roman" w:hAnsi="Times New Roman"/>
                <w:b/>
                <w:sz w:val="20"/>
                <w:u w:val="single"/>
                <w:lang w:val="sr-Cyrl-CS"/>
              </w:rPr>
              <w:t>Опис</w:t>
            </w:r>
            <w:r w:rsidR="006B7333"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мере</w:t>
            </w:r>
            <w:r w:rsidR="00BD116A" w:rsidRPr="005303F7">
              <w:rPr>
                <w:rFonts w:ascii="Times New Roman" w:hAnsi="Times New Roman"/>
                <w:bCs/>
                <w:sz w:val="20"/>
                <w:lang w:val="sr-Cyrl-CS"/>
              </w:rPr>
              <w:t>:</w:t>
            </w:r>
            <w:r w:rsidR="00BD116A" w:rsidRPr="005303F7">
              <w:rPr>
                <w:rFonts w:ascii="Times New Roman" w:hAnsi="Times New Roman"/>
                <w:lang w:val="sr-Cyrl-CS"/>
              </w:rPr>
              <w:t xml:space="preserve"> </w:t>
            </w:r>
            <w:r w:rsidR="00955C45" w:rsidRPr="005303F7">
              <w:rPr>
                <w:rFonts w:ascii="Times New Roman" w:hAnsi="Times New Roman"/>
                <w:bCs/>
                <w:sz w:val="20"/>
                <w:lang w:val="sr-Cyrl-CS"/>
              </w:rPr>
              <w:t xml:space="preserve">Потребно је спровести у пракси мере подршке производњи електричне енергије из обновљивиих извора енергије који је прописан Законом о коришћењу обновљивих извора енергије. Овим законом предвиђена су два система подстицаја: систем фид-ин тарифа за мала постројења и систем тржишних премија. Подстицаји се додељују кроз такмичарски поступак аукција, а обим капацитета који се подстичу одређује Влада прописивањем квота по технологији.  Квоте се одређују у складу са Законом </w:t>
            </w:r>
            <w:r w:rsidR="00453459" w:rsidRPr="005303F7">
              <w:rPr>
                <w:rFonts w:ascii="Times New Roman" w:hAnsi="Times New Roman"/>
                <w:bCs/>
                <w:sz w:val="20"/>
                <w:lang w:val="sr-Cyrl-CS"/>
              </w:rPr>
              <w:t>о кориш</w:t>
            </w:r>
            <w:r w:rsidR="00627AEB" w:rsidRPr="005303F7">
              <w:rPr>
                <w:rFonts w:ascii="Times New Roman" w:hAnsi="Times New Roman"/>
                <w:bCs/>
                <w:sz w:val="20"/>
                <w:lang w:val="sr-Cyrl-CS"/>
              </w:rPr>
              <w:t>ћ</w:t>
            </w:r>
            <w:r w:rsidR="00453459" w:rsidRPr="005303F7">
              <w:rPr>
                <w:rFonts w:ascii="Times New Roman" w:hAnsi="Times New Roman"/>
                <w:bCs/>
                <w:sz w:val="20"/>
                <w:lang w:val="sr-Cyrl-CS"/>
              </w:rPr>
              <w:t xml:space="preserve">ењу </w:t>
            </w:r>
            <w:r w:rsidR="00627AEB" w:rsidRPr="005303F7">
              <w:rPr>
                <w:rFonts w:ascii="Times New Roman" w:hAnsi="Times New Roman"/>
                <w:bCs/>
                <w:sz w:val="20"/>
                <w:lang w:val="sr-Cyrl-CS"/>
              </w:rPr>
              <w:t>обновљивих извора енергије</w:t>
            </w:r>
            <w:r w:rsidR="00453459" w:rsidRPr="005303F7">
              <w:rPr>
                <w:rFonts w:ascii="Times New Roman" w:hAnsi="Times New Roman"/>
                <w:bCs/>
                <w:sz w:val="20"/>
                <w:lang w:val="sr-Cyrl-CS"/>
              </w:rPr>
              <w:t xml:space="preserve">, </w:t>
            </w:r>
            <w:r w:rsidR="00955C45" w:rsidRPr="005303F7">
              <w:rPr>
                <w:rFonts w:ascii="Times New Roman" w:hAnsi="Times New Roman"/>
                <w:bCs/>
                <w:sz w:val="20"/>
                <w:lang w:val="sr-Cyrl-CS"/>
              </w:rPr>
              <w:t>планским документима у области енергетике</w:t>
            </w:r>
            <w:r w:rsidR="00453459" w:rsidRPr="005303F7">
              <w:rPr>
                <w:rFonts w:ascii="Times New Roman" w:hAnsi="Times New Roman"/>
                <w:bCs/>
                <w:sz w:val="20"/>
                <w:lang w:val="sr-Cyrl-CS"/>
              </w:rPr>
              <w:t>, преузетим међународним обавезама односно расположивим подацима о постојећим капацитетима, планираним потребама и другим подацима значајним за одређивање квота.</w:t>
            </w:r>
          </w:p>
          <w:p w14:paraId="554E0F1B" w14:textId="1CDCF6B3" w:rsidR="003D307D" w:rsidRPr="005303F7" w:rsidRDefault="004F4501" w:rsidP="00764C29">
            <w:pPr>
              <w:overflowPunct/>
              <w:spacing w:after="0"/>
              <w:rPr>
                <w:rFonts w:ascii="Times New Roman" w:hAnsi="Times New Roman"/>
                <w:sz w:val="20"/>
                <w:lang w:val="sr-Cyrl-CS"/>
              </w:rPr>
            </w:pPr>
            <w:r w:rsidRPr="005303F7">
              <w:rPr>
                <w:rFonts w:ascii="Times New Roman" w:hAnsi="Times New Roman"/>
                <w:bCs/>
                <w:sz w:val="20"/>
                <w:lang w:val="sr-Cyrl-CS"/>
              </w:rPr>
              <w:t xml:space="preserve">         </w:t>
            </w:r>
            <w:r w:rsidR="00901B03" w:rsidRPr="005303F7">
              <w:rPr>
                <w:rFonts w:ascii="Times New Roman" w:hAnsi="Times New Roman"/>
                <w:bCs/>
                <w:sz w:val="20"/>
                <w:lang w:val="sr-Cyrl-CS"/>
              </w:rPr>
              <w:t xml:space="preserve">До 2030. године укупни инсталисани капацитет електрана на ОИЕ у </w:t>
            </w:r>
            <w:r w:rsidR="00D73AAB" w:rsidRPr="005303F7">
              <w:rPr>
                <w:rFonts w:ascii="Times New Roman" w:hAnsi="Times New Roman"/>
                <w:bCs/>
                <w:sz w:val="20"/>
                <w:lang w:val="sr-Cyrl-CS"/>
              </w:rPr>
              <w:t>Републици Србији</w:t>
            </w:r>
            <w:r w:rsidR="00901B03" w:rsidRPr="005303F7">
              <w:rPr>
                <w:rFonts w:ascii="Times New Roman" w:hAnsi="Times New Roman"/>
                <w:bCs/>
                <w:sz w:val="20"/>
                <w:lang w:val="sr-Cyrl-CS"/>
              </w:rPr>
              <w:t xml:space="preserve"> треба дефинисати Интегрисаним националним енергетским и климатским планом које су компатибилне са општи</w:t>
            </w:r>
            <w:r w:rsidR="009D2ED5" w:rsidRPr="005303F7">
              <w:rPr>
                <w:rFonts w:ascii="Times New Roman" w:hAnsi="Times New Roman"/>
                <w:bCs/>
                <w:sz w:val="20"/>
                <w:lang w:val="sr-Cyrl-CS"/>
              </w:rPr>
              <w:t>м циљем и посебним циљем 2 ове стратегије</w:t>
            </w:r>
            <w:r w:rsidR="00901B03" w:rsidRPr="005303F7">
              <w:rPr>
                <w:rFonts w:ascii="Times New Roman" w:hAnsi="Times New Roman"/>
                <w:bCs/>
                <w:sz w:val="20"/>
                <w:lang w:val="sr-Cyrl-CS"/>
              </w:rPr>
              <w:t xml:space="preserve"> и усклађене са Стратегијом развоја енергетике</w:t>
            </w:r>
            <w:r w:rsidR="00FB538A" w:rsidRPr="005303F7">
              <w:rPr>
                <w:rFonts w:ascii="Times New Roman" w:hAnsi="Times New Roman"/>
                <w:sz w:val="18"/>
                <w:szCs w:val="16"/>
                <w:lang w:val="sr-Cyrl-CS"/>
              </w:rPr>
              <w:t xml:space="preserve"> Републике Србије до 2025. године са пројекцијама до 2030. године</w:t>
            </w:r>
            <w:r w:rsidR="00271E87" w:rsidRPr="005303F7">
              <w:rPr>
                <w:rFonts w:ascii="Times New Roman" w:hAnsi="Times New Roman"/>
                <w:bCs/>
                <w:sz w:val="20"/>
                <w:lang w:val="sr-Cyrl-CS"/>
              </w:rPr>
              <w:t>.</w:t>
            </w:r>
          </w:p>
          <w:p w14:paraId="1EEA1ED9" w14:textId="78B19743" w:rsidR="0060179A" w:rsidRPr="005303F7" w:rsidRDefault="004F4501" w:rsidP="00764C29">
            <w:pPr>
              <w:pStyle w:val="NormalWeb"/>
              <w:spacing w:before="0" w:beforeAutospacing="0" w:after="0" w:afterAutospacing="0"/>
              <w:jc w:val="both"/>
              <w:rPr>
                <w:rFonts w:ascii="Times New Roman" w:hAnsi="Times New Roman" w:cs="Times New Roman"/>
                <w:bCs/>
                <w:sz w:val="20"/>
                <w:lang w:val="sr-Cyrl-CS"/>
              </w:rPr>
            </w:pPr>
            <w:r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Треба</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напоменути</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да</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је</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за</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примену</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ове</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мере</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потребно</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уклонити</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административне</w:t>
            </w:r>
            <w:r w:rsidR="0060179A" w:rsidRPr="005303F7">
              <w:rPr>
                <w:rFonts w:ascii="Times New Roman" w:hAnsi="Times New Roman" w:cs="Times New Roman"/>
                <w:bCs/>
                <w:sz w:val="20"/>
                <w:lang w:val="sr-Cyrl-CS"/>
              </w:rPr>
              <w:t xml:space="preserve"> </w:t>
            </w:r>
            <w:r w:rsidR="008D69AF" w:rsidRPr="005303F7">
              <w:rPr>
                <w:rFonts w:ascii="Times New Roman" w:eastAsia="Times New Roman" w:hAnsi="Times New Roman" w:cs="Times New Roman"/>
                <w:bCs/>
                <w:sz w:val="20"/>
                <w:szCs w:val="20"/>
                <w:lang w:val="sr-Cyrl-CS" w:eastAsia="de-DE"/>
              </w:rPr>
              <w:t>препреке</w:t>
            </w:r>
            <w:r w:rsidR="0060179A" w:rsidRPr="005303F7">
              <w:rPr>
                <w:rFonts w:ascii="Times New Roman" w:eastAsia="Times New Roman" w:hAnsi="Times New Roman" w:cs="Times New Roman"/>
                <w:bCs/>
                <w:sz w:val="20"/>
                <w:szCs w:val="20"/>
                <w:lang w:val="sr-Cyrl-CS" w:eastAsia="de-DE"/>
              </w:rPr>
              <w:t xml:space="preserve">, </w:t>
            </w:r>
            <w:r w:rsidR="008D69AF" w:rsidRPr="005303F7">
              <w:rPr>
                <w:rFonts w:ascii="Times New Roman" w:eastAsia="Times New Roman" w:hAnsi="Times New Roman" w:cs="Times New Roman"/>
                <w:bCs/>
                <w:sz w:val="20"/>
                <w:szCs w:val="20"/>
                <w:lang w:val="sr-Cyrl-CS" w:eastAsia="de-DE"/>
              </w:rPr>
              <w:t>повећати</w:t>
            </w:r>
            <w:r w:rsidR="008941AD" w:rsidRPr="005303F7">
              <w:rPr>
                <w:rFonts w:ascii="Times New Roman" w:eastAsia="Times New Roman" w:hAnsi="Times New Roman" w:cs="Times New Roman"/>
                <w:bCs/>
                <w:sz w:val="20"/>
                <w:szCs w:val="20"/>
                <w:lang w:val="sr-Cyrl-CS" w:eastAsia="de-DE"/>
              </w:rPr>
              <w:t xml:space="preserve"> </w:t>
            </w:r>
            <w:r w:rsidR="008D69AF" w:rsidRPr="005303F7">
              <w:rPr>
                <w:rFonts w:ascii="Times New Roman" w:eastAsia="Times New Roman" w:hAnsi="Times New Roman" w:cs="Times New Roman"/>
                <w:bCs/>
                <w:sz w:val="20"/>
                <w:szCs w:val="20"/>
                <w:lang w:val="sr-Cyrl-CS" w:eastAsia="de-DE"/>
              </w:rPr>
              <w:t>капацитете</w:t>
            </w:r>
            <w:r w:rsidR="008941AD" w:rsidRPr="005303F7">
              <w:rPr>
                <w:rFonts w:ascii="Times New Roman" w:eastAsia="Times New Roman" w:hAnsi="Times New Roman" w:cs="Times New Roman"/>
                <w:bCs/>
                <w:sz w:val="20"/>
                <w:szCs w:val="20"/>
                <w:lang w:val="sr-Cyrl-CS" w:eastAsia="de-DE"/>
              </w:rPr>
              <w:t xml:space="preserve"> </w:t>
            </w:r>
            <w:r w:rsidR="008D69AF" w:rsidRPr="005303F7">
              <w:rPr>
                <w:rFonts w:ascii="Times New Roman" w:eastAsia="Times New Roman" w:hAnsi="Times New Roman" w:cs="Times New Roman"/>
                <w:bCs/>
                <w:sz w:val="20"/>
                <w:szCs w:val="20"/>
                <w:lang w:val="sr-Cyrl-CS" w:eastAsia="de-DE"/>
              </w:rPr>
              <w:t>надлежних</w:t>
            </w:r>
            <w:r w:rsidR="008941AD" w:rsidRPr="005303F7">
              <w:rPr>
                <w:rFonts w:ascii="Times New Roman" w:eastAsia="Times New Roman" w:hAnsi="Times New Roman" w:cs="Times New Roman"/>
                <w:bCs/>
                <w:sz w:val="20"/>
                <w:szCs w:val="20"/>
                <w:lang w:val="sr-Cyrl-CS" w:eastAsia="de-DE"/>
              </w:rPr>
              <w:t xml:space="preserve"> </w:t>
            </w:r>
            <w:r w:rsidR="008D69AF" w:rsidRPr="005303F7">
              <w:rPr>
                <w:rFonts w:ascii="Times New Roman" w:eastAsia="Times New Roman" w:hAnsi="Times New Roman" w:cs="Times New Roman"/>
                <w:bCs/>
                <w:sz w:val="20"/>
                <w:szCs w:val="20"/>
                <w:lang w:val="sr-Cyrl-CS" w:eastAsia="de-DE"/>
              </w:rPr>
              <w:t>институција</w:t>
            </w:r>
            <w:r w:rsidR="008D34B8" w:rsidRPr="005303F7">
              <w:rPr>
                <w:rFonts w:ascii="Times New Roman" w:eastAsia="Times New Roman" w:hAnsi="Times New Roman" w:cs="Times New Roman"/>
                <w:bCs/>
                <w:sz w:val="20"/>
                <w:szCs w:val="20"/>
                <w:lang w:val="sr-Cyrl-CS" w:eastAsia="de-DE"/>
              </w:rPr>
              <w:t>/</w:t>
            </w:r>
            <w:r w:rsidR="008D69AF" w:rsidRPr="005303F7">
              <w:rPr>
                <w:rFonts w:ascii="Times New Roman" w:eastAsia="Times New Roman" w:hAnsi="Times New Roman" w:cs="Times New Roman"/>
                <w:bCs/>
                <w:sz w:val="20"/>
                <w:szCs w:val="20"/>
                <w:lang w:val="sr-Cyrl-CS" w:eastAsia="de-DE"/>
              </w:rPr>
              <w:t>органа</w:t>
            </w:r>
            <w:r w:rsidR="008941AD" w:rsidRPr="005303F7">
              <w:rPr>
                <w:rFonts w:ascii="Times New Roman" w:eastAsia="Times New Roman" w:hAnsi="Times New Roman" w:cs="Times New Roman"/>
                <w:bCs/>
                <w:sz w:val="20"/>
                <w:szCs w:val="20"/>
                <w:lang w:val="sr-Cyrl-CS" w:eastAsia="de-DE"/>
              </w:rPr>
              <w:t xml:space="preserve"> </w:t>
            </w:r>
            <w:r w:rsidR="008D69AF" w:rsidRPr="005303F7">
              <w:rPr>
                <w:rFonts w:ascii="Times New Roman" w:eastAsia="Times New Roman" w:hAnsi="Times New Roman" w:cs="Times New Roman"/>
                <w:bCs/>
                <w:sz w:val="20"/>
                <w:szCs w:val="20"/>
                <w:lang w:val="sr-Cyrl-CS" w:eastAsia="de-DE"/>
              </w:rPr>
              <w:t>у</w:t>
            </w:r>
            <w:r w:rsidR="008941AD" w:rsidRPr="005303F7">
              <w:rPr>
                <w:rFonts w:ascii="Times New Roman" w:eastAsia="Times New Roman" w:hAnsi="Times New Roman" w:cs="Times New Roman"/>
                <w:bCs/>
                <w:sz w:val="20"/>
                <w:szCs w:val="20"/>
                <w:lang w:val="sr-Cyrl-CS" w:eastAsia="de-DE"/>
              </w:rPr>
              <w:t xml:space="preserve"> </w:t>
            </w:r>
            <w:r w:rsidR="008D69AF" w:rsidRPr="005303F7">
              <w:rPr>
                <w:rFonts w:ascii="Times New Roman" w:eastAsia="Times New Roman" w:hAnsi="Times New Roman" w:cs="Times New Roman"/>
                <w:bCs/>
                <w:sz w:val="20"/>
                <w:szCs w:val="20"/>
                <w:lang w:val="sr-Cyrl-CS" w:eastAsia="de-DE"/>
              </w:rPr>
              <w:t>погледу</w:t>
            </w:r>
            <w:r w:rsidR="008941AD" w:rsidRPr="005303F7">
              <w:rPr>
                <w:rFonts w:ascii="Times New Roman" w:eastAsia="Times New Roman" w:hAnsi="Times New Roman" w:cs="Times New Roman"/>
                <w:bCs/>
                <w:sz w:val="20"/>
                <w:szCs w:val="20"/>
                <w:lang w:val="sr-Cyrl-CS" w:eastAsia="de-DE"/>
              </w:rPr>
              <w:t xml:space="preserve"> </w:t>
            </w:r>
            <w:r w:rsidR="008D69AF" w:rsidRPr="005303F7">
              <w:rPr>
                <w:rFonts w:ascii="Times New Roman" w:eastAsia="Times New Roman" w:hAnsi="Times New Roman" w:cs="Times New Roman"/>
                <w:bCs/>
                <w:sz w:val="20"/>
                <w:szCs w:val="20"/>
                <w:lang w:val="sr-Cyrl-CS" w:eastAsia="de-DE"/>
              </w:rPr>
              <w:t>издавања</w:t>
            </w:r>
            <w:r w:rsidR="008941AD" w:rsidRPr="005303F7">
              <w:rPr>
                <w:rFonts w:ascii="Times New Roman" w:eastAsia="Times New Roman" w:hAnsi="Times New Roman" w:cs="Times New Roman"/>
                <w:bCs/>
                <w:sz w:val="20"/>
                <w:szCs w:val="20"/>
                <w:lang w:val="sr-Cyrl-CS" w:eastAsia="de-DE"/>
              </w:rPr>
              <w:t xml:space="preserve"> </w:t>
            </w:r>
            <w:r w:rsidR="008D69AF" w:rsidRPr="005303F7">
              <w:rPr>
                <w:rFonts w:ascii="Times New Roman" w:eastAsia="Times New Roman" w:hAnsi="Times New Roman" w:cs="Times New Roman"/>
                <w:bCs/>
                <w:sz w:val="20"/>
                <w:szCs w:val="20"/>
                <w:lang w:val="sr-Cyrl-CS" w:eastAsia="de-DE"/>
              </w:rPr>
              <w:t>дозвола</w:t>
            </w:r>
            <w:r w:rsidR="00E146AF" w:rsidRPr="005303F7">
              <w:rPr>
                <w:rFonts w:ascii="Times New Roman" w:eastAsia="Times New Roman" w:hAnsi="Times New Roman" w:cs="Times New Roman"/>
                <w:bCs/>
                <w:sz w:val="20"/>
                <w:szCs w:val="20"/>
                <w:lang w:val="sr-Cyrl-CS" w:eastAsia="de-DE"/>
              </w:rPr>
              <w:t xml:space="preserve"> </w:t>
            </w:r>
            <w:r w:rsidR="0060179A" w:rsidRPr="005303F7">
              <w:rPr>
                <w:rFonts w:ascii="Times New Roman" w:hAnsi="Times New Roman" w:cs="Times New Roman"/>
                <w:bCs/>
                <w:sz w:val="20"/>
                <w:lang w:val="sr-Cyrl-CS"/>
              </w:rPr>
              <w:t>(</w:t>
            </w:r>
            <w:r w:rsidR="008D69AF" w:rsidRPr="005303F7">
              <w:rPr>
                <w:rFonts w:ascii="Times New Roman" w:hAnsi="Times New Roman" w:cs="Times New Roman"/>
                <w:bCs/>
                <w:sz w:val="20"/>
                <w:lang w:val="sr-Cyrl-CS"/>
              </w:rPr>
              <w:t>локални</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и</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државни</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ниво</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и</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обезбедити</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дугорочно</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позитивно</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инвестиционо</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окружење</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како</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би</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се</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постигло</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потребно</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пове</w:t>
            </w:r>
            <w:r w:rsidR="00016298" w:rsidRPr="005303F7">
              <w:rPr>
                <w:rFonts w:ascii="Times New Roman" w:hAnsi="Times New Roman" w:cs="Times New Roman"/>
                <w:bCs/>
                <w:sz w:val="20"/>
                <w:lang w:val="sr-Cyrl-CS"/>
              </w:rPr>
              <w:t>ћ</w:t>
            </w:r>
            <w:r w:rsidR="008D69AF" w:rsidRPr="005303F7">
              <w:rPr>
                <w:rFonts w:ascii="Times New Roman" w:hAnsi="Times New Roman" w:cs="Times New Roman"/>
                <w:bCs/>
                <w:sz w:val="20"/>
                <w:lang w:val="sr-Cyrl-CS"/>
              </w:rPr>
              <w:t>ање</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капацитета</w:t>
            </w:r>
            <w:r w:rsidR="0060179A" w:rsidRPr="005303F7">
              <w:rPr>
                <w:rFonts w:ascii="Times New Roman" w:hAnsi="Times New Roman" w:cs="Times New Roman"/>
                <w:bCs/>
                <w:sz w:val="20"/>
                <w:lang w:val="sr-Cyrl-CS"/>
              </w:rPr>
              <w:t xml:space="preserve"> </w:t>
            </w:r>
            <w:r w:rsidR="008D69AF" w:rsidRPr="005303F7">
              <w:rPr>
                <w:rFonts w:ascii="Times New Roman" w:hAnsi="Times New Roman" w:cs="Times New Roman"/>
                <w:bCs/>
                <w:sz w:val="20"/>
                <w:lang w:val="sr-Cyrl-CS"/>
              </w:rPr>
              <w:t>ОИЕ</w:t>
            </w:r>
            <w:r w:rsidR="0060179A" w:rsidRPr="005303F7">
              <w:rPr>
                <w:rFonts w:ascii="Times New Roman" w:hAnsi="Times New Roman" w:cs="Times New Roman"/>
                <w:bCs/>
                <w:sz w:val="20"/>
                <w:lang w:val="sr-Cyrl-CS"/>
              </w:rPr>
              <w:t>.</w:t>
            </w:r>
          </w:p>
          <w:p w14:paraId="3BDC9619" w14:textId="05A4CE3A" w:rsidR="00BD116A" w:rsidRPr="005303F7" w:rsidRDefault="008D69AF" w:rsidP="00353B06">
            <w:pPr>
              <w:overflowPunct/>
              <w:jc w:val="left"/>
              <w:rPr>
                <w:rFonts w:ascii="Times New Roman" w:hAnsi="Times New Roman"/>
                <w:bCs/>
                <w:sz w:val="12"/>
                <w:szCs w:val="12"/>
                <w:lang w:val="sr-Cyrl-CS"/>
              </w:rPr>
            </w:pPr>
            <w:r w:rsidRPr="005303F7">
              <w:rPr>
                <w:rFonts w:ascii="Times New Roman" w:hAnsi="Times New Roman"/>
                <w:b/>
                <w:bCs/>
                <w:sz w:val="20"/>
                <w:u w:val="single"/>
                <w:lang w:val="sr-Cyrl-CS"/>
              </w:rPr>
              <w:t>Процес</w:t>
            </w:r>
            <w:r w:rsidR="004011B2"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преговора</w:t>
            </w:r>
            <w:r w:rsidR="004011B2"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о</w:t>
            </w:r>
            <w:r w:rsidR="004011B2"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приступању</w:t>
            </w:r>
            <w:r w:rsidR="004011B2"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ЕУ</w:t>
            </w:r>
            <w:r w:rsidR="004011B2"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Поглав</w:t>
            </w:r>
            <w:r w:rsidR="00D553BE" w:rsidRPr="005303F7">
              <w:rPr>
                <w:rFonts w:ascii="Times New Roman" w:hAnsi="Times New Roman"/>
                <w:b/>
                <w:bCs/>
                <w:sz w:val="20"/>
                <w:u w:val="single"/>
                <w:lang w:val="sr-Cyrl-CS"/>
              </w:rPr>
              <w:t>љ</w:t>
            </w:r>
            <w:r w:rsidRPr="005303F7">
              <w:rPr>
                <w:rFonts w:ascii="Times New Roman" w:hAnsi="Times New Roman"/>
                <w:b/>
                <w:bCs/>
                <w:sz w:val="20"/>
                <w:u w:val="single"/>
                <w:lang w:val="sr-Cyrl-CS"/>
              </w:rPr>
              <w:t>е</w:t>
            </w:r>
            <w:r w:rsidR="004011B2" w:rsidRPr="005303F7">
              <w:rPr>
                <w:rFonts w:ascii="Times New Roman" w:hAnsi="Times New Roman"/>
                <w:b/>
                <w:bCs/>
                <w:sz w:val="20"/>
                <w:u w:val="single"/>
                <w:lang w:val="sr-Cyrl-CS"/>
              </w:rPr>
              <w:t xml:space="preserve"> </w:t>
            </w:r>
            <w:r w:rsidR="00BD116A" w:rsidRPr="005303F7">
              <w:rPr>
                <w:rFonts w:ascii="Times New Roman" w:hAnsi="Times New Roman"/>
                <w:b/>
                <w:bCs/>
                <w:sz w:val="20"/>
                <w:u w:val="single"/>
                <w:lang w:val="sr-Cyrl-CS"/>
              </w:rPr>
              <w:t xml:space="preserve">15 – </w:t>
            </w:r>
            <w:r w:rsidRPr="005303F7">
              <w:rPr>
                <w:rFonts w:ascii="Times New Roman" w:hAnsi="Times New Roman"/>
                <w:b/>
                <w:bCs/>
                <w:sz w:val="20"/>
                <w:u w:val="single"/>
                <w:lang w:val="sr-Cyrl-CS"/>
              </w:rPr>
              <w:t>Енергетика</w:t>
            </w:r>
          </w:p>
        </w:tc>
      </w:tr>
      <w:tr w:rsidR="004011B2" w:rsidRPr="005303F7" w14:paraId="0A289C67" w14:textId="77777777" w:rsidTr="0009461F">
        <w:trPr>
          <w:trHeight w:val="442"/>
        </w:trPr>
        <w:tc>
          <w:tcPr>
            <w:tcW w:w="561" w:type="dxa"/>
            <w:gridSpan w:val="2"/>
            <w:vMerge/>
            <w:tcBorders>
              <w:top w:val="single" w:sz="4" w:space="0" w:color="auto"/>
              <w:left w:val="single" w:sz="4" w:space="0" w:color="auto"/>
              <w:bottom w:val="single" w:sz="4" w:space="0" w:color="auto"/>
              <w:right w:val="single" w:sz="4" w:space="0" w:color="auto"/>
            </w:tcBorders>
            <w:vAlign w:val="center"/>
            <w:hideMark/>
          </w:tcPr>
          <w:p w14:paraId="2D9CF78D" w14:textId="77777777" w:rsidR="004011B2" w:rsidRPr="005303F7" w:rsidRDefault="004011B2" w:rsidP="004011B2">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39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D1AFB1" w14:textId="69ED6D88" w:rsidR="004011B2" w:rsidRPr="005303F7" w:rsidRDefault="008D69AF" w:rsidP="0029378D">
            <w:pPr>
              <w:spacing w:before="0" w:after="0"/>
              <w:jc w:val="center"/>
              <w:rPr>
                <w:rFonts w:ascii="Times New Roman" w:hAnsi="Times New Roman"/>
                <w:b/>
                <w:bCs/>
                <w:sz w:val="20"/>
                <w:lang w:val="sr-Cyrl-CS"/>
              </w:rPr>
            </w:pPr>
            <w:r w:rsidRPr="005303F7">
              <w:rPr>
                <w:rFonts w:ascii="Times New Roman" w:hAnsi="Times New Roman"/>
                <w:b/>
                <w:bCs/>
                <w:sz w:val="20"/>
                <w:lang w:val="sr-Cyrl-CS"/>
              </w:rPr>
              <w:t>К</w:t>
            </w:r>
            <w:r w:rsidR="00D553BE" w:rsidRPr="005303F7">
              <w:rPr>
                <w:rFonts w:ascii="Times New Roman" w:hAnsi="Times New Roman"/>
                <w:b/>
                <w:bCs/>
                <w:sz w:val="20"/>
                <w:lang w:val="sr-Cyrl-CS"/>
              </w:rPr>
              <w:t>љ</w:t>
            </w:r>
            <w:r w:rsidRPr="005303F7">
              <w:rPr>
                <w:rFonts w:ascii="Times New Roman" w:hAnsi="Times New Roman"/>
                <w:b/>
                <w:bCs/>
                <w:sz w:val="20"/>
                <w:lang w:val="sr-Cyrl-CS"/>
              </w:rPr>
              <w:t>учни</w:t>
            </w:r>
            <w:r w:rsidR="004011B2" w:rsidRPr="005303F7">
              <w:rPr>
                <w:rFonts w:ascii="Times New Roman" w:hAnsi="Times New Roman"/>
                <w:b/>
                <w:bCs/>
                <w:sz w:val="20"/>
                <w:lang w:val="sr-Cyrl-CS"/>
              </w:rPr>
              <w:t xml:space="preserve"> </w:t>
            </w:r>
            <w:r w:rsidRPr="005303F7">
              <w:rPr>
                <w:rFonts w:ascii="Times New Roman" w:hAnsi="Times New Roman"/>
                <w:b/>
                <w:bCs/>
                <w:sz w:val="20"/>
                <w:lang w:val="sr-Cyrl-CS"/>
              </w:rPr>
              <w:t>субјекат</w:t>
            </w:r>
            <w:r w:rsidR="004011B2" w:rsidRPr="005303F7">
              <w:rPr>
                <w:rFonts w:ascii="Times New Roman" w:hAnsi="Times New Roman"/>
                <w:b/>
                <w:bCs/>
                <w:sz w:val="20"/>
                <w:lang w:val="sr-Cyrl-CS"/>
              </w:rPr>
              <w:t xml:space="preserve"> </w:t>
            </w:r>
            <w:r w:rsidRPr="005303F7">
              <w:rPr>
                <w:rFonts w:ascii="Times New Roman" w:hAnsi="Times New Roman"/>
                <w:b/>
                <w:bCs/>
                <w:sz w:val="20"/>
                <w:lang w:val="sr-Cyrl-CS"/>
              </w:rPr>
              <w:t>за</w:t>
            </w:r>
            <w:r w:rsidR="004011B2" w:rsidRPr="005303F7">
              <w:rPr>
                <w:rFonts w:ascii="Times New Roman" w:hAnsi="Times New Roman"/>
                <w:b/>
                <w:bCs/>
                <w:sz w:val="20"/>
                <w:lang w:val="sr-Cyrl-CS"/>
              </w:rPr>
              <w:t xml:space="preserve"> </w:t>
            </w:r>
            <w:r w:rsidRPr="005303F7">
              <w:rPr>
                <w:rFonts w:ascii="Times New Roman" w:hAnsi="Times New Roman"/>
                <w:b/>
                <w:bCs/>
                <w:sz w:val="20"/>
                <w:lang w:val="sr-Cyrl-CS"/>
              </w:rPr>
              <w:t>спровођење</w:t>
            </w:r>
            <w:r w:rsidR="004011B2"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p>
        </w:tc>
        <w:tc>
          <w:tcPr>
            <w:tcW w:w="6227"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4E0079" w14:textId="12C1BC83" w:rsidR="004011B2"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Партнери</w:t>
            </w:r>
          </w:p>
        </w:tc>
        <w:tc>
          <w:tcPr>
            <w:tcW w:w="116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5E88A0" w14:textId="78EF5363" w:rsidR="004011B2" w:rsidRPr="005303F7" w:rsidRDefault="00690489" w:rsidP="0029378D">
            <w:pPr>
              <w:overflowPunct/>
              <w:spacing w:before="0" w:after="0"/>
              <w:jc w:val="center"/>
              <w:rPr>
                <w:rFonts w:ascii="Times New Roman" w:hAnsi="Times New Roman"/>
                <w:b/>
                <w:bCs/>
                <w:sz w:val="19"/>
                <w:szCs w:val="19"/>
                <w:lang w:val="sr-Cyrl-CS"/>
              </w:rPr>
            </w:pPr>
            <w:r w:rsidRPr="005303F7">
              <w:rPr>
                <w:rFonts w:ascii="Times New Roman" w:hAnsi="Times New Roman"/>
                <w:b/>
                <w:sz w:val="20"/>
                <w:lang w:val="sr-Cyrl-CS"/>
              </w:rPr>
              <w:t xml:space="preserve">ЕТS/ </w:t>
            </w:r>
            <w:r w:rsidR="004A35C7" w:rsidRPr="005303F7">
              <w:rPr>
                <w:rFonts w:ascii="Times New Roman" w:hAnsi="Times New Roman"/>
                <w:b/>
                <w:sz w:val="20"/>
                <w:lang w:val="sr-Cyrl-CS"/>
              </w:rPr>
              <w:t>не-ЕТS</w:t>
            </w:r>
          </w:p>
        </w:tc>
        <w:tc>
          <w:tcPr>
            <w:tcW w:w="153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AC2927" w14:textId="59A68BB4" w:rsidR="004011B2"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Главни</w:t>
            </w:r>
            <w:r w:rsidR="004011B2" w:rsidRPr="005303F7">
              <w:rPr>
                <w:rFonts w:ascii="Times New Roman" w:hAnsi="Times New Roman"/>
                <w:b/>
                <w:bCs/>
                <w:sz w:val="20"/>
                <w:lang w:val="sr-Cyrl-CS"/>
              </w:rPr>
              <w:t xml:space="preserve"> </w:t>
            </w:r>
            <w:r w:rsidRPr="005303F7">
              <w:rPr>
                <w:rFonts w:ascii="Times New Roman" w:hAnsi="Times New Roman"/>
                <w:b/>
                <w:bCs/>
                <w:sz w:val="20"/>
                <w:lang w:val="sr-Cyrl-CS"/>
              </w:rPr>
              <w:t>гасови</w:t>
            </w:r>
          </w:p>
        </w:tc>
        <w:tc>
          <w:tcPr>
            <w:tcW w:w="310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C75F5D" w14:textId="73309637" w:rsidR="00D7102F" w:rsidRPr="005303F7" w:rsidRDefault="00DC2380"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Процењен утицај ублажавања</w:t>
            </w:r>
            <w:r w:rsidRPr="005303F7" w:rsidDel="004A1F5D">
              <w:rPr>
                <w:rFonts w:ascii="Times New Roman" w:hAnsi="Times New Roman"/>
                <w:b/>
                <w:bCs/>
                <w:sz w:val="20"/>
                <w:lang w:val="sr-Cyrl-CS"/>
              </w:rPr>
              <w:t xml:space="preserve"> </w:t>
            </w:r>
            <w:r w:rsidR="00D7102F" w:rsidRPr="005303F7">
              <w:rPr>
                <w:rFonts w:ascii="Times New Roman" w:hAnsi="Times New Roman"/>
                <w:b/>
                <w:bCs/>
                <w:sz w:val="20"/>
                <w:lang w:val="sr-Cyrl-CS"/>
              </w:rPr>
              <w:t xml:space="preserve">до 2030. </w:t>
            </w:r>
          </w:p>
          <w:p w14:paraId="77942A53" w14:textId="694F05DC" w:rsidR="004011B2"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BD116A" w:rsidRPr="005303F7" w14:paraId="192C499B" w14:textId="77777777" w:rsidTr="0009461F">
        <w:trPr>
          <w:trHeight w:val="517"/>
        </w:trPr>
        <w:tc>
          <w:tcPr>
            <w:tcW w:w="561" w:type="dxa"/>
            <w:gridSpan w:val="2"/>
            <w:vMerge/>
            <w:tcBorders>
              <w:top w:val="single" w:sz="4" w:space="0" w:color="auto"/>
              <w:left w:val="single" w:sz="4" w:space="0" w:color="auto"/>
              <w:bottom w:val="single" w:sz="4" w:space="0" w:color="auto"/>
              <w:right w:val="single" w:sz="4" w:space="0" w:color="auto"/>
            </w:tcBorders>
            <w:vAlign w:val="center"/>
            <w:hideMark/>
          </w:tcPr>
          <w:p w14:paraId="5304E49F" w14:textId="77777777" w:rsidR="00BD116A" w:rsidRPr="005303F7" w:rsidRDefault="00BD116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3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C3935B" w14:textId="2EE693B2" w:rsidR="00BD116A" w:rsidRPr="005303F7" w:rsidRDefault="008D69AF" w:rsidP="00D94702">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4011B2"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рударства</w:t>
            </w:r>
            <w:r w:rsidR="004011B2"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4011B2"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енергетике</w:t>
            </w:r>
          </w:p>
        </w:tc>
        <w:tc>
          <w:tcPr>
            <w:tcW w:w="6227"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F903F7" w14:textId="0C94DDBB"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4011B2"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заштите</w:t>
            </w:r>
            <w:r w:rsidR="004011B2"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животне</w:t>
            </w:r>
            <w:r w:rsidR="004011B2"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средине</w:t>
            </w:r>
          </w:p>
        </w:tc>
        <w:tc>
          <w:tcPr>
            <w:tcW w:w="116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A08F3" w14:textId="460B0D33" w:rsidR="00BD116A" w:rsidRPr="005303F7" w:rsidRDefault="008D69AF">
            <w:pPr>
              <w:overflowPunct/>
              <w:spacing w:after="0"/>
              <w:jc w:val="center"/>
              <w:rPr>
                <w:rFonts w:ascii="Times New Roman" w:hAnsi="Times New Roman"/>
                <w:bCs/>
                <w:sz w:val="20"/>
                <w:lang w:val="sr-Cyrl-CS"/>
              </w:rPr>
            </w:pPr>
            <w:r w:rsidRPr="005303F7">
              <w:rPr>
                <w:rFonts w:ascii="Times New Roman" w:hAnsi="Times New Roman"/>
                <w:bCs/>
                <w:sz w:val="20"/>
                <w:lang w:val="sr-Cyrl-CS"/>
              </w:rPr>
              <w:t>ЕТ</w:t>
            </w:r>
            <w:r w:rsidR="00D7102F" w:rsidRPr="005303F7">
              <w:rPr>
                <w:rFonts w:ascii="Times New Roman" w:hAnsi="Times New Roman"/>
                <w:bCs/>
                <w:sz w:val="20"/>
                <w:lang w:val="sr-Cyrl-CS"/>
              </w:rPr>
              <w:t>S</w:t>
            </w:r>
          </w:p>
        </w:tc>
        <w:tc>
          <w:tcPr>
            <w:tcW w:w="153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63389" w14:textId="56338692" w:rsidR="00BD116A" w:rsidRPr="005303F7" w:rsidRDefault="00690489">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C</w:t>
            </w:r>
            <w:r w:rsidR="008D69AF" w:rsidRPr="005303F7">
              <w:rPr>
                <w:rFonts w:ascii="Times New Roman" w:hAnsi="Times New Roman"/>
                <w:bCs/>
                <w:color w:val="000000"/>
                <w:sz w:val="20"/>
                <w:lang w:val="sr-Cyrl-CS"/>
              </w:rPr>
              <w:t>О</w:t>
            </w:r>
            <w:r w:rsidR="00BD116A" w:rsidRPr="005303F7">
              <w:rPr>
                <w:rFonts w:ascii="Times New Roman" w:hAnsi="Times New Roman"/>
                <w:bCs/>
                <w:color w:val="000000"/>
                <w:sz w:val="20"/>
                <w:vertAlign w:val="subscript"/>
                <w:lang w:val="sr-Cyrl-CS"/>
              </w:rPr>
              <w:t>2</w:t>
            </w:r>
          </w:p>
        </w:tc>
        <w:tc>
          <w:tcPr>
            <w:tcW w:w="310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83DFC4" w14:textId="2983FA65"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lang w:val="sr-Cyrl-CS"/>
              </w:rPr>
              <w:t>под</w:t>
            </w:r>
            <w:r w:rsidR="00E20FDE" w:rsidRPr="005303F7">
              <w:rPr>
                <w:rFonts w:ascii="Times New Roman" w:hAnsi="Times New Roman"/>
                <w:bCs/>
                <w:lang w:val="sr-Cyrl-CS"/>
              </w:rPr>
              <w:t xml:space="preserve"> </w:t>
            </w:r>
            <w:r w:rsidR="00271E87" w:rsidRPr="005303F7">
              <w:rPr>
                <w:rFonts w:ascii="Times New Roman" w:hAnsi="Times New Roman"/>
                <w:bCs/>
                <w:lang w:val="sr-Cyrl-CS"/>
              </w:rPr>
              <w:t>б</w:t>
            </w:r>
            <w:r w:rsidRPr="005303F7">
              <w:rPr>
                <w:rFonts w:ascii="Times New Roman" w:hAnsi="Times New Roman"/>
                <w:bCs/>
                <w:lang w:val="sr-Cyrl-CS"/>
              </w:rPr>
              <w:t>р</w:t>
            </w:r>
            <w:r w:rsidR="00E20FDE" w:rsidRPr="005303F7">
              <w:rPr>
                <w:rFonts w:ascii="Times New Roman" w:hAnsi="Times New Roman"/>
                <w:bCs/>
                <w:lang w:val="sr-Cyrl-CS"/>
              </w:rPr>
              <w:t>.1</w:t>
            </w:r>
            <w:r w:rsidR="00BD116A" w:rsidRPr="005303F7">
              <w:rPr>
                <w:rFonts w:ascii="Times New Roman" w:hAnsi="Times New Roman"/>
                <w:bCs/>
                <w:u w:val="single"/>
                <w:lang w:val="sr-Cyrl-CS"/>
              </w:rPr>
              <w:t>.</w:t>
            </w:r>
          </w:p>
        </w:tc>
      </w:tr>
      <w:tr w:rsidR="00BD116A" w:rsidRPr="005303F7" w14:paraId="38F8B484" w14:textId="77777777" w:rsidTr="0009461F">
        <w:trPr>
          <w:trHeight w:val="442"/>
        </w:trPr>
        <w:tc>
          <w:tcPr>
            <w:tcW w:w="561" w:type="dxa"/>
            <w:gridSpan w:val="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53108C42" w14:textId="60D2DE67" w:rsidR="00BD116A" w:rsidRPr="005303F7" w:rsidRDefault="008D69AF">
            <w:pPr>
              <w:overflowPunct/>
              <w:spacing w:after="0"/>
              <w:rPr>
                <w:rFonts w:ascii="Times New Roman" w:hAnsi="Times New Roman"/>
                <w:szCs w:val="22"/>
                <w:lang w:val="sr-Cyrl-CS"/>
              </w:rPr>
            </w:pPr>
            <w:r w:rsidRPr="005303F7">
              <w:rPr>
                <w:rFonts w:ascii="Times New Roman" w:hAnsi="Times New Roman"/>
                <w:szCs w:val="22"/>
                <w:lang w:val="sr-Cyrl-CS"/>
              </w:rPr>
              <w:t>Бр</w:t>
            </w:r>
            <w:r w:rsidR="00BD116A" w:rsidRPr="005303F7">
              <w:rPr>
                <w:rFonts w:ascii="Times New Roman" w:hAnsi="Times New Roman"/>
                <w:szCs w:val="22"/>
                <w:lang w:val="sr-Cyrl-CS"/>
              </w:rPr>
              <w:t>.</w:t>
            </w:r>
          </w:p>
        </w:tc>
        <w:tc>
          <w:tcPr>
            <w:tcW w:w="15429" w:type="dxa"/>
            <w:gridSpan w:val="3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3CE1AEB9" w14:textId="2F2D0B81" w:rsidR="00BD116A" w:rsidRPr="005303F7" w:rsidRDefault="008D69AF" w:rsidP="00652668">
            <w:pPr>
              <w:overflowPunct/>
              <w:jc w:val="left"/>
              <w:rPr>
                <w:rFonts w:ascii="Times New Roman" w:hAnsi="Times New Roman"/>
                <w:b/>
                <w:sz w:val="20"/>
                <w:u w:val="single"/>
                <w:lang w:val="sr-Cyrl-CS"/>
              </w:rPr>
            </w:pPr>
            <w:r w:rsidRPr="005303F7">
              <w:rPr>
                <w:rFonts w:ascii="Times New Roman" w:hAnsi="Times New Roman"/>
                <w:b/>
                <w:bCs/>
                <w:sz w:val="20"/>
                <w:lang w:val="sr-Cyrl-CS"/>
              </w:rPr>
              <w:t>Назив</w:t>
            </w:r>
            <w:r w:rsidR="007B7354"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r w:rsidR="00BD116A" w:rsidRPr="005303F7">
              <w:rPr>
                <w:rFonts w:ascii="Times New Roman" w:hAnsi="Times New Roman"/>
                <w:b/>
                <w:bCs/>
                <w:sz w:val="20"/>
                <w:lang w:val="sr-Cyrl-CS"/>
              </w:rPr>
              <w:t xml:space="preserve">: </w:t>
            </w:r>
            <w:r w:rsidRPr="005303F7">
              <w:rPr>
                <w:rFonts w:ascii="Times New Roman" w:hAnsi="Times New Roman"/>
                <w:b/>
                <w:bCs/>
                <w:sz w:val="20"/>
                <w:u w:val="single"/>
                <w:lang w:val="sr-Cyrl-CS"/>
              </w:rPr>
              <w:t>Унапређење</w:t>
            </w:r>
            <w:r w:rsidR="005B427B"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енергетске</w:t>
            </w:r>
            <w:r w:rsidR="005B427B"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ефикасности</w:t>
            </w:r>
            <w:r w:rsidR="005B427B"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и</w:t>
            </w:r>
            <w:r w:rsidR="005B427B"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повећање</w:t>
            </w:r>
            <w:r w:rsidR="00891B5B"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коришћења</w:t>
            </w:r>
            <w:r w:rsidR="005B427B" w:rsidRPr="005303F7">
              <w:rPr>
                <w:rFonts w:ascii="Times New Roman" w:hAnsi="Times New Roman"/>
                <w:b/>
                <w:bCs/>
                <w:sz w:val="20"/>
                <w:u w:val="single"/>
                <w:lang w:val="sr-Cyrl-CS"/>
              </w:rPr>
              <w:t xml:space="preserve"> </w:t>
            </w:r>
            <w:r w:rsidR="004A35C7" w:rsidRPr="005303F7">
              <w:rPr>
                <w:rFonts w:ascii="Times New Roman" w:hAnsi="Times New Roman"/>
                <w:b/>
                <w:bCs/>
                <w:sz w:val="20"/>
                <w:u w:val="single"/>
                <w:lang w:val="sr-Cyrl-CS"/>
              </w:rPr>
              <w:t>ко</w:t>
            </w:r>
            <w:r w:rsidRPr="005303F7">
              <w:rPr>
                <w:rFonts w:ascii="Times New Roman" w:hAnsi="Times New Roman"/>
                <w:b/>
                <w:bCs/>
                <w:sz w:val="20"/>
                <w:u w:val="single"/>
                <w:lang w:val="sr-Cyrl-CS"/>
              </w:rPr>
              <w:t>генерације</w:t>
            </w:r>
            <w:r w:rsidR="005B427B"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и</w:t>
            </w:r>
            <w:r w:rsidR="005B427B"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ОИЕ</w:t>
            </w:r>
            <w:r w:rsidR="005B427B"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у</w:t>
            </w:r>
            <w:r w:rsidR="005B427B"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системима</w:t>
            </w:r>
            <w:r w:rsidR="005B427B"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да</w:t>
            </w:r>
            <w:r w:rsidR="00D553BE" w:rsidRPr="005303F7">
              <w:rPr>
                <w:rFonts w:ascii="Times New Roman" w:hAnsi="Times New Roman"/>
                <w:b/>
                <w:bCs/>
                <w:sz w:val="20"/>
                <w:u w:val="single"/>
                <w:lang w:val="sr-Cyrl-CS"/>
              </w:rPr>
              <w:t>љ</w:t>
            </w:r>
            <w:r w:rsidRPr="005303F7">
              <w:rPr>
                <w:rFonts w:ascii="Times New Roman" w:hAnsi="Times New Roman"/>
                <w:b/>
                <w:bCs/>
                <w:sz w:val="20"/>
                <w:u w:val="single"/>
                <w:lang w:val="sr-Cyrl-CS"/>
              </w:rPr>
              <w:t>инског</w:t>
            </w:r>
            <w:r w:rsidR="005B427B"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грејања</w:t>
            </w:r>
          </w:p>
        </w:tc>
      </w:tr>
      <w:tr w:rsidR="00BD116A" w:rsidRPr="005303F7" w14:paraId="5FAEE113" w14:textId="77777777" w:rsidTr="0009461F">
        <w:trPr>
          <w:trHeight w:val="355"/>
        </w:trPr>
        <w:tc>
          <w:tcPr>
            <w:tcW w:w="56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320678" w14:textId="77777777" w:rsidR="00BD116A" w:rsidRPr="005303F7" w:rsidRDefault="00BD116A">
            <w:pPr>
              <w:overflowPunct/>
              <w:spacing w:after="0"/>
              <w:jc w:val="center"/>
              <w:rPr>
                <w:rFonts w:ascii="Times New Roman" w:hAnsi="Times New Roman"/>
                <w:b/>
                <w:color w:val="000000"/>
                <w:sz w:val="20"/>
                <w:lang w:val="sr-Cyrl-CS"/>
              </w:rPr>
            </w:pPr>
            <w:r w:rsidRPr="005303F7">
              <w:rPr>
                <w:rFonts w:ascii="Times New Roman" w:hAnsi="Times New Roman"/>
                <w:b/>
                <w:color w:val="000000"/>
                <w:sz w:val="20"/>
                <w:lang w:val="sr-Cyrl-CS"/>
              </w:rPr>
              <w:t>3</w:t>
            </w:r>
          </w:p>
        </w:tc>
        <w:tc>
          <w:tcPr>
            <w:tcW w:w="15429" w:type="dxa"/>
            <w:gridSpan w:val="32"/>
            <w:tcBorders>
              <w:top w:val="single" w:sz="4" w:space="0" w:color="auto"/>
              <w:left w:val="single" w:sz="4" w:space="0" w:color="auto"/>
              <w:bottom w:val="single" w:sz="4" w:space="0" w:color="auto"/>
              <w:right w:val="single" w:sz="4" w:space="0" w:color="auto"/>
            </w:tcBorders>
            <w:vAlign w:val="center"/>
          </w:tcPr>
          <w:p w14:paraId="722EED40" w14:textId="49A1FA2C" w:rsidR="00BD116A" w:rsidRPr="005303F7" w:rsidRDefault="008D69AF">
            <w:pPr>
              <w:overflowPunct/>
              <w:jc w:val="left"/>
              <w:rPr>
                <w:rFonts w:ascii="Times New Roman" w:hAnsi="Times New Roman"/>
                <w:b/>
                <w:color w:val="000000"/>
                <w:sz w:val="20"/>
                <w:u w:val="single"/>
                <w:lang w:val="sr-Cyrl-CS"/>
              </w:rPr>
            </w:pPr>
            <w:r w:rsidRPr="005303F7">
              <w:rPr>
                <w:rFonts w:ascii="Times New Roman" w:hAnsi="Times New Roman"/>
                <w:b/>
                <w:color w:val="000000"/>
                <w:sz w:val="20"/>
                <w:u w:val="single"/>
                <w:lang w:val="sr-Cyrl-CS"/>
              </w:rPr>
              <w:t>Врста</w:t>
            </w:r>
            <w:r w:rsidR="008A4632"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BD116A" w:rsidRPr="005303F7">
              <w:rPr>
                <w:rFonts w:ascii="Times New Roman" w:hAnsi="Times New Roman"/>
                <w:b/>
                <w:color w:val="000000"/>
                <w:sz w:val="20"/>
                <w:u w:val="single"/>
                <w:lang w:val="sr-Cyrl-CS"/>
              </w:rPr>
              <w:t xml:space="preserve">: </w:t>
            </w:r>
            <w:r w:rsidRPr="005303F7">
              <w:rPr>
                <w:rFonts w:ascii="Times New Roman" w:hAnsi="Times New Roman"/>
                <w:bCs/>
                <w:color w:val="000000"/>
                <w:sz w:val="20"/>
                <w:lang w:val="sr-Cyrl-CS"/>
              </w:rPr>
              <w:t>Подстицајна</w:t>
            </w:r>
            <w:r w:rsidR="008A4632"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финансијска</w:t>
            </w:r>
            <w:r w:rsidR="008A4632"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регулаторна</w:t>
            </w:r>
          </w:p>
          <w:p w14:paraId="4FB2613C" w14:textId="39498708" w:rsidR="00F364C4" w:rsidRPr="005303F7" w:rsidRDefault="008D69AF" w:rsidP="00F72456">
            <w:pPr>
              <w:overflowPunct/>
              <w:spacing w:after="0"/>
              <w:rPr>
                <w:rFonts w:ascii="Times New Roman" w:hAnsi="Times New Roman"/>
                <w:bCs/>
                <w:color w:val="000000"/>
                <w:sz w:val="20"/>
                <w:lang w:val="sr-Cyrl-CS"/>
              </w:rPr>
            </w:pPr>
            <w:r w:rsidRPr="005303F7">
              <w:rPr>
                <w:rFonts w:ascii="Times New Roman" w:hAnsi="Times New Roman"/>
                <w:b/>
                <w:color w:val="000000"/>
                <w:sz w:val="20"/>
                <w:u w:val="single"/>
                <w:lang w:val="sr-Cyrl-CS"/>
              </w:rPr>
              <w:t>Опис</w:t>
            </w:r>
            <w:r w:rsidR="008A4632"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BD116A" w:rsidRPr="005303F7">
              <w:rPr>
                <w:rFonts w:ascii="Times New Roman" w:hAnsi="Times New Roman"/>
                <w:bCs/>
                <w:color w:val="000000"/>
                <w:sz w:val="20"/>
                <w:lang w:val="sr-Cyrl-CS"/>
              </w:rPr>
              <w:t>:</w:t>
            </w:r>
            <w:r w:rsidR="00BD116A" w:rsidRPr="005303F7">
              <w:rPr>
                <w:rFonts w:ascii="Times New Roman" w:hAnsi="Times New Roman"/>
                <w:lang w:val="sr-Cyrl-CS"/>
              </w:rPr>
              <w:t xml:space="preserve"> </w:t>
            </w:r>
            <w:r w:rsidR="008E09BA" w:rsidRPr="005303F7">
              <w:rPr>
                <w:rFonts w:ascii="Times New Roman" w:hAnsi="Times New Roman"/>
                <w:bCs/>
                <w:color w:val="000000"/>
                <w:sz w:val="20"/>
                <w:lang w:val="sr-Cyrl-CS"/>
              </w:rPr>
              <w:t>Законом о енергетској ефикасности и рационалној употреби енергије предвиђен је финансијски подстицај кроз ф</w:t>
            </w:r>
            <w:r w:rsidR="00271E87" w:rsidRPr="005303F7">
              <w:rPr>
                <w:rFonts w:ascii="Times New Roman" w:hAnsi="Times New Roman"/>
                <w:bCs/>
                <w:color w:val="000000"/>
                <w:sz w:val="20"/>
                <w:lang w:val="sr-Cyrl-CS"/>
              </w:rPr>
              <w:t>и</w:t>
            </w:r>
            <w:r w:rsidR="008E09BA" w:rsidRPr="005303F7">
              <w:rPr>
                <w:rFonts w:ascii="Times New Roman" w:hAnsi="Times New Roman"/>
                <w:bCs/>
                <w:color w:val="000000"/>
                <w:sz w:val="20"/>
                <w:lang w:val="sr-Cyrl-CS"/>
              </w:rPr>
              <w:t>д-ин тариф</w:t>
            </w:r>
            <w:r w:rsidR="00351730" w:rsidRPr="005303F7">
              <w:rPr>
                <w:rFonts w:ascii="Times New Roman" w:hAnsi="Times New Roman"/>
                <w:bCs/>
                <w:color w:val="000000"/>
                <w:sz w:val="20"/>
                <w:lang w:val="sr-Cyrl-CS"/>
              </w:rPr>
              <w:t>е</w:t>
            </w:r>
            <w:r w:rsidR="008E09BA" w:rsidRPr="005303F7">
              <w:rPr>
                <w:rFonts w:ascii="Times New Roman" w:hAnsi="Times New Roman"/>
                <w:bCs/>
                <w:color w:val="000000"/>
                <w:sz w:val="20"/>
                <w:lang w:val="sr-Cyrl-CS"/>
              </w:rPr>
              <w:t xml:space="preserve"> и тржишне премије за високоефикасну когенерацију за постројења капацитета до 10 MWe.  У складу са </w:t>
            </w:r>
            <w:r w:rsidR="00903CD0" w:rsidRPr="005303F7">
              <w:rPr>
                <w:rFonts w:ascii="Times New Roman" w:hAnsi="Times New Roman"/>
                <w:bCs/>
                <w:color w:val="000000"/>
                <w:sz w:val="20"/>
                <w:lang w:val="sr-Cyrl-CS"/>
              </w:rPr>
              <w:t>овим законом</w:t>
            </w:r>
            <w:r w:rsidR="008E09BA" w:rsidRPr="005303F7">
              <w:rPr>
                <w:rFonts w:ascii="Times New Roman" w:hAnsi="Times New Roman"/>
                <w:bCs/>
                <w:color w:val="000000"/>
                <w:sz w:val="20"/>
                <w:lang w:val="sr-Cyrl-CS"/>
              </w:rPr>
              <w:t>, за сва постројења високо ефикасне когенераци</w:t>
            </w:r>
            <w:r w:rsidR="00C02975" w:rsidRPr="005303F7">
              <w:rPr>
                <w:rFonts w:ascii="Times New Roman" w:hAnsi="Times New Roman"/>
                <w:bCs/>
                <w:color w:val="000000"/>
                <w:sz w:val="20"/>
                <w:lang w:val="sr-Cyrl-CS"/>
              </w:rPr>
              <w:t>је која нису обухваћена финанси</w:t>
            </w:r>
            <w:r w:rsidR="008E09BA" w:rsidRPr="005303F7">
              <w:rPr>
                <w:rFonts w:ascii="Times New Roman" w:hAnsi="Times New Roman"/>
                <w:bCs/>
                <w:color w:val="000000"/>
                <w:sz w:val="20"/>
                <w:lang w:val="sr-Cyrl-CS"/>
              </w:rPr>
              <w:t>ј</w:t>
            </w:r>
            <w:r w:rsidR="00C02975" w:rsidRPr="005303F7">
              <w:rPr>
                <w:rFonts w:ascii="Times New Roman" w:hAnsi="Times New Roman"/>
                <w:bCs/>
                <w:color w:val="000000"/>
                <w:sz w:val="20"/>
                <w:lang w:val="sr-Cyrl-CS"/>
              </w:rPr>
              <w:t>с</w:t>
            </w:r>
            <w:r w:rsidR="008E09BA" w:rsidRPr="005303F7">
              <w:rPr>
                <w:rFonts w:ascii="Times New Roman" w:hAnsi="Times New Roman"/>
                <w:bCs/>
                <w:color w:val="000000"/>
                <w:sz w:val="20"/>
                <w:lang w:val="sr-Cyrl-CS"/>
              </w:rPr>
              <w:t>ким подстицај</w:t>
            </w:r>
            <w:r w:rsidR="00351730" w:rsidRPr="005303F7">
              <w:rPr>
                <w:rFonts w:ascii="Times New Roman" w:hAnsi="Times New Roman"/>
                <w:bCs/>
                <w:color w:val="000000"/>
                <w:sz w:val="20"/>
                <w:lang w:val="sr-Cyrl-CS"/>
              </w:rPr>
              <w:t>има</w:t>
            </w:r>
            <w:r w:rsidR="008E09BA" w:rsidRPr="005303F7">
              <w:rPr>
                <w:rFonts w:ascii="Times New Roman" w:hAnsi="Times New Roman"/>
                <w:bCs/>
                <w:color w:val="000000"/>
                <w:sz w:val="20"/>
                <w:lang w:val="sr-Cyrl-CS"/>
              </w:rPr>
              <w:t>,  нефинансиј</w:t>
            </w:r>
            <w:r w:rsidR="00F45661" w:rsidRPr="005303F7">
              <w:rPr>
                <w:rFonts w:ascii="Times New Roman" w:hAnsi="Times New Roman"/>
                <w:bCs/>
                <w:color w:val="000000"/>
                <w:sz w:val="20"/>
                <w:lang w:val="sr-Cyrl-CS"/>
              </w:rPr>
              <w:t>с</w:t>
            </w:r>
            <w:r w:rsidR="008E09BA" w:rsidRPr="005303F7">
              <w:rPr>
                <w:rFonts w:ascii="Times New Roman" w:hAnsi="Times New Roman"/>
                <w:bCs/>
                <w:color w:val="000000"/>
                <w:sz w:val="20"/>
                <w:lang w:val="sr-Cyrl-CS"/>
              </w:rPr>
              <w:t>ки подстицаји ће бити омогућени кроз издавање гаранција порекла, коју издаје оператор преносног си</w:t>
            </w:r>
            <w:r w:rsidR="00351730" w:rsidRPr="005303F7">
              <w:rPr>
                <w:rFonts w:ascii="Times New Roman" w:hAnsi="Times New Roman"/>
                <w:bCs/>
                <w:color w:val="000000"/>
                <w:sz w:val="20"/>
                <w:lang w:val="sr-Cyrl-CS"/>
              </w:rPr>
              <w:t>с</w:t>
            </w:r>
            <w:r w:rsidR="008E09BA" w:rsidRPr="005303F7">
              <w:rPr>
                <w:rFonts w:ascii="Times New Roman" w:hAnsi="Times New Roman"/>
                <w:bCs/>
                <w:color w:val="000000"/>
                <w:sz w:val="20"/>
                <w:lang w:val="sr-Cyrl-CS"/>
              </w:rPr>
              <w:t xml:space="preserve">тема. </w:t>
            </w:r>
            <w:r w:rsidR="00903CD0" w:rsidRPr="005303F7">
              <w:rPr>
                <w:rFonts w:ascii="Times New Roman" w:hAnsi="Times New Roman"/>
                <w:bCs/>
                <w:color w:val="000000"/>
                <w:sz w:val="20"/>
                <w:lang w:val="sr-Cyrl-CS"/>
              </w:rPr>
              <w:t xml:space="preserve">Овај закон </w:t>
            </w:r>
            <w:r w:rsidR="008E09BA" w:rsidRPr="005303F7">
              <w:rPr>
                <w:rFonts w:ascii="Times New Roman" w:hAnsi="Times New Roman"/>
                <w:bCs/>
                <w:color w:val="000000"/>
                <w:sz w:val="20"/>
                <w:lang w:val="sr-Cyrl-CS"/>
              </w:rPr>
              <w:t>предвиђа и п</w:t>
            </w:r>
            <w:r w:rsidR="00690184" w:rsidRPr="005303F7">
              <w:rPr>
                <w:rFonts w:ascii="Times New Roman" w:hAnsi="Times New Roman"/>
                <w:bCs/>
                <w:color w:val="000000"/>
                <w:sz w:val="20"/>
                <w:lang w:val="sr-Cyrl-CS"/>
              </w:rPr>
              <w:t>ри</w:t>
            </w:r>
            <w:r w:rsidR="008E09BA" w:rsidRPr="005303F7">
              <w:rPr>
                <w:rFonts w:ascii="Times New Roman" w:hAnsi="Times New Roman"/>
                <w:bCs/>
                <w:color w:val="000000"/>
                <w:sz w:val="20"/>
                <w:lang w:val="sr-Cyrl-CS"/>
              </w:rPr>
              <w:t>оритетно преузимање електричн</w:t>
            </w:r>
            <w:r w:rsidR="00351730" w:rsidRPr="005303F7">
              <w:rPr>
                <w:rFonts w:ascii="Times New Roman" w:hAnsi="Times New Roman"/>
                <w:bCs/>
                <w:color w:val="000000"/>
                <w:sz w:val="20"/>
                <w:lang w:val="sr-Cyrl-CS"/>
              </w:rPr>
              <w:t>е</w:t>
            </w:r>
            <w:r w:rsidR="008E09BA" w:rsidRPr="005303F7">
              <w:rPr>
                <w:rFonts w:ascii="Times New Roman" w:hAnsi="Times New Roman"/>
                <w:bCs/>
                <w:color w:val="000000"/>
                <w:sz w:val="20"/>
                <w:lang w:val="sr-Cyrl-CS"/>
              </w:rPr>
              <w:t xml:space="preserve"> енергиј</w:t>
            </w:r>
            <w:r w:rsidR="00351730" w:rsidRPr="005303F7">
              <w:rPr>
                <w:rFonts w:ascii="Times New Roman" w:hAnsi="Times New Roman"/>
                <w:bCs/>
                <w:color w:val="000000"/>
                <w:sz w:val="20"/>
                <w:lang w:val="sr-Cyrl-CS"/>
              </w:rPr>
              <w:t>е</w:t>
            </w:r>
            <w:r w:rsidR="008E09BA" w:rsidRPr="005303F7">
              <w:rPr>
                <w:rFonts w:ascii="Times New Roman" w:hAnsi="Times New Roman"/>
                <w:bCs/>
                <w:color w:val="000000"/>
                <w:sz w:val="20"/>
                <w:lang w:val="sr-Cyrl-CS"/>
              </w:rPr>
              <w:t xml:space="preserve"> произведене у високоефикасној когенерацији. Нови и реконструисани енергетски објекти за производњу топлотне или електричне енергије снаге 5 МW и више, у складу са </w:t>
            </w:r>
            <w:r w:rsidR="00903CD0" w:rsidRPr="005303F7">
              <w:rPr>
                <w:rFonts w:ascii="Times New Roman" w:hAnsi="Times New Roman"/>
                <w:bCs/>
                <w:color w:val="000000"/>
                <w:sz w:val="20"/>
                <w:lang w:val="sr-Cyrl-CS"/>
              </w:rPr>
              <w:t>овим законом</w:t>
            </w:r>
            <w:r w:rsidR="008E09BA" w:rsidRPr="005303F7">
              <w:rPr>
                <w:rFonts w:ascii="Times New Roman" w:hAnsi="Times New Roman"/>
                <w:bCs/>
                <w:color w:val="000000"/>
                <w:sz w:val="20"/>
                <w:lang w:val="sr-Cyrl-CS"/>
              </w:rPr>
              <w:t>, у циљу добијања енергетске дозволе/грађевинске дозволе мора</w:t>
            </w:r>
            <w:r w:rsidR="00351730" w:rsidRPr="005303F7">
              <w:rPr>
                <w:rFonts w:ascii="Times New Roman" w:hAnsi="Times New Roman"/>
                <w:bCs/>
                <w:color w:val="000000"/>
                <w:sz w:val="20"/>
                <w:lang w:val="sr-Cyrl-CS"/>
              </w:rPr>
              <w:t>ју</w:t>
            </w:r>
            <w:r w:rsidR="008E09BA" w:rsidRPr="005303F7">
              <w:rPr>
                <w:rFonts w:ascii="Times New Roman" w:hAnsi="Times New Roman"/>
                <w:bCs/>
                <w:color w:val="000000"/>
                <w:sz w:val="20"/>
                <w:lang w:val="sr-Cyrl-CS"/>
              </w:rPr>
              <w:t xml:space="preserve"> да прил</w:t>
            </w:r>
            <w:r w:rsidR="00903CD0" w:rsidRPr="005303F7">
              <w:rPr>
                <w:rFonts w:ascii="Times New Roman" w:hAnsi="Times New Roman"/>
                <w:bCs/>
                <w:color w:val="000000"/>
                <w:sz w:val="20"/>
                <w:lang w:val="sr-Cyrl-CS"/>
              </w:rPr>
              <w:t>о</w:t>
            </w:r>
            <w:r w:rsidR="008E09BA" w:rsidRPr="005303F7">
              <w:rPr>
                <w:rFonts w:ascii="Times New Roman" w:hAnsi="Times New Roman"/>
                <w:bCs/>
                <w:color w:val="000000"/>
                <w:sz w:val="20"/>
                <w:lang w:val="sr-Cyrl-CS"/>
              </w:rPr>
              <w:t>ж</w:t>
            </w:r>
            <w:r w:rsidR="00351730" w:rsidRPr="005303F7">
              <w:rPr>
                <w:rFonts w:ascii="Times New Roman" w:hAnsi="Times New Roman"/>
                <w:bCs/>
                <w:color w:val="000000"/>
                <w:sz w:val="20"/>
                <w:lang w:val="sr-Cyrl-CS"/>
              </w:rPr>
              <w:t>е</w:t>
            </w:r>
            <w:r w:rsidR="008E09BA" w:rsidRPr="005303F7">
              <w:rPr>
                <w:rFonts w:ascii="Times New Roman" w:hAnsi="Times New Roman"/>
                <w:bCs/>
                <w:color w:val="000000"/>
                <w:sz w:val="20"/>
                <w:lang w:val="sr-Cyrl-CS"/>
              </w:rPr>
              <w:t xml:space="preserve"> елаборат енергетске ефикасности који садржи економску анализу могућности примене комбиноване производње топлотне и електричне енергије.</w:t>
            </w:r>
          </w:p>
          <w:p w14:paraId="6E3AC545" w14:textId="3C1CF0C3" w:rsidR="0062588F" w:rsidRPr="005303F7" w:rsidRDefault="008D69AF" w:rsidP="00353B06">
            <w:pPr>
              <w:overflowPunct/>
              <w:jc w:val="left"/>
              <w:rPr>
                <w:rFonts w:ascii="Times New Roman" w:hAnsi="Times New Roman"/>
                <w:bCs/>
                <w:lang w:val="sr-Cyrl-CS"/>
              </w:rPr>
            </w:pPr>
            <w:r w:rsidRPr="005303F7">
              <w:rPr>
                <w:rFonts w:ascii="Times New Roman" w:hAnsi="Times New Roman"/>
                <w:b/>
                <w:bCs/>
                <w:sz w:val="20"/>
                <w:szCs w:val="18"/>
                <w:u w:val="single"/>
                <w:lang w:val="sr-Cyrl-CS"/>
              </w:rPr>
              <w:t>Процес</w:t>
            </w:r>
            <w:r w:rsidR="0062588F"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преговора</w:t>
            </w:r>
            <w:r w:rsidR="0062588F"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о</w:t>
            </w:r>
            <w:r w:rsidR="0062588F"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приступању</w:t>
            </w:r>
            <w:r w:rsidR="0062588F"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ЕУ</w:t>
            </w:r>
            <w:r w:rsidR="0062588F"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Поглав</w:t>
            </w:r>
            <w:r w:rsidR="00D553BE" w:rsidRPr="005303F7">
              <w:rPr>
                <w:rFonts w:ascii="Times New Roman" w:hAnsi="Times New Roman"/>
                <w:b/>
                <w:bCs/>
                <w:sz w:val="20"/>
                <w:szCs w:val="18"/>
                <w:u w:val="single"/>
                <w:lang w:val="sr-Cyrl-CS"/>
              </w:rPr>
              <w:t>љ</w:t>
            </w:r>
            <w:r w:rsidRPr="005303F7">
              <w:rPr>
                <w:rFonts w:ascii="Times New Roman" w:hAnsi="Times New Roman"/>
                <w:b/>
                <w:bCs/>
                <w:sz w:val="20"/>
                <w:szCs w:val="18"/>
                <w:u w:val="single"/>
                <w:lang w:val="sr-Cyrl-CS"/>
              </w:rPr>
              <w:t>е</w:t>
            </w:r>
            <w:r w:rsidR="0062588F" w:rsidRPr="005303F7">
              <w:rPr>
                <w:rFonts w:ascii="Times New Roman" w:hAnsi="Times New Roman"/>
                <w:b/>
                <w:bCs/>
                <w:sz w:val="20"/>
                <w:szCs w:val="18"/>
                <w:u w:val="single"/>
                <w:lang w:val="sr-Cyrl-CS"/>
              </w:rPr>
              <w:t xml:space="preserve"> 15 – </w:t>
            </w:r>
            <w:r w:rsidRPr="005303F7">
              <w:rPr>
                <w:rFonts w:ascii="Times New Roman" w:hAnsi="Times New Roman"/>
                <w:b/>
                <w:bCs/>
                <w:sz w:val="20"/>
                <w:szCs w:val="18"/>
                <w:u w:val="single"/>
                <w:lang w:val="sr-Cyrl-CS"/>
              </w:rPr>
              <w:t>Енергетика</w:t>
            </w:r>
          </w:p>
        </w:tc>
      </w:tr>
      <w:tr w:rsidR="00EE35FA" w:rsidRPr="005303F7" w14:paraId="7215EE86" w14:textId="77777777" w:rsidTr="0009461F">
        <w:trPr>
          <w:trHeight w:val="442"/>
        </w:trPr>
        <w:tc>
          <w:tcPr>
            <w:tcW w:w="561" w:type="dxa"/>
            <w:gridSpan w:val="2"/>
            <w:vMerge/>
            <w:tcBorders>
              <w:top w:val="single" w:sz="4" w:space="0" w:color="auto"/>
              <w:left w:val="single" w:sz="4" w:space="0" w:color="auto"/>
              <w:bottom w:val="single" w:sz="4" w:space="0" w:color="auto"/>
              <w:right w:val="single" w:sz="4" w:space="0" w:color="auto"/>
            </w:tcBorders>
            <w:vAlign w:val="center"/>
            <w:hideMark/>
          </w:tcPr>
          <w:p w14:paraId="52FD7D3A" w14:textId="77777777" w:rsidR="00EE35FA" w:rsidRPr="005303F7" w:rsidRDefault="00EE35FA" w:rsidP="00EE35F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5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BA066A" w14:textId="0A1EDFD1" w:rsidR="00EE35FA" w:rsidRPr="005303F7" w:rsidRDefault="008D69AF" w:rsidP="0029378D">
            <w:pPr>
              <w:spacing w:before="0" w:after="0"/>
              <w:jc w:val="center"/>
              <w:rPr>
                <w:rFonts w:ascii="Times New Roman" w:hAnsi="Times New Roman"/>
                <w:b/>
                <w:bCs/>
                <w:sz w:val="20"/>
                <w:lang w:val="sr-Cyrl-CS"/>
              </w:rPr>
            </w:pPr>
            <w:r w:rsidRPr="005303F7">
              <w:rPr>
                <w:rFonts w:ascii="Times New Roman" w:hAnsi="Times New Roman"/>
                <w:b/>
                <w:bCs/>
                <w:sz w:val="20"/>
                <w:lang w:val="sr-Cyrl-CS"/>
              </w:rPr>
              <w:t>К</w:t>
            </w:r>
            <w:r w:rsidR="00D553BE" w:rsidRPr="005303F7">
              <w:rPr>
                <w:rFonts w:ascii="Times New Roman" w:hAnsi="Times New Roman"/>
                <w:b/>
                <w:bCs/>
                <w:sz w:val="20"/>
                <w:lang w:val="sr-Cyrl-CS"/>
              </w:rPr>
              <w:t>љ</w:t>
            </w:r>
            <w:r w:rsidRPr="005303F7">
              <w:rPr>
                <w:rFonts w:ascii="Times New Roman" w:hAnsi="Times New Roman"/>
                <w:b/>
                <w:bCs/>
                <w:sz w:val="20"/>
                <w:lang w:val="sr-Cyrl-CS"/>
              </w:rPr>
              <w:t>учни</w:t>
            </w:r>
            <w:r w:rsidR="00EE35FA" w:rsidRPr="005303F7">
              <w:rPr>
                <w:rFonts w:ascii="Times New Roman" w:hAnsi="Times New Roman"/>
                <w:b/>
                <w:bCs/>
                <w:sz w:val="20"/>
                <w:lang w:val="sr-Cyrl-CS"/>
              </w:rPr>
              <w:t xml:space="preserve"> </w:t>
            </w:r>
            <w:r w:rsidRPr="005303F7">
              <w:rPr>
                <w:rFonts w:ascii="Times New Roman" w:hAnsi="Times New Roman"/>
                <w:b/>
                <w:bCs/>
                <w:sz w:val="20"/>
                <w:lang w:val="sr-Cyrl-CS"/>
              </w:rPr>
              <w:t>субјекат</w:t>
            </w:r>
            <w:r w:rsidR="00EE35FA" w:rsidRPr="005303F7">
              <w:rPr>
                <w:rFonts w:ascii="Times New Roman" w:hAnsi="Times New Roman"/>
                <w:b/>
                <w:bCs/>
                <w:sz w:val="20"/>
                <w:lang w:val="sr-Cyrl-CS"/>
              </w:rPr>
              <w:t xml:space="preserve"> </w:t>
            </w:r>
            <w:r w:rsidRPr="005303F7">
              <w:rPr>
                <w:rFonts w:ascii="Times New Roman" w:hAnsi="Times New Roman"/>
                <w:b/>
                <w:bCs/>
                <w:sz w:val="20"/>
                <w:lang w:val="sr-Cyrl-CS"/>
              </w:rPr>
              <w:t>за</w:t>
            </w:r>
            <w:r w:rsidR="00EE35FA" w:rsidRPr="005303F7">
              <w:rPr>
                <w:rFonts w:ascii="Times New Roman" w:hAnsi="Times New Roman"/>
                <w:b/>
                <w:bCs/>
                <w:sz w:val="20"/>
                <w:lang w:val="sr-Cyrl-CS"/>
              </w:rPr>
              <w:t xml:space="preserve"> </w:t>
            </w:r>
            <w:r w:rsidRPr="005303F7">
              <w:rPr>
                <w:rFonts w:ascii="Times New Roman" w:hAnsi="Times New Roman"/>
                <w:b/>
                <w:bCs/>
                <w:sz w:val="20"/>
                <w:lang w:val="sr-Cyrl-CS"/>
              </w:rPr>
              <w:t>спровођење</w:t>
            </w:r>
            <w:r w:rsidR="00EE35FA"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p>
        </w:tc>
        <w:tc>
          <w:tcPr>
            <w:tcW w:w="623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950360" w14:textId="4FDCED26" w:rsidR="00EE35FA"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Партнери</w:t>
            </w:r>
          </w:p>
        </w:tc>
        <w:tc>
          <w:tcPr>
            <w:tcW w:w="141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09693C" w14:textId="24ECE5EC" w:rsidR="00EE35FA" w:rsidRPr="005303F7" w:rsidRDefault="004A35C7" w:rsidP="0029378D">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ЕТS/не-ЕТS</w:t>
            </w:r>
          </w:p>
        </w:tc>
        <w:tc>
          <w:tcPr>
            <w:tcW w:w="143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16FB0F" w14:textId="4F51BE27" w:rsidR="00EE35FA"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Главни</w:t>
            </w:r>
            <w:r w:rsidR="00EE35FA" w:rsidRPr="005303F7">
              <w:rPr>
                <w:rFonts w:ascii="Times New Roman" w:hAnsi="Times New Roman"/>
                <w:b/>
                <w:bCs/>
                <w:sz w:val="20"/>
                <w:lang w:val="sr-Cyrl-CS"/>
              </w:rPr>
              <w:t xml:space="preserve"> </w:t>
            </w:r>
            <w:r w:rsidRPr="005303F7">
              <w:rPr>
                <w:rFonts w:ascii="Times New Roman" w:hAnsi="Times New Roman"/>
                <w:b/>
                <w:bCs/>
                <w:sz w:val="20"/>
                <w:lang w:val="sr-Cyrl-CS"/>
              </w:rPr>
              <w:t>гасови</w:t>
            </w:r>
          </w:p>
        </w:tc>
        <w:tc>
          <w:tcPr>
            <w:tcW w:w="2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9FEFE1" w14:textId="16E1D974" w:rsidR="00D7102F" w:rsidRPr="005303F7" w:rsidRDefault="00DC2380"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Процењен утицај ублажавања</w:t>
            </w:r>
            <w:r w:rsidRPr="005303F7" w:rsidDel="004A1F5D">
              <w:rPr>
                <w:rFonts w:ascii="Times New Roman" w:hAnsi="Times New Roman"/>
                <w:b/>
                <w:bCs/>
                <w:sz w:val="20"/>
                <w:lang w:val="sr-Cyrl-CS"/>
              </w:rPr>
              <w:t xml:space="preserve"> </w:t>
            </w:r>
            <w:r w:rsidR="00D7102F" w:rsidRPr="005303F7">
              <w:rPr>
                <w:rFonts w:ascii="Times New Roman" w:hAnsi="Times New Roman"/>
                <w:b/>
                <w:bCs/>
                <w:sz w:val="20"/>
                <w:lang w:val="sr-Cyrl-CS"/>
              </w:rPr>
              <w:t xml:space="preserve">до 2030. </w:t>
            </w:r>
          </w:p>
          <w:p w14:paraId="723B9026" w14:textId="5140E49C" w:rsidR="00EE35FA"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BD116A" w:rsidRPr="005303F7" w14:paraId="5AEC589F" w14:textId="77777777" w:rsidTr="0009461F">
        <w:trPr>
          <w:trHeight w:val="481"/>
        </w:trPr>
        <w:tc>
          <w:tcPr>
            <w:tcW w:w="561" w:type="dxa"/>
            <w:gridSpan w:val="2"/>
            <w:vMerge/>
            <w:tcBorders>
              <w:top w:val="single" w:sz="4" w:space="0" w:color="auto"/>
              <w:left w:val="single" w:sz="4" w:space="0" w:color="auto"/>
              <w:bottom w:val="single" w:sz="4" w:space="0" w:color="auto"/>
              <w:right w:val="single" w:sz="4" w:space="0" w:color="auto"/>
            </w:tcBorders>
            <w:vAlign w:val="center"/>
            <w:hideMark/>
          </w:tcPr>
          <w:p w14:paraId="4E6C7A19" w14:textId="77777777" w:rsidR="00BD116A" w:rsidRPr="005303F7" w:rsidRDefault="00BD116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53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4EED2" w14:textId="19D7C9F6"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EE35F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рударства</w:t>
            </w:r>
            <w:r w:rsidR="00EE35F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EE35F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енергетике</w:t>
            </w:r>
          </w:p>
        </w:tc>
        <w:tc>
          <w:tcPr>
            <w:tcW w:w="6231" w:type="dxa"/>
            <w:gridSpan w:val="13"/>
            <w:tcBorders>
              <w:top w:val="single" w:sz="4" w:space="0" w:color="auto"/>
              <w:left w:val="single" w:sz="4" w:space="0" w:color="auto"/>
              <w:bottom w:val="single" w:sz="4" w:space="0" w:color="auto"/>
              <w:right w:val="single" w:sz="4" w:space="0" w:color="auto"/>
            </w:tcBorders>
            <w:vAlign w:val="center"/>
            <w:hideMark/>
          </w:tcPr>
          <w:p w14:paraId="169AAAAF" w14:textId="360DC895"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Општине</w:t>
            </w:r>
            <w:r w:rsidR="00EE35F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локална</w:t>
            </w:r>
            <w:r w:rsidR="00EE35F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самоуправа</w:t>
            </w:r>
          </w:p>
        </w:tc>
        <w:tc>
          <w:tcPr>
            <w:tcW w:w="141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92BE7C" w14:textId="49D4D6DE" w:rsidR="00BD116A" w:rsidRPr="005303F7" w:rsidRDefault="008D69AF">
            <w:pPr>
              <w:overflowPunct/>
              <w:spacing w:after="0"/>
              <w:jc w:val="center"/>
              <w:rPr>
                <w:rFonts w:ascii="Times New Roman" w:hAnsi="Times New Roman"/>
                <w:bCs/>
                <w:sz w:val="20"/>
                <w:lang w:val="sr-Cyrl-CS"/>
              </w:rPr>
            </w:pPr>
            <w:r w:rsidRPr="005303F7">
              <w:rPr>
                <w:rFonts w:ascii="Times New Roman" w:hAnsi="Times New Roman"/>
                <w:bCs/>
                <w:sz w:val="20"/>
                <w:lang w:val="sr-Cyrl-CS"/>
              </w:rPr>
              <w:t>ЕТ</w:t>
            </w:r>
            <w:r w:rsidR="00690489" w:rsidRPr="005303F7">
              <w:rPr>
                <w:rFonts w:ascii="Times New Roman" w:hAnsi="Times New Roman"/>
                <w:bCs/>
                <w:sz w:val="20"/>
                <w:lang w:val="sr-Cyrl-CS"/>
              </w:rPr>
              <w:t>S</w:t>
            </w:r>
          </w:p>
        </w:tc>
        <w:tc>
          <w:tcPr>
            <w:tcW w:w="143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A27CC2" w14:textId="173D9B49" w:rsidR="00BD116A" w:rsidRPr="005303F7" w:rsidRDefault="00690489">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C</w:t>
            </w:r>
            <w:r w:rsidR="008D69AF" w:rsidRPr="005303F7">
              <w:rPr>
                <w:rFonts w:ascii="Times New Roman" w:hAnsi="Times New Roman"/>
                <w:bCs/>
                <w:color w:val="000000"/>
                <w:sz w:val="20"/>
                <w:lang w:val="sr-Cyrl-CS"/>
              </w:rPr>
              <w:t>О</w:t>
            </w:r>
            <w:r w:rsidR="00BD116A" w:rsidRPr="005303F7">
              <w:rPr>
                <w:rFonts w:ascii="Times New Roman" w:hAnsi="Times New Roman"/>
                <w:bCs/>
                <w:color w:val="000000"/>
                <w:sz w:val="20"/>
                <w:vertAlign w:val="subscript"/>
                <w:lang w:val="sr-Cyrl-CS"/>
              </w:rPr>
              <w:t>2</w:t>
            </w:r>
          </w:p>
        </w:tc>
        <w:tc>
          <w:tcPr>
            <w:tcW w:w="2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98CC8F" w14:textId="7213FFBA"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lang w:val="sr-Cyrl-CS"/>
              </w:rPr>
              <w:t>под</w:t>
            </w:r>
            <w:r w:rsidR="00E20FDE" w:rsidRPr="005303F7">
              <w:rPr>
                <w:rFonts w:ascii="Times New Roman" w:hAnsi="Times New Roman"/>
                <w:bCs/>
                <w:lang w:val="sr-Cyrl-CS"/>
              </w:rPr>
              <w:t xml:space="preserve"> </w:t>
            </w:r>
            <w:r w:rsidR="00271E87" w:rsidRPr="005303F7">
              <w:rPr>
                <w:rFonts w:ascii="Times New Roman" w:hAnsi="Times New Roman"/>
                <w:bCs/>
                <w:lang w:val="sr-Cyrl-CS"/>
              </w:rPr>
              <w:t>б</w:t>
            </w:r>
            <w:r w:rsidRPr="005303F7">
              <w:rPr>
                <w:rFonts w:ascii="Times New Roman" w:hAnsi="Times New Roman"/>
                <w:bCs/>
                <w:lang w:val="sr-Cyrl-CS"/>
              </w:rPr>
              <w:t>р</w:t>
            </w:r>
            <w:r w:rsidR="00E20FDE" w:rsidRPr="005303F7">
              <w:rPr>
                <w:rFonts w:ascii="Times New Roman" w:hAnsi="Times New Roman"/>
                <w:bCs/>
                <w:lang w:val="sr-Cyrl-CS"/>
              </w:rPr>
              <w:t>.1</w:t>
            </w:r>
          </w:p>
        </w:tc>
      </w:tr>
      <w:tr w:rsidR="00BD116A" w:rsidRPr="005303F7" w14:paraId="43D23ED0" w14:textId="77777777" w:rsidTr="00BD116A">
        <w:trPr>
          <w:trHeight w:val="347"/>
        </w:trPr>
        <w:tc>
          <w:tcPr>
            <w:tcW w:w="15990" w:type="dxa"/>
            <w:gridSpan w:val="34"/>
            <w:tcBorders>
              <w:top w:val="single" w:sz="4" w:space="0" w:color="auto"/>
              <w:left w:val="single" w:sz="4" w:space="0" w:color="auto"/>
              <w:bottom w:val="single" w:sz="4" w:space="0" w:color="auto"/>
              <w:right w:val="single" w:sz="4" w:space="0" w:color="auto"/>
            </w:tcBorders>
            <w:shd w:val="solid" w:color="FFCC00" w:fill="auto"/>
            <w:vAlign w:val="center"/>
            <w:hideMark/>
          </w:tcPr>
          <w:p w14:paraId="530A0E45" w14:textId="13784BC5" w:rsidR="00BD116A" w:rsidRPr="005303F7" w:rsidRDefault="008D69AF" w:rsidP="00C70572">
            <w:pPr>
              <w:overflowPunct/>
              <w:spacing w:before="0" w:after="0"/>
              <w:jc w:val="left"/>
              <w:rPr>
                <w:rFonts w:ascii="Times New Roman" w:hAnsi="Times New Roman"/>
                <w:b/>
                <w:bCs/>
                <w:color w:val="000000"/>
                <w:sz w:val="20"/>
                <w:lang w:val="sr-Cyrl-CS"/>
              </w:rPr>
            </w:pPr>
            <w:r w:rsidRPr="005303F7">
              <w:rPr>
                <w:rFonts w:ascii="Times New Roman" w:hAnsi="Times New Roman"/>
                <w:b/>
                <w:bCs/>
                <w:color w:val="000000"/>
                <w:sz w:val="20"/>
                <w:lang w:val="sr-Cyrl-CS"/>
              </w:rPr>
              <w:t>Посебан</w:t>
            </w:r>
            <w:r w:rsidR="007B7354" w:rsidRPr="005303F7">
              <w:rPr>
                <w:rFonts w:ascii="Times New Roman" w:hAnsi="Times New Roman"/>
                <w:b/>
                <w:bCs/>
                <w:color w:val="000000"/>
                <w:sz w:val="20"/>
                <w:lang w:val="sr-Cyrl-CS"/>
              </w:rPr>
              <w:t xml:space="preserve"> </w:t>
            </w:r>
            <w:r w:rsidRPr="005303F7">
              <w:rPr>
                <w:rFonts w:ascii="Times New Roman" w:hAnsi="Times New Roman"/>
                <w:b/>
                <w:bCs/>
                <w:color w:val="000000"/>
                <w:sz w:val="20"/>
                <w:lang w:val="sr-Cyrl-CS"/>
              </w:rPr>
              <w:t>ци</w:t>
            </w:r>
            <w:r w:rsidR="00D553BE" w:rsidRPr="005303F7">
              <w:rPr>
                <w:rFonts w:ascii="Times New Roman" w:hAnsi="Times New Roman"/>
                <w:b/>
                <w:bCs/>
                <w:sz w:val="20"/>
                <w:lang w:val="sr-Cyrl-CS"/>
              </w:rPr>
              <w:t>љ</w:t>
            </w:r>
            <w:r w:rsidR="00BD116A" w:rsidRPr="005303F7">
              <w:rPr>
                <w:rFonts w:ascii="Times New Roman" w:hAnsi="Times New Roman"/>
                <w:b/>
                <w:bCs/>
                <w:color w:val="000000"/>
                <w:sz w:val="20"/>
                <w:lang w:val="sr-Cyrl-CS"/>
              </w:rPr>
              <w:t xml:space="preserve"> 2: </w:t>
            </w:r>
            <w:r w:rsidRPr="005303F7">
              <w:rPr>
                <w:rFonts w:ascii="Times New Roman" w:hAnsi="Times New Roman"/>
                <w:b/>
                <w:bCs/>
                <w:color w:val="000000"/>
                <w:sz w:val="20"/>
                <w:lang w:val="sr-Cyrl-CS"/>
              </w:rPr>
              <w:t>Смањење</w:t>
            </w:r>
            <w:r w:rsidR="007B7354" w:rsidRPr="005303F7">
              <w:rPr>
                <w:rFonts w:ascii="Times New Roman" w:hAnsi="Times New Roman"/>
                <w:b/>
                <w:bCs/>
                <w:color w:val="000000"/>
                <w:sz w:val="20"/>
                <w:lang w:val="sr-Cyrl-CS"/>
              </w:rPr>
              <w:t xml:space="preserve"> </w:t>
            </w:r>
            <w:r w:rsidRPr="005303F7">
              <w:rPr>
                <w:rFonts w:ascii="Times New Roman" w:hAnsi="Times New Roman"/>
                <w:b/>
                <w:bCs/>
                <w:color w:val="000000"/>
                <w:sz w:val="20"/>
                <w:lang w:val="sr-Cyrl-CS"/>
              </w:rPr>
              <w:t>емисија</w:t>
            </w:r>
            <w:r w:rsidR="007B7354" w:rsidRPr="005303F7">
              <w:rPr>
                <w:rFonts w:ascii="Times New Roman" w:hAnsi="Times New Roman"/>
                <w:b/>
                <w:bCs/>
                <w:color w:val="000000"/>
                <w:sz w:val="20"/>
                <w:lang w:val="sr-Cyrl-CS"/>
              </w:rPr>
              <w:t xml:space="preserve"> </w:t>
            </w:r>
            <w:r w:rsidR="00690489" w:rsidRPr="005303F7">
              <w:rPr>
                <w:rFonts w:ascii="Times New Roman" w:hAnsi="Times New Roman"/>
                <w:b/>
                <w:bCs/>
                <w:color w:val="000000" w:themeColor="text1"/>
                <w:sz w:val="20"/>
                <w:lang w:val="sr-Cyrl-CS"/>
              </w:rPr>
              <w:t>GHG</w:t>
            </w:r>
            <w:r w:rsidR="007B7354" w:rsidRPr="005303F7">
              <w:rPr>
                <w:rFonts w:ascii="Times New Roman" w:hAnsi="Times New Roman"/>
                <w:b/>
                <w:bCs/>
                <w:color w:val="000000"/>
                <w:sz w:val="20"/>
                <w:lang w:val="sr-Cyrl-CS"/>
              </w:rPr>
              <w:t xml:space="preserve"> </w:t>
            </w:r>
            <w:r w:rsidRPr="005303F7">
              <w:rPr>
                <w:rFonts w:ascii="Times New Roman" w:hAnsi="Times New Roman"/>
                <w:b/>
                <w:bCs/>
                <w:color w:val="000000"/>
                <w:sz w:val="20"/>
                <w:lang w:val="sr-Cyrl-CS"/>
              </w:rPr>
              <w:t>које</w:t>
            </w:r>
            <w:r w:rsidR="007B7354" w:rsidRPr="005303F7">
              <w:rPr>
                <w:rFonts w:ascii="Times New Roman" w:hAnsi="Times New Roman"/>
                <w:b/>
                <w:bCs/>
                <w:color w:val="000000"/>
                <w:sz w:val="20"/>
                <w:lang w:val="sr-Cyrl-CS"/>
              </w:rPr>
              <w:t xml:space="preserve"> </w:t>
            </w:r>
            <w:r w:rsidRPr="005303F7">
              <w:rPr>
                <w:rFonts w:ascii="Times New Roman" w:hAnsi="Times New Roman"/>
                <w:b/>
                <w:bCs/>
                <w:color w:val="000000"/>
                <w:sz w:val="20"/>
                <w:lang w:val="sr-Cyrl-CS"/>
              </w:rPr>
              <w:t>нису</w:t>
            </w:r>
            <w:r w:rsidR="007B7354" w:rsidRPr="005303F7">
              <w:rPr>
                <w:rFonts w:ascii="Times New Roman" w:hAnsi="Times New Roman"/>
                <w:b/>
                <w:bCs/>
                <w:color w:val="000000"/>
                <w:sz w:val="20"/>
                <w:lang w:val="sr-Cyrl-CS"/>
              </w:rPr>
              <w:t xml:space="preserve"> </w:t>
            </w:r>
            <w:r w:rsidRPr="005303F7">
              <w:rPr>
                <w:rFonts w:ascii="Times New Roman" w:hAnsi="Times New Roman"/>
                <w:b/>
                <w:bCs/>
                <w:sz w:val="20"/>
                <w:lang w:val="sr-Cyrl-CS"/>
              </w:rPr>
              <w:t>обухваћене</w:t>
            </w:r>
            <w:r w:rsidR="007B7354" w:rsidRPr="005303F7">
              <w:rPr>
                <w:rFonts w:ascii="Times New Roman" w:hAnsi="Times New Roman"/>
                <w:b/>
                <w:bCs/>
                <w:sz w:val="20"/>
                <w:lang w:val="sr-Cyrl-CS"/>
              </w:rPr>
              <w:t xml:space="preserve"> </w:t>
            </w:r>
            <w:r w:rsidRPr="005303F7">
              <w:rPr>
                <w:rFonts w:ascii="Times New Roman" w:hAnsi="Times New Roman"/>
                <w:b/>
                <w:bCs/>
                <w:sz w:val="20"/>
                <w:lang w:val="sr-Cyrl-CS"/>
              </w:rPr>
              <w:t>Е</w:t>
            </w:r>
            <w:r w:rsidR="00690489" w:rsidRPr="005303F7">
              <w:rPr>
                <w:rFonts w:ascii="Times New Roman" w:hAnsi="Times New Roman"/>
                <w:b/>
                <w:bCs/>
                <w:sz w:val="20"/>
                <w:lang w:val="sr-Cyrl-CS"/>
              </w:rPr>
              <w:t>U</w:t>
            </w:r>
            <w:r w:rsidR="007B7354" w:rsidRPr="005303F7">
              <w:rPr>
                <w:rFonts w:ascii="Times New Roman" w:hAnsi="Times New Roman"/>
                <w:b/>
                <w:bCs/>
                <w:sz w:val="20"/>
                <w:lang w:val="sr-Cyrl-CS"/>
              </w:rPr>
              <w:t>-</w:t>
            </w:r>
            <w:r w:rsidRPr="005303F7">
              <w:rPr>
                <w:rFonts w:ascii="Times New Roman" w:hAnsi="Times New Roman"/>
                <w:b/>
                <w:bCs/>
                <w:sz w:val="20"/>
                <w:lang w:val="sr-Cyrl-CS"/>
              </w:rPr>
              <w:t>ЕТ</w:t>
            </w:r>
            <w:r w:rsidR="00690489" w:rsidRPr="005303F7">
              <w:rPr>
                <w:rFonts w:ascii="Times New Roman" w:hAnsi="Times New Roman"/>
                <w:b/>
                <w:bCs/>
                <w:sz w:val="20"/>
                <w:lang w:val="sr-Cyrl-CS"/>
              </w:rPr>
              <w:t>S</w:t>
            </w:r>
            <w:r w:rsidR="007B7354" w:rsidRPr="005303F7">
              <w:rPr>
                <w:rFonts w:ascii="Times New Roman" w:hAnsi="Times New Roman"/>
                <w:b/>
                <w:bCs/>
                <w:sz w:val="20"/>
                <w:lang w:val="sr-Cyrl-CS"/>
              </w:rPr>
              <w:t>-</w:t>
            </w:r>
            <w:r w:rsidRPr="005303F7">
              <w:rPr>
                <w:rFonts w:ascii="Times New Roman" w:hAnsi="Times New Roman"/>
                <w:b/>
                <w:bCs/>
                <w:color w:val="000000"/>
                <w:sz w:val="20"/>
                <w:lang w:val="sr-Cyrl-CS"/>
              </w:rPr>
              <w:t>ом</w:t>
            </w:r>
            <w:r w:rsidR="007B7354" w:rsidRPr="005303F7">
              <w:rPr>
                <w:rFonts w:ascii="Times New Roman" w:hAnsi="Times New Roman"/>
                <w:b/>
                <w:bCs/>
                <w:color w:val="000000"/>
                <w:sz w:val="20"/>
                <w:lang w:val="sr-Cyrl-CS"/>
              </w:rPr>
              <w:t xml:space="preserve"> </w:t>
            </w:r>
            <w:r w:rsidRPr="005303F7">
              <w:rPr>
                <w:rFonts w:ascii="Times New Roman" w:hAnsi="Times New Roman"/>
                <w:b/>
                <w:bCs/>
                <w:color w:val="000000"/>
                <w:sz w:val="20"/>
                <w:lang w:val="sr-Cyrl-CS"/>
              </w:rPr>
              <w:t>за</w:t>
            </w:r>
            <w:r w:rsidR="007B7354" w:rsidRPr="005303F7">
              <w:rPr>
                <w:rFonts w:ascii="Times New Roman" w:hAnsi="Times New Roman"/>
                <w:b/>
                <w:bCs/>
                <w:color w:val="000000"/>
                <w:sz w:val="20"/>
                <w:lang w:val="sr-Cyrl-CS"/>
              </w:rPr>
              <w:t xml:space="preserve"> 9,7% </w:t>
            </w:r>
            <w:r w:rsidRPr="005303F7">
              <w:rPr>
                <w:rFonts w:ascii="Times New Roman" w:hAnsi="Times New Roman"/>
                <w:b/>
                <w:bCs/>
                <w:color w:val="000000"/>
                <w:sz w:val="20"/>
                <w:lang w:val="sr-Cyrl-CS"/>
              </w:rPr>
              <w:t>у</w:t>
            </w:r>
            <w:r w:rsidR="007B7354" w:rsidRPr="005303F7">
              <w:rPr>
                <w:rFonts w:ascii="Times New Roman" w:hAnsi="Times New Roman"/>
                <w:b/>
                <w:bCs/>
                <w:color w:val="000000"/>
                <w:sz w:val="20"/>
                <w:lang w:val="sr-Cyrl-CS"/>
              </w:rPr>
              <w:t xml:space="preserve"> 2030. </w:t>
            </w:r>
          </w:p>
        </w:tc>
      </w:tr>
      <w:tr w:rsidR="00BD116A" w:rsidRPr="005303F7" w14:paraId="3DAAD4D7" w14:textId="77777777" w:rsidTr="00BD116A">
        <w:trPr>
          <w:trHeight w:val="247"/>
        </w:trPr>
        <w:tc>
          <w:tcPr>
            <w:tcW w:w="15990" w:type="dxa"/>
            <w:gridSpan w:val="34"/>
            <w:tcBorders>
              <w:top w:val="single" w:sz="4" w:space="0" w:color="auto"/>
              <w:left w:val="single" w:sz="4" w:space="0" w:color="auto"/>
              <w:bottom w:val="single" w:sz="4" w:space="0" w:color="auto"/>
              <w:right w:val="single" w:sz="4" w:space="0" w:color="auto"/>
            </w:tcBorders>
            <w:shd w:val="clear" w:color="auto" w:fill="BBDAFD" w:themeFill="accent6" w:themeFillTint="33"/>
            <w:vAlign w:val="center"/>
            <w:hideMark/>
          </w:tcPr>
          <w:p w14:paraId="73C091EB" w14:textId="7174565C" w:rsidR="00BD116A" w:rsidRPr="005303F7" w:rsidRDefault="008D69AF" w:rsidP="007B7354">
            <w:pPr>
              <w:overflowPunct/>
              <w:autoSpaceDE/>
              <w:adjustRightInd/>
              <w:spacing w:before="60" w:after="60"/>
              <w:jc w:val="left"/>
              <w:rPr>
                <w:rFonts w:ascii="Times New Roman" w:hAnsi="Times New Roman"/>
                <w:b/>
                <w:bCs/>
                <w:color w:val="000000"/>
                <w:sz w:val="18"/>
                <w:szCs w:val="18"/>
                <w:lang w:val="sr-Cyrl-CS" w:eastAsia="en-US"/>
              </w:rPr>
            </w:pPr>
            <w:r w:rsidRPr="005303F7">
              <w:rPr>
                <w:rFonts w:ascii="Times New Roman" w:hAnsi="Times New Roman"/>
                <w:b/>
                <w:bCs/>
                <w:color w:val="000000"/>
                <w:sz w:val="18"/>
                <w:szCs w:val="18"/>
                <w:lang w:val="sr-Cyrl-CS" w:eastAsia="en-US"/>
              </w:rPr>
              <w:t>Секторски</w:t>
            </w:r>
            <w:r w:rsidR="007B7354"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ци</w:t>
            </w:r>
            <w:r w:rsidR="00D553BE" w:rsidRPr="005303F7">
              <w:rPr>
                <w:rFonts w:ascii="Times New Roman" w:hAnsi="Times New Roman"/>
                <w:b/>
                <w:bCs/>
                <w:sz w:val="18"/>
                <w:szCs w:val="18"/>
                <w:lang w:val="sr-Cyrl-CS" w:eastAsia="en-US"/>
              </w:rPr>
              <w:t>љ</w:t>
            </w:r>
            <w:r w:rsidR="00BD116A"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Смањење</w:t>
            </w:r>
            <w:r w:rsidR="007B7354"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емисија</w:t>
            </w:r>
            <w:r w:rsidR="007B7354"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пове</w:t>
            </w:r>
            <w:r w:rsidR="00016298" w:rsidRPr="005303F7">
              <w:rPr>
                <w:rFonts w:ascii="Times New Roman" w:hAnsi="Times New Roman"/>
                <w:b/>
                <w:bCs/>
                <w:color w:val="000000"/>
                <w:sz w:val="18"/>
                <w:szCs w:val="18"/>
                <w:lang w:val="sr-Cyrl-CS" w:eastAsia="en-US"/>
              </w:rPr>
              <w:t>ћ</w:t>
            </w:r>
            <w:r w:rsidRPr="005303F7">
              <w:rPr>
                <w:rFonts w:ascii="Times New Roman" w:hAnsi="Times New Roman"/>
                <w:b/>
                <w:bCs/>
                <w:color w:val="000000"/>
                <w:sz w:val="18"/>
                <w:szCs w:val="18"/>
                <w:lang w:val="sr-Cyrl-CS" w:eastAsia="en-US"/>
              </w:rPr>
              <w:t>ањем</w:t>
            </w:r>
            <w:r w:rsidR="007B7354"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енергетске</w:t>
            </w:r>
            <w:r w:rsidR="007B7354"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ефикасности</w:t>
            </w:r>
            <w:r w:rsidR="007B7354"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и</w:t>
            </w:r>
            <w:r w:rsidR="007B7354"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употребом</w:t>
            </w:r>
            <w:r w:rsidR="007B7354"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ОИЕ</w:t>
            </w:r>
            <w:r w:rsidR="007B7354"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у</w:t>
            </w:r>
            <w:r w:rsidR="007B7354"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индустријском</w:t>
            </w:r>
            <w:r w:rsidR="007B7354"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сектору</w:t>
            </w:r>
            <w:r w:rsidR="007B7354"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за</w:t>
            </w:r>
            <w:r w:rsidR="007B7354" w:rsidRPr="005303F7">
              <w:rPr>
                <w:rFonts w:ascii="Times New Roman" w:hAnsi="Times New Roman"/>
                <w:b/>
                <w:bCs/>
                <w:color w:val="000000"/>
                <w:sz w:val="18"/>
                <w:szCs w:val="18"/>
                <w:lang w:val="sr-Cyrl-CS" w:eastAsia="en-US"/>
              </w:rPr>
              <w:t xml:space="preserve"> 15%, </w:t>
            </w:r>
            <w:r w:rsidRPr="005303F7">
              <w:rPr>
                <w:rFonts w:ascii="Times New Roman" w:hAnsi="Times New Roman"/>
                <w:b/>
                <w:bCs/>
                <w:color w:val="000000"/>
                <w:sz w:val="18"/>
                <w:szCs w:val="18"/>
                <w:lang w:val="sr-Cyrl-CS" w:eastAsia="en-US"/>
              </w:rPr>
              <w:t>а</w:t>
            </w:r>
            <w:r w:rsidR="007B7354"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у</w:t>
            </w:r>
            <w:r w:rsidR="007B7354"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стамбеном</w:t>
            </w:r>
            <w:r w:rsidR="007B7354"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и</w:t>
            </w:r>
            <w:r w:rsidR="007B7354"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комерцијалном</w:t>
            </w:r>
            <w:r w:rsidR="007B7354"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сектору</w:t>
            </w:r>
            <w:r w:rsidR="007B7354"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за</w:t>
            </w:r>
            <w:r w:rsidR="007B7354" w:rsidRPr="005303F7">
              <w:rPr>
                <w:rFonts w:ascii="Times New Roman" w:hAnsi="Times New Roman"/>
                <w:b/>
                <w:bCs/>
                <w:color w:val="000000"/>
                <w:sz w:val="18"/>
                <w:szCs w:val="18"/>
                <w:lang w:val="sr-Cyrl-CS" w:eastAsia="en-US"/>
              </w:rPr>
              <w:t xml:space="preserve"> 40% </w:t>
            </w:r>
            <w:r w:rsidRPr="005303F7">
              <w:rPr>
                <w:rFonts w:ascii="Times New Roman" w:hAnsi="Times New Roman"/>
                <w:b/>
                <w:bCs/>
                <w:color w:val="000000"/>
                <w:sz w:val="18"/>
                <w:szCs w:val="18"/>
                <w:lang w:val="sr-Cyrl-CS" w:eastAsia="en-US"/>
              </w:rPr>
              <w:t>до</w:t>
            </w:r>
            <w:r w:rsidR="007B7354" w:rsidRPr="005303F7">
              <w:rPr>
                <w:rFonts w:ascii="Times New Roman" w:hAnsi="Times New Roman"/>
                <w:b/>
                <w:bCs/>
                <w:color w:val="000000"/>
                <w:sz w:val="18"/>
                <w:szCs w:val="18"/>
                <w:lang w:val="sr-Cyrl-CS" w:eastAsia="en-US"/>
              </w:rPr>
              <w:t xml:space="preserve"> 2030. </w:t>
            </w:r>
            <w:r w:rsidRPr="005303F7">
              <w:rPr>
                <w:rFonts w:ascii="Times New Roman" w:hAnsi="Times New Roman"/>
                <w:b/>
                <w:bCs/>
                <w:color w:val="000000"/>
                <w:sz w:val="18"/>
                <w:szCs w:val="18"/>
                <w:lang w:val="sr-Cyrl-CS" w:eastAsia="en-US"/>
              </w:rPr>
              <w:t>у</w:t>
            </w:r>
            <w:r w:rsidR="007B7354"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односу</w:t>
            </w:r>
            <w:r w:rsidR="007B7354"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на</w:t>
            </w:r>
            <w:r w:rsidR="007B7354" w:rsidRPr="005303F7">
              <w:rPr>
                <w:rFonts w:ascii="Times New Roman" w:hAnsi="Times New Roman"/>
                <w:b/>
                <w:bCs/>
                <w:color w:val="000000"/>
                <w:sz w:val="18"/>
                <w:szCs w:val="18"/>
                <w:lang w:val="sr-Cyrl-CS" w:eastAsia="en-US"/>
              </w:rPr>
              <w:t xml:space="preserve"> 2010. </w:t>
            </w:r>
            <w:r w:rsidRPr="005303F7">
              <w:rPr>
                <w:rFonts w:ascii="Times New Roman" w:hAnsi="Times New Roman"/>
                <w:b/>
                <w:bCs/>
                <w:color w:val="000000"/>
                <w:sz w:val="18"/>
                <w:szCs w:val="18"/>
                <w:lang w:val="sr-Cyrl-CS" w:eastAsia="en-US"/>
              </w:rPr>
              <w:t>годину</w:t>
            </w:r>
          </w:p>
        </w:tc>
      </w:tr>
      <w:tr w:rsidR="00BD116A" w:rsidRPr="005303F7" w14:paraId="0FEC29C9" w14:textId="77777777" w:rsidTr="0009461F">
        <w:trPr>
          <w:trHeight w:val="442"/>
        </w:trPr>
        <w:tc>
          <w:tcPr>
            <w:tcW w:w="695" w:type="dxa"/>
            <w:gridSpan w:val="4"/>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5DB4084E" w14:textId="4BA8E8E2" w:rsidR="00BD116A" w:rsidRPr="005303F7" w:rsidRDefault="008D69AF">
            <w:pPr>
              <w:overflowPunct/>
              <w:spacing w:after="0"/>
              <w:rPr>
                <w:rFonts w:ascii="Times New Roman" w:hAnsi="Times New Roman"/>
                <w:sz w:val="20"/>
                <w:lang w:val="sr-Cyrl-CS"/>
              </w:rPr>
            </w:pPr>
            <w:r w:rsidRPr="005303F7">
              <w:rPr>
                <w:rFonts w:ascii="Times New Roman" w:hAnsi="Times New Roman"/>
                <w:sz w:val="20"/>
                <w:lang w:val="sr-Cyrl-CS"/>
              </w:rPr>
              <w:t>Бр</w:t>
            </w:r>
            <w:r w:rsidR="00BD116A" w:rsidRPr="005303F7">
              <w:rPr>
                <w:rFonts w:ascii="Times New Roman" w:hAnsi="Times New Roman"/>
                <w:sz w:val="20"/>
                <w:lang w:val="sr-Cyrl-CS"/>
              </w:rPr>
              <w:t>.</w:t>
            </w:r>
          </w:p>
        </w:tc>
        <w:tc>
          <w:tcPr>
            <w:tcW w:w="15295" w:type="dxa"/>
            <w:gridSpan w:val="30"/>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5EAF8E1F" w14:textId="45B18D47" w:rsidR="00BD116A" w:rsidRPr="005303F7" w:rsidRDefault="008D69AF" w:rsidP="00FE6144">
            <w:pPr>
              <w:overflowPunct/>
              <w:jc w:val="left"/>
              <w:rPr>
                <w:rFonts w:ascii="Times New Roman" w:hAnsi="Times New Roman"/>
                <w:b/>
                <w:color w:val="000000"/>
                <w:sz w:val="20"/>
                <w:lang w:val="sr-Cyrl-CS"/>
              </w:rPr>
            </w:pPr>
            <w:r w:rsidRPr="005303F7">
              <w:rPr>
                <w:rFonts w:ascii="Times New Roman" w:hAnsi="Times New Roman"/>
                <w:b/>
                <w:bCs/>
                <w:sz w:val="20"/>
                <w:lang w:val="sr-Cyrl-CS"/>
              </w:rPr>
              <w:t>Назив</w:t>
            </w:r>
            <w:r w:rsidR="007B7354"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r w:rsidR="00BD116A" w:rsidRPr="005303F7">
              <w:rPr>
                <w:rFonts w:ascii="Times New Roman" w:hAnsi="Times New Roman"/>
                <w:b/>
                <w:bCs/>
                <w:sz w:val="20"/>
                <w:lang w:val="sr-Cyrl-CS"/>
              </w:rPr>
              <w:t xml:space="preserve">: </w:t>
            </w:r>
            <w:r w:rsidR="0011304F" w:rsidRPr="005303F7">
              <w:rPr>
                <w:rFonts w:ascii="Times New Roman" w:hAnsi="Times New Roman"/>
                <w:b/>
                <w:bCs/>
                <w:sz w:val="20"/>
                <w:u w:val="single"/>
                <w:lang w:val="sr-Cyrl-CS"/>
              </w:rPr>
              <w:t>Увођење цене на угљеник</w:t>
            </w:r>
            <w:r w:rsidR="00BD116A" w:rsidRPr="005303F7">
              <w:rPr>
                <w:rFonts w:ascii="Times New Roman" w:hAnsi="Times New Roman"/>
                <w:b/>
                <w:bCs/>
                <w:color w:val="FFFFFF" w:themeColor="background1"/>
                <w:sz w:val="20"/>
                <w:u w:val="single"/>
                <w:lang w:val="sr-Cyrl-CS"/>
              </w:rPr>
              <w:t xml:space="preserve"> </w:t>
            </w:r>
            <w:r w:rsidRPr="005303F7">
              <w:rPr>
                <w:rFonts w:ascii="Times New Roman" w:hAnsi="Times New Roman"/>
                <w:b/>
                <w:bCs/>
                <w:color w:val="FFFFFF" w:themeColor="background1"/>
                <w:sz w:val="20"/>
                <w:u w:val="single"/>
                <w:lang w:val="sr-Cyrl-CS"/>
              </w:rPr>
              <w:t>и</w:t>
            </w:r>
            <w:r w:rsidR="00184139" w:rsidRPr="005303F7">
              <w:rPr>
                <w:rFonts w:ascii="Times New Roman" w:hAnsi="Times New Roman"/>
                <w:b/>
                <w:bCs/>
                <w:color w:val="FFFFFF" w:themeColor="background1"/>
                <w:sz w:val="20"/>
                <w:u w:val="single"/>
                <w:lang w:val="sr-Cyrl-CS"/>
              </w:rPr>
              <w:t xml:space="preserve"> </w:t>
            </w:r>
            <w:r w:rsidRPr="005303F7">
              <w:rPr>
                <w:rFonts w:ascii="Times New Roman" w:hAnsi="Times New Roman"/>
                <w:b/>
                <w:bCs/>
                <w:color w:val="FFFFFF" w:themeColor="background1"/>
                <w:sz w:val="20"/>
                <w:u w:val="single"/>
                <w:lang w:val="sr-Cyrl-CS"/>
              </w:rPr>
              <w:t>акцизе</w:t>
            </w:r>
            <w:r w:rsidR="00184139" w:rsidRPr="005303F7">
              <w:rPr>
                <w:rFonts w:ascii="Times New Roman" w:hAnsi="Times New Roman"/>
                <w:b/>
                <w:bCs/>
                <w:color w:val="FFFFFF" w:themeColor="background1"/>
                <w:sz w:val="20"/>
                <w:u w:val="single"/>
                <w:lang w:val="sr-Cyrl-CS"/>
              </w:rPr>
              <w:t xml:space="preserve"> </w:t>
            </w:r>
            <w:r w:rsidRPr="005303F7">
              <w:rPr>
                <w:rFonts w:ascii="Times New Roman" w:hAnsi="Times New Roman"/>
                <w:b/>
                <w:bCs/>
                <w:sz w:val="20"/>
                <w:u w:val="single"/>
                <w:lang w:val="sr-Cyrl-CS"/>
              </w:rPr>
              <w:t>на</w:t>
            </w:r>
            <w:r w:rsidR="00184139"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енергију</w:t>
            </w:r>
            <w:r w:rsidR="00BD116A" w:rsidRPr="005303F7">
              <w:rPr>
                <w:rFonts w:ascii="Times New Roman" w:hAnsi="Times New Roman"/>
                <w:b/>
                <w:sz w:val="20"/>
                <w:u w:val="single"/>
                <w:lang w:val="sr-Cyrl-CS"/>
              </w:rPr>
              <w:t xml:space="preserve"> </w:t>
            </w:r>
          </w:p>
        </w:tc>
      </w:tr>
      <w:tr w:rsidR="00BD116A" w:rsidRPr="005303F7" w14:paraId="16A1AD03" w14:textId="77777777" w:rsidTr="00D27999">
        <w:trPr>
          <w:trHeight w:val="4085"/>
        </w:trPr>
        <w:tc>
          <w:tcPr>
            <w:tcW w:w="695"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20BB46C" w14:textId="77777777" w:rsidR="00BD116A" w:rsidRPr="005303F7" w:rsidRDefault="00BD116A">
            <w:pPr>
              <w:overflowPunct/>
              <w:spacing w:after="0"/>
              <w:jc w:val="center"/>
              <w:rPr>
                <w:rFonts w:ascii="Times New Roman" w:hAnsi="Times New Roman"/>
                <w:b/>
                <w:color w:val="000000"/>
                <w:sz w:val="20"/>
                <w:lang w:val="sr-Cyrl-CS"/>
              </w:rPr>
            </w:pPr>
            <w:r w:rsidRPr="005303F7">
              <w:rPr>
                <w:rFonts w:ascii="Times New Roman" w:hAnsi="Times New Roman"/>
                <w:b/>
                <w:color w:val="000000"/>
                <w:sz w:val="20"/>
                <w:lang w:val="sr-Cyrl-CS"/>
              </w:rPr>
              <w:lastRenderedPageBreak/>
              <w:t>4</w:t>
            </w:r>
          </w:p>
        </w:tc>
        <w:tc>
          <w:tcPr>
            <w:tcW w:w="15295" w:type="dxa"/>
            <w:gridSpan w:val="30"/>
            <w:tcBorders>
              <w:top w:val="single" w:sz="4" w:space="0" w:color="auto"/>
              <w:left w:val="single" w:sz="4" w:space="0" w:color="auto"/>
              <w:bottom w:val="single" w:sz="4" w:space="0" w:color="auto"/>
              <w:right w:val="single" w:sz="4" w:space="0" w:color="auto"/>
            </w:tcBorders>
            <w:vAlign w:val="center"/>
          </w:tcPr>
          <w:p w14:paraId="46157A1C" w14:textId="406A6D9D" w:rsidR="00BD116A" w:rsidRPr="005303F7" w:rsidRDefault="008D69AF">
            <w:pPr>
              <w:overflowPunct/>
              <w:jc w:val="left"/>
              <w:rPr>
                <w:rFonts w:ascii="Times New Roman" w:hAnsi="Times New Roman"/>
                <w:b/>
                <w:color w:val="000000"/>
                <w:sz w:val="20"/>
                <w:u w:val="single"/>
                <w:lang w:val="sr-Cyrl-CS"/>
              </w:rPr>
            </w:pPr>
            <w:r w:rsidRPr="005303F7">
              <w:rPr>
                <w:rFonts w:ascii="Times New Roman" w:hAnsi="Times New Roman"/>
                <w:b/>
                <w:color w:val="000000"/>
                <w:sz w:val="20"/>
                <w:u w:val="single"/>
                <w:lang w:val="sr-Cyrl-CS"/>
              </w:rPr>
              <w:t>Врста</w:t>
            </w:r>
            <w:r w:rsidR="00184139"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BD116A" w:rsidRPr="005303F7">
              <w:rPr>
                <w:rFonts w:ascii="Times New Roman" w:hAnsi="Times New Roman"/>
                <w:b/>
                <w:color w:val="000000"/>
                <w:sz w:val="20"/>
                <w:u w:val="single"/>
                <w:lang w:val="sr-Cyrl-CS"/>
              </w:rPr>
              <w:t xml:space="preserve">: </w:t>
            </w:r>
            <w:r w:rsidRPr="005303F7">
              <w:rPr>
                <w:rFonts w:ascii="Times New Roman" w:hAnsi="Times New Roman"/>
                <w:bCs/>
                <w:color w:val="000000"/>
                <w:sz w:val="20"/>
                <w:lang w:val="sr-Cyrl-CS"/>
              </w:rPr>
              <w:t>Регулаторна</w:t>
            </w:r>
            <w:r w:rsidR="0018413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финансијска</w:t>
            </w:r>
          </w:p>
          <w:p w14:paraId="40FA6D26" w14:textId="20BD5020" w:rsidR="00BD116A" w:rsidRPr="005303F7" w:rsidRDefault="008D69AF">
            <w:pPr>
              <w:overflowPunct/>
              <w:spacing w:after="0"/>
              <w:rPr>
                <w:rFonts w:ascii="Times New Roman" w:hAnsi="Times New Roman"/>
                <w:sz w:val="20"/>
                <w:lang w:val="sr-Cyrl-CS"/>
              </w:rPr>
            </w:pPr>
            <w:r w:rsidRPr="005303F7">
              <w:rPr>
                <w:rFonts w:ascii="Times New Roman" w:hAnsi="Times New Roman"/>
                <w:b/>
                <w:color w:val="000000"/>
                <w:sz w:val="20"/>
                <w:u w:val="single"/>
                <w:lang w:val="sr-Cyrl-CS"/>
              </w:rPr>
              <w:t>Опис</w:t>
            </w:r>
            <w:r w:rsidR="00184139"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BD116A" w:rsidRPr="005303F7">
              <w:rPr>
                <w:rFonts w:ascii="Times New Roman" w:hAnsi="Times New Roman"/>
                <w:bCs/>
                <w:color w:val="000000"/>
                <w:sz w:val="20"/>
                <w:lang w:val="sr-Cyrl-CS"/>
              </w:rPr>
              <w:t>:</w:t>
            </w:r>
            <w:r w:rsidR="00BD116A" w:rsidRPr="005303F7">
              <w:rPr>
                <w:rFonts w:ascii="Times New Roman" w:hAnsi="Times New Roman"/>
                <w:sz w:val="20"/>
                <w:lang w:val="sr-Cyrl-CS"/>
              </w:rPr>
              <w:t xml:space="preserve"> </w:t>
            </w:r>
            <w:r w:rsidRPr="005303F7">
              <w:rPr>
                <w:rFonts w:ascii="Times New Roman" w:hAnsi="Times New Roman"/>
                <w:sz w:val="20"/>
                <w:lang w:val="sr-Cyrl-CS"/>
              </w:rPr>
              <w:t>Увођење</w:t>
            </w:r>
            <w:r w:rsidR="00F8746E" w:rsidRPr="005303F7">
              <w:rPr>
                <w:rFonts w:ascii="Times New Roman" w:hAnsi="Times New Roman"/>
                <w:sz w:val="20"/>
                <w:lang w:val="sr-Cyrl-CS"/>
              </w:rPr>
              <w:t xml:space="preserve"> </w:t>
            </w:r>
            <w:r w:rsidR="0011304F" w:rsidRPr="005303F7">
              <w:rPr>
                <w:rFonts w:ascii="Times New Roman" w:hAnsi="Times New Roman"/>
                <w:sz w:val="20"/>
                <w:lang w:val="sr-Cyrl-CS"/>
              </w:rPr>
              <w:t>цене на угљеник</w:t>
            </w:r>
            <w:r w:rsidR="00F8746E" w:rsidRPr="005303F7">
              <w:rPr>
                <w:rFonts w:ascii="Times New Roman" w:hAnsi="Times New Roman"/>
                <w:sz w:val="20"/>
                <w:lang w:val="sr-Cyrl-CS"/>
              </w:rPr>
              <w:t xml:space="preserve"> </w:t>
            </w:r>
            <w:r w:rsidRPr="005303F7">
              <w:rPr>
                <w:rFonts w:ascii="Times New Roman" w:hAnsi="Times New Roman"/>
                <w:sz w:val="20"/>
                <w:lang w:val="sr-Cyrl-CS"/>
              </w:rPr>
              <w:t>и</w:t>
            </w:r>
            <w:r w:rsidR="00F8746E" w:rsidRPr="005303F7">
              <w:rPr>
                <w:rFonts w:ascii="Times New Roman" w:hAnsi="Times New Roman"/>
                <w:sz w:val="20"/>
                <w:lang w:val="sr-Cyrl-CS"/>
              </w:rPr>
              <w:t xml:space="preserve"> </w:t>
            </w:r>
            <w:r w:rsidRPr="005303F7">
              <w:rPr>
                <w:rFonts w:ascii="Times New Roman" w:hAnsi="Times New Roman"/>
                <w:sz w:val="20"/>
                <w:lang w:val="sr-Cyrl-CS"/>
              </w:rPr>
              <w:t>одговарају</w:t>
            </w:r>
            <w:r w:rsidR="00016298" w:rsidRPr="005303F7">
              <w:rPr>
                <w:rFonts w:ascii="Times New Roman" w:hAnsi="Times New Roman"/>
                <w:sz w:val="20"/>
                <w:lang w:val="sr-Cyrl-CS"/>
              </w:rPr>
              <w:t>ћ</w:t>
            </w:r>
            <w:r w:rsidRPr="005303F7">
              <w:rPr>
                <w:rFonts w:ascii="Times New Roman" w:hAnsi="Times New Roman"/>
                <w:sz w:val="20"/>
                <w:lang w:val="sr-Cyrl-CS"/>
              </w:rPr>
              <w:t>их</w:t>
            </w:r>
            <w:r w:rsidR="00F8746E" w:rsidRPr="005303F7">
              <w:rPr>
                <w:rFonts w:ascii="Times New Roman" w:hAnsi="Times New Roman"/>
                <w:sz w:val="20"/>
                <w:lang w:val="sr-Cyrl-CS"/>
              </w:rPr>
              <w:t xml:space="preserve"> </w:t>
            </w:r>
            <w:r w:rsidRPr="005303F7">
              <w:rPr>
                <w:rFonts w:ascii="Times New Roman" w:hAnsi="Times New Roman"/>
                <w:sz w:val="20"/>
                <w:lang w:val="sr-Cyrl-CS"/>
              </w:rPr>
              <w:t>нивоа</w:t>
            </w:r>
            <w:r w:rsidR="00F8746E" w:rsidRPr="005303F7">
              <w:rPr>
                <w:rFonts w:ascii="Times New Roman" w:hAnsi="Times New Roman"/>
                <w:sz w:val="20"/>
                <w:lang w:val="sr-Cyrl-CS"/>
              </w:rPr>
              <w:t xml:space="preserve"> </w:t>
            </w:r>
            <w:r w:rsidRPr="005303F7">
              <w:rPr>
                <w:rFonts w:ascii="Times New Roman" w:hAnsi="Times New Roman"/>
                <w:sz w:val="20"/>
                <w:lang w:val="sr-Cyrl-CS"/>
              </w:rPr>
              <w:t>акциза</w:t>
            </w:r>
            <w:r w:rsidR="00F8746E" w:rsidRPr="005303F7">
              <w:rPr>
                <w:rFonts w:ascii="Times New Roman" w:hAnsi="Times New Roman"/>
                <w:sz w:val="20"/>
                <w:lang w:val="sr-Cyrl-CS"/>
              </w:rPr>
              <w:t xml:space="preserve">, </w:t>
            </w:r>
            <w:r w:rsidRPr="005303F7">
              <w:rPr>
                <w:rFonts w:ascii="Times New Roman" w:hAnsi="Times New Roman"/>
                <w:sz w:val="20"/>
                <w:lang w:val="sr-Cyrl-CS"/>
              </w:rPr>
              <w:t>као</w:t>
            </w:r>
            <w:r w:rsidR="00F8746E" w:rsidRPr="005303F7">
              <w:rPr>
                <w:rFonts w:ascii="Times New Roman" w:hAnsi="Times New Roman"/>
                <w:sz w:val="20"/>
                <w:lang w:val="sr-Cyrl-CS"/>
              </w:rPr>
              <w:t xml:space="preserve"> </w:t>
            </w:r>
            <w:r w:rsidRPr="005303F7">
              <w:rPr>
                <w:rFonts w:ascii="Times New Roman" w:hAnsi="Times New Roman"/>
                <w:sz w:val="20"/>
                <w:lang w:val="sr-Cyrl-CS"/>
              </w:rPr>
              <w:t>политичког</w:t>
            </w:r>
            <w:r w:rsidR="00F8746E" w:rsidRPr="005303F7">
              <w:rPr>
                <w:rFonts w:ascii="Times New Roman" w:hAnsi="Times New Roman"/>
                <w:sz w:val="20"/>
                <w:lang w:val="sr-Cyrl-CS"/>
              </w:rPr>
              <w:t xml:space="preserve"> </w:t>
            </w:r>
            <w:r w:rsidRPr="005303F7">
              <w:rPr>
                <w:rFonts w:ascii="Times New Roman" w:hAnsi="Times New Roman"/>
                <w:sz w:val="20"/>
                <w:lang w:val="sr-Cyrl-CS"/>
              </w:rPr>
              <w:t>инструмента</w:t>
            </w:r>
            <w:r w:rsidR="00F8746E" w:rsidRPr="005303F7">
              <w:rPr>
                <w:rFonts w:ascii="Times New Roman" w:hAnsi="Times New Roman"/>
                <w:sz w:val="20"/>
                <w:lang w:val="sr-Cyrl-CS"/>
              </w:rPr>
              <w:t xml:space="preserve">, </w:t>
            </w:r>
            <w:r w:rsidRPr="005303F7">
              <w:rPr>
                <w:rFonts w:ascii="Times New Roman" w:hAnsi="Times New Roman"/>
                <w:sz w:val="20"/>
                <w:lang w:val="sr-Cyrl-CS"/>
              </w:rPr>
              <w:t>омогу</w:t>
            </w:r>
            <w:r w:rsidR="00016298" w:rsidRPr="005303F7">
              <w:rPr>
                <w:rFonts w:ascii="Times New Roman" w:hAnsi="Times New Roman"/>
                <w:sz w:val="20"/>
                <w:lang w:val="sr-Cyrl-CS"/>
              </w:rPr>
              <w:t>ћ</w:t>
            </w:r>
            <w:r w:rsidRPr="005303F7">
              <w:rPr>
                <w:rFonts w:ascii="Times New Roman" w:hAnsi="Times New Roman"/>
                <w:sz w:val="20"/>
                <w:lang w:val="sr-Cyrl-CS"/>
              </w:rPr>
              <w:t>ава</w:t>
            </w:r>
            <w:r w:rsidR="00F8746E" w:rsidRPr="005303F7">
              <w:rPr>
                <w:rFonts w:ascii="Times New Roman" w:hAnsi="Times New Roman"/>
                <w:sz w:val="20"/>
                <w:lang w:val="sr-Cyrl-CS"/>
              </w:rPr>
              <w:t xml:space="preserve"> </w:t>
            </w:r>
            <w:r w:rsidRPr="005303F7">
              <w:rPr>
                <w:rFonts w:ascii="Times New Roman" w:hAnsi="Times New Roman"/>
                <w:sz w:val="20"/>
                <w:lang w:val="sr-Cyrl-CS"/>
              </w:rPr>
              <w:t>примену</w:t>
            </w:r>
            <w:r w:rsidR="00F8746E" w:rsidRPr="005303F7">
              <w:rPr>
                <w:rFonts w:ascii="Times New Roman" w:hAnsi="Times New Roman"/>
                <w:sz w:val="20"/>
                <w:lang w:val="sr-Cyrl-CS"/>
              </w:rPr>
              <w:t xml:space="preserve"> </w:t>
            </w:r>
            <w:r w:rsidRPr="005303F7">
              <w:rPr>
                <w:rFonts w:ascii="Times New Roman" w:hAnsi="Times New Roman"/>
                <w:sz w:val="20"/>
                <w:lang w:val="sr-Cyrl-CS"/>
              </w:rPr>
              <w:t>принципа</w:t>
            </w:r>
            <w:r w:rsidR="00F8746E" w:rsidRPr="005303F7">
              <w:rPr>
                <w:rFonts w:ascii="Times New Roman" w:hAnsi="Times New Roman"/>
                <w:sz w:val="20"/>
                <w:lang w:val="sr-Cyrl-CS"/>
              </w:rPr>
              <w:t xml:space="preserve"> „</w:t>
            </w:r>
            <w:r w:rsidRPr="005303F7">
              <w:rPr>
                <w:rFonts w:ascii="Times New Roman" w:hAnsi="Times New Roman"/>
                <w:sz w:val="20"/>
                <w:lang w:val="sr-Cyrl-CS"/>
              </w:rPr>
              <w:t>загађивач</w:t>
            </w:r>
            <w:r w:rsidR="00F8746E" w:rsidRPr="005303F7">
              <w:rPr>
                <w:rFonts w:ascii="Times New Roman" w:hAnsi="Times New Roman"/>
                <w:sz w:val="20"/>
                <w:lang w:val="sr-Cyrl-CS"/>
              </w:rPr>
              <w:t xml:space="preserve"> </w:t>
            </w:r>
            <w:r w:rsidRPr="005303F7">
              <w:rPr>
                <w:rFonts w:ascii="Times New Roman" w:hAnsi="Times New Roman"/>
                <w:sz w:val="20"/>
                <w:lang w:val="sr-Cyrl-CS"/>
              </w:rPr>
              <w:t>пла</w:t>
            </w:r>
            <w:r w:rsidR="00016298" w:rsidRPr="005303F7">
              <w:rPr>
                <w:rFonts w:ascii="Times New Roman" w:hAnsi="Times New Roman"/>
                <w:sz w:val="20"/>
                <w:lang w:val="sr-Cyrl-CS"/>
              </w:rPr>
              <w:t>ћ</w:t>
            </w:r>
            <w:r w:rsidRPr="005303F7">
              <w:rPr>
                <w:rFonts w:ascii="Times New Roman" w:hAnsi="Times New Roman"/>
                <w:sz w:val="20"/>
                <w:lang w:val="sr-Cyrl-CS"/>
              </w:rPr>
              <w:t>а</w:t>
            </w:r>
            <w:r w:rsidR="0035174D" w:rsidRPr="005303F7">
              <w:rPr>
                <w:rFonts w:ascii="Times New Roman" w:hAnsi="Times New Roman"/>
                <w:sz w:val="20"/>
                <w:lang w:val="sr-Cyrl-CS"/>
              </w:rPr>
              <w:t>”</w:t>
            </w:r>
            <w:r w:rsidR="00F8746E" w:rsidRPr="005303F7">
              <w:rPr>
                <w:rFonts w:ascii="Times New Roman" w:hAnsi="Times New Roman"/>
                <w:sz w:val="20"/>
                <w:lang w:val="sr-Cyrl-CS"/>
              </w:rPr>
              <w:t xml:space="preserve"> </w:t>
            </w:r>
            <w:r w:rsidRPr="005303F7">
              <w:rPr>
                <w:rFonts w:ascii="Times New Roman" w:hAnsi="Times New Roman"/>
                <w:sz w:val="20"/>
                <w:lang w:val="sr-Cyrl-CS"/>
              </w:rPr>
              <w:t>у</w:t>
            </w:r>
            <w:r w:rsidR="00F8746E" w:rsidRPr="005303F7">
              <w:rPr>
                <w:rFonts w:ascii="Times New Roman" w:hAnsi="Times New Roman"/>
                <w:sz w:val="20"/>
                <w:lang w:val="sr-Cyrl-CS"/>
              </w:rPr>
              <w:t xml:space="preserve"> </w:t>
            </w:r>
            <w:r w:rsidRPr="005303F7">
              <w:rPr>
                <w:rFonts w:ascii="Times New Roman" w:hAnsi="Times New Roman"/>
                <w:sz w:val="20"/>
                <w:lang w:val="sr-Cyrl-CS"/>
              </w:rPr>
              <w:t>сектор</w:t>
            </w:r>
            <w:r w:rsidR="002B75EF" w:rsidRPr="005303F7">
              <w:rPr>
                <w:rFonts w:ascii="Times New Roman" w:hAnsi="Times New Roman"/>
                <w:sz w:val="20"/>
                <w:lang w:val="sr-Cyrl-CS"/>
              </w:rPr>
              <w:t>има и активностима који нису покривени мерама</w:t>
            </w:r>
            <w:r w:rsidR="00FF3834" w:rsidRPr="005303F7">
              <w:rPr>
                <w:rFonts w:ascii="Times New Roman" w:hAnsi="Times New Roman"/>
                <w:sz w:val="20"/>
                <w:lang w:val="sr-Cyrl-CS"/>
              </w:rPr>
              <w:t xml:space="preserve"> за усклађивање са системом за трговање емисијама ЕУ и/или увођење других инструмената  одређивања цена угљеника</w:t>
            </w:r>
            <w:r w:rsidR="00F8746E" w:rsidRPr="005303F7">
              <w:rPr>
                <w:rFonts w:ascii="Times New Roman" w:hAnsi="Times New Roman"/>
                <w:sz w:val="20"/>
                <w:lang w:val="sr-Cyrl-CS"/>
              </w:rPr>
              <w:t xml:space="preserve">. </w:t>
            </w:r>
            <w:r w:rsidRPr="005303F7">
              <w:rPr>
                <w:rFonts w:ascii="Times New Roman" w:hAnsi="Times New Roman"/>
                <w:sz w:val="20"/>
                <w:lang w:val="sr-Cyrl-CS"/>
              </w:rPr>
              <w:t>Сврха</w:t>
            </w:r>
            <w:r w:rsidR="00F8746E" w:rsidRPr="005303F7">
              <w:rPr>
                <w:rFonts w:ascii="Times New Roman" w:hAnsi="Times New Roman"/>
                <w:sz w:val="20"/>
                <w:lang w:val="sr-Cyrl-CS"/>
              </w:rPr>
              <w:t xml:space="preserve"> </w:t>
            </w:r>
            <w:r w:rsidRPr="005303F7">
              <w:rPr>
                <w:rFonts w:ascii="Times New Roman" w:hAnsi="Times New Roman"/>
                <w:sz w:val="20"/>
                <w:lang w:val="sr-Cyrl-CS"/>
              </w:rPr>
              <w:t>овог</w:t>
            </w:r>
            <w:r w:rsidR="00F8746E" w:rsidRPr="005303F7">
              <w:rPr>
                <w:rFonts w:ascii="Times New Roman" w:hAnsi="Times New Roman"/>
                <w:sz w:val="20"/>
                <w:lang w:val="sr-Cyrl-CS"/>
              </w:rPr>
              <w:t xml:space="preserve"> </w:t>
            </w:r>
            <w:r w:rsidRPr="005303F7">
              <w:rPr>
                <w:rFonts w:ascii="Times New Roman" w:hAnsi="Times New Roman"/>
                <w:sz w:val="20"/>
                <w:lang w:val="sr-Cyrl-CS"/>
              </w:rPr>
              <w:t>ци</w:t>
            </w:r>
            <w:r w:rsidR="00D553BE" w:rsidRPr="005303F7">
              <w:rPr>
                <w:rFonts w:ascii="Times New Roman" w:hAnsi="Times New Roman"/>
                <w:sz w:val="20"/>
                <w:lang w:val="sr-Cyrl-CS"/>
              </w:rPr>
              <w:t>љ</w:t>
            </w:r>
            <w:r w:rsidRPr="005303F7">
              <w:rPr>
                <w:rFonts w:ascii="Times New Roman" w:hAnsi="Times New Roman"/>
                <w:sz w:val="20"/>
                <w:lang w:val="sr-Cyrl-CS"/>
              </w:rPr>
              <w:t>а</w:t>
            </w:r>
            <w:r w:rsidR="00F8746E" w:rsidRPr="005303F7">
              <w:rPr>
                <w:rFonts w:ascii="Times New Roman" w:hAnsi="Times New Roman"/>
                <w:sz w:val="20"/>
                <w:lang w:val="sr-Cyrl-CS"/>
              </w:rPr>
              <w:t xml:space="preserve"> </w:t>
            </w:r>
            <w:r w:rsidRPr="005303F7">
              <w:rPr>
                <w:rFonts w:ascii="Times New Roman" w:hAnsi="Times New Roman"/>
                <w:sz w:val="20"/>
                <w:lang w:val="sr-Cyrl-CS"/>
              </w:rPr>
              <w:t>је</w:t>
            </w:r>
            <w:r w:rsidR="00F8746E" w:rsidRPr="005303F7">
              <w:rPr>
                <w:rFonts w:ascii="Times New Roman" w:hAnsi="Times New Roman"/>
                <w:sz w:val="20"/>
                <w:lang w:val="sr-Cyrl-CS"/>
              </w:rPr>
              <w:t xml:space="preserve"> </w:t>
            </w:r>
            <w:r w:rsidRPr="005303F7">
              <w:rPr>
                <w:rFonts w:ascii="Times New Roman" w:hAnsi="Times New Roman"/>
                <w:sz w:val="20"/>
                <w:lang w:val="sr-Cyrl-CS"/>
              </w:rPr>
              <w:t>да</w:t>
            </w:r>
            <w:r w:rsidR="00F8746E" w:rsidRPr="005303F7">
              <w:rPr>
                <w:rFonts w:ascii="Times New Roman" w:hAnsi="Times New Roman"/>
                <w:sz w:val="20"/>
                <w:lang w:val="sr-Cyrl-CS"/>
              </w:rPr>
              <w:t xml:space="preserve"> </w:t>
            </w:r>
            <w:r w:rsidRPr="005303F7">
              <w:rPr>
                <w:rFonts w:ascii="Times New Roman" w:hAnsi="Times New Roman"/>
                <w:sz w:val="20"/>
                <w:lang w:val="sr-Cyrl-CS"/>
              </w:rPr>
              <w:t>фосилна</w:t>
            </w:r>
            <w:r w:rsidR="00F8746E" w:rsidRPr="005303F7">
              <w:rPr>
                <w:rFonts w:ascii="Times New Roman" w:hAnsi="Times New Roman"/>
                <w:sz w:val="20"/>
                <w:lang w:val="sr-Cyrl-CS"/>
              </w:rPr>
              <w:t xml:space="preserve"> </w:t>
            </w:r>
            <w:r w:rsidRPr="005303F7">
              <w:rPr>
                <w:rFonts w:ascii="Times New Roman" w:hAnsi="Times New Roman"/>
                <w:sz w:val="20"/>
                <w:lang w:val="sr-Cyrl-CS"/>
              </w:rPr>
              <w:t>горива</w:t>
            </w:r>
            <w:r w:rsidR="00F8746E" w:rsidRPr="005303F7">
              <w:rPr>
                <w:rFonts w:ascii="Times New Roman" w:hAnsi="Times New Roman"/>
                <w:sz w:val="20"/>
                <w:lang w:val="sr-Cyrl-CS"/>
              </w:rPr>
              <w:t xml:space="preserve"> </w:t>
            </w:r>
            <w:r w:rsidRPr="005303F7">
              <w:rPr>
                <w:rFonts w:ascii="Times New Roman" w:hAnsi="Times New Roman"/>
                <w:sz w:val="20"/>
                <w:lang w:val="sr-Cyrl-CS"/>
              </w:rPr>
              <w:t>постану</w:t>
            </w:r>
            <w:r w:rsidR="00F8746E" w:rsidRPr="005303F7">
              <w:rPr>
                <w:rFonts w:ascii="Times New Roman" w:hAnsi="Times New Roman"/>
                <w:sz w:val="20"/>
                <w:lang w:val="sr-Cyrl-CS"/>
              </w:rPr>
              <w:t xml:space="preserve"> </w:t>
            </w:r>
            <w:r w:rsidRPr="005303F7">
              <w:rPr>
                <w:rFonts w:ascii="Times New Roman" w:hAnsi="Times New Roman"/>
                <w:sz w:val="20"/>
                <w:lang w:val="sr-Cyrl-CS"/>
              </w:rPr>
              <w:t>мање</w:t>
            </w:r>
            <w:r w:rsidR="00F8746E" w:rsidRPr="005303F7">
              <w:rPr>
                <w:rFonts w:ascii="Times New Roman" w:hAnsi="Times New Roman"/>
                <w:sz w:val="20"/>
                <w:lang w:val="sr-Cyrl-CS"/>
              </w:rPr>
              <w:t xml:space="preserve"> </w:t>
            </w:r>
            <w:r w:rsidRPr="005303F7">
              <w:rPr>
                <w:rFonts w:ascii="Times New Roman" w:hAnsi="Times New Roman"/>
                <w:sz w:val="20"/>
                <w:lang w:val="sr-Cyrl-CS"/>
              </w:rPr>
              <w:t>конкурентна</w:t>
            </w:r>
            <w:r w:rsidR="00F8746E" w:rsidRPr="005303F7">
              <w:rPr>
                <w:rFonts w:ascii="Times New Roman" w:hAnsi="Times New Roman"/>
                <w:sz w:val="20"/>
                <w:lang w:val="sr-Cyrl-CS"/>
              </w:rPr>
              <w:t xml:space="preserve"> </w:t>
            </w:r>
            <w:r w:rsidRPr="005303F7">
              <w:rPr>
                <w:rFonts w:ascii="Times New Roman" w:hAnsi="Times New Roman"/>
                <w:sz w:val="20"/>
                <w:lang w:val="sr-Cyrl-CS"/>
              </w:rPr>
              <w:t>за</w:t>
            </w:r>
            <w:r w:rsidR="00F8746E" w:rsidRPr="005303F7">
              <w:rPr>
                <w:rFonts w:ascii="Times New Roman" w:hAnsi="Times New Roman"/>
                <w:sz w:val="20"/>
                <w:lang w:val="sr-Cyrl-CS"/>
              </w:rPr>
              <w:t xml:space="preserve"> </w:t>
            </w:r>
            <w:r w:rsidRPr="005303F7">
              <w:rPr>
                <w:rFonts w:ascii="Times New Roman" w:hAnsi="Times New Roman"/>
                <w:sz w:val="20"/>
                <w:lang w:val="sr-Cyrl-CS"/>
              </w:rPr>
              <w:t>употребу</w:t>
            </w:r>
            <w:r w:rsidR="00F8746E" w:rsidRPr="005303F7">
              <w:rPr>
                <w:rFonts w:ascii="Times New Roman" w:hAnsi="Times New Roman"/>
                <w:sz w:val="20"/>
                <w:lang w:val="sr-Cyrl-CS"/>
              </w:rPr>
              <w:t xml:space="preserve"> </w:t>
            </w:r>
            <w:r w:rsidRPr="005303F7">
              <w:rPr>
                <w:rFonts w:ascii="Times New Roman" w:hAnsi="Times New Roman"/>
                <w:sz w:val="20"/>
                <w:lang w:val="sr-Cyrl-CS"/>
              </w:rPr>
              <w:t>крајњим</w:t>
            </w:r>
            <w:r w:rsidR="00F8746E" w:rsidRPr="005303F7">
              <w:rPr>
                <w:rFonts w:ascii="Times New Roman" w:hAnsi="Times New Roman"/>
                <w:sz w:val="20"/>
                <w:lang w:val="sr-Cyrl-CS"/>
              </w:rPr>
              <w:t xml:space="preserve"> </w:t>
            </w:r>
            <w:r w:rsidRPr="005303F7">
              <w:rPr>
                <w:rFonts w:ascii="Times New Roman" w:hAnsi="Times New Roman"/>
                <w:sz w:val="20"/>
                <w:lang w:val="sr-Cyrl-CS"/>
              </w:rPr>
              <w:t>потрошачима</w:t>
            </w:r>
            <w:r w:rsidR="00F8746E" w:rsidRPr="005303F7">
              <w:rPr>
                <w:rFonts w:ascii="Times New Roman" w:hAnsi="Times New Roman"/>
                <w:sz w:val="20"/>
                <w:lang w:val="sr-Cyrl-CS"/>
              </w:rPr>
              <w:t xml:space="preserve">, </w:t>
            </w:r>
            <w:r w:rsidRPr="005303F7">
              <w:rPr>
                <w:rFonts w:ascii="Times New Roman" w:hAnsi="Times New Roman"/>
                <w:sz w:val="20"/>
                <w:lang w:val="sr-Cyrl-CS"/>
              </w:rPr>
              <w:t>у</w:t>
            </w:r>
            <w:r w:rsidR="00F8746E" w:rsidRPr="005303F7">
              <w:rPr>
                <w:rFonts w:ascii="Times New Roman" w:hAnsi="Times New Roman"/>
                <w:sz w:val="20"/>
                <w:lang w:val="sr-Cyrl-CS"/>
              </w:rPr>
              <w:t xml:space="preserve"> </w:t>
            </w:r>
            <w:r w:rsidRPr="005303F7">
              <w:rPr>
                <w:rFonts w:ascii="Times New Roman" w:hAnsi="Times New Roman"/>
                <w:sz w:val="20"/>
                <w:lang w:val="sr-Cyrl-CS"/>
              </w:rPr>
              <w:t>поређењу</w:t>
            </w:r>
            <w:r w:rsidR="00F8746E" w:rsidRPr="005303F7">
              <w:rPr>
                <w:rFonts w:ascii="Times New Roman" w:hAnsi="Times New Roman"/>
                <w:sz w:val="20"/>
                <w:lang w:val="sr-Cyrl-CS"/>
              </w:rPr>
              <w:t xml:space="preserve"> </w:t>
            </w:r>
            <w:r w:rsidRPr="005303F7">
              <w:rPr>
                <w:rFonts w:ascii="Times New Roman" w:hAnsi="Times New Roman"/>
                <w:sz w:val="20"/>
                <w:lang w:val="sr-Cyrl-CS"/>
              </w:rPr>
              <w:t>са</w:t>
            </w:r>
            <w:r w:rsidR="00F8746E" w:rsidRPr="005303F7">
              <w:rPr>
                <w:rFonts w:ascii="Times New Roman" w:hAnsi="Times New Roman"/>
                <w:sz w:val="20"/>
                <w:lang w:val="sr-Cyrl-CS"/>
              </w:rPr>
              <w:t xml:space="preserve"> </w:t>
            </w:r>
            <w:r w:rsidRPr="005303F7">
              <w:rPr>
                <w:rFonts w:ascii="Times New Roman" w:hAnsi="Times New Roman"/>
                <w:sz w:val="20"/>
                <w:lang w:val="sr-Cyrl-CS"/>
              </w:rPr>
              <w:t>одрживом</w:t>
            </w:r>
            <w:r w:rsidR="00F8746E" w:rsidRPr="005303F7">
              <w:rPr>
                <w:rFonts w:ascii="Times New Roman" w:hAnsi="Times New Roman"/>
                <w:sz w:val="20"/>
                <w:lang w:val="sr-Cyrl-CS"/>
              </w:rPr>
              <w:t xml:space="preserve"> </w:t>
            </w:r>
            <w:r w:rsidRPr="005303F7">
              <w:rPr>
                <w:rFonts w:ascii="Times New Roman" w:hAnsi="Times New Roman"/>
                <w:sz w:val="20"/>
                <w:lang w:val="sr-Cyrl-CS"/>
              </w:rPr>
              <w:t>биомасом</w:t>
            </w:r>
            <w:r w:rsidR="00F8746E" w:rsidRPr="005303F7">
              <w:rPr>
                <w:rFonts w:ascii="Times New Roman" w:hAnsi="Times New Roman"/>
                <w:sz w:val="20"/>
                <w:lang w:val="sr-Cyrl-CS"/>
              </w:rPr>
              <w:t xml:space="preserve"> </w:t>
            </w:r>
            <w:r w:rsidRPr="005303F7">
              <w:rPr>
                <w:rFonts w:ascii="Times New Roman" w:hAnsi="Times New Roman"/>
                <w:sz w:val="20"/>
                <w:lang w:val="sr-Cyrl-CS"/>
              </w:rPr>
              <w:t>или</w:t>
            </w:r>
            <w:r w:rsidR="00F8746E" w:rsidRPr="005303F7">
              <w:rPr>
                <w:rFonts w:ascii="Times New Roman" w:hAnsi="Times New Roman"/>
                <w:sz w:val="20"/>
                <w:lang w:val="sr-Cyrl-CS"/>
              </w:rPr>
              <w:t xml:space="preserve"> </w:t>
            </w:r>
            <w:r w:rsidRPr="005303F7">
              <w:rPr>
                <w:rFonts w:ascii="Times New Roman" w:hAnsi="Times New Roman"/>
                <w:sz w:val="20"/>
                <w:lang w:val="sr-Cyrl-CS"/>
              </w:rPr>
              <w:t>другим</w:t>
            </w:r>
            <w:r w:rsidR="00F8746E" w:rsidRPr="005303F7">
              <w:rPr>
                <w:rFonts w:ascii="Times New Roman" w:hAnsi="Times New Roman"/>
                <w:sz w:val="20"/>
                <w:lang w:val="sr-Cyrl-CS"/>
              </w:rPr>
              <w:t xml:space="preserve"> </w:t>
            </w:r>
            <w:r w:rsidRPr="005303F7">
              <w:rPr>
                <w:rFonts w:ascii="Times New Roman" w:hAnsi="Times New Roman"/>
                <w:sz w:val="20"/>
                <w:lang w:val="sr-Cyrl-CS"/>
              </w:rPr>
              <w:t>горивима</w:t>
            </w:r>
            <w:r w:rsidR="00F8746E" w:rsidRPr="005303F7">
              <w:rPr>
                <w:rFonts w:ascii="Times New Roman" w:hAnsi="Times New Roman"/>
                <w:sz w:val="20"/>
                <w:lang w:val="sr-Cyrl-CS"/>
              </w:rPr>
              <w:t xml:space="preserve"> </w:t>
            </w:r>
            <w:r w:rsidRPr="005303F7">
              <w:rPr>
                <w:rFonts w:ascii="Times New Roman" w:hAnsi="Times New Roman"/>
                <w:sz w:val="20"/>
                <w:lang w:val="sr-Cyrl-CS"/>
              </w:rPr>
              <w:t>са</w:t>
            </w:r>
            <w:r w:rsidR="00F8746E" w:rsidRPr="005303F7">
              <w:rPr>
                <w:rFonts w:ascii="Times New Roman" w:hAnsi="Times New Roman"/>
                <w:sz w:val="20"/>
                <w:lang w:val="sr-Cyrl-CS"/>
              </w:rPr>
              <w:t xml:space="preserve"> </w:t>
            </w:r>
            <w:r w:rsidRPr="005303F7">
              <w:rPr>
                <w:rFonts w:ascii="Times New Roman" w:hAnsi="Times New Roman"/>
                <w:sz w:val="20"/>
                <w:lang w:val="sr-Cyrl-CS"/>
              </w:rPr>
              <w:t>ниским</w:t>
            </w:r>
            <w:r w:rsidR="002F6425" w:rsidRPr="005303F7">
              <w:rPr>
                <w:rFonts w:ascii="Times New Roman" w:hAnsi="Times New Roman"/>
                <w:sz w:val="20"/>
                <w:lang w:val="sr-Cyrl-CS"/>
              </w:rPr>
              <w:t xml:space="preserve"> </w:t>
            </w:r>
            <w:r w:rsidRPr="005303F7">
              <w:rPr>
                <w:rFonts w:ascii="Times New Roman" w:hAnsi="Times New Roman"/>
                <w:sz w:val="20"/>
                <w:lang w:val="sr-Cyrl-CS"/>
              </w:rPr>
              <w:t>садржајем</w:t>
            </w:r>
            <w:r w:rsidR="00F8746E" w:rsidRPr="005303F7">
              <w:rPr>
                <w:rFonts w:ascii="Times New Roman" w:hAnsi="Times New Roman"/>
                <w:sz w:val="20"/>
                <w:lang w:val="sr-Cyrl-CS"/>
              </w:rPr>
              <w:t xml:space="preserve"> </w:t>
            </w:r>
            <w:r w:rsidRPr="005303F7">
              <w:rPr>
                <w:rFonts w:ascii="Times New Roman" w:hAnsi="Times New Roman"/>
                <w:sz w:val="20"/>
                <w:lang w:val="sr-Cyrl-CS"/>
              </w:rPr>
              <w:t>уг</w:t>
            </w:r>
            <w:r w:rsidR="00D553BE" w:rsidRPr="005303F7">
              <w:rPr>
                <w:rFonts w:ascii="Times New Roman" w:hAnsi="Times New Roman"/>
                <w:sz w:val="20"/>
                <w:lang w:val="sr-Cyrl-CS"/>
              </w:rPr>
              <w:t>љ</w:t>
            </w:r>
            <w:r w:rsidRPr="005303F7">
              <w:rPr>
                <w:rFonts w:ascii="Times New Roman" w:hAnsi="Times New Roman"/>
                <w:sz w:val="20"/>
                <w:lang w:val="sr-Cyrl-CS"/>
              </w:rPr>
              <w:t>еника</w:t>
            </w:r>
            <w:r w:rsidR="00F8746E" w:rsidRPr="005303F7">
              <w:rPr>
                <w:rFonts w:ascii="Times New Roman" w:hAnsi="Times New Roman"/>
                <w:sz w:val="20"/>
                <w:lang w:val="sr-Cyrl-CS"/>
              </w:rPr>
              <w:t xml:space="preserve">. </w:t>
            </w:r>
            <w:r w:rsidRPr="005303F7">
              <w:rPr>
                <w:rFonts w:ascii="Times New Roman" w:hAnsi="Times New Roman"/>
                <w:sz w:val="20"/>
                <w:lang w:val="sr-Cyrl-CS"/>
              </w:rPr>
              <w:t>Средњорочно</w:t>
            </w:r>
            <w:r w:rsidR="00F8746E" w:rsidRPr="005303F7">
              <w:rPr>
                <w:rFonts w:ascii="Times New Roman" w:hAnsi="Times New Roman"/>
                <w:sz w:val="20"/>
                <w:lang w:val="sr-Cyrl-CS"/>
              </w:rPr>
              <w:t xml:space="preserve">, </w:t>
            </w:r>
            <w:r w:rsidRPr="005303F7">
              <w:rPr>
                <w:rFonts w:ascii="Times New Roman" w:hAnsi="Times New Roman"/>
                <w:sz w:val="20"/>
                <w:lang w:val="sr-Cyrl-CS"/>
              </w:rPr>
              <w:t>одговарају</w:t>
            </w:r>
            <w:r w:rsidR="00016298" w:rsidRPr="005303F7">
              <w:rPr>
                <w:rFonts w:ascii="Times New Roman" w:hAnsi="Times New Roman"/>
                <w:sz w:val="20"/>
                <w:lang w:val="sr-Cyrl-CS"/>
              </w:rPr>
              <w:t>ћ</w:t>
            </w:r>
            <w:r w:rsidR="002B75EF" w:rsidRPr="005303F7">
              <w:rPr>
                <w:rFonts w:ascii="Times New Roman" w:hAnsi="Times New Roman"/>
                <w:sz w:val="20"/>
                <w:lang w:val="sr-Cyrl-CS"/>
              </w:rPr>
              <w:t xml:space="preserve">а цена на угљеник </w:t>
            </w:r>
            <w:r w:rsidRPr="005303F7">
              <w:rPr>
                <w:rFonts w:ascii="Times New Roman" w:hAnsi="Times New Roman"/>
                <w:sz w:val="20"/>
                <w:lang w:val="sr-Cyrl-CS"/>
              </w:rPr>
              <w:t>важно</w:t>
            </w:r>
            <w:r w:rsidR="00F8746E" w:rsidRPr="005303F7">
              <w:rPr>
                <w:rFonts w:ascii="Times New Roman" w:hAnsi="Times New Roman"/>
                <w:sz w:val="20"/>
                <w:lang w:val="sr-Cyrl-CS"/>
              </w:rPr>
              <w:t xml:space="preserve"> </w:t>
            </w:r>
            <w:r w:rsidRPr="005303F7">
              <w:rPr>
                <w:rFonts w:ascii="Times New Roman" w:hAnsi="Times New Roman"/>
                <w:sz w:val="20"/>
                <w:lang w:val="sr-Cyrl-CS"/>
              </w:rPr>
              <w:t>је</w:t>
            </w:r>
            <w:r w:rsidR="00F8746E" w:rsidRPr="005303F7">
              <w:rPr>
                <w:rFonts w:ascii="Times New Roman" w:hAnsi="Times New Roman"/>
                <w:sz w:val="20"/>
                <w:lang w:val="sr-Cyrl-CS"/>
              </w:rPr>
              <w:t xml:space="preserve"> </w:t>
            </w:r>
            <w:r w:rsidRPr="005303F7">
              <w:rPr>
                <w:rFonts w:ascii="Times New Roman" w:hAnsi="Times New Roman"/>
                <w:sz w:val="20"/>
                <w:lang w:val="sr-Cyrl-CS"/>
              </w:rPr>
              <w:t>покретачко</w:t>
            </w:r>
            <w:r w:rsidR="00F8746E" w:rsidRPr="005303F7">
              <w:rPr>
                <w:rFonts w:ascii="Times New Roman" w:hAnsi="Times New Roman"/>
                <w:sz w:val="20"/>
                <w:lang w:val="sr-Cyrl-CS"/>
              </w:rPr>
              <w:t xml:space="preserve"> </w:t>
            </w:r>
            <w:r w:rsidRPr="005303F7">
              <w:rPr>
                <w:rFonts w:ascii="Times New Roman" w:hAnsi="Times New Roman"/>
                <w:sz w:val="20"/>
                <w:lang w:val="sr-Cyrl-CS"/>
              </w:rPr>
              <w:t>средство</w:t>
            </w:r>
            <w:r w:rsidR="00F8746E" w:rsidRPr="005303F7">
              <w:rPr>
                <w:rFonts w:ascii="Times New Roman" w:hAnsi="Times New Roman"/>
                <w:sz w:val="20"/>
                <w:lang w:val="sr-Cyrl-CS"/>
              </w:rPr>
              <w:t xml:space="preserve"> </w:t>
            </w:r>
            <w:r w:rsidRPr="005303F7">
              <w:rPr>
                <w:rFonts w:ascii="Times New Roman" w:hAnsi="Times New Roman"/>
                <w:sz w:val="20"/>
                <w:lang w:val="sr-Cyrl-CS"/>
              </w:rPr>
              <w:t>за</w:t>
            </w:r>
            <w:r w:rsidR="00F8746E" w:rsidRPr="005303F7">
              <w:rPr>
                <w:rFonts w:ascii="Times New Roman" w:hAnsi="Times New Roman"/>
                <w:sz w:val="20"/>
                <w:lang w:val="sr-Cyrl-CS"/>
              </w:rPr>
              <w:t xml:space="preserve"> </w:t>
            </w:r>
            <w:r w:rsidRPr="005303F7">
              <w:rPr>
                <w:rFonts w:ascii="Times New Roman" w:hAnsi="Times New Roman"/>
                <w:sz w:val="20"/>
                <w:lang w:val="sr-Cyrl-CS"/>
              </w:rPr>
              <w:t>потрошаче</w:t>
            </w:r>
            <w:r w:rsidR="00F8746E" w:rsidRPr="005303F7">
              <w:rPr>
                <w:rFonts w:ascii="Times New Roman" w:hAnsi="Times New Roman"/>
                <w:sz w:val="20"/>
                <w:lang w:val="sr-Cyrl-CS"/>
              </w:rPr>
              <w:t xml:space="preserve"> </w:t>
            </w:r>
            <w:r w:rsidRPr="005303F7">
              <w:rPr>
                <w:rFonts w:ascii="Times New Roman" w:hAnsi="Times New Roman"/>
                <w:sz w:val="20"/>
                <w:lang w:val="sr-Cyrl-CS"/>
              </w:rPr>
              <w:t>да</w:t>
            </w:r>
            <w:r w:rsidR="00F8746E" w:rsidRPr="005303F7">
              <w:rPr>
                <w:rFonts w:ascii="Times New Roman" w:hAnsi="Times New Roman"/>
                <w:sz w:val="20"/>
                <w:lang w:val="sr-Cyrl-CS"/>
              </w:rPr>
              <w:t xml:space="preserve"> </w:t>
            </w:r>
            <w:r w:rsidRPr="005303F7">
              <w:rPr>
                <w:rFonts w:ascii="Times New Roman" w:hAnsi="Times New Roman"/>
                <w:sz w:val="20"/>
                <w:lang w:val="sr-Cyrl-CS"/>
              </w:rPr>
              <w:t>преусмере</w:t>
            </w:r>
            <w:r w:rsidR="00F8746E" w:rsidRPr="005303F7">
              <w:rPr>
                <w:rFonts w:ascii="Times New Roman" w:hAnsi="Times New Roman"/>
                <w:sz w:val="20"/>
                <w:lang w:val="sr-Cyrl-CS"/>
              </w:rPr>
              <w:t xml:space="preserve"> </w:t>
            </w:r>
            <w:r w:rsidRPr="005303F7">
              <w:rPr>
                <w:rFonts w:ascii="Times New Roman" w:hAnsi="Times New Roman"/>
                <w:sz w:val="20"/>
                <w:lang w:val="sr-Cyrl-CS"/>
              </w:rPr>
              <w:t>улагања</w:t>
            </w:r>
            <w:r w:rsidR="00F8746E" w:rsidRPr="005303F7">
              <w:rPr>
                <w:rFonts w:ascii="Times New Roman" w:hAnsi="Times New Roman"/>
                <w:sz w:val="20"/>
                <w:lang w:val="sr-Cyrl-CS"/>
              </w:rPr>
              <w:t xml:space="preserve"> </w:t>
            </w:r>
            <w:r w:rsidRPr="005303F7">
              <w:rPr>
                <w:rFonts w:ascii="Times New Roman" w:hAnsi="Times New Roman"/>
                <w:sz w:val="20"/>
                <w:lang w:val="sr-Cyrl-CS"/>
              </w:rPr>
              <w:t>на</w:t>
            </w:r>
            <w:r w:rsidR="00F8746E" w:rsidRPr="005303F7">
              <w:rPr>
                <w:rFonts w:ascii="Times New Roman" w:hAnsi="Times New Roman"/>
                <w:sz w:val="20"/>
                <w:lang w:val="sr-Cyrl-CS"/>
              </w:rPr>
              <w:t xml:space="preserve"> </w:t>
            </w:r>
            <w:r w:rsidRPr="005303F7">
              <w:rPr>
                <w:rFonts w:ascii="Times New Roman" w:hAnsi="Times New Roman"/>
                <w:sz w:val="20"/>
                <w:lang w:val="sr-Cyrl-CS"/>
              </w:rPr>
              <w:t>технологије</w:t>
            </w:r>
            <w:r w:rsidR="00F8746E" w:rsidRPr="005303F7">
              <w:rPr>
                <w:rFonts w:ascii="Times New Roman" w:hAnsi="Times New Roman"/>
                <w:sz w:val="20"/>
                <w:lang w:val="sr-Cyrl-CS"/>
              </w:rPr>
              <w:t xml:space="preserve"> </w:t>
            </w:r>
            <w:r w:rsidRPr="005303F7">
              <w:rPr>
                <w:rFonts w:ascii="Times New Roman" w:hAnsi="Times New Roman"/>
                <w:sz w:val="20"/>
                <w:lang w:val="sr-Cyrl-CS"/>
              </w:rPr>
              <w:t>које</w:t>
            </w:r>
            <w:r w:rsidR="002F6425" w:rsidRPr="005303F7">
              <w:rPr>
                <w:rFonts w:ascii="Times New Roman" w:hAnsi="Times New Roman"/>
                <w:sz w:val="20"/>
                <w:lang w:val="sr-Cyrl-CS"/>
              </w:rPr>
              <w:t xml:space="preserve"> </w:t>
            </w:r>
            <w:r w:rsidRPr="005303F7">
              <w:rPr>
                <w:rFonts w:ascii="Times New Roman" w:hAnsi="Times New Roman"/>
                <w:sz w:val="20"/>
                <w:lang w:val="sr-Cyrl-CS"/>
              </w:rPr>
              <w:t>користе</w:t>
            </w:r>
            <w:r w:rsidR="002F6425" w:rsidRPr="005303F7">
              <w:rPr>
                <w:rFonts w:ascii="Times New Roman" w:hAnsi="Times New Roman"/>
                <w:sz w:val="20"/>
                <w:lang w:val="sr-Cyrl-CS"/>
              </w:rPr>
              <w:t xml:space="preserve"> </w:t>
            </w:r>
            <w:r w:rsidRPr="005303F7">
              <w:rPr>
                <w:rFonts w:ascii="Times New Roman" w:hAnsi="Times New Roman"/>
                <w:sz w:val="20"/>
                <w:lang w:val="sr-Cyrl-CS"/>
              </w:rPr>
              <w:t>енергију</w:t>
            </w:r>
            <w:r w:rsidR="002F6425" w:rsidRPr="005303F7">
              <w:rPr>
                <w:rFonts w:ascii="Times New Roman" w:hAnsi="Times New Roman"/>
                <w:sz w:val="20"/>
                <w:lang w:val="sr-Cyrl-CS"/>
              </w:rPr>
              <w:t xml:space="preserve"> </w:t>
            </w:r>
            <w:r w:rsidRPr="005303F7">
              <w:rPr>
                <w:rFonts w:ascii="Times New Roman" w:hAnsi="Times New Roman"/>
                <w:sz w:val="20"/>
                <w:lang w:val="sr-Cyrl-CS"/>
              </w:rPr>
              <w:t>са</w:t>
            </w:r>
            <w:r w:rsidR="002F6425" w:rsidRPr="005303F7">
              <w:rPr>
                <w:rFonts w:ascii="Times New Roman" w:hAnsi="Times New Roman"/>
                <w:sz w:val="20"/>
                <w:lang w:val="sr-Cyrl-CS"/>
              </w:rPr>
              <w:t xml:space="preserve"> </w:t>
            </w:r>
            <w:r w:rsidRPr="005303F7">
              <w:rPr>
                <w:rFonts w:ascii="Times New Roman" w:hAnsi="Times New Roman"/>
                <w:sz w:val="20"/>
                <w:lang w:val="sr-Cyrl-CS"/>
              </w:rPr>
              <w:t>ниским</w:t>
            </w:r>
            <w:r w:rsidR="002F6425" w:rsidRPr="005303F7">
              <w:rPr>
                <w:rFonts w:ascii="Times New Roman" w:hAnsi="Times New Roman"/>
                <w:sz w:val="20"/>
                <w:lang w:val="sr-Cyrl-CS"/>
              </w:rPr>
              <w:t xml:space="preserve"> </w:t>
            </w:r>
            <w:r w:rsidRPr="005303F7">
              <w:rPr>
                <w:rFonts w:ascii="Times New Roman" w:hAnsi="Times New Roman"/>
                <w:sz w:val="20"/>
                <w:lang w:val="sr-Cyrl-CS"/>
              </w:rPr>
              <w:t>или</w:t>
            </w:r>
            <w:r w:rsidR="002F6425" w:rsidRPr="005303F7">
              <w:rPr>
                <w:rFonts w:ascii="Times New Roman" w:hAnsi="Times New Roman"/>
                <w:sz w:val="20"/>
                <w:lang w:val="sr-Cyrl-CS"/>
              </w:rPr>
              <w:t xml:space="preserve"> </w:t>
            </w:r>
            <w:r w:rsidRPr="005303F7">
              <w:rPr>
                <w:rFonts w:ascii="Times New Roman" w:hAnsi="Times New Roman"/>
                <w:sz w:val="20"/>
                <w:lang w:val="sr-Cyrl-CS"/>
              </w:rPr>
              <w:t>без</w:t>
            </w:r>
            <w:r w:rsidR="002F6425" w:rsidRPr="005303F7">
              <w:rPr>
                <w:rFonts w:ascii="Times New Roman" w:hAnsi="Times New Roman"/>
                <w:sz w:val="20"/>
                <w:lang w:val="sr-Cyrl-CS"/>
              </w:rPr>
              <w:t xml:space="preserve"> </w:t>
            </w:r>
            <w:r w:rsidRPr="005303F7">
              <w:rPr>
                <w:rFonts w:ascii="Times New Roman" w:hAnsi="Times New Roman"/>
                <w:sz w:val="20"/>
                <w:lang w:val="sr-Cyrl-CS"/>
              </w:rPr>
              <w:t>садржаја</w:t>
            </w:r>
            <w:r w:rsidR="002F6425" w:rsidRPr="005303F7">
              <w:rPr>
                <w:rFonts w:ascii="Times New Roman" w:hAnsi="Times New Roman"/>
                <w:sz w:val="20"/>
                <w:lang w:val="sr-Cyrl-CS"/>
              </w:rPr>
              <w:t xml:space="preserve"> </w:t>
            </w:r>
            <w:r w:rsidRPr="005303F7">
              <w:rPr>
                <w:rFonts w:ascii="Times New Roman" w:hAnsi="Times New Roman"/>
                <w:sz w:val="20"/>
                <w:lang w:val="sr-Cyrl-CS"/>
              </w:rPr>
              <w:t>уг</w:t>
            </w:r>
            <w:r w:rsidR="00D553BE" w:rsidRPr="005303F7">
              <w:rPr>
                <w:rFonts w:ascii="Times New Roman" w:hAnsi="Times New Roman"/>
                <w:sz w:val="20"/>
                <w:lang w:val="sr-Cyrl-CS"/>
              </w:rPr>
              <w:t>љ</w:t>
            </w:r>
            <w:r w:rsidRPr="005303F7">
              <w:rPr>
                <w:rFonts w:ascii="Times New Roman" w:hAnsi="Times New Roman"/>
                <w:sz w:val="20"/>
                <w:lang w:val="sr-Cyrl-CS"/>
              </w:rPr>
              <w:t>еника</w:t>
            </w:r>
            <w:r w:rsidR="00F8746E" w:rsidRPr="005303F7">
              <w:rPr>
                <w:rFonts w:ascii="Times New Roman" w:hAnsi="Times New Roman"/>
                <w:sz w:val="20"/>
                <w:lang w:val="sr-Cyrl-CS"/>
              </w:rPr>
              <w:t xml:space="preserve"> </w:t>
            </w:r>
            <w:r w:rsidRPr="005303F7">
              <w:rPr>
                <w:rFonts w:ascii="Times New Roman" w:hAnsi="Times New Roman"/>
                <w:sz w:val="20"/>
                <w:lang w:val="sr-Cyrl-CS"/>
              </w:rPr>
              <w:t>и</w:t>
            </w:r>
            <w:r w:rsidR="00A370B1" w:rsidRPr="005303F7">
              <w:rPr>
                <w:rFonts w:ascii="Times New Roman" w:hAnsi="Times New Roman"/>
                <w:sz w:val="20"/>
                <w:lang w:val="sr-Cyrl-CS"/>
              </w:rPr>
              <w:t xml:space="preserve"> </w:t>
            </w:r>
            <w:r w:rsidRPr="005303F7">
              <w:rPr>
                <w:rFonts w:ascii="Times New Roman" w:hAnsi="Times New Roman"/>
                <w:sz w:val="20"/>
                <w:lang w:val="sr-Cyrl-CS"/>
              </w:rPr>
              <w:t>у</w:t>
            </w:r>
            <w:r w:rsidR="00A370B1" w:rsidRPr="005303F7">
              <w:rPr>
                <w:rFonts w:ascii="Times New Roman" w:hAnsi="Times New Roman"/>
                <w:sz w:val="20"/>
                <w:lang w:val="sr-Cyrl-CS"/>
              </w:rPr>
              <w:t xml:space="preserve"> </w:t>
            </w:r>
            <w:r w:rsidRPr="005303F7">
              <w:rPr>
                <w:rFonts w:ascii="Times New Roman" w:hAnsi="Times New Roman"/>
                <w:sz w:val="20"/>
                <w:lang w:val="sr-Cyrl-CS"/>
              </w:rPr>
              <w:t>енергетску</w:t>
            </w:r>
            <w:r w:rsidR="00A370B1" w:rsidRPr="005303F7">
              <w:rPr>
                <w:rFonts w:ascii="Times New Roman" w:hAnsi="Times New Roman"/>
                <w:sz w:val="20"/>
                <w:lang w:val="sr-Cyrl-CS"/>
              </w:rPr>
              <w:t xml:space="preserve"> </w:t>
            </w:r>
            <w:r w:rsidRPr="005303F7">
              <w:rPr>
                <w:rFonts w:ascii="Times New Roman" w:hAnsi="Times New Roman"/>
                <w:sz w:val="20"/>
                <w:lang w:val="sr-Cyrl-CS"/>
              </w:rPr>
              <w:t>ефикасност</w:t>
            </w:r>
            <w:r w:rsidR="00A370B1" w:rsidRPr="005303F7">
              <w:rPr>
                <w:rFonts w:ascii="Times New Roman" w:hAnsi="Times New Roman"/>
                <w:sz w:val="20"/>
                <w:lang w:val="sr-Cyrl-CS"/>
              </w:rPr>
              <w:t xml:space="preserve">. </w:t>
            </w:r>
            <w:r w:rsidRPr="005303F7">
              <w:rPr>
                <w:rFonts w:ascii="Times New Roman" w:hAnsi="Times New Roman"/>
                <w:sz w:val="20"/>
                <w:lang w:val="sr-Cyrl-CS"/>
              </w:rPr>
              <w:t>Средства</w:t>
            </w:r>
            <w:r w:rsidR="00F8746E" w:rsidRPr="005303F7">
              <w:rPr>
                <w:rFonts w:ascii="Times New Roman" w:hAnsi="Times New Roman"/>
                <w:sz w:val="20"/>
                <w:lang w:val="sr-Cyrl-CS"/>
              </w:rPr>
              <w:t xml:space="preserve"> </w:t>
            </w:r>
            <w:r w:rsidRPr="005303F7">
              <w:rPr>
                <w:rFonts w:ascii="Times New Roman" w:hAnsi="Times New Roman"/>
                <w:sz w:val="20"/>
                <w:lang w:val="sr-Cyrl-CS"/>
              </w:rPr>
              <w:t>прикуп</w:t>
            </w:r>
            <w:r w:rsidR="00D553BE" w:rsidRPr="005303F7">
              <w:rPr>
                <w:rFonts w:ascii="Times New Roman" w:hAnsi="Times New Roman"/>
                <w:sz w:val="20"/>
                <w:lang w:val="sr-Cyrl-CS"/>
              </w:rPr>
              <w:t>љ</w:t>
            </w:r>
            <w:r w:rsidRPr="005303F7">
              <w:rPr>
                <w:rFonts w:ascii="Times New Roman" w:hAnsi="Times New Roman"/>
                <w:sz w:val="20"/>
                <w:lang w:val="sr-Cyrl-CS"/>
              </w:rPr>
              <w:t>ена</w:t>
            </w:r>
            <w:r w:rsidR="00F8746E" w:rsidRPr="005303F7">
              <w:rPr>
                <w:rFonts w:ascii="Times New Roman" w:hAnsi="Times New Roman"/>
                <w:sz w:val="20"/>
                <w:lang w:val="sr-Cyrl-CS"/>
              </w:rPr>
              <w:t xml:space="preserve"> </w:t>
            </w:r>
            <w:r w:rsidRPr="005303F7">
              <w:rPr>
                <w:rFonts w:ascii="Times New Roman" w:hAnsi="Times New Roman"/>
                <w:sz w:val="20"/>
                <w:lang w:val="sr-Cyrl-CS"/>
              </w:rPr>
              <w:t>од</w:t>
            </w:r>
            <w:r w:rsidR="002B75EF" w:rsidRPr="005303F7">
              <w:rPr>
                <w:rFonts w:ascii="Times New Roman" w:hAnsi="Times New Roman"/>
                <w:sz w:val="20"/>
                <w:lang w:val="sr-Cyrl-CS"/>
              </w:rPr>
              <w:t xml:space="preserve"> увођења</w:t>
            </w:r>
            <w:r w:rsidR="00F8746E" w:rsidRPr="005303F7">
              <w:rPr>
                <w:rFonts w:ascii="Times New Roman" w:hAnsi="Times New Roman"/>
                <w:sz w:val="20"/>
                <w:lang w:val="sr-Cyrl-CS"/>
              </w:rPr>
              <w:t xml:space="preserve"> </w:t>
            </w:r>
            <w:r w:rsidR="002B75EF" w:rsidRPr="005303F7">
              <w:rPr>
                <w:rFonts w:ascii="Times New Roman" w:hAnsi="Times New Roman"/>
                <w:sz w:val="20"/>
                <w:lang w:val="sr-Cyrl-CS"/>
              </w:rPr>
              <w:t>цене на угљеник</w:t>
            </w:r>
            <w:r w:rsidR="00F8746E" w:rsidRPr="005303F7">
              <w:rPr>
                <w:rFonts w:ascii="Times New Roman" w:hAnsi="Times New Roman"/>
                <w:sz w:val="20"/>
                <w:lang w:val="sr-Cyrl-CS"/>
              </w:rPr>
              <w:t xml:space="preserve"> </w:t>
            </w:r>
            <w:r w:rsidRPr="005303F7">
              <w:rPr>
                <w:rFonts w:ascii="Times New Roman" w:hAnsi="Times New Roman"/>
                <w:sz w:val="20"/>
                <w:lang w:val="sr-Cyrl-CS"/>
              </w:rPr>
              <w:t>требало</w:t>
            </w:r>
            <w:r w:rsidR="00F8746E" w:rsidRPr="005303F7">
              <w:rPr>
                <w:rFonts w:ascii="Times New Roman" w:hAnsi="Times New Roman"/>
                <w:sz w:val="20"/>
                <w:lang w:val="sr-Cyrl-CS"/>
              </w:rPr>
              <w:t xml:space="preserve"> </w:t>
            </w:r>
            <w:r w:rsidRPr="005303F7">
              <w:rPr>
                <w:rFonts w:ascii="Times New Roman" w:hAnsi="Times New Roman"/>
                <w:sz w:val="20"/>
                <w:lang w:val="sr-Cyrl-CS"/>
              </w:rPr>
              <w:t>би</w:t>
            </w:r>
            <w:r w:rsidR="00F8746E" w:rsidRPr="005303F7">
              <w:rPr>
                <w:rFonts w:ascii="Times New Roman" w:hAnsi="Times New Roman"/>
                <w:sz w:val="20"/>
                <w:lang w:val="sr-Cyrl-CS"/>
              </w:rPr>
              <w:t xml:space="preserve"> </w:t>
            </w:r>
            <w:r w:rsidRPr="005303F7">
              <w:rPr>
                <w:rFonts w:ascii="Times New Roman" w:hAnsi="Times New Roman"/>
                <w:sz w:val="20"/>
                <w:lang w:val="sr-Cyrl-CS"/>
              </w:rPr>
              <w:t>да</w:t>
            </w:r>
            <w:r w:rsidR="00F8746E" w:rsidRPr="005303F7">
              <w:rPr>
                <w:rFonts w:ascii="Times New Roman" w:hAnsi="Times New Roman"/>
                <w:sz w:val="20"/>
                <w:lang w:val="sr-Cyrl-CS"/>
              </w:rPr>
              <w:t xml:space="preserve"> </w:t>
            </w:r>
            <w:r w:rsidRPr="005303F7">
              <w:rPr>
                <w:rFonts w:ascii="Times New Roman" w:hAnsi="Times New Roman"/>
                <w:sz w:val="20"/>
                <w:lang w:val="sr-Cyrl-CS"/>
              </w:rPr>
              <w:t>се</w:t>
            </w:r>
            <w:r w:rsidR="00F8746E" w:rsidRPr="005303F7">
              <w:rPr>
                <w:rFonts w:ascii="Times New Roman" w:hAnsi="Times New Roman"/>
                <w:sz w:val="20"/>
                <w:lang w:val="sr-Cyrl-CS"/>
              </w:rPr>
              <w:t xml:space="preserve"> </w:t>
            </w:r>
            <w:r w:rsidRPr="005303F7">
              <w:rPr>
                <w:rFonts w:ascii="Times New Roman" w:hAnsi="Times New Roman"/>
                <w:sz w:val="20"/>
                <w:lang w:val="sr-Cyrl-CS"/>
              </w:rPr>
              <w:t>користе</w:t>
            </w:r>
            <w:r w:rsidR="00F8746E" w:rsidRPr="005303F7">
              <w:rPr>
                <w:rFonts w:ascii="Times New Roman" w:hAnsi="Times New Roman"/>
                <w:sz w:val="20"/>
                <w:lang w:val="sr-Cyrl-CS"/>
              </w:rPr>
              <w:t xml:space="preserve"> </w:t>
            </w:r>
            <w:r w:rsidRPr="005303F7">
              <w:rPr>
                <w:rFonts w:ascii="Times New Roman" w:hAnsi="Times New Roman"/>
                <w:sz w:val="20"/>
                <w:lang w:val="sr-Cyrl-CS"/>
              </w:rPr>
              <w:t>за</w:t>
            </w:r>
            <w:r w:rsidR="00F8746E" w:rsidRPr="005303F7">
              <w:rPr>
                <w:rFonts w:ascii="Times New Roman" w:hAnsi="Times New Roman"/>
                <w:sz w:val="20"/>
                <w:lang w:val="sr-Cyrl-CS"/>
              </w:rPr>
              <w:t xml:space="preserve"> </w:t>
            </w:r>
            <w:r w:rsidRPr="005303F7">
              <w:rPr>
                <w:rFonts w:ascii="Times New Roman" w:hAnsi="Times New Roman"/>
                <w:sz w:val="20"/>
                <w:lang w:val="sr-Cyrl-CS"/>
              </w:rPr>
              <w:t>подршку</w:t>
            </w:r>
            <w:r w:rsidR="00F8746E" w:rsidRPr="005303F7">
              <w:rPr>
                <w:rFonts w:ascii="Times New Roman" w:hAnsi="Times New Roman"/>
                <w:sz w:val="20"/>
                <w:lang w:val="sr-Cyrl-CS"/>
              </w:rPr>
              <w:t xml:space="preserve"> </w:t>
            </w:r>
            <w:r w:rsidRPr="005303F7">
              <w:rPr>
                <w:rFonts w:ascii="Times New Roman" w:hAnsi="Times New Roman"/>
                <w:sz w:val="20"/>
                <w:lang w:val="sr-Cyrl-CS"/>
              </w:rPr>
              <w:t>примени</w:t>
            </w:r>
            <w:r w:rsidR="00F8746E" w:rsidRPr="005303F7">
              <w:rPr>
                <w:rFonts w:ascii="Times New Roman" w:hAnsi="Times New Roman"/>
                <w:sz w:val="20"/>
                <w:lang w:val="sr-Cyrl-CS"/>
              </w:rPr>
              <w:t xml:space="preserve"> </w:t>
            </w:r>
            <w:r w:rsidRPr="005303F7">
              <w:rPr>
                <w:rFonts w:ascii="Times New Roman" w:hAnsi="Times New Roman"/>
                <w:sz w:val="20"/>
                <w:lang w:val="sr-Cyrl-CS"/>
              </w:rPr>
              <w:t>мера</w:t>
            </w:r>
            <w:r w:rsidR="00F8746E" w:rsidRPr="005303F7">
              <w:rPr>
                <w:rFonts w:ascii="Times New Roman" w:hAnsi="Times New Roman"/>
                <w:sz w:val="20"/>
                <w:lang w:val="sr-Cyrl-CS"/>
              </w:rPr>
              <w:t xml:space="preserve"> </w:t>
            </w:r>
            <w:r w:rsidRPr="005303F7">
              <w:rPr>
                <w:rFonts w:ascii="Times New Roman" w:hAnsi="Times New Roman"/>
                <w:sz w:val="20"/>
                <w:lang w:val="sr-Cyrl-CS"/>
              </w:rPr>
              <w:t>за</w:t>
            </w:r>
            <w:r w:rsidR="00F8746E" w:rsidRPr="005303F7">
              <w:rPr>
                <w:rFonts w:ascii="Times New Roman" w:hAnsi="Times New Roman"/>
                <w:sz w:val="20"/>
                <w:lang w:val="sr-Cyrl-CS"/>
              </w:rPr>
              <w:t xml:space="preserve"> </w:t>
            </w:r>
            <w:r w:rsidRPr="005303F7">
              <w:rPr>
                <w:rFonts w:ascii="Times New Roman" w:hAnsi="Times New Roman"/>
                <w:sz w:val="20"/>
                <w:lang w:val="sr-Cyrl-CS"/>
              </w:rPr>
              <w:t>смањење</w:t>
            </w:r>
            <w:r w:rsidR="00F8746E" w:rsidRPr="005303F7">
              <w:rPr>
                <w:rFonts w:ascii="Times New Roman" w:hAnsi="Times New Roman"/>
                <w:sz w:val="20"/>
                <w:lang w:val="sr-Cyrl-CS"/>
              </w:rPr>
              <w:t xml:space="preserve"> </w:t>
            </w:r>
            <w:r w:rsidRPr="005303F7">
              <w:rPr>
                <w:rFonts w:ascii="Times New Roman" w:hAnsi="Times New Roman"/>
                <w:sz w:val="20"/>
                <w:lang w:val="sr-Cyrl-CS"/>
              </w:rPr>
              <w:t>емисије</w:t>
            </w:r>
            <w:r w:rsidR="00F8746E" w:rsidRPr="005303F7">
              <w:rPr>
                <w:rFonts w:ascii="Times New Roman" w:hAnsi="Times New Roman"/>
                <w:sz w:val="20"/>
                <w:lang w:val="sr-Cyrl-CS"/>
              </w:rPr>
              <w:t xml:space="preserve"> </w:t>
            </w:r>
            <w:r w:rsidR="00D7102F" w:rsidRPr="005303F7">
              <w:rPr>
                <w:rFonts w:ascii="Times New Roman" w:hAnsi="Times New Roman"/>
                <w:sz w:val="20"/>
                <w:lang w:val="sr-Cyrl-CS"/>
              </w:rPr>
              <w:t>GHG</w:t>
            </w:r>
            <w:r w:rsidR="00F8746E" w:rsidRPr="005303F7">
              <w:rPr>
                <w:rFonts w:ascii="Times New Roman" w:hAnsi="Times New Roman"/>
                <w:sz w:val="20"/>
                <w:lang w:val="sr-Cyrl-CS"/>
              </w:rPr>
              <w:t xml:space="preserve"> </w:t>
            </w:r>
            <w:r w:rsidRPr="005303F7">
              <w:rPr>
                <w:rFonts w:ascii="Times New Roman" w:hAnsi="Times New Roman"/>
                <w:sz w:val="20"/>
                <w:lang w:val="sr-Cyrl-CS"/>
              </w:rPr>
              <w:t>код</w:t>
            </w:r>
            <w:r w:rsidR="00F8746E" w:rsidRPr="005303F7">
              <w:rPr>
                <w:rFonts w:ascii="Times New Roman" w:hAnsi="Times New Roman"/>
                <w:sz w:val="20"/>
                <w:lang w:val="sr-Cyrl-CS"/>
              </w:rPr>
              <w:t xml:space="preserve"> </w:t>
            </w:r>
            <w:r w:rsidRPr="005303F7">
              <w:rPr>
                <w:rFonts w:ascii="Times New Roman" w:hAnsi="Times New Roman"/>
                <w:sz w:val="20"/>
                <w:lang w:val="sr-Cyrl-CS"/>
              </w:rPr>
              <w:t>крајњих</w:t>
            </w:r>
            <w:r w:rsidR="00F8746E" w:rsidRPr="005303F7">
              <w:rPr>
                <w:rFonts w:ascii="Times New Roman" w:hAnsi="Times New Roman"/>
                <w:sz w:val="20"/>
                <w:lang w:val="sr-Cyrl-CS"/>
              </w:rPr>
              <w:t xml:space="preserve"> </w:t>
            </w:r>
            <w:r w:rsidRPr="005303F7">
              <w:rPr>
                <w:rFonts w:ascii="Times New Roman" w:hAnsi="Times New Roman"/>
                <w:sz w:val="20"/>
                <w:lang w:val="sr-Cyrl-CS"/>
              </w:rPr>
              <w:t>потрошача</w:t>
            </w:r>
            <w:r w:rsidR="00F8746E" w:rsidRPr="005303F7">
              <w:rPr>
                <w:rFonts w:ascii="Times New Roman" w:hAnsi="Times New Roman"/>
                <w:sz w:val="20"/>
                <w:lang w:val="sr-Cyrl-CS"/>
              </w:rPr>
              <w:t xml:space="preserve">, </w:t>
            </w:r>
            <w:r w:rsidRPr="005303F7">
              <w:rPr>
                <w:rFonts w:ascii="Times New Roman" w:hAnsi="Times New Roman"/>
                <w:sz w:val="20"/>
                <w:lang w:val="sr-Cyrl-CS"/>
              </w:rPr>
              <w:t>као</w:t>
            </w:r>
            <w:r w:rsidR="00F8746E" w:rsidRPr="005303F7">
              <w:rPr>
                <w:rFonts w:ascii="Times New Roman" w:hAnsi="Times New Roman"/>
                <w:sz w:val="20"/>
                <w:lang w:val="sr-Cyrl-CS"/>
              </w:rPr>
              <w:t xml:space="preserve"> </w:t>
            </w:r>
            <w:r w:rsidRPr="005303F7">
              <w:rPr>
                <w:rFonts w:ascii="Times New Roman" w:hAnsi="Times New Roman"/>
                <w:sz w:val="20"/>
                <w:lang w:val="sr-Cyrl-CS"/>
              </w:rPr>
              <w:t>што</w:t>
            </w:r>
            <w:r w:rsidR="00F8746E" w:rsidRPr="005303F7">
              <w:rPr>
                <w:rFonts w:ascii="Times New Roman" w:hAnsi="Times New Roman"/>
                <w:sz w:val="20"/>
                <w:lang w:val="sr-Cyrl-CS"/>
              </w:rPr>
              <w:t xml:space="preserve"> </w:t>
            </w:r>
            <w:r w:rsidRPr="005303F7">
              <w:rPr>
                <w:rFonts w:ascii="Times New Roman" w:hAnsi="Times New Roman"/>
                <w:sz w:val="20"/>
                <w:lang w:val="sr-Cyrl-CS"/>
              </w:rPr>
              <w:t>су</w:t>
            </w:r>
            <w:r w:rsidR="00F8746E" w:rsidRPr="005303F7">
              <w:rPr>
                <w:rFonts w:ascii="Times New Roman" w:hAnsi="Times New Roman"/>
                <w:sz w:val="20"/>
                <w:lang w:val="sr-Cyrl-CS"/>
              </w:rPr>
              <w:t xml:space="preserve"> </w:t>
            </w:r>
            <w:r w:rsidRPr="005303F7">
              <w:rPr>
                <w:rFonts w:ascii="Times New Roman" w:hAnsi="Times New Roman"/>
                <w:sz w:val="20"/>
                <w:lang w:val="sr-Cyrl-CS"/>
              </w:rPr>
              <w:t>дома</w:t>
            </w:r>
            <w:r w:rsidR="00016298" w:rsidRPr="005303F7">
              <w:rPr>
                <w:rFonts w:ascii="Times New Roman" w:hAnsi="Times New Roman"/>
                <w:sz w:val="20"/>
                <w:lang w:val="sr-Cyrl-CS"/>
              </w:rPr>
              <w:t>ћ</w:t>
            </w:r>
            <w:r w:rsidRPr="005303F7">
              <w:rPr>
                <w:rFonts w:ascii="Times New Roman" w:hAnsi="Times New Roman"/>
                <w:sz w:val="20"/>
                <w:lang w:val="sr-Cyrl-CS"/>
              </w:rPr>
              <w:t>инства</w:t>
            </w:r>
            <w:r w:rsidR="00F8746E" w:rsidRPr="005303F7">
              <w:rPr>
                <w:rFonts w:ascii="Times New Roman" w:hAnsi="Times New Roman"/>
                <w:sz w:val="20"/>
                <w:lang w:val="sr-Cyrl-CS"/>
              </w:rPr>
              <w:t xml:space="preserve">, </w:t>
            </w:r>
            <w:r w:rsidRPr="005303F7">
              <w:rPr>
                <w:rFonts w:ascii="Times New Roman" w:hAnsi="Times New Roman"/>
                <w:sz w:val="20"/>
                <w:lang w:val="sr-Cyrl-CS"/>
              </w:rPr>
              <w:t>комерцијални</w:t>
            </w:r>
            <w:r w:rsidR="00F8746E" w:rsidRPr="005303F7">
              <w:rPr>
                <w:rFonts w:ascii="Times New Roman" w:hAnsi="Times New Roman"/>
                <w:sz w:val="20"/>
                <w:lang w:val="sr-Cyrl-CS"/>
              </w:rPr>
              <w:t xml:space="preserve"> </w:t>
            </w:r>
            <w:r w:rsidRPr="005303F7">
              <w:rPr>
                <w:rFonts w:ascii="Times New Roman" w:hAnsi="Times New Roman"/>
                <w:sz w:val="20"/>
                <w:lang w:val="sr-Cyrl-CS"/>
              </w:rPr>
              <w:t>и</w:t>
            </w:r>
            <w:r w:rsidR="00F8746E" w:rsidRPr="005303F7">
              <w:rPr>
                <w:rFonts w:ascii="Times New Roman" w:hAnsi="Times New Roman"/>
                <w:sz w:val="20"/>
                <w:lang w:val="sr-Cyrl-CS"/>
              </w:rPr>
              <w:t xml:space="preserve"> </w:t>
            </w:r>
            <w:r w:rsidRPr="005303F7">
              <w:rPr>
                <w:rFonts w:ascii="Times New Roman" w:hAnsi="Times New Roman"/>
                <w:sz w:val="20"/>
                <w:lang w:val="sr-Cyrl-CS"/>
              </w:rPr>
              <w:t>институционални</w:t>
            </w:r>
            <w:r w:rsidR="00F8746E" w:rsidRPr="005303F7">
              <w:rPr>
                <w:rFonts w:ascii="Times New Roman" w:hAnsi="Times New Roman"/>
                <w:sz w:val="20"/>
                <w:lang w:val="sr-Cyrl-CS"/>
              </w:rPr>
              <w:t xml:space="preserve"> </w:t>
            </w:r>
            <w:r w:rsidRPr="005303F7">
              <w:rPr>
                <w:rFonts w:ascii="Times New Roman" w:hAnsi="Times New Roman"/>
                <w:sz w:val="20"/>
                <w:lang w:val="sr-Cyrl-CS"/>
              </w:rPr>
              <w:t>сектор</w:t>
            </w:r>
            <w:r w:rsidR="00F8746E" w:rsidRPr="005303F7">
              <w:rPr>
                <w:rFonts w:ascii="Times New Roman" w:hAnsi="Times New Roman"/>
                <w:sz w:val="20"/>
                <w:lang w:val="sr-Cyrl-CS"/>
              </w:rPr>
              <w:t xml:space="preserve"> </w:t>
            </w:r>
            <w:r w:rsidRPr="005303F7">
              <w:rPr>
                <w:rFonts w:ascii="Times New Roman" w:hAnsi="Times New Roman"/>
                <w:sz w:val="20"/>
                <w:lang w:val="sr-Cyrl-CS"/>
              </w:rPr>
              <w:t>и</w:t>
            </w:r>
            <w:r w:rsidR="00F8746E" w:rsidRPr="005303F7">
              <w:rPr>
                <w:rFonts w:ascii="Times New Roman" w:hAnsi="Times New Roman"/>
                <w:sz w:val="20"/>
                <w:lang w:val="sr-Cyrl-CS"/>
              </w:rPr>
              <w:t xml:space="preserve"> </w:t>
            </w:r>
            <w:r w:rsidRPr="005303F7">
              <w:rPr>
                <w:rFonts w:ascii="Times New Roman" w:hAnsi="Times New Roman"/>
                <w:sz w:val="20"/>
                <w:lang w:val="sr-Cyrl-CS"/>
              </w:rPr>
              <w:t>индустрија</w:t>
            </w:r>
            <w:r w:rsidR="00F8746E" w:rsidRPr="005303F7">
              <w:rPr>
                <w:rFonts w:ascii="Times New Roman" w:hAnsi="Times New Roman"/>
                <w:sz w:val="20"/>
                <w:lang w:val="sr-Cyrl-CS"/>
              </w:rPr>
              <w:t>.</w:t>
            </w:r>
          </w:p>
          <w:p w14:paraId="6159528D" w14:textId="5D442CC9" w:rsidR="008E02EE" w:rsidRPr="005303F7" w:rsidRDefault="004F4501" w:rsidP="008E02EE">
            <w:pPr>
              <w:overflowPunct/>
              <w:spacing w:after="0"/>
              <w:rPr>
                <w:rFonts w:ascii="Times New Roman" w:hAnsi="Times New Roman"/>
                <w:sz w:val="20"/>
                <w:lang w:val="sr-Cyrl-CS"/>
              </w:rPr>
            </w:pPr>
            <w:r w:rsidRPr="005303F7">
              <w:rPr>
                <w:rFonts w:ascii="Times New Roman" w:hAnsi="Times New Roman"/>
                <w:sz w:val="20"/>
                <w:lang w:val="sr-Cyrl-CS"/>
              </w:rPr>
              <w:t xml:space="preserve">         </w:t>
            </w:r>
            <w:r w:rsidR="008D69AF" w:rsidRPr="005303F7">
              <w:rPr>
                <w:rFonts w:ascii="Times New Roman" w:hAnsi="Times New Roman"/>
                <w:sz w:val="20"/>
                <w:lang w:val="sr-Cyrl-CS"/>
              </w:rPr>
              <w:t>Потом</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акцизе</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на</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енергетске</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производе</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морају</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бити</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у</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потпуности</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усклађене</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с</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Директивом</w:t>
            </w:r>
            <w:r w:rsidR="008E02EE" w:rsidRPr="005303F7">
              <w:rPr>
                <w:rFonts w:ascii="Times New Roman" w:hAnsi="Times New Roman"/>
                <w:sz w:val="20"/>
                <w:lang w:val="sr-Cyrl-CS"/>
              </w:rPr>
              <w:t xml:space="preserve"> 2003/96/</w:t>
            </w:r>
            <w:r w:rsidR="008D69AF" w:rsidRPr="005303F7">
              <w:rPr>
                <w:rFonts w:ascii="Times New Roman" w:hAnsi="Times New Roman"/>
                <w:sz w:val="20"/>
                <w:lang w:val="sr-Cyrl-CS"/>
              </w:rPr>
              <w:t>Е</w:t>
            </w:r>
            <w:r w:rsidR="004A35C7" w:rsidRPr="005303F7">
              <w:rPr>
                <w:rFonts w:ascii="Times New Roman" w:hAnsi="Times New Roman"/>
                <w:sz w:val="20"/>
                <w:lang w:val="sr-Cyrl-CS"/>
              </w:rPr>
              <w:t>К</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тако</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да</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Закон</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о</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акцизама</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ук</w:t>
            </w:r>
            <w:r w:rsidR="00D553BE" w:rsidRPr="005303F7">
              <w:rPr>
                <w:rFonts w:ascii="Times New Roman" w:hAnsi="Times New Roman"/>
                <w:sz w:val="20"/>
                <w:lang w:val="sr-Cyrl-CS"/>
              </w:rPr>
              <w:t>љ</w:t>
            </w:r>
            <w:r w:rsidR="008D69AF" w:rsidRPr="005303F7">
              <w:rPr>
                <w:rFonts w:ascii="Times New Roman" w:hAnsi="Times New Roman"/>
                <w:sz w:val="20"/>
                <w:lang w:val="sr-Cyrl-CS"/>
              </w:rPr>
              <w:t>учује</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акцизе</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на</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кокс</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и</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уга</w:t>
            </w:r>
            <w:r w:rsidR="00D553BE" w:rsidRPr="005303F7">
              <w:rPr>
                <w:rFonts w:ascii="Times New Roman" w:hAnsi="Times New Roman"/>
                <w:sz w:val="20"/>
                <w:lang w:val="sr-Cyrl-CS"/>
              </w:rPr>
              <w:t>љ</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Поред</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тога</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потребна</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је</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да</w:t>
            </w:r>
            <w:r w:rsidR="00D553BE" w:rsidRPr="005303F7">
              <w:rPr>
                <w:rFonts w:ascii="Times New Roman" w:hAnsi="Times New Roman"/>
                <w:sz w:val="20"/>
                <w:lang w:val="sr-Cyrl-CS"/>
              </w:rPr>
              <w:t>љ</w:t>
            </w:r>
            <w:r w:rsidR="008D69AF" w:rsidRPr="005303F7">
              <w:rPr>
                <w:rFonts w:ascii="Times New Roman" w:hAnsi="Times New Roman"/>
                <w:sz w:val="20"/>
                <w:lang w:val="sr-Cyrl-CS"/>
              </w:rPr>
              <w:t>а</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хармонизација</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акцизних</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политика</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на</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нафтне</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деривате</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са</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Директивом</w:t>
            </w:r>
            <w:r w:rsidR="008E02EE" w:rsidRPr="005303F7">
              <w:rPr>
                <w:rFonts w:ascii="Times New Roman" w:hAnsi="Times New Roman"/>
                <w:sz w:val="20"/>
                <w:lang w:val="sr-Cyrl-CS"/>
              </w:rPr>
              <w:t xml:space="preserve"> 2003/96/</w:t>
            </w:r>
            <w:r w:rsidR="008D69AF" w:rsidRPr="005303F7">
              <w:rPr>
                <w:rFonts w:ascii="Times New Roman" w:hAnsi="Times New Roman"/>
                <w:sz w:val="20"/>
                <w:lang w:val="sr-Cyrl-CS"/>
              </w:rPr>
              <w:t>Е</w:t>
            </w:r>
            <w:r w:rsidR="004A35C7" w:rsidRPr="005303F7">
              <w:rPr>
                <w:rFonts w:ascii="Times New Roman" w:hAnsi="Times New Roman"/>
                <w:sz w:val="20"/>
                <w:lang w:val="sr-Cyrl-CS"/>
              </w:rPr>
              <w:t>К</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у</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делу</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који</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се</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односи</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на</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минималне</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износе</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акциза</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у</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разним</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применама</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попут</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моторног</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горива</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у</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индустријске</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и</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комерцијалне</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сврхе</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у</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по</w:t>
            </w:r>
            <w:r w:rsidR="00D553BE" w:rsidRPr="005303F7">
              <w:rPr>
                <w:rFonts w:ascii="Times New Roman" w:hAnsi="Times New Roman"/>
                <w:sz w:val="20"/>
                <w:lang w:val="sr-Cyrl-CS"/>
              </w:rPr>
              <w:t>љ</w:t>
            </w:r>
            <w:r w:rsidR="008D69AF" w:rsidRPr="005303F7">
              <w:rPr>
                <w:rFonts w:ascii="Times New Roman" w:hAnsi="Times New Roman"/>
                <w:sz w:val="20"/>
                <w:lang w:val="sr-Cyrl-CS"/>
              </w:rPr>
              <w:t>опривреди</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шумарству</w:t>
            </w:r>
            <w:r w:rsidR="005C581F" w:rsidRPr="005303F7">
              <w:rPr>
                <w:rFonts w:ascii="Times New Roman" w:hAnsi="Times New Roman"/>
                <w:sz w:val="20"/>
                <w:lang w:val="sr-Cyrl-CS"/>
              </w:rPr>
              <w:t xml:space="preserve">, </w:t>
            </w:r>
            <w:r w:rsidR="008D69AF" w:rsidRPr="005303F7">
              <w:rPr>
                <w:rFonts w:ascii="Times New Roman" w:hAnsi="Times New Roman"/>
                <w:sz w:val="20"/>
                <w:lang w:val="sr-Cyrl-CS"/>
              </w:rPr>
              <w:t>узгоју</w:t>
            </w:r>
            <w:r w:rsidR="005C581F" w:rsidRPr="005303F7">
              <w:rPr>
                <w:rFonts w:ascii="Times New Roman" w:hAnsi="Times New Roman"/>
                <w:sz w:val="20"/>
                <w:lang w:val="sr-Cyrl-CS"/>
              </w:rPr>
              <w:t xml:space="preserve"> </w:t>
            </w:r>
            <w:r w:rsidR="008D69AF" w:rsidRPr="005303F7">
              <w:rPr>
                <w:rFonts w:ascii="Times New Roman" w:hAnsi="Times New Roman"/>
                <w:sz w:val="20"/>
                <w:lang w:val="sr-Cyrl-CS"/>
              </w:rPr>
              <w:t>рибе</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јавним</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радовима</w:t>
            </w:r>
            <w:r w:rsidR="005C581F" w:rsidRPr="005303F7">
              <w:rPr>
                <w:rFonts w:ascii="Times New Roman" w:hAnsi="Times New Roman"/>
                <w:sz w:val="20"/>
                <w:lang w:val="sr-Cyrl-CS"/>
              </w:rPr>
              <w:t xml:space="preserve">, </w:t>
            </w:r>
            <w:r w:rsidR="008D69AF" w:rsidRPr="005303F7">
              <w:rPr>
                <w:rFonts w:ascii="Times New Roman" w:hAnsi="Times New Roman"/>
                <w:sz w:val="20"/>
                <w:lang w:val="sr-Cyrl-CS"/>
              </w:rPr>
              <w:t>стационарној</w:t>
            </w:r>
            <w:r w:rsidR="005C581F" w:rsidRPr="005303F7">
              <w:rPr>
                <w:rFonts w:ascii="Times New Roman" w:hAnsi="Times New Roman"/>
                <w:sz w:val="20"/>
                <w:lang w:val="sr-Cyrl-CS"/>
              </w:rPr>
              <w:t xml:space="preserve"> </w:t>
            </w:r>
            <w:r w:rsidR="008D69AF" w:rsidRPr="005303F7">
              <w:rPr>
                <w:rFonts w:ascii="Times New Roman" w:hAnsi="Times New Roman"/>
                <w:sz w:val="20"/>
                <w:lang w:val="sr-Cyrl-CS"/>
              </w:rPr>
              <w:t>механизацији</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итд</w:t>
            </w:r>
            <w:r w:rsidR="008E02EE" w:rsidRPr="005303F7">
              <w:rPr>
                <w:rFonts w:ascii="Times New Roman" w:hAnsi="Times New Roman"/>
                <w:sz w:val="20"/>
                <w:lang w:val="sr-Cyrl-CS"/>
              </w:rPr>
              <w:t>)</w:t>
            </w:r>
            <w:r w:rsidR="00355319" w:rsidRPr="005303F7">
              <w:rPr>
                <w:rFonts w:ascii="Times New Roman" w:hAnsi="Times New Roman"/>
                <w:sz w:val="20"/>
                <w:lang w:val="sr-Cyrl-CS"/>
              </w:rPr>
              <w:t>, као и ускладити акцизе на електричну енергију</w:t>
            </w:r>
            <w:r w:rsidR="008E02EE" w:rsidRPr="005303F7">
              <w:rPr>
                <w:rFonts w:ascii="Times New Roman" w:hAnsi="Times New Roman"/>
                <w:sz w:val="20"/>
                <w:lang w:val="sr-Cyrl-CS"/>
              </w:rPr>
              <w:t>.</w:t>
            </w:r>
          </w:p>
          <w:p w14:paraId="128DEEE2" w14:textId="489E1274" w:rsidR="008E02EE" w:rsidRPr="005303F7" w:rsidRDefault="004F4501" w:rsidP="008E02EE">
            <w:pPr>
              <w:overflowPunct/>
              <w:spacing w:after="0"/>
              <w:jc w:val="left"/>
              <w:rPr>
                <w:rFonts w:ascii="Times New Roman" w:hAnsi="Times New Roman"/>
                <w:sz w:val="20"/>
                <w:lang w:val="sr-Cyrl-CS"/>
              </w:rPr>
            </w:pPr>
            <w:r w:rsidRPr="005303F7">
              <w:rPr>
                <w:rFonts w:ascii="Times New Roman" w:hAnsi="Times New Roman"/>
                <w:sz w:val="20"/>
                <w:lang w:val="sr-Cyrl-CS"/>
              </w:rPr>
              <w:t xml:space="preserve">        </w:t>
            </w:r>
            <w:r w:rsidR="008D69AF" w:rsidRPr="005303F7">
              <w:rPr>
                <w:rFonts w:ascii="Times New Roman" w:hAnsi="Times New Roman"/>
                <w:sz w:val="20"/>
                <w:lang w:val="sr-Cyrl-CS"/>
              </w:rPr>
              <w:t>Такав</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инструмент</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се</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може</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комбиновати</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са</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ослобађањем</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од</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опорезивања</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за</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мала</w:t>
            </w:r>
            <w:r w:rsidR="005C581F" w:rsidRPr="005303F7">
              <w:rPr>
                <w:rFonts w:ascii="Times New Roman" w:hAnsi="Times New Roman"/>
                <w:sz w:val="20"/>
                <w:lang w:val="sr-Cyrl-CS"/>
              </w:rPr>
              <w:t xml:space="preserve"> </w:t>
            </w:r>
            <w:r w:rsidR="008D69AF" w:rsidRPr="005303F7">
              <w:rPr>
                <w:rFonts w:ascii="Times New Roman" w:hAnsi="Times New Roman"/>
                <w:sz w:val="20"/>
                <w:lang w:val="sr-Cyrl-CS"/>
              </w:rPr>
              <w:t>и</w:t>
            </w:r>
            <w:r w:rsidR="005C581F" w:rsidRPr="005303F7">
              <w:rPr>
                <w:rFonts w:ascii="Times New Roman" w:hAnsi="Times New Roman"/>
                <w:sz w:val="20"/>
                <w:lang w:val="sr-Cyrl-CS"/>
              </w:rPr>
              <w:t xml:space="preserve"> </w:t>
            </w:r>
            <w:r w:rsidR="008D69AF" w:rsidRPr="005303F7">
              <w:rPr>
                <w:rFonts w:ascii="Times New Roman" w:hAnsi="Times New Roman"/>
                <w:sz w:val="20"/>
                <w:lang w:val="sr-Cyrl-CS"/>
              </w:rPr>
              <w:t>средња</w:t>
            </w:r>
            <w:r w:rsidR="005C581F" w:rsidRPr="005303F7">
              <w:rPr>
                <w:rFonts w:ascii="Times New Roman" w:hAnsi="Times New Roman"/>
                <w:sz w:val="20"/>
                <w:lang w:val="sr-Cyrl-CS"/>
              </w:rPr>
              <w:t xml:space="preserve"> </w:t>
            </w:r>
            <w:r w:rsidR="008D69AF" w:rsidRPr="005303F7">
              <w:rPr>
                <w:rFonts w:ascii="Times New Roman" w:hAnsi="Times New Roman"/>
                <w:sz w:val="20"/>
                <w:lang w:val="sr-Cyrl-CS"/>
              </w:rPr>
              <w:t>предузећа</w:t>
            </w:r>
            <w:r w:rsidR="005C581F" w:rsidRPr="005303F7">
              <w:rPr>
                <w:rFonts w:ascii="Times New Roman" w:hAnsi="Times New Roman"/>
                <w:sz w:val="20"/>
                <w:lang w:val="sr-Cyrl-CS"/>
              </w:rPr>
              <w:t xml:space="preserve"> (</w:t>
            </w:r>
            <w:r w:rsidR="00673527" w:rsidRPr="005303F7">
              <w:rPr>
                <w:rFonts w:ascii="Times New Roman" w:hAnsi="Times New Roman"/>
                <w:sz w:val="20"/>
                <w:lang w:val="sr-Cyrl-CS"/>
              </w:rPr>
              <w:t xml:space="preserve">у даљем тексту: </w:t>
            </w:r>
            <w:r w:rsidR="008D69AF" w:rsidRPr="005303F7">
              <w:rPr>
                <w:rFonts w:ascii="Times New Roman" w:hAnsi="Times New Roman"/>
                <w:sz w:val="20"/>
                <w:lang w:val="sr-Cyrl-CS"/>
              </w:rPr>
              <w:t>МСП</w:t>
            </w:r>
            <w:r w:rsidR="005C581F" w:rsidRPr="005303F7">
              <w:rPr>
                <w:rFonts w:ascii="Times New Roman" w:hAnsi="Times New Roman"/>
                <w:sz w:val="20"/>
                <w:lang w:val="sr-Cyrl-CS"/>
              </w:rPr>
              <w:t>)</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под</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условом</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уговорних</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аранжмана</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о</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смањењу</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емисије</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када</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МСП</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улажу</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у</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мере</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смањења</w:t>
            </w:r>
            <w:r w:rsidR="008E02EE" w:rsidRPr="005303F7">
              <w:rPr>
                <w:rFonts w:ascii="Times New Roman" w:hAnsi="Times New Roman"/>
                <w:sz w:val="20"/>
                <w:lang w:val="sr-Cyrl-CS"/>
              </w:rPr>
              <w:t xml:space="preserve"> </w:t>
            </w:r>
            <w:r w:rsidR="008D69AF" w:rsidRPr="005303F7">
              <w:rPr>
                <w:rFonts w:ascii="Times New Roman" w:hAnsi="Times New Roman"/>
                <w:sz w:val="20"/>
                <w:lang w:val="sr-Cyrl-CS"/>
              </w:rPr>
              <w:t>емисија</w:t>
            </w:r>
            <w:r w:rsidR="005C581F" w:rsidRPr="005303F7">
              <w:rPr>
                <w:rFonts w:ascii="Times New Roman" w:hAnsi="Times New Roman"/>
                <w:sz w:val="20"/>
                <w:lang w:val="sr-Cyrl-CS"/>
              </w:rPr>
              <w:t xml:space="preserve"> </w:t>
            </w:r>
            <w:r w:rsidR="00D7102F" w:rsidRPr="005303F7">
              <w:rPr>
                <w:rFonts w:ascii="Times New Roman" w:hAnsi="Times New Roman"/>
                <w:sz w:val="20"/>
                <w:lang w:val="sr-Cyrl-CS"/>
              </w:rPr>
              <w:t>GHG</w:t>
            </w:r>
            <w:r w:rsidR="008E02EE" w:rsidRPr="005303F7">
              <w:rPr>
                <w:rFonts w:ascii="Times New Roman" w:hAnsi="Times New Roman"/>
                <w:sz w:val="20"/>
                <w:lang w:val="sr-Cyrl-CS"/>
              </w:rPr>
              <w:t>.</w:t>
            </w:r>
          </w:p>
          <w:p w14:paraId="4A9A259C" w14:textId="3505C9FE" w:rsidR="00BD116A" w:rsidRPr="005303F7" w:rsidRDefault="008D69AF" w:rsidP="007561AC">
            <w:pPr>
              <w:overflowPunct/>
              <w:jc w:val="left"/>
              <w:rPr>
                <w:rFonts w:ascii="Times New Roman" w:hAnsi="Times New Roman"/>
                <w:sz w:val="20"/>
                <w:lang w:val="sr-Cyrl-CS"/>
              </w:rPr>
            </w:pPr>
            <w:r w:rsidRPr="005303F7">
              <w:rPr>
                <w:rFonts w:ascii="Times New Roman" w:hAnsi="Times New Roman"/>
                <w:b/>
                <w:bCs/>
                <w:sz w:val="20"/>
                <w:szCs w:val="18"/>
                <w:u w:val="single"/>
                <w:lang w:val="sr-Cyrl-CS"/>
              </w:rPr>
              <w:t>Процес</w:t>
            </w:r>
            <w:r w:rsidR="007561AC"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преговора</w:t>
            </w:r>
            <w:r w:rsidR="007561AC"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о</w:t>
            </w:r>
            <w:r w:rsidR="007561AC"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приступању</w:t>
            </w:r>
            <w:r w:rsidR="007561AC"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ЕУ</w:t>
            </w:r>
            <w:r w:rsidR="007561AC"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Поглав</w:t>
            </w:r>
            <w:r w:rsidR="00D553BE" w:rsidRPr="005303F7">
              <w:rPr>
                <w:rFonts w:ascii="Times New Roman" w:hAnsi="Times New Roman"/>
                <w:b/>
                <w:bCs/>
                <w:sz w:val="20"/>
                <w:szCs w:val="18"/>
                <w:u w:val="single"/>
                <w:lang w:val="sr-Cyrl-CS"/>
              </w:rPr>
              <w:t>љ</w:t>
            </w:r>
            <w:r w:rsidRPr="005303F7">
              <w:rPr>
                <w:rFonts w:ascii="Times New Roman" w:hAnsi="Times New Roman"/>
                <w:b/>
                <w:bCs/>
                <w:sz w:val="20"/>
                <w:szCs w:val="18"/>
                <w:u w:val="single"/>
                <w:lang w:val="sr-Cyrl-CS"/>
              </w:rPr>
              <w:t>е</w:t>
            </w:r>
            <w:r w:rsidR="007561AC" w:rsidRPr="005303F7">
              <w:rPr>
                <w:rFonts w:ascii="Times New Roman" w:hAnsi="Times New Roman"/>
                <w:b/>
                <w:bCs/>
                <w:sz w:val="20"/>
                <w:szCs w:val="18"/>
                <w:u w:val="single"/>
                <w:lang w:val="sr-Cyrl-CS"/>
              </w:rPr>
              <w:t xml:space="preserve"> 16 </w:t>
            </w:r>
            <w:r w:rsidR="00BD116A"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Опорезивање</w:t>
            </w:r>
          </w:p>
        </w:tc>
      </w:tr>
      <w:tr w:rsidR="007561AC" w:rsidRPr="005303F7" w14:paraId="31F1D526" w14:textId="77777777" w:rsidTr="0009461F">
        <w:trPr>
          <w:trHeight w:val="442"/>
        </w:trPr>
        <w:tc>
          <w:tcPr>
            <w:tcW w:w="695" w:type="dxa"/>
            <w:gridSpan w:val="4"/>
            <w:vMerge/>
            <w:tcBorders>
              <w:top w:val="single" w:sz="4" w:space="0" w:color="auto"/>
              <w:left w:val="single" w:sz="4" w:space="0" w:color="auto"/>
              <w:bottom w:val="single" w:sz="4" w:space="0" w:color="auto"/>
              <w:right w:val="single" w:sz="4" w:space="0" w:color="auto"/>
            </w:tcBorders>
            <w:vAlign w:val="center"/>
            <w:hideMark/>
          </w:tcPr>
          <w:p w14:paraId="53770FAD" w14:textId="77777777" w:rsidR="007561AC" w:rsidRPr="005303F7" w:rsidRDefault="007561AC" w:rsidP="007561AC">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40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A1338C" w14:textId="67C64E04" w:rsidR="007561AC" w:rsidRPr="005303F7" w:rsidRDefault="008D69AF" w:rsidP="0029378D">
            <w:pPr>
              <w:spacing w:before="0" w:after="0"/>
              <w:jc w:val="center"/>
              <w:rPr>
                <w:rFonts w:ascii="Times New Roman" w:hAnsi="Times New Roman"/>
                <w:b/>
                <w:bCs/>
                <w:sz w:val="20"/>
                <w:lang w:val="sr-Cyrl-CS"/>
              </w:rPr>
            </w:pPr>
            <w:r w:rsidRPr="005303F7">
              <w:rPr>
                <w:rFonts w:ascii="Times New Roman" w:hAnsi="Times New Roman"/>
                <w:b/>
                <w:bCs/>
                <w:sz w:val="20"/>
                <w:lang w:val="sr-Cyrl-CS"/>
              </w:rPr>
              <w:t>К</w:t>
            </w:r>
            <w:r w:rsidR="00D553BE" w:rsidRPr="005303F7">
              <w:rPr>
                <w:rFonts w:ascii="Times New Roman" w:hAnsi="Times New Roman"/>
                <w:b/>
                <w:bCs/>
                <w:sz w:val="20"/>
                <w:lang w:val="sr-Cyrl-CS"/>
              </w:rPr>
              <w:t>љ</w:t>
            </w:r>
            <w:r w:rsidRPr="005303F7">
              <w:rPr>
                <w:rFonts w:ascii="Times New Roman" w:hAnsi="Times New Roman"/>
                <w:b/>
                <w:bCs/>
                <w:sz w:val="20"/>
                <w:lang w:val="sr-Cyrl-CS"/>
              </w:rPr>
              <w:t>учни</w:t>
            </w:r>
            <w:r w:rsidR="007561AC" w:rsidRPr="005303F7">
              <w:rPr>
                <w:rFonts w:ascii="Times New Roman" w:hAnsi="Times New Roman"/>
                <w:b/>
                <w:bCs/>
                <w:sz w:val="20"/>
                <w:lang w:val="sr-Cyrl-CS"/>
              </w:rPr>
              <w:t xml:space="preserve"> </w:t>
            </w:r>
            <w:r w:rsidRPr="005303F7">
              <w:rPr>
                <w:rFonts w:ascii="Times New Roman" w:hAnsi="Times New Roman"/>
                <w:b/>
                <w:bCs/>
                <w:sz w:val="20"/>
                <w:lang w:val="sr-Cyrl-CS"/>
              </w:rPr>
              <w:t>субјекат</w:t>
            </w:r>
            <w:r w:rsidR="007561AC" w:rsidRPr="005303F7">
              <w:rPr>
                <w:rFonts w:ascii="Times New Roman" w:hAnsi="Times New Roman"/>
                <w:b/>
                <w:bCs/>
                <w:sz w:val="20"/>
                <w:lang w:val="sr-Cyrl-CS"/>
              </w:rPr>
              <w:t xml:space="preserve"> </w:t>
            </w:r>
            <w:r w:rsidRPr="005303F7">
              <w:rPr>
                <w:rFonts w:ascii="Times New Roman" w:hAnsi="Times New Roman"/>
                <w:b/>
                <w:bCs/>
                <w:sz w:val="20"/>
                <w:lang w:val="sr-Cyrl-CS"/>
              </w:rPr>
              <w:t>за</w:t>
            </w:r>
            <w:r w:rsidR="007561AC" w:rsidRPr="005303F7">
              <w:rPr>
                <w:rFonts w:ascii="Times New Roman" w:hAnsi="Times New Roman"/>
                <w:b/>
                <w:bCs/>
                <w:sz w:val="20"/>
                <w:lang w:val="sr-Cyrl-CS"/>
              </w:rPr>
              <w:t xml:space="preserve"> </w:t>
            </w:r>
            <w:r w:rsidRPr="005303F7">
              <w:rPr>
                <w:rFonts w:ascii="Times New Roman" w:hAnsi="Times New Roman"/>
                <w:b/>
                <w:bCs/>
                <w:sz w:val="20"/>
                <w:lang w:val="sr-Cyrl-CS"/>
              </w:rPr>
              <w:t>спровођење</w:t>
            </w:r>
            <w:r w:rsidR="007561AC"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p>
        </w:tc>
        <w:tc>
          <w:tcPr>
            <w:tcW w:w="500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433137" w14:textId="118074C9" w:rsidR="007561AC"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Партнери</w:t>
            </w:r>
          </w:p>
        </w:tc>
        <w:tc>
          <w:tcPr>
            <w:tcW w:w="171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032B6A" w14:textId="5F15E146" w:rsidR="007561AC" w:rsidRPr="005303F7" w:rsidRDefault="00690489" w:rsidP="0029378D">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 xml:space="preserve">ЕТS/ </w:t>
            </w:r>
            <w:r w:rsidR="004A35C7" w:rsidRPr="005303F7">
              <w:rPr>
                <w:rFonts w:ascii="Times New Roman" w:hAnsi="Times New Roman"/>
                <w:b/>
                <w:sz w:val="20"/>
                <w:lang w:val="sr-Cyrl-CS"/>
              </w:rPr>
              <w:t>не-ЕТS</w:t>
            </w:r>
          </w:p>
        </w:tc>
        <w:tc>
          <w:tcPr>
            <w:tcW w:w="142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A53B20" w14:textId="43BABAB0" w:rsidR="007561AC"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Главни</w:t>
            </w:r>
            <w:r w:rsidR="007561AC" w:rsidRPr="005303F7">
              <w:rPr>
                <w:rFonts w:ascii="Times New Roman" w:hAnsi="Times New Roman"/>
                <w:b/>
                <w:bCs/>
                <w:sz w:val="20"/>
                <w:lang w:val="sr-Cyrl-CS"/>
              </w:rPr>
              <w:t xml:space="preserve"> </w:t>
            </w:r>
            <w:r w:rsidRPr="005303F7">
              <w:rPr>
                <w:rFonts w:ascii="Times New Roman" w:hAnsi="Times New Roman"/>
                <w:b/>
                <w:bCs/>
                <w:sz w:val="20"/>
                <w:lang w:val="sr-Cyrl-CS"/>
              </w:rPr>
              <w:t>гасови</w:t>
            </w:r>
          </w:p>
        </w:tc>
        <w:tc>
          <w:tcPr>
            <w:tcW w:w="310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599C3B" w14:textId="2CB62205" w:rsidR="00D7102F" w:rsidRPr="005303F7" w:rsidRDefault="00DC2380"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Процењен утицај ублажавања</w:t>
            </w:r>
            <w:r w:rsidRPr="005303F7" w:rsidDel="004A1F5D">
              <w:rPr>
                <w:rFonts w:ascii="Times New Roman" w:hAnsi="Times New Roman"/>
                <w:b/>
                <w:bCs/>
                <w:sz w:val="20"/>
                <w:lang w:val="sr-Cyrl-CS"/>
              </w:rPr>
              <w:t xml:space="preserve"> </w:t>
            </w:r>
            <w:r w:rsidR="00D7102F" w:rsidRPr="005303F7">
              <w:rPr>
                <w:rFonts w:ascii="Times New Roman" w:hAnsi="Times New Roman"/>
                <w:b/>
                <w:bCs/>
                <w:sz w:val="20"/>
                <w:lang w:val="sr-Cyrl-CS"/>
              </w:rPr>
              <w:t xml:space="preserve">до 2030. </w:t>
            </w:r>
          </w:p>
          <w:p w14:paraId="773B1DC4" w14:textId="6E22CA90" w:rsidR="007561AC"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BD116A" w:rsidRPr="005303F7" w14:paraId="622AFBC9" w14:textId="77777777" w:rsidTr="00353B06">
        <w:trPr>
          <w:trHeight w:val="799"/>
        </w:trPr>
        <w:tc>
          <w:tcPr>
            <w:tcW w:w="695" w:type="dxa"/>
            <w:gridSpan w:val="4"/>
            <w:vMerge/>
            <w:tcBorders>
              <w:top w:val="single" w:sz="4" w:space="0" w:color="auto"/>
              <w:left w:val="single" w:sz="4" w:space="0" w:color="auto"/>
              <w:bottom w:val="single" w:sz="4" w:space="0" w:color="auto"/>
              <w:right w:val="single" w:sz="4" w:space="0" w:color="auto"/>
            </w:tcBorders>
            <w:vAlign w:val="center"/>
            <w:hideMark/>
          </w:tcPr>
          <w:p w14:paraId="258AF0B1" w14:textId="77777777" w:rsidR="00BD116A" w:rsidRPr="005303F7" w:rsidRDefault="00BD116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40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4080A1" w14:textId="2D1CC465"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C62A7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финансија</w:t>
            </w:r>
          </w:p>
        </w:tc>
        <w:tc>
          <w:tcPr>
            <w:tcW w:w="500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CADC6" w14:textId="74D87C2F" w:rsidR="00BD116A" w:rsidRPr="005303F7" w:rsidRDefault="008D69AF" w:rsidP="00C62A71">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A420A2"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заштите</w:t>
            </w:r>
            <w:r w:rsidR="00C62A7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животне</w:t>
            </w:r>
            <w:r w:rsidR="00C62A7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средине</w:t>
            </w:r>
            <w:r w:rsidR="00C62A7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Министарство</w:t>
            </w:r>
            <w:r w:rsidR="00C62A7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рударства</w:t>
            </w:r>
            <w:r w:rsidR="00C62A7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C62A7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енергетике</w:t>
            </w:r>
          </w:p>
        </w:tc>
        <w:tc>
          <w:tcPr>
            <w:tcW w:w="1711"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035254" w14:textId="1409C47A" w:rsidR="00BD116A" w:rsidRPr="005303F7" w:rsidRDefault="004A35C7">
            <w:pPr>
              <w:overflowPunct/>
              <w:spacing w:after="0"/>
              <w:jc w:val="center"/>
              <w:rPr>
                <w:rFonts w:ascii="Times New Roman" w:hAnsi="Times New Roman"/>
                <w:bCs/>
                <w:sz w:val="20"/>
                <w:highlight w:val="yellow"/>
                <w:lang w:val="sr-Cyrl-CS"/>
              </w:rPr>
            </w:pPr>
            <w:r w:rsidRPr="005303F7">
              <w:rPr>
                <w:rFonts w:ascii="Times New Roman" w:hAnsi="Times New Roman"/>
                <w:bCs/>
                <w:sz w:val="20"/>
                <w:lang w:val="sr-Cyrl-CS"/>
              </w:rPr>
              <w:t>н</w:t>
            </w:r>
            <w:r w:rsidR="008D69AF" w:rsidRPr="005303F7">
              <w:rPr>
                <w:rFonts w:ascii="Times New Roman" w:hAnsi="Times New Roman"/>
                <w:bCs/>
                <w:sz w:val="20"/>
                <w:lang w:val="sr-Cyrl-CS"/>
              </w:rPr>
              <w:t>е</w:t>
            </w:r>
            <w:r w:rsidR="00480847" w:rsidRPr="005303F7">
              <w:rPr>
                <w:rFonts w:ascii="Times New Roman" w:hAnsi="Times New Roman"/>
                <w:bCs/>
                <w:sz w:val="20"/>
                <w:lang w:val="sr-Cyrl-CS"/>
              </w:rPr>
              <w:t>-</w:t>
            </w:r>
            <w:r w:rsidR="008D69AF" w:rsidRPr="005303F7">
              <w:rPr>
                <w:rFonts w:ascii="Times New Roman" w:hAnsi="Times New Roman"/>
                <w:bCs/>
                <w:sz w:val="20"/>
                <w:lang w:val="sr-Cyrl-CS"/>
              </w:rPr>
              <w:t>ЕТ</w:t>
            </w:r>
            <w:r w:rsidR="00690489" w:rsidRPr="005303F7">
              <w:rPr>
                <w:rFonts w:ascii="Times New Roman" w:hAnsi="Times New Roman"/>
                <w:bCs/>
                <w:sz w:val="20"/>
                <w:lang w:val="sr-Cyrl-CS"/>
              </w:rPr>
              <w:t>S</w:t>
            </w:r>
          </w:p>
        </w:tc>
        <w:tc>
          <w:tcPr>
            <w:tcW w:w="142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7A52B5" w14:textId="6FB2FFCA" w:rsidR="00BD116A" w:rsidRPr="005303F7" w:rsidRDefault="00690489">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C</w:t>
            </w:r>
            <w:r w:rsidR="008D69AF" w:rsidRPr="005303F7">
              <w:rPr>
                <w:rFonts w:ascii="Times New Roman" w:hAnsi="Times New Roman"/>
                <w:bCs/>
                <w:color w:val="000000"/>
                <w:sz w:val="20"/>
                <w:lang w:val="sr-Cyrl-CS"/>
              </w:rPr>
              <w:t>О</w:t>
            </w:r>
            <w:r w:rsidR="00BD116A" w:rsidRPr="005303F7">
              <w:rPr>
                <w:rFonts w:ascii="Times New Roman" w:hAnsi="Times New Roman"/>
                <w:bCs/>
                <w:color w:val="000000"/>
                <w:sz w:val="20"/>
                <w:vertAlign w:val="subscript"/>
                <w:lang w:val="sr-Cyrl-CS"/>
              </w:rPr>
              <w:t>2</w:t>
            </w:r>
          </w:p>
        </w:tc>
        <w:tc>
          <w:tcPr>
            <w:tcW w:w="310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C3BCB4" w14:textId="77777777" w:rsidR="00BD116A" w:rsidRPr="005303F7" w:rsidRDefault="00BD116A">
            <w:pPr>
              <w:overflowPunct/>
              <w:spacing w:after="0"/>
              <w:jc w:val="center"/>
              <w:rPr>
                <w:rFonts w:ascii="Times New Roman" w:hAnsi="Times New Roman"/>
                <w:bCs/>
                <w:color w:val="000000"/>
                <w:sz w:val="20"/>
                <w:highlight w:val="yellow"/>
                <w:lang w:val="sr-Cyrl-CS"/>
              </w:rPr>
            </w:pPr>
            <w:r w:rsidRPr="005303F7">
              <w:rPr>
                <w:rFonts w:ascii="Times New Roman" w:hAnsi="Times New Roman"/>
                <w:bCs/>
                <w:color w:val="000000"/>
                <w:sz w:val="20"/>
                <w:lang w:val="sr-Cyrl-CS"/>
              </w:rPr>
              <w:t>161</w:t>
            </w:r>
          </w:p>
        </w:tc>
      </w:tr>
      <w:tr w:rsidR="00BD116A" w:rsidRPr="005303F7" w14:paraId="5B0BBFD8" w14:textId="77777777" w:rsidTr="0009461F">
        <w:trPr>
          <w:trHeight w:val="442"/>
        </w:trPr>
        <w:tc>
          <w:tcPr>
            <w:tcW w:w="561" w:type="dxa"/>
            <w:gridSpan w:val="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260A4947" w14:textId="7D405E57" w:rsidR="00BD116A" w:rsidRPr="005303F7" w:rsidRDefault="008D69AF">
            <w:pPr>
              <w:overflowPunct/>
              <w:spacing w:after="0"/>
              <w:rPr>
                <w:rFonts w:ascii="Times New Roman" w:hAnsi="Times New Roman"/>
                <w:sz w:val="20"/>
                <w:lang w:val="sr-Cyrl-CS"/>
              </w:rPr>
            </w:pPr>
            <w:r w:rsidRPr="005303F7">
              <w:rPr>
                <w:rFonts w:ascii="Times New Roman" w:hAnsi="Times New Roman"/>
                <w:sz w:val="20"/>
                <w:lang w:val="sr-Cyrl-CS"/>
              </w:rPr>
              <w:t>Бр</w:t>
            </w:r>
            <w:r w:rsidR="00BD116A" w:rsidRPr="005303F7">
              <w:rPr>
                <w:rFonts w:ascii="Times New Roman" w:hAnsi="Times New Roman"/>
                <w:sz w:val="20"/>
                <w:lang w:val="sr-Cyrl-CS"/>
              </w:rPr>
              <w:t>.</w:t>
            </w:r>
          </w:p>
        </w:tc>
        <w:tc>
          <w:tcPr>
            <w:tcW w:w="15429" w:type="dxa"/>
            <w:gridSpan w:val="3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73A9FAE9" w14:textId="35B14070" w:rsidR="00BD116A" w:rsidRPr="005303F7" w:rsidRDefault="008D69AF" w:rsidP="00652668">
            <w:pPr>
              <w:overflowPunct/>
              <w:jc w:val="left"/>
              <w:rPr>
                <w:rFonts w:ascii="Times New Roman" w:hAnsi="Times New Roman"/>
                <w:b/>
                <w:sz w:val="20"/>
                <w:u w:val="single"/>
                <w:lang w:val="sr-Cyrl-CS"/>
              </w:rPr>
            </w:pPr>
            <w:r w:rsidRPr="005303F7">
              <w:rPr>
                <w:rFonts w:ascii="Times New Roman" w:hAnsi="Times New Roman"/>
                <w:b/>
                <w:bCs/>
                <w:sz w:val="20"/>
                <w:lang w:val="sr-Cyrl-CS"/>
              </w:rPr>
              <w:t>Назив</w:t>
            </w:r>
            <w:r w:rsidR="00C62A71"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r w:rsidR="00C62A71" w:rsidRPr="005303F7">
              <w:rPr>
                <w:rFonts w:ascii="Times New Roman" w:hAnsi="Times New Roman"/>
                <w:b/>
                <w:bCs/>
                <w:sz w:val="20"/>
                <w:lang w:val="sr-Cyrl-CS"/>
              </w:rPr>
              <w:t xml:space="preserve">: </w:t>
            </w:r>
            <w:r w:rsidRPr="005303F7">
              <w:rPr>
                <w:rFonts w:ascii="Times New Roman" w:hAnsi="Times New Roman"/>
                <w:b/>
                <w:bCs/>
                <w:sz w:val="20"/>
                <w:u w:val="single"/>
                <w:lang w:val="sr-Cyrl-CS"/>
              </w:rPr>
              <w:t>Унапређење</w:t>
            </w:r>
            <w:r w:rsidR="00C62A71"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енергетске</w:t>
            </w:r>
            <w:r w:rsidR="00C62A71"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ефикасности</w:t>
            </w:r>
            <w:r w:rsidR="00C62A71"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у</w:t>
            </w:r>
            <w:r w:rsidR="00C62A71"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индустрији</w:t>
            </w:r>
          </w:p>
        </w:tc>
      </w:tr>
      <w:tr w:rsidR="00BD116A" w:rsidRPr="005303F7" w14:paraId="3A17B769" w14:textId="77777777" w:rsidTr="0009461F">
        <w:trPr>
          <w:trHeight w:val="840"/>
        </w:trPr>
        <w:tc>
          <w:tcPr>
            <w:tcW w:w="56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CB9D67" w14:textId="77777777" w:rsidR="00BD116A" w:rsidRPr="005303F7" w:rsidRDefault="00BD116A">
            <w:pPr>
              <w:rPr>
                <w:rFonts w:ascii="Times New Roman" w:hAnsi="Times New Roman"/>
                <w:b/>
                <w:lang w:val="sr-Cyrl-CS"/>
              </w:rPr>
            </w:pPr>
            <w:r w:rsidRPr="005303F7">
              <w:rPr>
                <w:rFonts w:ascii="Times New Roman" w:hAnsi="Times New Roman"/>
                <w:b/>
                <w:lang w:val="sr-Cyrl-CS"/>
              </w:rPr>
              <w:t>5</w:t>
            </w:r>
          </w:p>
        </w:tc>
        <w:tc>
          <w:tcPr>
            <w:tcW w:w="15429" w:type="dxa"/>
            <w:gridSpan w:val="32"/>
            <w:tcBorders>
              <w:top w:val="single" w:sz="4" w:space="0" w:color="auto"/>
              <w:left w:val="single" w:sz="4" w:space="0" w:color="auto"/>
              <w:bottom w:val="single" w:sz="4" w:space="0" w:color="auto"/>
              <w:right w:val="single" w:sz="4" w:space="0" w:color="auto"/>
            </w:tcBorders>
            <w:vAlign w:val="center"/>
            <w:hideMark/>
          </w:tcPr>
          <w:p w14:paraId="5A6273C0" w14:textId="1688A9E7" w:rsidR="00BD116A" w:rsidRPr="005303F7" w:rsidRDefault="008D69AF">
            <w:pPr>
              <w:overflowPunct/>
              <w:jc w:val="left"/>
              <w:rPr>
                <w:rFonts w:ascii="Times New Roman" w:hAnsi="Times New Roman"/>
                <w:b/>
                <w:color w:val="000000"/>
                <w:sz w:val="20"/>
                <w:u w:val="single"/>
                <w:lang w:val="sr-Cyrl-CS"/>
              </w:rPr>
            </w:pPr>
            <w:r w:rsidRPr="005303F7">
              <w:rPr>
                <w:rFonts w:ascii="Times New Roman" w:hAnsi="Times New Roman"/>
                <w:b/>
                <w:color w:val="000000"/>
                <w:sz w:val="20"/>
                <w:u w:val="single"/>
                <w:lang w:val="sr-Cyrl-CS"/>
              </w:rPr>
              <w:t>Врста</w:t>
            </w:r>
            <w:r w:rsidR="00043E9A"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BD116A" w:rsidRPr="005303F7">
              <w:rPr>
                <w:rFonts w:ascii="Times New Roman" w:hAnsi="Times New Roman"/>
                <w:b/>
                <w:color w:val="000000"/>
                <w:sz w:val="20"/>
                <w:u w:val="single"/>
                <w:lang w:val="sr-Cyrl-CS"/>
              </w:rPr>
              <w:t xml:space="preserve">: </w:t>
            </w:r>
            <w:r w:rsidRPr="005303F7">
              <w:rPr>
                <w:rFonts w:ascii="Times New Roman" w:hAnsi="Times New Roman"/>
                <w:bCs/>
                <w:color w:val="000000"/>
                <w:sz w:val="20"/>
                <w:lang w:val="sr-Cyrl-CS"/>
              </w:rPr>
              <w:t>Регулаторна</w:t>
            </w:r>
            <w:r w:rsidR="005650CD"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подстицајна</w:t>
            </w:r>
            <w:r w:rsidR="005650CD"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финансијска</w:t>
            </w:r>
          </w:p>
          <w:p w14:paraId="1DE3B52C" w14:textId="19B78FA1" w:rsidR="000D7B58" w:rsidRPr="005303F7" w:rsidRDefault="008D69AF" w:rsidP="000D7B58">
            <w:pPr>
              <w:overflowPunct/>
              <w:spacing w:after="0"/>
              <w:jc w:val="left"/>
              <w:rPr>
                <w:rFonts w:ascii="Times New Roman" w:hAnsi="Times New Roman"/>
                <w:bCs/>
                <w:color w:val="000000"/>
                <w:sz w:val="20"/>
                <w:lang w:val="sr-Cyrl-CS"/>
              </w:rPr>
            </w:pPr>
            <w:r w:rsidRPr="005303F7">
              <w:rPr>
                <w:rFonts w:ascii="Times New Roman" w:hAnsi="Times New Roman"/>
                <w:b/>
                <w:color w:val="000000"/>
                <w:sz w:val="20"/>
                <w:u w:val="single"/>
                <w:lang w:val="sr-Cyrl-CS"/>
              </w:rPr>
              <w:t>Опис</w:t>
            </w:r>
            <w:r w:rsidR="00043E9A"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BD116A" w:rsidRPr="005303F7">
              <w:rPr>
                <w:rFonts w:ascii="Times New Roman" w:hAnsi="Times New Roman"/>
                <w:bCs/>
                <w:color w:val="000000"/>
                <w:sz w:val="20"/>
                <w:lang w:val="sr-Cyrl-CS"/>
              </w:rPr>
              <w:t>:</w:t>
            </w:r>
            <w:r w:rsidR="00BD116A" w:rsidRPr="005303F7">
              <w:rPr>
                <w:rFonts w:ascii="Times New Roman" w:hAnsi="Times New Roman"/>
                <w:lang w:val="sr-Cyrl-CS"/>
              </w:rPr>
              <w:t xml:space="preserve"> </w:t>
            </w:r>
            <w:r w:rsidR="000D7B58" w:rsidRPr="005303F7">
              <w:rPr>
                <w:rFonts w:ascii="Times New Roman" w:hAnsi="Times New Roman"/>
                <w:bCs/>
                <w:color w:val="000000"/>
                <w:sz w:val="20"/>
                <w:lang w:val="sr-Cyrl-CS"/>
              </w:rPr>
              <w:t>Побољшање енергетске ефикасности у енергетски захтевном индустријском сектору пресудно је за побољшање конкурентности. Индустријски сектор ће морати да промовише и примењује пројекте енергетске ефикасности и користи најбоље доступне технологије (</w:t>
            </w:r>
            <w:r w:rsidR="00437485" w:rsidRPr="005303F7">
              <w:rPr>
                <w:rFonts w:ascii="Times New Roman" w:hAnsi="Times New Roman"/>
                <w:bCs/>
                <w:color w:val="000000"/>
                <w:sz w:val="20"/>
                <w:lang w:val="sr-Cyrl-CS"/>
              </w:rPr>
              <w:t xml:space="preserve">енгл. Best available technologies - </w:t>
            </w:r>
            <w:r w:rsidR="00673527" w:rsidRPr="005303F7">
              <w:rPr>
                <w:rFonts w:ascii="Times New Roman" w:hAnsi="Times New Roman"/>
                <w:bCs/>
                <w:color w:val="000000"/>
                <w:sz w:val="20"/>
                <w:lang w:val="sr-Cyrl-CS"/>
              </w:rPr>
              <w:t>BAT</w:t>
            </w:r>
            <w:r w:rsidR="000D7B58" w:rsidRPr="005303F7">
              <w:rPr>
                <w:rFonts w:ascii="Times New Roman" w:hAnsi="Times New Roman"/>
                <w:bCs/>
                <w:color w:val="000000"/>
                <w:sz w:val="20"/>
                <w:lang w:val="sr-Cyrl-CS"/>
              </w:rPr>
              <w:t xml:space="preserve">) да би остао конкурентан. </w:t>
            </w:r>
          </w:p>
          <w:p w14:paraId="43AA0F88" w14:textId="1D27B85C" w:rsidR="000D7B58" w:rsidRPr="005303F7" w:rsidRDefault="004F4501" w:rsidP="000D7B58">
            <w:pPr>
              <w:overflowPunct/>
              <w:spacing w:after="0"/>
              <w:jc w:val="left"/>
              <w:rPr>
                <w:rFonts w:ascii="Times New Roman" w:hAnsi="Times New Roman"/>
                <w:bCs/>
                <w:color w:val="000000"/>
                <w:sz w:val="20"/>
                <w:lang w:val="sr-Cyrl-CS"/>
              </w:rPr>
            </w:pPr>
            <w:r w:rsidRPr="005303F7">
              <w:rPr>
                <w:rFonts w:ascii="Times New Roman" w:hAnsi="Times New Roman"/>
                <w:bCs/>
                <w:color w:val="000000"/>
                <w:sz w:val="20"/>
                <w:lang w:val="sr-Cyrl-CS"/>
              </w:rPr>
              <w:t xml:space="preserve">       </w:t>
            </w:r>
            <w:r w:rsidR="000D7B58" w:rsidRPr="005303F7">
              <w:rPr>
                <w:rFonts w:ascii="Times New Roman" w:hAnsi="Times New Roman"/>
                <w:bCs/>
                <w:color w:val="000000"/>
                <w:sz w:val="20"/>
                <w:lang w:val="sr-Cyrl-CS"/>
              </w:rPr>
              <w:t>Побољшање енергетске ефикасности у индустрији биће постигнуто пакетом инструмената. На основу четвртог Националног акционог плана за енергетску ефикасност из 2021. године инструменти су:</w:t>
            </w:r>
          </w:p>
          <w:p w14:paraId="6E22B73C" w14:textId="12F760DC" w:rsidR="000D7B58" w:rsidRPr="005303F7" w:rsidRDefault="000C44C2" w:rsidP="00D93231">
            <w:pPr>
              <w:pStyle w:val="ListParagraph"/>
              <w:numPr>
                <w:ilvl w:val="0"/>
                <w:numId w:val="54"/>
              </w:numPr>
              <w:overflowPunct/>
              <w:spacing w:after="0"/>
              <w:jc w:val="left"/>
              <w:rPr>
                <w:rFonts w:ascii="Times New Roman" w:hAnsi="Times New Roman"/>
                <w:bCs/>
                <w:color w:val="000000"/>
                <w:lang w:val="sr-Cyrl-CS"/>
              </w:rPr>
            </w:pPr>
            <w:r w:rsidRPr="005303F7">
              <w:rPr>
                <w:rFonts w:ascii="Times New Roman" w:hAnsi="Times New Roman"/>
                <w:bCs/>
                <w:color w:val="000000"/>
                <w:lang w:val="sr-Cyrl-CS"/>
              </w:rPr>
              <w:t>у</w:t>
            </w:r>
            <w:r w:rsidR="000D7B58" w:rsidRPr="005303F7">
              <w:rPr>
                <w:rFonts w:ascii="Times New Roman" w:hAnsi="Times New Roman"/>
                <w:bCs/>
                <w:color w:val="000000"/>
                <w:lang w:val="sr-Cyrl-CS"/>
              </w:rPr>
              <w:t>вођење Система енергетског менаџмента у ве</w:t>
            </w:r>
            <w:r w:rsidRPr="005303F7">
              <w:rPr>
                <w:rFonts w:ascii="Times New Roman" w:hAnsi="Times New Roman"/>
                <w:bCs/>
                <w:color w:val="000000"/>
                <w:lang w:val="sr-Cyrl-CS"/>
              </w:rPr>
              <w:t>ликим индустријским потрошачима;</w:t>
            </w:r>
            <w:r w:rsidR="000D7B58" w:rsidRPr="005303F7">
              <w:rPr>
                <w:rFonts w:ascii="Times New Roman" w:hAnsi="Times New Roman"/>
                <w:bCs/>
                <w:color w:val="000000"/>
                <w:lang w:val="sr-Cyrl-CS"/>
              </w:rPr>
              <w:t xml:space="preserve"> </w:t>
            </w:r>
          </w:p>
          <w:p w14:paraId="44DC690A" w14:textId="3E6356EE" w:rsidR="000D7B58" w:rsidRPr="005303F7" w:rsidRDefault="000C44C2" w:rsidP="00D93231">
            <w:pPr>
              <w:pStyle w:val="ListParagraph"/>
              <w:numPr>
                <w:ilvl w:val="0"/>
                <w:numId w:val="54"/>
              </w:numPr>
              <w:overflowPunct/>
              <w:spacing w:after="0"/>
              <w:jc w:val="left"/>
              <w:rPr>
                <w:rFonts w:ascii="Times New Roman" w:hAnsi="Times New Roman"/>
                <w:bCs/>
                <w:color w:val="000000"/>
                <w:lang w:val="sr-Cyrl-CS"/>
              </w:rPr>
            </w:pPr>
            <w:r w:rsidRPr="005303F7">
              <w:rPr>
                <w:rFonts w:ascii="Times New Roman" w:hAnsi="Times New Roman"/>
                <w:bCs/>
                <w:color w:val="000000"/>
                <w:lang w:val="sr-Cyrl-CS"/>
              </w:rPr>
              <w:t>п</w:t>
            </w:r>
            <w:r w:rsidR="000D7B58" w:rsidRPr="005303F7">
              <w:rPr>
                <w:rFonts w:ascii="Times New Roman" w:hAnsi="Times New Roman"/>
                <w:bCs/>
                <w:color w:val="000000"/>
                <w:lang w:val="sr-Cyrl-CS"/>
              </w:rPr>
              <w:t>рограм побољшања енергетске ефикасности у индустрији</w:t>
            </w:r>
            <w:r w:rsidRPr="005303F7">
              <w:rPr>
                <w:rFonts w:ascii="Times New Roman" w:hAnsi="Times New Roman"/>
                <w:bCs/>
                <w:color w:val="000000"/>
                <w:lang w:val="sr-Cyrl-CS"/>
              </w:rPr>
              <w:t>;</w:t>
            </w:r>
          </w:p>
          <w:p w14:paraId="56B6825E" w14:textId="4BC21DB1" w:rsidR="000D7B58" w:rsidRPr="005303F7" w:rsidRDefault="000C44C2" w:rsidP="00D93231">
            <w:pPr>
              <w:pStyle w:val="ListParagraph"/>
              <w:numPr>
                <w:ilvl w:val="0"/>
                <w:numId w:val="54"/>
              </w:numPr>
              <w:overflowPunct/>
              <w:spacing w:after="0"/>
              <w:jc w:val="left"/>
              <w:rPr>
                <w:rFonts w:ascii="Times New Roman" w:hAnsi="Times New Roman"/>
                <w:bCs/>
                <w:color w:val="000000"/>
                <w:lang w:val="sr-Cyrl-CS"/>
              </w:rPr>
            </w:pPr>
            <w:r w:rsidRPr="005303F7">
              <w:rPr>
                <w:rFonts w:ascii="Times New Roman" w:hAnsi="Times New Roman"/>
                <w:bCs/>
                <w:color w:val="000000"/>
                <w:lang w:val="sr-Cyrl-CS"/>
              </w:rPr>
              <w:t>п</w:t>
            </w:r>
            <w:r w:rsidR="000D7B58" w:rsidRPr="005303F7">
              <w:rPr>
                <w:rFonts w:ascii="Times New Roman" w:hAnsi="Times New Roman"/>
                <w:bCs/>
                <w:color w:val="000000"/>
                <w:lang w:val="sr-Cyrl-CS"/>
              </w:rPr>
              <w:t xml:space="preserve">одстицајне тарифе за високо ефикасне </w:t>
            </w:r>
            <w:r w:rsidR="00673527" w:rsidRPr="005303F7">
              <w:rPr>
                <w:rFonts w:ascii="Times New Roman" w:hAnsi="Times New Roman"/>
                <w:bCs/>
                <w:color w:val="000000"/>
                <w:lang w:val="sr-Cyrl-CS"/>
              </w:rPr>
              <w:t>CHP</w:t>
            </w:r>
            <w:r w:rsidRPr="005303F7">
              <w:rPr>
                <w:rFonts w:ascii="Times New Roman" w:hAnsi="Times New Roman"/>
                <w:bCs/>
                <w:color w:val="000000"/>
                <w:lang w:val="sr-Cyrl-CS"/>
              </w:rPr>
              <w:t xml:space="preserve">  у индустрији;</w:t>
            </w:r>
          </w:p>
          <w:p w14:paraId="32B432E8" w14:textId="2F617C9E" w:rsidR="000D7B58" w:rsidRPr="005303F7" w:rsidRDefault="000C44C2" w:rsidP="00674002">
            <w:pPr>
              <w:pStyle w:val="ListParagraph"/>
              <w:numPr>
                <w:ilvl w:val="0"/>
                <w:numId w:val="54"/>
              </w:numPr>
              <w:tabs>
                <w:tab w:val="clear" w:pos="3825"/>
                <w:tab w:val="left" w:pos="607"/>
              </w:tabs>
              <w:overflowPunct/>
              <w:spacing w:after="0"/>
              <w:ind w:left="39" w:firstLine="321"/>
              <w:jc w:val="left"/>
              <w:rPr>
                <w:rFonts w:ascii="Times New Roman" w:hAnsi="Times New Roman"/>
                <w:bCs/>
                <w:color w:val="000000"/>
                <w:lang w:val="sr-Cyrl-CS"/>
              </w:rPr>
            </w:pPr>
            <w:r w:rsidRPr="005303F7">
              <w:rPr>
                <w:rFonts w:ascii="Times New Roman" w:hAnsi="Times New Roman"/>
                <w:bCs/>
                <w:color w:val="000000"/>
                <w:lang w:val="sr-Cyrl-CS"/>
              </w:rPr>
              <w:lastRenderedPageBreak/>
              <w:t>м</w:t>
            </w:r>
            <w:r w:rsidR="000D7B58" w:rsidRPr="005303F7">
              <w:rPr>
                <w:rFonts w:ascii="Times New Roman" w:hAnsi="Times New Roman"/>
                <w:bCs/>
                <w:color w:val="000000"/>
                <w:lang w:val="sr-Cyrl-CS"/>
              </w:rPr>
              <w:t>инимални захтеви енергетске ефикасности за нова и реновирана постројења за производњу електричне и топлотне енергије, или системе за комбиновану производњу електричне и топлотне енергије.</w:t>
            </w:r>
          </w:p>
          <w:p w14:paraId="4611B131" w14:textId="0D6E26F8" w:rsidR="000D7B58" w:rsidRPr="005303F7" w:rsidRDefault="004F4501" w:rsidP="000D7B58">
            <w:pPr>
              <w:overflowPunct/>
              <w:spacing w:after="0"/>
              <w:jc w:val="left"/>
              <w:rPr>
                <w:rFonts w:ascii="Times New Roman" w:hAnsi="Times New Roman"/>
                <w:bCs/>
                <w:color w:val="000000"/>
                <w:sz w:val="20"/>
                <w:lang w:val="sr-Cyrl-CS"/>
              </w:rPr>
            </w:pPr>
            <w:r w:rsidRPr="005303F7">
              <w:rPr>
                <w:rFonts w:ascii="Times New Roman" w:hAnsi="Times New Roman"/>
                <w:bCs/>
                <w:color w:val="000000"/>
                <w:sz w:val="20"/>
                <w:lang w:val="sr-Cyrl-CS"/>
              </w:rPr>
              <w:t xml:space="preserve">       </w:t>
            </w:r>
            <w:r w:rsidR="000D7B58" w:rsidRPr="005303F7">
              <w:rPr>
                <w:rFonts w:ascii="Times New Roman" w:hAnsi="Times New Roman"/>
                <w:bCs/>
                <w:color w:val="000000"/>
                <w:sz w:val="20"/>
                <w:lang w:val="sr-Cyrl-CS"/>
              </w:rPr>
              <w:t>На основу члана 7</w:t>
            </w:r>
            <w:r w:rsidR="001E30B7" w:rsidRPr="005303F7">
              <w:rPr>
                <w:rFonts w:ascii="Times New Roman" w:hAnsi="Times New Roman"/>
                <w:bCs/>
                <w:color w:val="000000"/>
                <w:sz w:val="20"/>
                <w:lang w:val="sr-Cyrl-CS"/>
              </w:rPr>
              <w:t>.</w:t>
            </w:r>
            <w:r w:rsidR="000D7B58" w:rsidRPr="005303F7">
              <w:rPr>
                <w:rFonts w:ascii="Times New Roman" w:hAnsi="Times New Roman"/>
                <w:bCs/>
                <w:color w:val="000000"/>
                <w:sz w:val="20"/>
                <w:lang w:val="sr-Cyrl-CS"/>
              </w:rPr>
              <w:t xml:space="preserve"> Директиве о енергетској ефикасности (2012/27 / ЕУ) може се увести обавезујућа шема енергетске ефикасности или алтернативне мере. Кроз тај систем, компаније које продају енергију крајњим потрошачима имале би обавезу да постигну уштеду енергије код крајњих потрошача на основу различитих мера. Мере финансирају компаније саме и оне морају годишње да извештавају о оствареним уштедама.</w:t>
            </w:r>
          </w:p>
          <w:p w14:paraId="5EC23B72" w14:textId="2C707B02" w:rsidR="00BD116A" w:rsidRPr="005303F7" w:rsidRDefault="004F4501" w:rsidP="009924BA">
            <w:pPr>
              <w:overflowPunct/>
              <w:spacing w:after="0"/>
              <w:rPr>
                <w:rFonts w:ascii="Times New Roman" w:hAnsi="Times New Roman"/>
                <w:bCs/>
                <w:color w:val="000000"/>
                <w:sz w:val="20"/>
                <w:lang w:val="sr-Cyrl-CS"/>
              </w:rPr>
            </w:pPr>
            <w:r w:rsidRPr="005303F7">
              <w:rPr>
                <w:rFonts w:ascii="Times New Roman" w:hAnsi="Times New Roman"/>
                <w:bCs/>
                <w:color w:val="000000"/>
                <w:sz w:val="20"/>
                <w:lang w:val="sr-Cyrl-CS"/>
              </w:rPr>
              <w:t xml:space="preserve">       </w:t>
            </w:r>
            <w:r w:rsidR="000D7B58" w:rsidRPr="005303F7">
              <w:rPr>
                <w:rFonts w:ascii="Times New Roman" w:hAnsi="Times New Roman"/>
                <w:bCs/>
                <w:color w:val="000000"/>
                <w:sz w:val="20"/>
                <w:lang w:val="sr-Cyrl-CS"/>
              </w:rPr>
              <w:t xml:space="preserve">У прилог горе наведеном, Уредба </w:t>
            </w:r>
            <w:r w:rsidR="0021322B" w:rsidRPr="005303F7">
              <w:rPr>
                <w:rFonts w:ascii="Times New Roman" w:hAnsi="Times New Roman"/>
                <w:bCs/>
                <w:color w:val="000000"/>
                <w:sz w:val="20"/>
                <w:lang w:val="sr-Cyrl-CS"/>
              </w:rPr>
              <w:t>Комисије (ЕУ)  2019/1781 (за електромоторе и погоне са променљивом брзином у погледу закона за еко-дизајн) т</w:t>
            </w:r>
            <w:r w:rsidR="00FA79BB" w:rsidRPr="005303F7">
              <w:rPr>
                <w:rFonts w:ascii="Times New Roman" w:hAnsi="Times New Roman"/>
                <w:bCs/>
                <w:color w:val="000000"/>
                <w:sz w:val="20"/>
                <w:lang w:val="sr-Cyrl-CS"/>
              </w:rPr>
              <w:t>реба да буде транспонована, док је</w:t>
            </w:r>
            <w:r w:rsidR="000D7B58" w:rsidRPr="005303F7">
              <w:rPr>
                <w:rFonts w:ascii="Times New Roman" w:hAnsi="Times New Roman"/>
                <w:bCs/>
                <w:color w:val="000000"/>
                <w:sz w:val="20"/>
                <w:lang w:val="sr-Cyrl-CS"/>
              </w:rPr>
              <w:t xml:space="preserve"> Директива</w:t>
            </w:r>
            <w:r w:rsidR="00903CD0" w:rsidRPr="005303F7">
              <w:rPr>
                <w:rFonts w:ascii="Times New Roman" w:hAnsi="Times New Roman"/>
                <w:bCs/>
                <w:color w:val="000000"/>
                <w:sz w:val="20"/>
                <w:lang w:val="sr-Cyrl-CS"/>
              </w:rPr>
              <w:t xml:space="preserve"> </w:t>
            </w:r>
            <w:r w:rsidR="0021322B" w:rsidRPr="005303F7">
              <w:rPr>
                <w:rFonts w:ascii="Times New Roman" w:hAnsi="Times New Roman"/>
                <w:bCs/>
                <w:color w:val="000000"/>
                <w:sz w:val="20"/>
                <w:lang w:val="sr-Cyrl-CS"/>
              </w:rPr>
              <w:t xml:space="preserve">(ЕУ) 2009/125/ЕК </w:t>
            </w:r>
            <w:r w:rsidR="000D7B58" w:rsidRPr="005303F7">
              <w:rPr>
                <w:rFonts w:ascii="Times New Roman" w:hAnsi="Times New Roman"/>
                <w:bCs/>
                <w:color w:val="000000"/>
                <w:sz w:val="20"/>
                <w:lang w:val="sr-Cyrl-CS"/>
              </w:rPr>
              <w:t>о еко-дизајну транспонована кроз Уредбу о еко</w:t>
            </w:r>
            <w:r w:rsidR="0021322B" w:rsidRPr="005303F7">
              <w:rPr>
                <w:rFonts w:ascii="Times New Roman" w:hAnsi="Times New Roman"/>
                <w:bCs/>
                <w:color w:val="000000"/>
                <w:sz w:val="20"/>
                <w:lang w:val="sr-Cyrl-CS"/>
              </w:rPr>
              <w:t>-</w:t>
            </w:r>
            <w:r w:rsidR="000D7B58" w:rsidRPr="005303F7">
              <w:rPr>
                <w:rFonts w:ascii="Times New Roman" w:hAnsi="Times New Roman"/>
                <w:bCs/>
                <w:color w:val="000000"/>
                <w:sz w:val="20"/>
                <w:lang w:val="sr-Cyrl-CS"/>
              </w:rPr>
              <w:t xml:space="preserve">дизајну производа који утичу на потрошњу енергије </w:t>
            </w:r>
            <w:r w:rsidR="00B171A2" w:rsidRPr="005303F7">
              <w:rPr>
                <w:rFonts w:ascii="Times New Roman" w:hAnsi="Times New Roman"/>
                <w:bCs/>
                <w:color w:val="000000"/>
                <w:sz w:val="20"/>
                <w:lang w:val="sr-Cyrl-CS"/>
              </w:rPr>
              <w:t>(</w:t>
            </w:r>
            <w:r w:rsidR="009924BA" w:rsidRPr="005303F7">
              <w:rPr>
                <w:rFonts w:ascii="Times New Roman" w:hAnsi="Times New Roman"/>
                <w:color w:val="333333"/>
                <w:sz w:val="20"/>
                <w:shd w:val="clear" w:color="auto" w:fill="FFFFFF"/>
                <w:lang w:val="sr-Cyrl-CS"/>
              </w:rPr>
              <w:t>„</w:t>
            </w:r>
            <w:r w:rsidR="00B171A2" w:rsidRPr="005303F7">
              <w:rPr>
                <w:rFonts w:ascii="Times New Roman" w:hAnsi="Times New Roman"/>
                <w:color w:val="333333"/>
                <w:sz w:val="20"/>
                <w:shd w:val="clear" w:color="auto" w:fill="FFFFFF"/>
                <w:lang w:val="sr-Cyrl-CS"/>
              </w:rPr>
              <w:t>Службени гласник РС”, број 132/21)</w:t>
            </w:r>
            <w:r w:rsidR="00B171A2" w:rsidRPr="005303F7">
              <w:rPr>
                <w:rFonts w:ascii="Times New Roman" w:hAnsi="Times New Roman"/>
                <w:bCs/>
                <w:color w:val="000000"/>
                <w:sz w:val="20"/>
                <w:lang w:val="sr-Cyrl-CS"/>
              </w:rPr>
              <w:t xml:space="preserve"> </w:t>
            </w:r>
            <w:r w:rsidR="000D7B58" w:rsidRPr="005303F7">
              <w:rPr>
                <w:rFonts w:ascii="Times New Roman" w:hAnsi="Times New Roman"/>
                <w:bCs/>
                <w:color w:val="000000"/>
                <w:sz w:val="20"/>
                <w:lang w:val="sr-Cyrl-CS"/>
              </w:rPr>
              <w:t>која је</w:t>
            </w:r>
            <w:r w:rsidR="001E30B7" w:rsidRPr="005303F7">
              <w:rPr>
                <w:rFonts w:ascii="Times New Roman" w:hAnsi="Times New Roman"/>
                <w:bCs/>
                <w:color w:val="000000"/>
                <w:sz w:val="20"/>
                <w:lang w:val="sr-Cyrl-CS"/>
              </w:rPr>
              <w:t xml:space="preserve"> усвојена децембра 2021. године</w:t>
            </w:r>
            <w:r w:rsidR="00FA79BB" w:rsidRPr="005303F7">
              <w:rPr>
                <w:rFonts w:ascii="Times New Roman" w:hAnsi="Times New Roman"/>
                <w:bCs/>
                <w:color w:val="000000"/>
                <w:sz w:val="20"/>
                <w:lang w:val="sr-Cyrl-CS"/>
              </w:rPr>
              <w:t>.</w:t>
            </w:r>
          </w:p>
          <w:p w14:paraId="5C6F6F8F" w14:textId="491B2378" w:rsidR="00BD116A" w:rsidRPr="005303F7" w:rsidRDefault="008D69AF">
            <w:pPr>
              <w:overflowPunct/>
              <w:jc w:val="left"/>
              <w:rPr>
                <w:rFonts w:ascii="Times New Roman" w:hAnsi="Times New Roman"/>
                <w:b/>
                <w:i/>
                <w:u w:val="single"/>
                <w:lang w:val="sr-Cyrl-CS"/>
              </w:rPr>
            </w:pPr>
            <w:r w:rsidRPr="005303F7">
              <w:rPr>
                <w:rFonts w:ascii="Times New Roman" w:hAnsi="Times New Roman"/>
                <w:b/>
                <w:bCs/>
                <w:sz w:val="20"/>
                <w:u w:val="single"/>
                <w:lang w:val="sr-Cyrl-CS"/>
              </w:rPr>
              <w:t>Процес</w:t>
            </w:r>
            <w:r w:rsidR="008C4701"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преговора</w:t>
            </w:r>
            <w:r w:rsidR="008C4701"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о</w:t>
            </w:r>
            <w:r w:rsidR="008C4701"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приступању</w:t>
            </w:r>
            <w:r w:rsidR="008C4701"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ЕУ</w:t>
            </w:r>
            <w:r w:rsidR="008C4701"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Поглав</w:t>
            </w:r>
            <w:r w:rsidR="00D553BE" w:rsidRPr="005303F7">
              <w:rPr>
                <w:rFonts w:ascii="Times New Roman" w:hAnsi="Times New Roman"/>
                <w:b/>
                <w:bCs/>
                <w:sz w:val="20"/>
                <w:u w:val="single"/>
                <w:lang w:val="sr-Cyrl-CS"/>
              </w:rPr>
              <w:t>љ</w:t>
            </w:r>
            <w:r w:rsidRPr="005303F7">
              <w:rPr>
                <w:rFonts w:ascii="Times New Roman" w:hAnsi="Times New Roman"/>
                <w:b/>
                <w:bCs/>
                <w:sz w:val="20"/>
                <w:u w:val="single"/>
                <w:lang w:val="sr-Cyrl-CS"/>
              </w:rPr>
              <w:t>е</w:t>
            </w:r>
            <w:r w:rsidR="008C4701" w:rsidRPr="005303F7">
              <w:rPr>
                <w:rFonts w:ascii="Times New Roman" w:hAnsi="Times New Roman"/>
                <w:b/>
                <w:bCs/>
                <w:sz w:val="20"/>
                <w:u w:val="single"/>
                <w:lang w:val="sr-Cyrl-CS"/>
              </w:rPr>
              <w:t xml:space="preserve"> 15 – </w:t>
            </w:r>
            <w:r w:rsidRPr="005303F7">
              <w:rPr>
                <w:rFonts w:ascii="Times New Roman" w:hAnsi="Times New Roman"/>
                <w:b/>
                <w:bCs/>
                <w:sz w:val="20"/>
                <w:u w:val="single"/>
                <w:lang w:val="sr-Cyrl-CS"/>
              </w:rPr>
              <w:t>Енергетика</w:t>
            </w:r>
          </w:p>
        </w:tc>
      </w:tr>
      <w:tr w:rsidR="000B190A" w:rsidRPr="005303F7" w14:paraId="4D286F36" w14:textId="77777777" w:rsidTr="0009461F">
        <w:trPr>
          <w:trHeight w:val="442"/>
        </w:trPr>
        <w:tc>
          <w:tcPr>
            <w:tcW w:w="561" w:type="dxa"/>
            <w:gridSpan w:val="2"/>
            <w:vMerge/>
            <w:tcBorders>
              <w:top w:val="single" w:sz="4" w:space="0" w:color="auto"/>
              <w:left w:val="single" w:sz="4" w:space="0" w:color="auto"/>
              <w:bottom w:val="single" w:sz="4" w:space="0" w:color="auto"/>
              <w:right w:val="single" w:sz="4" w:space="0" w:color="auto"/>
            </w:tcBorders>
            <w:vAlign w:val="center"/>
            <w:hideMark/>
          </w:tcPr>
          <w:p w14:paraId="3AE417A7" w14:textId="77777777" w:rsidR="000B190A" w:rsidRPr="005303F7" w:rsidRDefault="000B190A" w:rsidP="000B190A">
            <w:pPr>
              <w:tabs>
                <w:tab w:val="clear" w:pos="3825"/>
              </w:tabs>
              <w:overflowPunct/>
              <w:autoSpaceDE/>
              <w:autoSpaceDN/>
              <w:adjustRightInd/>
              <w:spacing w:before="0" w:after="0"/>
              <w:jc w:val="left"/>
              <w:rPr>
                <w:rFonts w:ascii="Times New Roman" w:hAnsi="Times New Roman"/>
                <w:b/>
                <w:lang w:val="sr-Cyrl-CS"/>
              </w:rPr>
            </w:pPr>
          </w:p>
        </w:tc>
        <w:tc>
          <w:tcPr>
            <w:tcW w:w="35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6C39B5" w14:textId="15ACA925" w:rsidR="000B190A" w:rsidRPr="005303F7" w:rsidRDefault="008D69AF" w:rsidP="000B190A">
            <w:pPr>
              <w:spacing w:after="0"/>
              <w:jc w:val="center"/>
              <w:rPr>
                <w:rFonts w:ascii="Times New Roman" w:hAnsi="Times New Roman"/>
                <w:b/>
                <w:bCs/>
                <w:sz w:val="20"/>
                <w:lang w:val="sr-Cyrl-CS"/>
              </w:rPr>
            </w:pPr>
            <w:r w:rsidRPr="005303F7">
              <w:rPr>
                <w:rFonts w:ascii="Times New Roman" w:hAnsi="Times New Roman"/>
                <w:b/>
                <w:bCs/>
                <w:sz w:val="20"/>
                <w:lang w:val="sr-Cyrl-CS"/>
              </w:rPr>
              <w:t>К</w:t>
            </w:r>
            <w:r w:rsidR="00D553BE" w:rsidRPr="005303F7">
              <w:rPr>
                <w:rFonts w:ascii="Times New Roman" w:hAnsi="Times New Roman"/>
                <w:b/>
                <w:bCs/>
                <w:sz w:val="20"/>
                <w:lang w:val="sr-Cyrl-CS"/>
              </w:rPr>
              <w:t>љ</w:t>
            </w:r>
            <w:r w:rsidRPr="005303F7">
              <w:rPr>
                <w:rFonts w:ascii="Times New Roman" w:hAnsi="Times New Roman"/>
                <w:b/>
                <w:bCs/>
                <w:sz w:val="20"/>
                <w:lang w:val="sr-Cyrl-CS"/>
              </w:rPr>
              <w:t>учни</w:t>
            </w:r>
            <w:r w:rsidR="000B190A" w:rsidRPr="005303F7">
              <w:rPr>
                <w:rFonts w:ascii="Times New Roman" w:hAnsi="Times New Roman"/>
                <w:b/>
                <w:bCs/>
                <w:sz w:val="20"/>
                <w:lang w:val="sr-Cyrl-CS"/>
              </w:rPr>
              <w:t xml:space="preserve"> </w:t>
            </w:r>
            <w:r w:rsidRPr="005303F7">
              <w:rPr>
                <w:rFonts w:ascii="Times New Roman" w:hAnsi="Times New Roman"/>
                <w:b/>
                <w:bCs/>
                <w:sz w:val="20"/>
                <w:lang w:val="sr-Cyrl-CS"/>
              </w:rPr>
              <w:t>субјекат</w:t>
            </w:r>
            <w:r w:rsidR="000B190A" w:rsidRPr="005303F7">
              <w:rPr>
                <w:rFonts w:ascii="Times New Roman" w:hAnsi="Times New Roman"/>
                <w:b/>
                <w:bCs/>
                <w:sz w:val="20"/>
                <w:lang w:val="sr-Cyrl-CS"/>
              </w:rPr>
              <w:t xml:space="preserve"> </w:t>
            </w:r>
            <w:r w:rsidRPr="005303F7">
              <w:rPr>
                <w:rFonts w:ascii="Times New Roman" w:hAnsi="Times New Roman"/>
                <w:b/>
                <w:bCs/>
                <w:sz w:val="20"/>
                <w:lang w:val="sr-Cyrl-CS"/>
              </w:rPr>
              <w:t>за</w:t>
            </w:r>
            <w:r w:rsidR="000B190A" w:rsidRPr="005303F7">
              <w:rPr>
                <w:rFonts w:ascii="Times New Roman" w:hAnsi="Times New Roman"/>
                <w:b/>
                <w:bCs/>
                <w:sz w:val="20"/>
                <w:lang w:val="sr-Cyrl-CS"/>
              </w:rPr>
              <w:t xml:space="preserve"> </w:t>
            </w:r>
            <w:r w:rsidRPr="005303F7">
              <w:rPr>
                <w:rFonts w:ascii="Times New Roman" w:hAnsi="Times New Roman"/>
                <w:b/>
                <w:bCs/>
                <w:sz w:val="20"/>
                <w:lang w:val="sr-Cyrl-CS"/>
              </w:rPr>
              <w:t>спровођење</w:t>
            </w:r>
            <w:r w:rsidR="000B190A"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p>
        </w:tc>
        <w:tc>
          <w:tcPr>
            <w:tcW w:w="623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EEBF00" w14:textId="5082164D" w:rsidR="000B190A" w:rsidRPr="005303F7" w:rsidRDefault="008D69AF" w:rsidP="000B190A">
            <w:pPr>
              <w:overflowPunct/>
              <w:spacing w:after="0"/>
              <w:jc w:val="center"/>
              <w:rPr>
                <w:rFonts w:ascii="Times New Roman" w:hAnsi="Times New Roman"/>
                <w:b/>
                <w:bCs/>
                <w:sz w:val="20"/>
                <w:lang w:val="sr-Cyrl-CS"/>
              </w:rPr>
            </w:pPr>
            <w:r w:rsidRPr="005303F7">
              <w:rPr>
                <w:rFonts w:ascii="Times New Roman" w:hAnsi="Times New Roman"/>
                <w:b/>
                <w:bCs/>
                <w:sz w:val="20"/>
                <w:lang w:val="sr-Cyrl-CS"/>
              </w:rPr>
              <w:t>Партнери</w:t>
            </w:r>
          </w:p>
        </w:tc>
        <w:tc>
          <w:tcPr>
            <w:tcW w:w="141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C67047" w14:textId="1C021BFC" w:rsidR="000B190A" w:rsidRPr="005303F7" w:rsidRDefault="00690489" w:rsidP="0029378D">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 xml:space="preserve">ЕТS/ </w:t>
            </w:r>
            <w:r w:rsidR="004A35C7" w:rsidRPr="005303F7">
              <w:rPr>
                <w:rFonts w:ascii="Times New Roman" w:hAnsi="Times New Roman"/>
                <w:b/>
                <w:sz w:val="20"/>
                <w:lang w:val="sr-Cyrl-CS"/>
              </w:rPr>
              <w:t>не-ЕТS</w:t>
            </w:r>
          </w:p>
        </w:tc>
        <w:tc>
          <w:tcPr>
            <w:tcW w:w="143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E00FA" w14:textId="1FFBBDBB" w:rsidR="000B190A" w:rsidRPr="005303F7" w:rsidRDefault="008D69AF" w:rsidP="000B190A">
            <w:pPr>
              <w:overflowPunct/>
              <w:spacing w:after="0"/>
              <w:jc w:val="center"/>
              <w:rPr>
                <w:rFonts w:ascii="Times New Roman" w:hAnsi="Times New Roman"/>
                <w:b/>
                <w:bCs/>
                <w:sz w:val="20"/>
                <w:lang w:val="sr-Cyrl-CS"/>
              </w:rPr>
            </w:pPr>
            <w:r w:rsidRPr="005303F7">
              <w:rPr>
                <w:rFonts w:ascii="Times New Roman" w:hAnsi="Times New Roman"/>
                <w:b/>
                <w:bCs/>
                <w:sz w:val="20"/>
                <w:lang w:val="sr-Cyrl-CS"/>
              </w:rPr>
              <w:t>Главни</w:t>
            </w:r>
            <w:r w:rsidR="000B190A" w:rsidRPr="005303F7">
              <w:rPr>
                <w:rFonts w:ascii="Times New Roman" w:hAnsi="Times New Roman"/>
                <w:b/>
                <w:bCs/>
                <w:sz w:val="20"/>
                <w:lang w:val="sr-Cyrl-CS"/>
              </w:rPr>
              <w:t xml:space="preserve"> </w:t>
            </w:r>
            <w:r w:rsidRPr="005303F7">
              <w:rPr>
                <w:rFonts w:ascii="Times New Roman" w:hAnsi="Times New Roman"/>
                <w:b/>
                <w:bCs/>
                <w:sz w:val="20"/>
                <w:lang w:val="sr-Cyrl-CS"/>
              </w:rPr>
              <w:t>гасови</w:t>
            </w:r>
          </w:p>
        </w:tc>
        <w:tc>
          <w:tcPr>
            <w:tcW w:w="2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2A34E5" w14:textId="44559107" w:rsidR="00D7102F" w:rsidRPr="005303F7" w:rsidRDefault="00DC2380"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Процењен утицај ублажавања</w:t>
            </w:r>
            <w:r w:rsidR="00D7102F" w:rsidRPr="005303F7">
              <w:rPr>
                <w:rFonts w:ascii="Times New Roman" w:hAnsi="Times New Roman"/>
                <w:b/>
                <w:bCs/>
                <w:sz w:val="20"/>
                <w:lang w:val="sr-Cyrl-CS"/>
              </w:rPr>
              <w:t xml:space="preserve"> до 2030. </w:t>
            </w:r>
          </w:p>
          <w:p w14:paraId="02568B3E" w14:textId="71FE0F48" w:rsidR="000B190A"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20235E" w:rsidRPr="005303F7" w14:paraId="33652AA4" w14:textId="77777777" w:rsidTr="00353B06">
        <w:trPr>
          <w:trHeight w:val="694"/>
        </w:trPr>
        <w:tc>
          <w:tcPr>
            <w:tcW w:w="561" w:type="dxa"/>
            <w:gridSpan w:val="2"/>
            <w:vMerge/>
            <w:tcBorders>
              <w:top w:val="single" w:sz="4" w:space="0" w:color="auto"/>
              <w:left w:val="single" w:sz="4" w:space="0" w:color="auto"/>
              <w:bottom w:val="single" w:sz="4" w:space="0" w:color="auto"/>
              <w:right w:val="single" w:sz="4" w:space="0" w:color="auto"/>
            </w:tcBorders>
            <w:vAlign w:val="center"/>
            <w:hideMark/>
          </w:tcPr>
          <w:p w14:paraId="233F5279" w14:textId="77777777" w:rsidR="0020235E" w:rsidRPr="005303F7" w:rsidRDefault="0020235E" w:rsidP="0020235E">
            <w:pPr>
              <w:tabs>
                <w:tab w:val="clear" w:pos="3825"/>
              </w:tabs>
              <w:overflowPunct/>
              <w:autoSpaceDE/>
              <w:autoSpaceDN/>
              <w:adjustRightInd/>
              <w:spacing w:before="0" w:after="0"/>
              <w:jc w:val="left"/>
              <w:rPr>
                <w:rFonts w:ascii="Times New Roman" w:hAnsi="Times New Roman"/>
                <w:b/>
                <w:lang w:val="sr-Cyrl-CS"/>
              </w:rPr>
            </w:pPr>
          </w:p>
        </w:tc>
        <w:tc>
          <w:tcPr>
            <w:tcW w:w="353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BACFF" w14:textId="153177C8" w:rsidR="0020235E" w:rsidRPr="005303F7" w:rsidRDefault="008D69AF" w:rsidP="00353B06">
            <w:pPr>
              <w:overflowPunct/>
              <w:spacing w:before="0" w:after="0"/>
              <w:jc w:val="center"/>
              <w:rPr>
                <w:rFonts w:ascii="Times New Roman" w:hAnsi="Times New Roman"/>
                <w:bCs/>
                <w:sz w:val="20"/>
                <w:lang w:val="sr-Cyrl-CS"/>
              </w:rPr>
            </w:pPr>
            <w:r w:rsidRPr="005303F7">
              <w:rPr>
                <w:rFonts w:ascii="Times New Roman" w:hAnsi="Times New Roman"/>
                <w:bCs/>
                <w:sz w:val="20"/>
                <w:lang w:val="sr-Cyrl-CS"/>
              </w:rPr>
              <w:t>Министарство</w:t>
            </w:r>
            <w:r w:rsidR="0020235E" w:rsidRPr="005303F7">
              <w:rPr>
                <w:rFonts w:ascii="Times New Roman" w:hAnsi="Times New Roman"/>
                <w:bCs/>
                <w:sz w:val="20"/>
                <w:lang w:val="sr-Cyrl-CS"/>
              </w:rPr>
              <w:t xml:space="preserve"> </w:t>
            </w:r>
            <w:r w:rsidRPr="005303F7">
              <w:rPr>
                <w:rFonts w:ascii="Times New Roman" w:hAnsi="Times New Roman"/>
                <w:bCs/>
                <w:sz w:val="20"/>
                <w:lang w:val="sr-Cyrl-CS"/>
              </w:rPr>
              <w:t>рударства</w:t>
            </w:r>
            <w:r w:rsidR="0020235E" w:rsidRPr="005303F7">
              <w:rPr>
                <w:rFonts w:ascii="Times New Roman" w:hAnsi="Times New Roman"/>
                <w:bCs/>
                <w:sz w:val="20"/>
                <w:lang w:val="sr-Cyrl-CS"/>
              </w:rPr>
              <w:t xml:space="preserve"> </w:t>
            </w:r>
            <w:r w:rsidRPr="005303F7">
              <w:rPr>
                <w:rFonts w:ascii="Times New Roman" w:hAnsi="Times New Roman"/>
                <w:bCs/>
                <w:sz w:val="20"/>
                <w:lang w:val="sr-Cyrl-CS"/>
              </w:rPr>
              <w:t>и</w:t>
            </w:r>
            <w:r w:rsidR="0020235E" w:rsidRPr="005303F7">
              <w:rPr>
                <w:rFonts w:ascii="Times New Roman" w:hAnsi="Times New Roman"/>
                <w:bCs/>
                <w:sz w:val="20"/>
                <w:lang w:val="sr-Cyrl-CS"/>
              </w:rPr>
              <w:t xml:space="preserve"> </w:t>
            </w:r>
            <w:r w:rsidRPr="005303F7">
              <w:rPr>
                <w:rFonts w:ascii="Times New Roman" w:hAnsi="Times New Roman"/>
                <w:bCs/>
                <w:sz w:val="20"/>
                <w:lang w:val="sr-Cyrl-CS"/>
              </w:rPr>
              <w:t>енергетике</w:t>
            </w:r>
          </w:p>
        </w:tc>
        <w:tc>
          <w:tcPr>
            <w:tcW w:w="6231"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1347E" w14:textId="680EA877" w:rsidR="0020235E" w:rsidRPr="005303F7" w:rsidRDefault="008D69AF" w:rsidP="00353B06">
            <w:pPr>
              <w:overflowPunct/>
              <w:spacing w:before="0" w:after="0"/>
              <w:jc w:val="center"/>
              <w:rPr>
                <w:rFonts w:ascii="Times New Roman" w:hAnsi="Times New Roman"/>
                <w:sz w:val="20"/>
                <w:szCs w:val="18"/>
                <w:lang w:val="sr-Cyrl-CS"/>
              </w:rPr>
            </w:pPr>
            <w:r w:rsidRPr="005303F7">
              <w:rPr>
                <w:rFonts w:ascii="Times New Roman" w:hAnsi="Times New Roman"/>
                <w:sz w:val="20"/>
                <w:szCs w:val="18"/>
                <w:lang w:val="sr-Cyrl-CS"/>
              </w:rPr>
              <w:t>Министарство</w:t>
            </w:r>
            <w:r w:rsidR="0020235E" w:rsidRPr="005303F7">
              <w:rPr>
                <w:rFonts w:ascii="Times New Roman" w:hAnsi="Times New Roman"/>
                <w:sz w:val="20"/>
                <w:szCs w:val="18"/>
                <w:lang w:val="sr-Cyrl-CS"/>
              </w:rPr>
              <w:t xml:space="preserve"> </w:t>
            </w:r>
            <w:r w:rsidRPr="005303F7">
              <w:rPr>
                <w:rFonts w:ascii="Times New Roman" w:hAnsi="Times New Roman"/>
                <w:sz w:val="20"/>
                <w:szCs w:val="18"/>
                <w:lang w:val="sr-Cyrl-CS"/>
              </w:rPr>
              <w:t>привреде</w:t>
            </w:r>
            <w:r w:rsidR="0020235E" w:rsidRPr="005303F7">
              <w:rPr>
                <w:rFonts w:ascii="Times New Roman" w:hAnsi="Times New Roman"/>
                <w:sz w:val="20"/>
                <w:szCs w:val="18"/>
                <w:lang w:val="sr-Cyrl-CS"/>
              </w:rPr>
              <w:t>,</w:t>
            </w:r>
          </w:p>
          <w:p w14:paraId="68A7C577" w14:textId="1905DBE9" w:rsidR="0020235E" w:rsidRPr="005303F7" w:rsidRDefault="008D69AF" w:rsidP="00353B06">
            <w:pPr>
              <w:overflowPunct/>
              <w:spacing w:before="0" w:after="0"/>
              <w:jc w:val="center"/>
              <w:rPr>
                <w:rFonts w:ascii="Times New Roman" w:hAnsi="Times New Roman"/>
                <w:bCs/>
                <w:sz w:val="20"/>
                <w:lang w:val="sr-Cyrl-CS"/>
              </w:rPr>
            </w:pPr>
            <w:r w:rsidRPr="005303F7">
              <w:rPr>
                <w:rFonts w:ascii="Times New Roman" w:hAnsi="Times New Roman"/>
                <w:sz w:val="20"/>
                <w:szCs w:val="18"/>
                <w:lang w:val="sr-Cyrl-CS"/>
              </w:rPr>
              <w:t>Привредна</w:t>
            </w:r>
            <w:r w:rsidR="0020235E" w:rsidRPr="005303F7">
              <w:rPr>
                <w:rFonts w:ascii="Times New Roman" w:hAnsi="Times New Roman"/>
                <w:sz w:val="20"/>
                <w:szCs w:val="18"/>
                <w:lang w:val="sr-Cyrl-CS"/>
              </w:rPr>
              <w:t xml:space="preserve"> </w:t>
            </w:r>
            <w:r w:rsidRPr="005303F7">
              <w:rPr>
                <w:rFonts w:ascii="Times New Roman" w:hAnsi="Times New Roman"/>
                <w:sz w:val="20"/>
                <w:szCs w:val="18"/>
                <w:lang w:val="sr-Cyrl-CS"/>
              </w:rPr>
              <w:t>комора</w:t>
            </w:r>
            <w:r w:rsidR="0020235E" w:rsidRPr="005303F7">
              <w:rPr>
                <w:rFonts w:ascii="Times New Roman" w:hAnsi="Times New Roman"/>
                <w:sz w:val="20"/>
                <w:szCs w:val="18"/>
                <w:lang w:val="sr-Cyrl-CS"/>
              </w:rPr>
              <w:t xml:space="preserve"> </w:t>
            </w:r>
            <w:r w:rsidR="00D73AAB" w:rsidRPr="005303F7">
              <w:rPr>
                <w:rFonts w:ascii="Times New Roman" w:hAnsi="Times New Roman"/>
                <w:sz w:val="20"/>
                <w:szCs w:val="18"/>
                <w:lang w:val="sr-Cyrl-CS"/>
              </w:rPr>
              <w:t>Србије</w:t>
            </w:r>
          </w:p>
        </w:tc>
        <w:tc>
          <w:tcPr>
            <w:tcW w:w="141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62B349" w14:textId="6271CBE9" w:rsidR="0020235E" w:rsidRPr="005303F7" w:rsidRDefault="008D69AF" w:rsidP="00353B06">
            <w:pPr>
              <w:overflowPunct/>
              <w:spacing w:before="0" w:after="0"/>
              <w:jc w:val="center"/>
              <w:rPr>
                <w:rFonts w:ascii="Times New Roman" w:hAnsi="Times New Roman"/>
                <w:bCs/>
                <w:sz w:val="20"/>
                <w:lang w:val="sr-Cyrl-CS"/>
              </w:rPr>
            </w:pPr>
            <w:r w:rsidRPr="005303F7">
              <w:rPr>
                <w:rFonts w:ascii="Times New Roman" w:hAnsi="Times New Roman"/>
                <w:bCs/>
                <w:sz w:val="20"/>
                <w:lang w:val="sr-Cyrl-CS"/>
              </w:rPr>
              <w:t>ЕТ</w:t>
            </w:r>
            <w:r w:rsidR="00690489" w:rsidRPr="005303F7">
              <w:rPr>
                <w:rFonts w:ascii="Times New Roman" w:hAnsi="Times New Roman"/>
                <w:bCs/>
                <w:sz w:val="20"/>
                <w:lang w:val="sr-Cyrl-CS"/>
              </w:rPr>
              <w:t>S</w:t>
            </w:r>
            <w:r w:rsidR="0020235E" w:rsidRPr="005303F7">
              <w:rPr>
                <w:rFonts w:ascii="Times New Roman" w:hAnsi="Times New Roman"/>
                <w:bCs/>
                <w:sz w:val="20"/>
                <w:lang w:val="sr-Cyrl-CS"/>
              </w:rPr>
              <w:t xml:space="preserve"> /</w:t>
            </w:r>
          </w:p>
          <w:p w14:paraId="0C3360D6" w14:textId="129031AC" w:rsidR="0020235E" w:rsidRPr="005303F7" w:rsidRDefault="004A35C7" w:rsidP="00353B06">
            <w:pPr>
              <w:overflowPunct/>
              <w:spacing w:before="0" w:after="0"/>
              <w:jc w:val="center"/>
              <w:rPr>
                <w:rFonts w:ascii="Times New Roman" w:hAnsi="Times New Roman"/>
                <w:bCs/>
                <w:sz w:val="20"/>
                <w:lang w:val="sr-Cyrl-CS"/>
              </w:rPr>
            </w:pPr>
            <w:r w:rsidRPr="005303F7">
              <w:rPr>
                <w:rFonts w:ascii="Times New Roman" w:hAnsi="Times New Roman"/>
                <w:bCs/>
                <w:sz w:val="20"/>
                <w:lang w:val="sr-Cyrl-CS"/>
              </w:rPr>
              <w:t>н</w:t>
            </w:r>
            <w:r w:rsidR="008D69AF" w:rsidRPr="005303F7">
              <w:rPr>
                <w:rFonts w:ascii="Times New Roman" w:hAnsi="Times New Roman"/>
                <w:bCs/>
                <w:sz w:val="20"/>
                <w:lang w:val="sr-Cyrl-CS"/>
              </w:rPr>
              <w:t>е</w:t>
            </w:r>
            <w:r w:rsidR="00480847" w:rsidRPr="005303F7">
              <w:rPr>
                <w:rFonts w:ascii="Times New Roman" w:hAnsi="Times New Roman"/>
                <w:bCs/>
                <w:sz w:val="20"/>
                <w:lang w:val="sr-Cyrl-CS"/>
              </w:rPr>
              <w:t>-</w:t>
            </w:r>
            <w:r w:rsidR="008D69AF" w:rsidRPr="005303F7">
              <w:rPr>
                <w:rFonts w:ascii="Times New Roman" w:hAnsi="Times New Roman"/>
                <w:bCs/>
                <w:sz w:val="20"/>
                <w:lang w:val="sr-Cyrl-CS"/>
              </w:rPr>
              <w:t>ЕТ</w:t>
            </w:r>
            <w:r w:rsidR="00690489" w:rsidRPr="005303F7">
              <w:rPr>
                <w:rFonts w:ascii="Times New Roman" w:hAnsi="Times New Roman"/>
                <w:bCs/>
                <w:sz w:val="20"/>
                <w:lang w:val="sr-Cyrl-CS"/>
              </w:rPr>
              <w:t>S</w:t>
            </w:r>
          </w:p>
        </w:tc>
        <w:tc>
          <w:tcPr>
            <w:tcW w:w="143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16A60B" w14:textId="1F5B455C" w:rsidR="0020235E" w:rsidRPr="005303F7" w:rsidRDefault="00D7102F" w:rsidP="00353B06">
            <w:pPr>
              <w:overflowPunct/>
              <w:spacing w:before="0"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C</w:t>
            </w:r>
            <w:r w:rsidR="008D69AF" w:rsidRPr="005303F7">
              <w:rPr>
                <w:rFonts w:ascii="Times New Roman" w:hAnsi="Times New Roman"/>
                <w:bCs/>
                <w:color w:val="000000"/>
                <w:sz w:val="20"/>
                <w:lang w:val="sr-Cyrl-CS"/>
              </w:rPr>
              <w:t>О</w:t>
            </w:r>
            <w:r w:rsidR="0020235E" w:rsidRPr="005303F7">
              <w:rPr>
                <w:rFonts w:ascii="Times New Roman" w:hAnsi="Times New Roman"/>
                <w:bCs/>
                <w:color w:val="000000"/>
                <w:sz w:val="20"/>
                <w:vertAlign w:val="subscript"/>
                <w:lang w:val="sr-Cyrl-CS"/>
              </w:rPr>
              <w:t>2</w:t>
            </w:r>
          </w:p>
        </w:tc>
        <w:tc>
          <w:tcPr>
            <w:tcW w:w="2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ECC598" w14:textId="77777777" w:rsidR="0020235E" w:rsidRPr="005303F7" w:rsidRDefault="0020235E" w:rsidP="00353B06">
            <w:pPr>
              <w:overflowPunct/>
              <w:spacing w:before="0" w:after="0"/>
              <w:jc w:val="center"/>
              <w:rPr>
                <w:rFonts w:ascii="Times New Roman" w:hAnsi="Times New Roman"/>
                <w:bCs/>
                <w:color w:val="000000"/>
                <w:sz w:val="20"/>
                <w:lang w:val="sr-Cyrl-CS"/>
              </w:rPr>
            </w:pPr>
            <w:r w:rsidRPr="005303F7">
              <w:rPr>
                <w:rFonts w:ascii="Times New Roman" w:hAnsi="Times New Roman"/>
                <w:bCs/>
                <w:lang w:val="sr-Cyrl-CS"/>
              </w:rPr>
              <w:t>715</w:t>
            </w:r>
          </w:p>
        </w:tc>
      </w:tr>
      <w:tr w:rsidR="00BD116A" w:rsidRPr="005303F7" w14:paraId="161CE9D2" w14:textId="77777777" w:rsidTr="0009461F">
        <w:trPr>
          <w:trHeight w:val="442"/>
        </w:trPr>
        <w:tc>
          <w:tcPr>
            <w:tcW w:w="561" w:type="dxa"/>
            <w:gridSpan w:val="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4B21A7ED" w14:textId="605A24FF" w:rsidR="00BD116A" w:rsidRPr="005303F7" w:rsidRDefault="008D69AF">
            <w:pPr>
              <w:overflowPunct/>
              <w:spacing w:after="0"/>
              <w:rPr>
                <w:rFonts w:ascii="Times New Roman" w:hAnsi="Times New Roman"/>
                <w:sz w:val="20"/>
                <w:lang w:val="sr-Cyrl-CS"/>
              </w:rPr>
            </w:pPr>
            <w:r w:rsidRPr="005303F7">
              <w:rPr>
                <w:rFonts w:ascii="Times New Roman" w:hAnsi="Times New Roman"/>
                <w:sz w:val="20"/>
                <w:lang w:val="sr-Cyrl-CS"/>
              </w:rPr>
              <w:t>Бр</w:t>
            </w:r>
            <w:r w:rsidR="00BD116A" w:rsidRPr="005303F7">
              <w:rPr>
                <w:rFonts w:ascii="Times New Roman" w:hAnsi="Times New Roman"/>
                <w:sz w:val="20"/>
                <w:lang w:val="sr-Cyrl-CS"/>
              </w:rPr>
              <w:t>.</w:t>
            </w:r>
          </w:p>
        </w:tc>
        <w:tc>
          <w:tcPr>
            <w:tcW w:w="15429" w:type="dxa"/>
            <w:gridSpan w:val="3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6533FA79" w14:textId="2C6BB8E8" w:rsidR="00BD116A" w:rsidRPr="005303F7" w:rsidRDefault="008D69AF" w:rsidP="00652668">
            <w:pPr>
              <w:overflowPunct/>
              <w:jc w:val="left"/>
              <w:rPr>
                <w:rFonts w:ascii="Times New Roman" w:hAnsi="Times New Roman"/>
                <w:b/>
                <w:sz w:val="20"/>
                <w:u w:val="single"/>
                <w:lang w:val="sr-Cyrl-CS"/>
              </w:rPr>
            </w:pPr>
            <w:r w:rsidRPr="005303F7">
              <w:rPr>
                <w:rFonts w:ascii="Times New Roman" w:hAnsi="Times New Roman"/>
                <w:b/>
                <w:bCs/>
                <w:sz w:val="20"/>
                <w:lang w:val="sr-Cyrl-CS"/>
              </w:rPr>
              <w:t>Назив</w:t>
            </w:r>
            <w:r w:rsidR="000B190A"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r w:rsidR="00BD116A" w:rsidRPr="005303F7">
              <w:rPr>
                <w:rFonts w:ascii="Times New Roman" w:hAnsi="Times New Roman"/>
                <w:b/>
                <w:bCs/>
                <w:sz w:val="20"/>
                <w:lang w:val="sr-Cyrl-CS"/>
              </w:rPr>
              <w:t xml:space="preserve">: </w:t>
            </w:r>
            <w:r w:rsidRPr="005303F7">
              <w:rPr>
                <w:rFonts w:ascii="Times New Roman" w:hAnsi="Times New Roman"/>
                <w:b/>
                <w:bCs/>
                <w:sz w:val="20"/>
                <w:u w:val="single"/>
                <w:lang w:val="sr-Cyrl-CS"/>
              </w:rPr>
              <w:t>Повећање</w:t>
            </w:r>
            <w:r w:rsidR="00CD3E50"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коришћења</w:t>
            </w:r>
            <w:r w:rsidR="00CD3E50"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ОИЕ</w:t>
            </w:r>
            <w:r w:rsidR="00CD3E50"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у</w:t>
            </w:r>
            <w:r w:rsidR="00CD3E50"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индустрији</w:t>
            </w:r>
          </w:p>
        </w:tc>
      </w:tr>
      <w:tr w:rsidR="00BD116A" w:rsidRPr="005303F7" w14:paraId="5D7C73C3" w14:textId="77777777" w:rsidTr="0009461F">
        <w:trPr>
          <w:trHeight w:val="1347"/>
        </w:trPr>
        <w:tc>
          <w:tcPr>
            <w:tcW w:w="56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E42EC69" w14:textId="77777777" w:rsidR="00BD116A" w:rsidRPr="005303F7" w:rsidRDefault="00BD116A">
            <w:pPr>
              <w:rPr>
                <w:rFonts w:ascii="Times New Roman" w:hAnsi="Times New Roman"/>
                <w:b/>
                <w:lang w:val="sr-Cyrl-CS"/>
              </w:rPr>
            </w:pPr>
            <w:r w:rsidRPr="005303F7">
              <w:rPr>
                <w:rFonts w:ascii="Times New Roman" w:hAnsi="Times New Roman"/>
                <w:b/>
                <w:lang w:val="sr-Cyrl-CS"/>
              </w:rPr>
              <w:t>6</w:t>
            </w:r>
          </w:p>
        </w:tc>
        <w:tc>
          <w:tcPr>
            <w:tcW w:w="15429" w:type="dxa"/>
            <w:gridSpan w:val="32"/>
            <w:tcBorders>
              <w:top w:val="single" w:sz="4" w:space="0" w:color="auto"/>
              <w:left w:val="single" w:sz="4" w:space="0" w:color="auto"/>
              <w:bottom w:val="single" w:sz="4" w:space="0" w:color="auto"/>
              <w:right w:val="single" w:sz="4" w:space="0" w:color="auto"/>
            </w:tcBorders>
            <w:vAlign w:val="center"/>
            <w:hideMark/>
          </w:tcPr>
          <w:p w14:paraId="18747128" w14:textId="43B83911" w:rsidR="00BD116A" w:rsidRPr="005303F7" w:rsidRDefault="008D69AF">
            <w:pPr>
              <w:overflowPunct/>
              <w:jc w:val="left"/>
              <w:rPr>
                <w:rFonts w:ascii="Times New Roman" w:hAnsi="Times New Roman"/>
                <w:b/>
                <w:sz w:val="20"/>
                <w:u w:val="single"/>
                <w:lang w:val="sr-Cyrl-CS"/>
              </w:rPr>
            </w:pPr>
            <w:r w:rsidRPr="005303F7">
              <w:rPr>
                <w:rFonts w:ascii="Times New Roman" w:hAnsi="Times New Roman"/>
                <w:b/>
                <w:sz w:val="20"/>
                <w:u w:val="single"/>
                <w:lang w:val="sr-Cyrl-CS"/>
              </w:rPr>
              <w:t>Врста</w:t>
            </w:r>
            <w:r w:rsidR="00CD3E50"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мере</w:t>
            </w:r>
            <w:r w:rsidR="00BD116A" w:rsidRPr="005303F7">
              <w:rPr>
                <w:rFonts w:ascii="Times New Roman" w:hAnsi="Times New Roman"/>
                <w:b/>
                <w:sz w:val="20"/>
                <w:u w:val="single"/>
                <w:lang w:val="sr-Cyrl-CS"/>
              </w:rPr>
              <w:t xml:space="preserve">: </w:t>
            </w:r>
            <w:r w:rsidRPr="005303F7">
              <w:rPr>
                <w:rFonts w:ascii="Times New Roman" w:hAnsi="Times New Roman"/>
                <w:bCs/>
                <w:sz w:val="20"/>
                <w:u w:val="single"/>
                <w:lang w:val="sr-Cyrl-CS"/>
              </w:rPr>
              <w:t>Подстицајна</w:t>
            </w:r>
            <w:r w:rsidR="00CD3E50" w:rsidRPr="005303F7">
              <w:rPr>
                <w:rFonts w:ascii="Times New Roman" w:hAnsi="Times New Roman"/>
                <w:bCs/>
                <w:sz w:val="20"/>
                <w:u w:val="single"/>
                <w:lang w:val="sr-Cyrl-CS"/>
              </w:rPr>
              <w:t xml:space="preserve">, </w:t>
            </w:r>
            <w:r w:rsidRPr="005303F7">
              <w:rPr>
                <w:rFonts w:ascii="Times New Roman" w:hAnsi="Times New Roman"/>
                <w:bCs/>
                <w:sz w:val="20"/>
                <w:u w:val="single"/>
                <w:lang w:val="sr-Cyrl-CS"/>
              </w:rPr>
              <w:t>финансијска</w:t>
            </w:r>
          </w:p>
          <w:p w14:paraId="1991FE8A" w14:textId="18601622" w:rsidR="0066169D" w:rsidRPr="005303F7" w:rsidRDefault="008D69AF">
            <w:pPr>
              <w:overflowPunct/>
              <w:spacing w:after="0"/>
              <w:jc w:val="left"/>
              <w:rPr>
                <w:rFonts w:ascii="Times New Roman" w:hAnsi="Times New Roman"/>
                <w:bCs/>
                <w:sz w:val="20"/>
                <w:lang w:val="sr-Cyrl-CS"/>
              </w:rPr>
            </w:pPr>
            <w:r w:rsidRPr="005303F7">
              <w:rPr>
                <w:rFonts w:ascii="Times New Roman" w:hAnsi="Times New Roman"/>
                <w:b/>
                <w:sz w:val="20"/>
                <w:u w:val="single"/>
                <w:lang w:val="sr-Cyrl-CS"/>
              </w:rPr>
              <w:t>Опис</w:t>
            </w:r>
            <w:r w:rsidR="00CD3E50"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мере</w:t>
            </w:r>
            <w:r w:rsidR="00BD116A" w:rsidRPr="005303F7">
              <w:rPr>
                <w:rFonts w:ascii="Times New Roman" w:hAnsi="Times New Roman"/>
                <w:bCs/>
                <w:sz w:val="20"/>
                <w:lang w:val="sr-Cyrl-CS"/>
              </w:rPr>
              <w:t>:</w:t>
            </w:r>
            <w:r w:rsidR="00BD116A" w:rsidRPr="005303F7">
              <w:rPr>
                <w:rFonts w:ascii="Times New Roman" w:hAnsi="Times New Roman"/>
                <w:lang w:val="sr-Cyrl-CS"/>
              </w:rPr>
              <w:t xml:space="preserve"> </w:t>
            </w:r>
            <w:r w:rsidR="0066169D" w:rsidRPr="005303F7">
              <w:rPr>
                <w:rFonts w:ascii="Times New Roman" w:hAnsi="Times New Roman"/>
                <w:bCs/>
                <w:sz w:val="20"/>
                <w:lang w:val="sr-Cyrl-CS"/>
              </w:rPr>
              <w:t>Употреба обновљивих извора енергије у индустрији требало би да се битно повећа до 2030. години, у оквирима који ће бити утврђени Интегрисаним националним енергетским и климатским планом. За индустрију која ће бити обухваћена ЕТ</w:t>
            </w:r>
            <w:r w:rsidR="004E35C1" w:rsidRPr="005303F7">
              <w:rPr>
                <w:rFonts w:ascii="Times New Roman" w:hAnsi="Times New Roman"/>
                <w:bCs/>
                <w:sz w:val="20"/>
                <w:lang w:val="sr-Cyrl-CS"/>
              </w:rPr>
              <w:t>S</w:t>
            </w:r>
            <w:r w:rsidR="0066169D" w:rsidRPr="005303F7">
              <w:rPr>
                <w:rFonts w:ascii="Times New Roman" w:hAnsi="Times New Roman"/>
                <w:bCs/>
                <w:sz w:val="20"/>
                <w:lang w:val="sr-Cyrl-CS"/>
              </w:rPr>
              <w:t>-ом адекватно високе цене емисија СО</w:t>
            </w:r>
            <w:r w:rsidR="00765368" w:rsidRPr="005303F7">
              <w:rPr>
                <w:rFonts w:ascii="Times New Roman" w:hAnsi="Times New Roman"/>
                <w:bCs/>
                <w:sz w:val="20"/>
                <w:vertAlign w:val="subscript"/>
                <w:lang w:val="sr-Cyrl-CS"/>
              </w:rPr>
              <w:t>2</w:t>
            </w:r>
            <w:r w:rsidR="0066169D" w:rsidRPr="005303F7">
              <w:rPr>
                <w:rFonts w:ascii="Times New Roman" w:hAnsi="Times New Roman"/>
                <w:bCs/>
                <w:sz w:val="20"/>
                <w:vertAlign w:val="subscript"/>
                <w:lang w:val="sr-Cyrl-CS"/>
              </w:rPr>
              <w:t xml:space="preserve"> </w:t>
            </w:r>
            <w:r w:rsidR="0066169D" w:rsidRPr="005303F7">
              <w:rPr>
                <w:rFonts w:ascii="Times New Roman" w:hAnsi="Times New Roman"/>
                <w:bCs/>
                <w:sz w:val="20"/>
                <w:lang w:val="sr-Cyrl-CS"/>
              </w:rPr>
              <w:t>биће важан покретач за прелазак са фосилних горива на ОИЕ. За индустрије која не подлеже</w:t>
            </w:r>
            <w:r w:rsidR="00B171A2" w:rsidRPr="005303F7">
              <w:rPr>
                <w:rFonts w:ascii="Times New Roman" w:hAnsi="Times New Roman"/>
                <w:bCs/>
                <w:sz w:val="20"/>
                <w:lang w:val="sr-Cyrl-CS"/>
              </w:rPr>
              <w:t xml:space="preserve"> ЕУ-</w:t>
            </w:r>
            <w:r w:rsidR="0066169D" w:rsidRPr="005303F7">
              <w:rPr>
                <w:rFonts w:ascii="Times New Roman" w:hAnsi="Times New Roman"/>
                <w:bCs/>
                <w:sz w:val="20"/>
                <w:lang w:val="sr-Cyrl-CS"/>
              </w:rPr>
              <w:t>ЕТ</w:t>
            </w:r>
            <w:r w:rsidR="00B171A2" w:rsidRPr="005303F7">
              <w:rPr>
                <w:rFonts w:ascii="Times New Roman" w:hAnsi="Times New Roman"/>
                <w:bCs/>
                <w:sz w:val="20"/>
                <w:lang w:val="sr-Cyrl-CS"/>
              </w:rPr>
              <w:t>S</w:t>
            </w:r>
            <w:r w:rsidR="0066169D" w:rsidRPr="005303F7">
              <w:rPr>
                <w:rFonts w:ascii="Times New Roman" w:hAnsi="Times New Roman"/>
                <w:bCs/>
                <w:sz w:val="20"/>
                <w:lang w:val="sr-Cyrl-CS"/>
              </w:rPr>
              <w:t>-у, ову улогу ће играти увођење цене на угљеник. Међутим, потребне су додатне мере у виду субвенција за нове котлове на дрва или за употребу отпадне топлотне енергије помоћу топлотних пумпи које, на пример, обезбеђује Фонд за енергетску ефикасност.</w:t>
            </w:r>
          </w:p>
          <w:p w14:paraId="3322EA1F" w14:textId="78B2DE83" w:rsidR="00BD116A" w:rsidRPr="005303F7" w:rsidRDefault="008D69AF">
            <w:pPr>
              <w:overflowPunct/>
              <w:jc w:val="left"/>
              <w:rPr>
                <w:rFonts w:ascii="Times New Roman" w:hAnsi="Times New Roman"/>
                <w:bCs/>
                <w:sz w:val="20"/>
                <w:lang w:val="sr-Cyrl-CS"/>
              </w:rPr>
            </w:pPr>
            <w:r w:rsidRPr="005303F7">
              <w:rPr>
                <w:rFonts w:ascii="Times New Roman" w:hAnsi="Times New Roman"/>
                <w:b/>
                <w:bCs/>
                <w:sz w:val="20"/>
                <w:u w:val="single"/>
                <w:lang w:val="sr-Cyrl-CS"/>
              </w:rPr>
              <w:t>Процес</w:t>
            </w:r>
            <w:r w:rsidR="00CD3E50"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преговора</w:t>
            </w:r>
            <w:r w:rsidR="00CD3E50"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о</w:t>
            </w:r>
            <w:r w:rsidR="00CD3E50"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приступању</w:t>
            </w:r>
            <w:r w:rsidR="00CD3E50"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ЕУ</w:t>
            </w:r>
            <w:r w:rsidR="00CD3E50"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Поглав</w:t>
            </w:r>
            <w:r w:rsidR="00D553BE" w:rsidRPr="005303F7">
              <w:rPr>
                <w:rFonts w:ascii="Times New Roman" w:hAnsi="Times New Roman"/>
                <w:b/>
                <w:bCs/>
                <w:sz w:val="20"/>
                <w:u w:val="single"/>
                <w:lang w:val="sr-Cyrl-CS"/>
              </w:rPr>
              <w:t>љ</w:t>
            </w:r>
            <w:r w:rsidRPr="005303F7">
              <w:rPr>
                <w:rFonts w:ascii="Times New Roman" w:hAnsi="Times New Roman"/>
                <w:b/>
                <w:bCs/>
                <w:sz w:val="20"/>
                <w:u w:val="single"/>
                <w:lang w:val="sr-Cyrl-CS"/>
              </w:rPr>
              <w:t>е</w:t>
            </w:r>
            <w:r w:rsidR="00CD3E50" w:rsidRPr="005303F7">
              <w:rPr>
                <w:rFonts w:ascii="Times New Roman" w:hAnsi="Times New Roman"/>
                <w:b/>
                <w:bCs/>
                <w:sz w:val="20"/>
                <w:u w:val="single"/>
                <w:lang w:val="sr-Cyrl-CS"/>
              </w:rPr>
              <w:t xml:space="preserve"> 15 – </w:t>
            </w:r>
            <w:r w:rsidRPr="005303F7">
              <w:rPr>
                <w:rFonts w:ascii="Times New Roman" w:hAnsi="Times New Roman"/>
                <w:b/>
                <w:bCs/>
                <w:sz w:val="20"/>
                <w:u w:val="single"/>
                <w:lang w:val="sr-Cyrl-CS"/>
              </w:rPr>
              <w:t>Енергетика</w:t>
            </w:r>
          </w:p>
        </w:tc>
      </w:tr>
      <w:tr w:rsidR="00CD3E50" w:rsidRPr="005303F7" w14:paraId="7B5AA1D2" w14:textId="77777777" w:rsidTr="0009461F">
        <w:trPr>
          <w:trHeight w:val="442"/>
        </w:trPr>
        <w:tc>
          <w:tcPr>
            <w:tcW w:w="561" w:type="dxa"/>
            <w:gridSpan w:val="2"/>
            <w:vMerge/>
            <w:tcBorders>
              <w:top w:val="single" w:sz="4" w:space="0" w:color="auto"/>
              <w:left w:val="single" w:sz="4" w:space="0" w:color="auto"/>
              <w:bottom w:val="single" w:sz="4" w:space="0" w:color="auto"/>
              <w:right w:val="single" w:sz="4" w:space="0" w:color="auto"/>
            </w:tcBorders>
            <w:vAlign w:val="center"/>
            <w:hideMark/>
          </w:tcPr>
          <w:p w14:paraId="0A71EB24" w14:textId="77777777" w:rsidR="00CD3E50" w:rsidRPr="005303F7" w:rsidRDefault="00CD3E50" w:rsidP="00CD3E50">
            <w:pPr>
              <w:tabs>
                <w:tab w:val="clear" w:pos="3825"/>
              </w:tabs>
              <w:overflowPunct/>
              <w:autoSpaceDE/>
              <w:autoSpaceDN/>
              <w:adjustRightInd/>
              <w:spacing w:before="0" w:after="0"/>
              <w:jc w:val="left"/>
              <w:rPr>
                <w:rFonts w:ascii="Times New Roman" w:hAnsi="Times New Roman"/>
                <w:b/>
                <w:lang w:val="sr-Cyrl-CS"/>
              </w:rPr>
            </w:pPr>
          </w:p>
        </w:tc>
        <w:tc>
          <w:tcPr>
            <w:tcW w:w="35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567BC0" w14:textId="2AACC070" w:rsidR="00CD3E50" w:rsidRPr="005303F7" w:rsidRDefault="008D69AF" w:rsidP="00CD3E50">
            <w:pPr>
              <w:spacing w:after="0"/>
              <w:jc w:val="center"/>
              <w:rPr>
                <w:rFonts w:ascii="Times New Roman" w:hAnsi="Times New Roman"/>
                <w:b/>
                <w:bCs/>
                <w:sz w:val="20"/>
                <w:lang w:val="sr-Cyrl-CS"/>
              </w:rPr>
            </w:pPr>
            <w:r w:rsidRPr="005303F7">
              <w:rPr>
                <w:rFonts w:ascii="Times New Roman" w:hAnsi="Times New Roman"/>
                <w:b/>
                <w:bCs/>
                <w:sz w:val="20"/>
                <w:lang w:val="sr-Cyrl-CS"/>
              </w:rPr>
              <w:t>К</w:t>
            </w:r>
            <w:r w:rsidR="00D553BE" w:rsidRPr="005303F7">
              <w:rPr>
                <w:rFonts w:ascii="Times New Roman" w:hAnsi="Times New Roman"/>
                <w:b/>
                <w:bCs/>
                <w:sz w:val="20"/>
                <w:lang w:val="sr-Cyrl-CS"/>
              </w:rPr>
              <w:t>љ</w:t>
            </w:r>
            <w:r w:rsidRPr="005303F7">
              <w:rPr>
                <w:rFonts w:ascii="Times New Roman" w:hAnsi="Times New Roman"/>
                <w:b/>
                <w:bCs/>
                <w:sz w:val="20"/>
                <w:lang w:val="sr-Cyrl-CS"/>
              </w:rPr>
              <w:t>учни</w:t>
            </w:r>
            <w:r w:rsidR="00CD3E50" w:rsidRPr="005303F7">
              <w:rPr>
                <w:rFonts w:ascii="Times New Roman" w:hAnsi="Times New Roman"/>
                <w:b/>
                <w:bCs/>
                <w:sz w:val="20"/>
                <w:lang w:val="sr-Cyrl-CS"/>
              </w:rPr>
              <w:t xml:space="preserve"> </w:t>
            </w:r>
            <w:r w:rsidRPr="005303F7">
              <w:rPr>
                <w:rFonts w:ascii="Times New Roman" w:hAnsi="Times New Roman"/>
                <w:b/>
                <w:bCs/>
                <w:sz w:val="20"/>
                <w:lang w:val="sr-Cyrl-CS"/>
              </w:rPr>
              <w:t>субјекат</w:t>
            </w:r>
            <w:r w:rsidR="00CD3E50" w:rsidRPr="005303F7">
              <w:rPr>
                <w:rFonts w:ascii="Times New Roman" w:hAnsi="Times New Roman"/>
                <w:b/>
                <w:bCs/>
                <w:sz w:val="20"/>
                <w:lang w:val="sr-Cyrl-CS"/>
              </w:rPr>
              <w:t xml:space="preserve"> </w:t>
            </w:r>
            <w:r w:rsidRPr="005303F7">
              <w:rPr>
                <w:rFonts w:ascii="Times New Roman" w:hAnsi="Times New Roman"/>
                <w:b/>
                <w:bCs/>
                <w:sz w:val="20"/>
                <w:lang w:val="sr-Cyrl-CS"/>
              </w:rPr>
              <w:t>за</w:t>
            </w:r>
            <w:r w:rsidR="00CD3E50" w:rsidRPr="005303F7">
              <w:rPr>
                <w:rFonts w:ascii="Times New Roman" w:hAnsi="Times New Roman"/>
                <w:b/>
                <w:bCs/>
                <w:sz w:val="20"/>
                <w:lang w:val="sr-Cyrl-CS"/>
              </w:rPr>
              <w:t xml:space="preserve"> </w:t>
            </w:r>
            <w:r w:rsidRPr="005303F7">
              <w:rPr>
                <w:rFonts w:ascii="Times New Roman" w:hAnsi="Times New Roman"/>
                <w:b/>
                <w:bCs/>
                <w:sz w:val="20"/>
                <w:lang w:val="sr-Cyrl-CS"/>
              </w:rPr>
              <w:t>спровођење</w:t>
            </w:r>
            <w:r w:rsidR="00CD3E50"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p>
        </w:tc>
        <w:tc>
          <w:tcPr>
            <w:tcW w:w="623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D64D04" w14:textId="4CC9C9F5" w:rsidR="00CD3E50" w:rsidRPr="005303F7" w:rsidRDefault="008D69AF" w:rsidP="00CD3E50">
            <w:pPr>
              <w:overflowPunct/>
              <w:spacing w:after="0"/>
              <w:jc w:val="center"/>
              <w:rPr>
                <w:rFonts w:ascii="Times New Roman" w:hAnsi="Times New Roman"/>
                <w:b/>
                <w:bCs/>
                <w:sz w:val="20"/>
                <w:lang w:val="sr-Cyrl-CS"/>
              </w:rPr>
            </w:pPr>
            <w:r w:rsidRPr="005303F7">
              <w:rPr>
                <w:rFonts w:ascii="Times New Roman" w:hAnsi="Times New Roman"/>
                <w:b/>
                <w:bCs/>
                <w:sz w:val="20"/>
                <w:lang w:val="sr-Cyrl-CS"/>
              </w:rPr>
              <w:t>Партнери</w:t>
            </w:r>
          </w:p>
        </w:tc>
        <w:tc>
          <w:tcPr>
            <w:tcW w:w="141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000CBA" w14:textId="2D74A564" w:rsidR="00CD3E50" w:rsidRPr="005303F7" w:rsidRDefault="00690489" w:rsidP="0029378D">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 xml:space="preserve">ЕТS/ </w:t>
            </w:r>
            <w:r w:rsidR="004A35C7" w:rsidRPr="005303F7">
              <w:rPr>
                <w:rFonts w:ascii="Times New Roman" w:hAnsi="Times New Roman"/>
                <w:b/>
                <w:sz w:val="20"/>
                <w:lang w:val="sr-Cyrl-CS"/>
              </w:rPr>
              <w:t>не-ЕТS</w:t>
            </w:r>
          </w:p>
        </w:tc>
        <w:tc>
          <w:tcPr>
            <w:tcW w:w="143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F5284B" w14:textId="07049E3A" w:rsidR="00CD3E50" w:rsidRPr="005303F7" w:rsidRDefault="008D69AF" w:rsidP="00CD3E50">
            <w:pPr>
              <w:overflowPunct/>
              <w:spacing w:after="0"/>
              <w:jc w:val="center"/>
              <w:rPr>
                <w:rFonts w:ascii="Times New Roman" w:hAnsi="Times New Roman"/>
                <w:b/>
                <w:bCs/>
                <w:sz w:val="20"/>
                <w:lang w:val="sr-Cyrl-CS"/>
              </w:rPr>
            </w:pPr>
            <w:r w:rsidRPr="005303F7">
              <w:rPr>
                <w:rFonts w:ascii="Times New Roman" w:hAnsi="Times New Roman"/>
                <w:b/>
                <w:bCs/>
                <w:sz w:val="20"/>
                <w:lang w:val="sr-Cyrl-CS"/>
              </w:rPr>
              <w:t>Главни</w:t>
            </w:r>
            <w:r w:rsidR="00CD3E50" w:rsidRPr="005303F7">
              <w:rPr>
                <w:rFonts w:ascii="Times New Roman" w:hAnsi="Times New Roman"/>
                <w:b/>
                <w:bCs/>
                <w:sz w:val="20"/>
                <w:lang w:val="sr-Cyrl-CS"/>
              </w:rPr>
              <w:t xml:space="preserve"> </w:t>
            </w:r>
            <w:r w:rsidRPr="005303F7">
              <w:rPr>
                <w:rFonts w:ascii="Times New Roman" w:hAnsi="Times New Roman"/>
                <w:b/>
                <w:bCs/>
                <w:sz w:val="20"/>
                <w:lang w:val="sr-Cyrl-CS"/>
              </w:rPr>
              <w:t>гасови</w:t>
            </w:r>
          </w:p>
        </w:tc>
        <w:tc>
          <w:tcPr>
            <w:tcW w:w="2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F32472" w14:textId="21A9867F" w:rsidR="00D7102F" w:rsidRPr="005303F7" w:rsidRDefault="00284DF0"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 xml:space="preserve">Процењен утицај ублажавања </w:t>
            </w:r>
            <w:r w:rsidR="00D7102F" w:rsidRPr="005303F7">
              <w:rPr>
                <w:rFonts w:ascii="Times New Roman" w:hAnsi="Times New Roman"/>
                <w:b/>
                <w:bCs/>
                <w:sz w:val="20"/>
                <w:lang w:val="sr-Cyrl-CS"/>
              </w:rPr>
              <w:t xml:space="preserve">до 2030. </w:t>
            </w:r>
          </w:p>
          <w:p w14:paraId="5DB81DC3" w14:textId="1000A95A" w:rsidR="00CD3E50"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BD116A" w:rsidRPr="005303F7" w14:paraId="632D279E" w14:textId="77777777" w:rsidTr="00353B06">
        <w:trPr>
          <w:trHeight w:val="702"/>
        </w:trPr>
        <w:tc>
          <w:tcPr>
            <w:tcW w:w="561" w:type="dxa"/>
            <w:gridSpan w:val="2"/>
            <w:vMerge/>
            <w:tcBorders>
              <w:top w:val="single" w:sz="4" w:space="0" w:color="auto"/>
              <w:left w:val="single" w:sz="4" w:space="0" w:color="auto"/>
              <w:bottom w:val="single" w:sz="4" w:space="0" w:color="auto"/>
              <w:right w:val="single" w:sz="4" w:space="0" w:color="auto"/>
            </w:tcBorders>
            <w:vAlign w:val="center"/>
            <w:hideMark/>
          </w:tcPr>
          <w:p w14:paraId="5EFEE947" w14:textId="77777777" w:rsidR="00BD116A" w:rsidRPr="005303F7" w:rsidRDefault="00BD116A">
            <w:pPr>
              <w:tabs>
                <w:tab w:val="clear" w:pos="3825"/>
              </w:tabs>
              <w:overflowPunct/>
              <w:autoSpaceDE/>
              <w:autoSpaceDN/>
              <w:adjustRightInd/>
              <w:spacing w:before="0" w:after="0"/>
              <w:jc w:val="left"/>
              <w:rPr>
                <w:rFonts w:ascii="Times New Roman" w:hAnsi="Times New Roman"/>
                <w:b/>
                <w:lang w:val="sr-Cyrl-CS"/>
              </w:rPr>
            </w:pPr>
          </w:p>
        </w:tc>
        <w:tc>
          <w:tcPr>
            <w:tcW w:w="353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482986" w14:textId="1A7CF1C1" w:rsidR="00BD116A" w:rsidRPr="005303F7" w:rsidRDefault="008D69AF" w:rsidP="00353B06">
            <w:pPr>
              <w:overflowPunct/>
              <w:spacing w:before="0" w:after="0"/>
              <w:jc w:val="left"/>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20235E"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рударства</w:t>
            </w:r>
            <w:r w:rsidR="0020235E"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20235E"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енергетике</w:t>
            </w:r>
          </w:p>
        </w:tc>
        <w:tc>
          <w:tcPr>
            <w:tcW w:w="6231"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2A692" w14:textId="643D18C3" w:rsidR="0020235E" w:rsidRPr="005303F7" w:rsidRDefault="008D69AF" w:rsidP="00353B06">
            <w:pPr>
              <w:overflowPunct/>
              <w:spacing w:before="0" w:after="0"/>
              <w:jc w:val="center"/>
              <w:rPr>
                <w:rFonts w:ascii="Times New Roman" w:hAnsi="Times New Roman"/>
                <w:sz w:val="20"/>
                <w:szCs w:val="18"/>
                <w:lang w:val="sr-Cyrl-CS"/>
              </w:rPr>
            </w:pPr>
            <w:r w:rsidRPr="005303F7">
              <w:rPr>
                <w:rFonts w:ascii="Times New Roman" w:hAnsi="Times New Roman"/>
                <w:sz w:val="20"/>
                <w:szCs w:val="18"/>
                <w:lang w:val="sr-Cyrl-CS"/>
              </w:rPr>
              <w:t>Министарство</w:t>
            </w:r>
            <w:r w:rsidR="0020235E" w:rsidRPr="005303F7">
              <w:rPr>
                <w:rFonts w:ascii="Times New Roman" w:hAnsi="Times New Roman"/>
                <w:sz w:val="20"/>
                <w:szCs w:val="18"/>
                <w:lang w:val="sr-Cyrl-CS"/>
              </w:rPr>
              <w:t xml:space="preserve"> </w:t>
            </w:r>
            <w:r w:rsidRPr="005303F7">
              <w:rPr>
                <w:rFonts w:ascii="Times New Roman" w:hAnsi="Times New Roman"/>
                <w:sz w:val="20"/>
                <w:szCs w:val="18"/>
                <w:lang w:val="sr-Cyrl-CS"/>
              </w:rPr>
              <w:t>привреде</w:t>
            </w:r>
            <w:r w:rsidR="0020235E" w:rsidRPr="005303F7">
              <w:rPr>
                <w:rFonts w:ascii="Times New Roman" w:hAnsi="Times New Roman"/>
                <w:sz w:val="20"/>
                <w:szCs w:val="18"/>
                <w:lang w:val="sr-Cyrl-CS"/>
              </w:rPr>
              <w:t>,</w:t>
            </w:r>
          </w:p>
          <w:p w14:paraId="06356604" w14:textId="6FD21F0B" w:rsidR="00BD116A" w:rsidRPr="005303F7" w:rsidRDefault="008D69AF" w:rsidP="00353B06">
            <w:pPr>
              <w:overflowPunct/>
              <w:spacing w:before="0" w:after="0"/>
              <w:jc w:val="center"/>
              <w:rPr>
                <w:rFonts w:ascii="Times New Roman" w:hAnsi="Times New Roman"/>
                <w:bCs/>
                <w:color w:val="000000"/>
                <w:sz w:val="20"/>
                <w:lang w:val="sr-Cyrl-CS"/>
              </w:rPr>
            </w:pPr>
            <w:r w:rsidRPr="005303F7">
              <w:rPr>
                <w:rFonts w:ascii="Times New Roman" w:hAnsi="Times New Roman"/>
                <w:sz w:val="20"/>
                <w:szCs w:val="18"/>
                <w:lang w:val="sr-Cyrl-CS"/>
              </w:rPr>
              <w:t>Привредна</w:t>
            </w:r>
            <w:r w:rsidR="0020235E" w:rsidRPr="005303F7">
              <w:rPr>
                <w:rFonts w:ascii="Times New Roman" w:hAnsi="Times New Roman"/>
                <w:sz w:val="20"/>
                <w:szCs w:val="18"/>
                <w:lang w:val="sr-Cyrl-CS"/>
              </w:rPr>
              <w:t xml:space="preserve"> </w:t>
            </w:r>
            <w:r w:rsidRPr="005303F7">
              <w:rPr>
                <w:rFonts w:ascii="Times New Roman" w:hAnsi="Times New Roman"/>
                <w:sz w:val="20"/>
                <w:szCs w:val="18"/>
                <w:lang w:val="sr-Cyrl-CS"/>
              </w:rPr>
              <w:t>комора</w:t>
            </w:r>
            <w:r w:rsidR="0020235E" w:rsidRPr="005303F7">
              <w:rPr>
                <w:rFonts w:ascii="Times New Roman" w:hAnsi="Times New Roman"/>
                <w:sz w:val="20"/>
                <w:szCs w:val="18"/>
                <w:lang w:val="sr-Cyrl-CS"/>
              </w:rPr>
              <w:t xml:space="preserve"> </w:t>
            </w:r>
            <w:r w:rsidR="00D73AAB" w:rsidRPr="005303F7">
              <w:rPr>
                <w:rFonts w:ascii="Times New Roman" w:hAnsi="Times New Roman"/>
                <w:sz w:val="20"/>
                <w:szCs w:val="18"/>
                <w:lang w:val="sr-Cyrl-CS"/>
              </w:rPr>
              <w:t>Србије</w:t>
            </w:r>
          </w:p>
        </w:tc>
        <w:tc>
          <w:tcPr>
            <w:tcW w:w="141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958101" w14:textId="62C34B07" w:rsidR="0020235E" w:rsidRPr="005303F7" w:rsidRDefault="008D69AF" w:rsidP="00353B06">
            <w:pPr>
              <w:overflowPunct/>
              <w:spacing w:before="0" w:after="0"/>
              <w:jc w:val="center"/>
              <w:rPr>
                <w:rFonts w:ascii="Times New Roman" w:hAnsi="Times New Roman"/>
                <w:bCs/>
                <w:sz w:val="20"/>
                <w:lang w:val="sr-Cyrl-CS"/>
              </w:rPr>
            </w:pPr>
            <w:r w:rsidRPr="005303F7">
              <w:rPr>
                <w:rFonts w:ascii="Times New Roman" w:hAnsi="Times New Roman"/>
                <w:bCs/>
                <w:sz w:val="20"/>
                <w:lang w:val="sr-Cyrl-CS"/>
              </w:rPr>
              <w:t>ЕТ</w:t>
            </w:r>
            <w:r w:rsidR="00690489" w:rsidRPr="005303F7">
              <w:rPr>
                <w:rFonts w:ascii="Times New Roman" w:hAnsi="Times New Roman"/>
                <w:bCs/>
                <w:sz w:val="20"/>
                <w:lang w:val="sr-Cyrl-CS"/>
              </w:rPr>
              <w:t>S</w:t>
            </w:r>
            <w:r w:rsidR="0020235E" w:rsidRPr="005303F7">
              <w:rPr>
                <w:rFonts w:ascii="Times New Roman" w:hAnsi="Times New Roman"/>
                <w:bCs/>
                <w:sz w:val="20"/>
                <w:lang w:val="sr-Cyrl-CS"/>
              </w:rPr>
              <w:t xml:space="preserve"> /</w:t>
            </w:r>
          </w:p>
          <w:p w14:paraId="4C3528E7" w14:textId="7F7FEC9C" w:rsidR="00BD116A" w:rsidRPr="005303F7" w:rsidRDefault="004A35C7" w:rsidP="00353B06">
            <w:pPr>
              <w:overflowPunct/>
              <w:spacing w:before="0" w:after="0"/>
              <w:jc w:val="center"/>
              <w:rPr>
                <w:rFonts w:ascii="Times New Roman" w:hAnsi="Times New Roman"/>
                <w:bCs/>
                <w:sz w:val="20"/>
                <w:lang w:val="sr-Cyrl-CS"/>
              </w:rPr>
            </w:pPr>
            <w:r w:rsidRPr="005303F7">
              <w:rPr>
                <w:rFonts w:ascii="Times New Roman" w:hAnsi="Times New Roman"/>
                <w:bCs/>
                <w:sz w:val="20"/>
                <w:lang w:val="sr-Cyrl-CS"/>
              </w:rPr>
              <w:t>не-ЕТS</w:t>
            </w:r>
          </w:p>
        </w:tc>
        <w:tc>
          <w:tcPr>
            <w:tcW w:w="143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6F0860" w14:textId="7BA136EC" w:rsidR="00BD116A" w:rsidRPr="005303F7" w:rsidRDefault="00690489" w:rsidP="00353B06">
            <w:pPr>
              <w:overflowPunct/>
              <w:spacing w:before="0"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C</w:t>
            </w:r>
            <w:r w:rsidR="008D69AF" w:rsidRPr="005303F7">
              <w:rPr>
                <w:rFonts w:ascii="Times New Roman" w:hAnsi="Times New Roman"/>
                <w:bCs/>
                <w:color w:val="000000"/>
                <w:sz w:val="20"/>
                <w:lang w:val="sr-Cyrl-CS"/>
              </w:rPr>
              <w:t>О</w:t>
            </w:r>
            <w:r w:rsidR="00BD116A" w:rsidRPr="005303F7">
              <w:rPr>
                <w:rFonts w:ascii="Times New Roman" w:hAnsi="Times New Roman"/>
                <w:bCs/>
                <w:color w:val="000000"/>
                <w:sz w:val="20"/>
                <w:vertAlign w:val="subscript"/>
                <w:lang w:val="sr-Cyrl-CS"/>
              </w:rPr>
              <w:t>2</w:t>
            </w:r>
          </w:p>
        </w:tc>
        <w:tc>
          <w:tcPr>
            <w:tcW w:w="2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11846" w14:textId="32594EE5" w:rsidR="00BD116A" w:rsidRPr="005303F7" w:rsidRDefault="008D69AF" w:rsidP="00353B06">
            <w:pPr>
              <w:overflowPunct/>
              <w:spacing w:before="0" w:after="0"/>
              <w:jc w:val="center"/>
              <w:rPr>
                <w:rFonts w:ascii="Times New Roman" w:hAnsi="Times New Roman"/>
                <w:bCs/>
                <w:color w:val="000000"/>
                <w:sz w:val="20"/>
                <w:lang w:val="sr-Cyrl-CS"/>
              </w:rPr>
            </w:pPr>
            <w:r w:rsidRPr="005303F7">
              <w:rPr>
                <w:rFonts w:ascii="Times New Roman" w:hAnsi="Times New Roman"/>
                <w:bCs/>
                <w:lang w:val="sr-Cyrl-CS"/>
              </w:rPr>
              <w:t>под</w:t>
            </w:r>
            <w:r w:rsidR="00565772" w:rsidRPr="005303F7">
              <w:rPr>
                <w:rFonts w:ascii="Times New Roman" w:hAnsi="Times New Roman"/>
                <w:bCs/>
                <w:lang w:val="sr-Cyrl-CS"/>
              </w:rPr>
              <w:t xml:space="preserve"> </w:t>
            </w:r>
            <w:r w:rsidRPr="005303F7">
              <w:rPr>
                <w:rFonts w:ascii="Times New Roman" w:hAnsi="Times New Roman"/>
                <w:bCs/>
                <w:lang w:val="sr-Cyrl-CS"/>
              </w:rPr>
              <w:t>бр</w:t>
            </w:r>
            <w:r w:rsidR="00565772" w:rsidRPr="005303F7">
              <w:rPr>
                <w:rFonts w:ascii="Times New Roman" w:hAnsi="Times New Roman"/>
                <w:bCs/>
                <w:lang w:val="sr-Cyrl-CS"/>
              </w:rPr>
              <w:t>.5</w:t>
            </w:r>
          </w:p>
        </w:tc>
      </w:tr>
      <w:tr w:rsidR="00BD116A" w:rsidRPr="005303F7" w14:paraId="7BBD41D8" w14:textId="77777777" w:rsidTr="0009461F">
        <w:trPr>
          <w:trHeight w:val="442"/>
        </w:trPr>
        <w:tc>
          <w:tcPr>
            <w:tcW w:w="561" w:type="dxa"/>
            <w:gridSpan w:val="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5655D1B5" w14:textId="2410440A" w:rsidR="00BD116A" w:rsidRPr="005303F7" w:rsidRDefault="008D69AF">
            <w:pPr>
              <w:overflowPunct/>
              <w:spacing w:after="0"/>
              <w:rPr>
                <w:rFonts w:ascii="Times New Roman" w:hAnsi="Times New Roman"/>
                <w:sz w:val="20"/>
                <w:lang w:val="sr-Cyrl-CS"/>
              </w:rPr>
            </w:pPr>
            <w:r w:rsidRPr="005303F7">
              <w:rPr>
                <w:rFonts w:ascii="Times New Roman" w:hAnsi="Times New Roman"/>
                <w:sz w:val="20"/>
                <w:lang w:val="sr-Cyrl-CS"/>
              </w:rPr>
              <w:t>Бр</w:t>
            </w:r>
            <w:r w:rsidR="00BD116A" w:rsidRPr="005303F7">
              <w:rPr>
                <w:rFonts w:ascii="Times New Roman" w:hAnsi="Times New Roman"/>
                <w:sz w:val="20"/>
                <w:lang w:val="sr-Cyrl-CS"/>
              </w:rPr>
              <w:t>.</w:t>
            </w:r>
          </w:p>
        </w:tc>
        <w:tc>
          <w:tcPr>
            <w:tcW w:w="15429" w:type="dxa"/>
            <w:gridSpan w:val="3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355AE984" w14:textId="3CEFD8E1" w:rsidR="00BD116A" w:rsidRPr="005303F7" w:rsidRDefault="008D69AF" w:rsidP="00652668">
            <w:pPr>
              <w:overflowPunct/>
              <w:spacing w:after="0"/>
              <w:jc w:val="left"/>
              <w:rPr>
                <w:rFonts w:ascii="Times New Roman" w:hAnsi="Times New Roman"/>
                <w:b/>
                <w:color w:val="000000"/>
                <w:sz w:val="16"/>
                <w:szCs w:val="16"/>
                <w:lang w:val="sr-Cyrl-CS"/>
              </w:rPr>
            </w:pPr>
            <w:r w:rsidRPr="005303F7">
              <w:rPr>
                <w:rFonts w:ascii="Times New Roman" w:hAnsi="Times New Roman"/>
                <w:b/>
                <w:bCs/>
                <w:sz w:val="20"/>
                <w:lang w:val="sr-Cyrl-CS"/>
              </w:rPr>
              <w:t>Назив</w:t>
            </w:r>
            <w:r w:rsidR="00203E3A"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r w:rsidR="00BD116A" w:rsidRPr="005303F7">
              <w:rPr>
                <w:rFonts w:ascii="Times New Roman" w:hAnsi="Times New Roman"/>
                <w:b/>
                <w:bCs/>
                <w:sz w:val="20"/>
                <w:lang w:val="sr-Cyrl-CS"/>
              </w:rPr>
              <w:t>:</w:t>
            </w:r>
            <w:r w:rsidR="00BD116A"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Унапређење</w:t>
            </w:r>
            <w:r w:rsidR="00CE6369"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термичког</w:t>
            </w:r>
            <w:r w:rsidR="00CE6369"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интегритета</w:t>
            </w:r>
            <w:r w:rsidR="00CE6369"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домаћинстава</w:t>
            </w:r>
          </w:p>
        </w:tc>
      </w:tr>
      <w:tr w:rsidR="00BD116A" w:rsidRPr="005303F7" w14:paraId="5AF157E0" w14:textId="77777777" w:rsidTr="00207D32">
        <w:trPr>
          <w:trHeight w:val="1024"/>
        </w:trPr>
        <w:tc>
          <w:tcPr>
            <w:tcW w:w="56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693F3F5" w14:textId="77777777" w:rsidR="00BD116A" w:rsidRPr="005303F7" w:rsidRDefault="00BD116A">
            <w:pPr>
              <w:rPr>
                <w:rFonts w:ascii="Times New Roman" w:hAnsi="Times New Roman"/>
                <w:b/>
                <w:lang w:val="sr-Cyrl-CS"/>
              </w:rPr>
            </w:pPr>
            <w:r w:rsidRPr="005303F7">
              <w:rPr>
                <w:rFonts w:ascii="Times New Roman" w:hAnsi="Times New Roman"/>
                <w:b/>
                <w:lang w:val="sr-Cyrl-CS"/>
              </w:rPr>
              <w:lastRenderedPageBreak/>
              <w:t>7</w:t>
            </w:r>
          </w:p>
        </w:tc>
        <w:tc>
          <w:tcPr>
            <w:tcW w:w="15429" w:type="dxa"/>
            <w:gridSpan w:val="32"/>
            <w:tcBorders>
              <w:top w:val="single" w:sz="4" w:space="0" w:color="auto"/>
              <w:left w:val="single" w:sz="4" w:space="0" w:color="auto"/>
              <w:bottom w:val="single" w:sz="4" w:space="0" w:color="auto"/>
              <w:right w:val="single" w:sz="4" w:space="0" w:color="auto"/>
            </w:tcBorders>
            <w:vAlign w:val="center"/>
            <w:hideMark/>
          </w:tcPr>
          <w:p w14:paraId="1502B47B" w14:textId="23C72413" w:rsidR="00BD116A" w:rsidRPr="005303F7" w:rsidRDefault="008D69AF">
            <w:pPr>
              <w:rPr>
                <w:rFonts w:ascii="Times New Roman" w:hAnsi="Times New Roman"/>
                <w:sz w:val="20"/>
                <w:lang w:val="sr-Cyrl-CS"/>
              </w:rPr>
            </w:pPr>
            <w:r w:rsidRPr="005303F7">
              <w:rPr>
                <w:rFonts w:ascii="Times New Roman" w:hAnsi="Times New Roman"/>
                <w:b/>
                <w:sz w:val="20"/>
                <w:u w:val="single"/>
                <w:lang w:val="sr-Cyrl-CS"/>
              </w:rPr>
              <w:t>Врста</w:t>
            </w:r>
            <w:r w:rsidR="00C65951"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мере</w:t>
            </w:r>
            <w:r w:rsidR="00BD116A" w:rsidRPr="005303F7">
              <w:rPr>
                <w:rFonts w:ascii="Times New Roman" w:hAnsi="Times New Roman"/>
                <w:sz w:val="20"/>
                <w:lang w:val="sr-Cyrl-CS"/>
              </w:rPr>
              <w:t xml:space="preserve">: </w:t>
            </w:r>
            <w:r w:rsidRPr="005303F7">
              <w:rPr>
                <w:rFonts w:ascii="Times New Roman" w:hAnsi="Times New Roman"/>
                <w:sz w:val="20"/>
                <w:lang w:val="sr-Cyrl-CS"/>
              </w:rPr>
              <w:t>Регулаторна</w:t>
            </w:r>
            <w:r w:rsidR="00C65951" w:rsidRPr="005303F7">
              <w:rPr>
                <w:rFonts w:ascii="Times New Roman" w:hAnsi="Times New Roman"/>
                <w:sz w:val="20"/>
                <w:lang w:val="sr-Cyrl-CS"/>
              </w:rPr>
              <w:t xml:space="preserve">, </w:t>
            </w:r>
            <w:r w:rsidRPr="005303F7">
              <w:rPr>
                <w:rFonts w:ascii="Times New Roman" w:hAnsi="Times New Roman"/>
                <w:sz w:val="20"/>
                <w:lang w:val="sr-Cyrl-CS"/>
              </w:rPr>
              <w:t>подстицајна</w:t>
            </w:r>
            <w:r w:rsidR="00C65951" w:rsidRPr="005303F7">
              <w:rPr>
                <w:rFonts w:ascii="Times New Roman" w:hAnsi="Times New Roman"/>
                <w:sz w:val="20"/>
                <w:lang w:val="sr-Cyrl-CS"/>
              </w:rPr>
              <w:t xml:space="preserve">, </w:t>
            </w:r>
            <w:r w:rsidRPr="005303F7">
              <w:rPr>
                <w:rFonts w:ascii="Times New Roman" w:hAnsi="Times New Roman"/>
                <w:sz w:val="20"/>
                <w:lang w:val="sr-Cyrl-CS"/>
              </w:rPr>
              <w:t>финансијска</w:t>
            </w:r>
            <w:r w:rsidR="00C65951" w:rsidRPr="005303F7">
              <w:rPr>
                <w:rFonts w:ascii="Times New Roman" w:hAnsi="Times New Roman"/>
                <w:sz w:val="20"/>
                <w:lang w:val="sr-Cyrl-CS"/>
              </w:rPr>
              <w:t xml:space="preserve">, </w:t>
            </w:r>
            <w:r w:rsidRPr="005303F7">
              <w:rPr>
                <w:rFonts w:ascii="Times New Roman" w:hAnsi="Times New Roman"/>
                <w:sz w:val="20"/>
                <w:lang w:val="sr-Cyrl-CS"/>
              </w:rPr>
              <w:t>информативно</w:t>
            </w:r>
            <w:r w:rsidR="00C65951" w:rsidRPr="005303F7">
              <w:rPr>
                <w:rFonts w:ascii="Times New Roman" w:hAnsi="Times New Roman"/>
                <w:sz w:val="20"/>
                <w:lang w:val="sr-Cyrl-CS"/>
              </w:rPr>
              <w:t>-</w:t>
            </w:r>
            <w:r w:rsidRPr="005303F7">
              <w:rPr>
                <w:rFonts w:ascii="Times New Roman" w:hAnsi="Times New Roman"/>
                <w:sz w:val="20"/>
                <w:lang w:val="sr-Cyrl-CS"/>
              </w:rPr>
              <w:t>едукативна</w:t>
            </w:r>
            <w:r w:rsidR="00C65951" w:rsidRPr="005303F7">
              <w:rPr>
                <w:rFonts w:ascii="Times New Roman" w:hAnsi="Times New Roman"/>
                <w:sz w:val="20"/>
                <w:lang w:val="sr-Cyrl-CS"/>
              </w:rPr>
              <w:t xml:space="preserve">, </w:t>
            </w:r>
            <w:r w:rsidRPr="005303F7">
              <w:rPr>
                <w:rFonts w:ascii="Times New Roman" w:hAnsi="Times New Roman"/>
                <w:sz w:val="20"/>
                <w:lang w:val="sr-Cyrl-CS"/>
              </w:rPr>
              <w:t>организационо</w:t>
            </w:r>
            <w:r w:rsidR="00C65951" w:rsidRPr="005303F7">
              <w:rPr>
                <w:rFonts w:ascii="Times New Roman" w:hAnsi="Times New Roman"/>
                <w:sz w:val="20"/>
                <w:lang w:val="sr-Cyrl-CS"/>
              </w:rPr>
              <w:t>-</w:t>
            </w:r>
            <w:r w:rsidRPr="005303F7">
              <w:rPr>
                <w:rFonts w:ascii="Times New Roman" w:hAnsi="Times New Roman"/>
                <w:sz w:val="20"/>
                <w:lang w:val="sr-Cyrl-CS"/>
              </w:rPr>
              <w:t>управ</w:t>
            </w:r>
            <w:r w:rsidR="00D553BE" w:rsidRPr="005303F7">
              <w:rPr>
                <w:rFonts w:ascii="Times New Roman" w:hAnsi="Times New Roman"/>
                <w:sz w:val="20"/>
                <w:lang w:val="sr-Cyrl-CS"/>
              </w:rPr>
              <w:t>љ</w:t>
            </w:r>
            <w:r w:rsidRPr="005303F7">
              <w:rPr>
                <w:rFonts w:ascii="Times New Roman" w:hAnsi="Times New Roman"/>
                <w:sz w:val="20"/>
                <w:lang w:val="sr-Cyrl-CS"/>
              </w:rPr>
              <w:t>ачка</w:t>
            </w:r>
            <w:r w:rsidR="00C65951" w:rsidRPr="005303F7">
              <w:rPr>
                <w:rFonts w:ascii="Times New Roman" w:hAnsi="Times New Roman"/>
                <w:sz w:val="20"/>
                <w:lang w:val="sr-Cyrl-CS"/>
              </w:rPr>
              <w:t>-</w:t>
            </w:r>
            <w:r w:rsidRPr="005303F7">
              <w:rPr>
                <w:rFonts w:ascii="Times New Roman" w:hAnsi="Times New Roman"/>
                <w:sz w:val="20"/>
                <w:lang w:val="sr-Cyrl-CS"/>
              </w:rPr>
              <w:t>институционална</w:t>
            </w:r>
          </w:p>
          <w:p w14:paraId="23D2882F" w14:textId="05F9C19D" w:rsidR="00BD116A" w:rsidRPr="005303F7" w:rsidRDefault="008D69AF">
            <w:pPr>
              <w:rPr>
                <w:rFonts w:ascii="Times New Roman" w:hAnsi="Times New Roman"/>
                <w:sz w:val="20"/>
                <w:lang w:val="sr-Cyrl-CS"/>
              </w:rPr>
            </w:pPr>
            <w:r w:rsidRPr="005303F7">
              <w:rPr>
                <w:rFonts w:ascii="Times New Roman" w:hAnsi="Times New Roman"/>
                <w:b/>
                <w:color w:val="000000"/>
                <w:sz w:val="20"/>
                <w:u w:val="single"/>
                <w:lang w:val="sr-Cyrl-CS"/>
              </w:rPr>
              <w:t>Опис</w:t>
            </w:r>
            <w:r w:rsidR="008041B2"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BD116A" w:rsidRPr="005303F7">
              <w:rPr>
                <w:rFonts w:ascii="Times New Roman" w:hAnsi="Times New Roman"/>
                <w:bCs/>
                <w:color w:val="000000"/>
                <w:sz w:val="20"/>
                <w:lang w:val="sr-Cyrl-CS"/>
              </w:rPr>
              <w:t>:</w:t>
            </w:r>
            <w:r w:rsidR="00BD116A" w:rsidRPr="005303F7">
              <w:rPr>
                <w:rFonts w:ascii="Times New Roman" w:hAnsi="Times New Roman"/>
                <w:sz w:val="20"/>
                <w:lang w:val="sr-Cyrl-CS"/>
              </w:rPr>
              <w:t xml:space="preserve"> </w:t>
            </w:r>
            <w:r w:rsidRPr="005303F7">
              <w:rPr>
                <w:rFonts w:ascii="Times New Roman" w:hAnsi="Times New Roman"/>
                <w:sz w:val="20"/>
                <w:lang w:val="sr-Cyrl-CS"/>
              </w:rPr>
              <w:t>Унапређење</w:t>
            </w:r>
            <w:r w:rsidR="00CE6369" w:rsidRPr="005303F7">
              <w:rPr>
                <w:rFonts w:ascii="Times New Roman" w:hAnsi="Times New Roman"/>
                <w:sz w:val="20"/>
                <w:lang w:val="sr-Cyrl-CS"/>
              </w:rPr>
              <w:t xml:space="preserve"> </w:t>
            </w:r>
            <w:r w:rsidRPr="005303F7">
              <w:rPr>
                <w:rFonts w:ascii="Times New Roman" w:hAnsi="Times New Roman"/>
                <w:sz w:val="20"/>
                <w:lang w:val="sr-Cyrl-CS"/>
              </w:rPr>
              <w:t>термичког</w:t>
            </w:r>
            <w:r w:rsidR="00CE6369" w:rsidRPr="005303F7">
              <w:rPr>
                <w:rFonts w:ascii="Times New Roman" w:hAnsi="Times New Roman"/>
                <w:sz w:val="20"/>
                <w:lang w:val="sr-Cyrl-CS"/>
              </w:rPr>
              <w:t xml:space="preserve"> </w:t>
            </w:r>
            <w:r w:rsidRPr="005303F7">
              <w:rPr>
                <w:rFonts w:ascii="Times New Roman" w:hAnsi="Times New Roman"/>
                <w:sz w:val="20"/>
                <w:lang w:val="sr-Cyrl-CS"/>
              </w:rPr>
              <w:t>интегритета</w:t>
            </w:r>
            <w:r w:rsidR="008041B2" w:rsidRPr="005303F7">
              <w:rPr>
                <w:rFonts w:ascii="Times New Roman" w:hAnsi="Times New Roman"/>
                <w:sz w:val="20"/>
                <w:lang w:val="sr-Cyrl-CS"/>
              </w:rPr>
              <w:t xml:space="preserve"> </w:t>
            </w:r>
            <w:r w:rsidRPr="005303F7">
              <w:rPr>
                <w:rFonts w:ascii="Times New Roman" w:hAnsi="Times New Roman"/>
                <w:sz w:val="20"/>
                <w:lang w:val="sr-Cyrl-CS"/>
              </w:rPr>
              <w:t>дома</w:t>
            </w:r>
            <w:r w:rsidR="00016298" w:rsidRPr="005303F7">
              <w:rPr>
                <w:rFonts w:ascii="Times New Roman" w:hAnsi="Times New Roman"/>
                <w:sz w:val="20"/>
                <w:lang w:val="sr-Cyrl-CS"/>
              </w:rPr>
              <w:t>ћ</w:t>
            </w:r>
            <w:r w:rsidRPr="005303F7">
              <w:rPr>
                <w:rFonts w:ascii="Times New Roman" w:hAnsi="Times New Roman"/>
                <w:sz w:val="20"/>
                <w:lang w:val="sr-Cyrl-CS"/>
              </w:rPr>
              <w:t>инстава</w:t>
            </w:r>
            <w:r w:rsidR="008041B2" w:rsidRPr="005303F7">
              <w:rPr>
                <w:rFonts w:ascii="Times New Roman" w:hAnsi="Times New Roman"/>
                <w:sz w:val="20"/>
                <w:lang w:val="sr-Cyrl-CS"/>
              </w:rPr>
              <w:t xml:space="preserve"> </w:t>
            </w:r>
            <w:r w:rsidRPr="005303F7">
              <w:rPr>
                <w:rFonts w:ascii="Times New Roman" w:hAnsi="Times New Roman"/>
                <w:sz w:val="20"/>
                <w:lang w:val="sr-Cyrl-CS"/>
              </w:rPr>
              <w:t>смањује</w:t>
            </w:r>
            <w:r w:rsidR="008041B2" w:rsidRPr="005303F7">
              <w:rPr>
                <w:rFonts w:ascii="Times New Roman" w:hAnsi="Times New Roman"/>
                <w:sz w:val="20"/>
                <w:lang w:val="sr-Cyrl-CS"/>
              </w:rPr>
              <w:t xml:space="preserve"> </w:t>
            </w:r>
            <w:r w:rsidRPr="005303F7">
              <w:rPr>
                <w:rFonts w:ascii="Times New Roman" w:hAnsi="Times New Roman"/>
                <w:sz w:val="20"/>
                <w:lang w:val="sr-Cyrl-CS"/>
              </w:rPr>
              <w:t>потребе</w:t>
            </w:r>
            <w:r w:rsidR="008041B2" w:rsidRPr="005303F7">
              <w:rPr>
                <w:rFonts w:ascii="Times New Roman" w:hAnsi="Times New Roman"/>
                <w:sz w:val="20"/>
                <w:lang w:val="sr-Cyrl-CS"/>
              </w:rPr>
              <w:t xml:space="preserve"> </w:t>
            </w:r>
            <w:r w:rsidRPr="005303F7">
              <w:rPr>
                <w:rFonts w:ascii="Times New Roman" w:hAnsi="Times New Roman"/>
                <w:sz w:val="20"/>
                <w:lang w:val="sr-Cyrl-CS"/>
              </w:rPr>
              <w:t>за</w:t>
            </w:r>
            <w:r w:rsidR="008041B2" w:rsidRPr="005303F7">
              <w:rPr>
                <w:rFonts w:ascii="Times New Roman" w:hAnsi="Times New Roman"/>
                <w:sz w:val="20"/>
                <w:lang w:val="sr-Cyrl-CS"/>
              </w:rPr>
              <w:t xml:space="preserve"> </w:t>
            </w:r>
            <w:r w:rsidRPr="005303F7">
              <w:rPr>
                <w:rFonts w:ascii="Times New Roman" w:hAnsi="Times New Roman"/>
                <w:sz w:val="20"/>
                <w:lang w:val="sr-Cyrl-CS"/>
              </w:rPr>
              <w:t>грејањем</w:t>
            </w:r>
            <w:r w:rsidR="008041B2" w:rsidRPr="005303F7">
              <w:rPr>
                <w:rFonts w:ascii="Times New Roman" w:hAnsi="Times New Roman"/>
                <w:sz w:val="20"/>
                <w:lang w:val="sr-Cyrl-CS"/>
              </w:rPr>
              <w:t xml:space="preserve"> </w:t>
            </w:r>
            <w:r w:rsidRPr="005303F7">
              <w:rPr>
                <w:rFonts w:ascii="Times New Roman" w:hAnsi="Times New Roman"/>
                <w:sz w:val="20"/>
                <w:lang w:val="sr-Cyrl-CS"/>
              </w:rPr>
              <w:t>и</w:t>
            </w:r>
            <w:r w:rsidR="008041B2" w:rsidRPr="005303F7">
              <w:rPr>
                <w:rFonts w:ascii="Times New Roman" w:hAnsi="Times New Roman"/>
                <w:sz w:val="20"/>
                <w:lang w:val="sr-Cyrl-CS"/>
              </w:rPr>
              <w:t xml:space="preserve"> </w:t>
            </w:r>
            <w:r w:rsidRPr="005303F7">
              <w:rPr>
                <w:rFonts w:ascii="Times New Roman" w:hAnsi="Times New Roman"/>
                <w:sz w:val="20"/>
                <w:lang w:val="sr-Cyrl-CS"/>
              </w:rPr>
              <w:t>хлађењем</w:t>
            </w:r>
            <w:r w:rsidR="008041B2" w:rsidRPr="005303F7">
              <w:rPr>
                <w:rFonts w:ascii="Times New Roman" w:hAnsi="Times New Roman"/>
                <w:sz w:val="20"/>
                <w:lang w:val="sr-Cyrl-CS"/>
              </w:rPr>
              <w:t xml:space="preserve">, </w:t>
            </w:r>
            <w:r w:rsidRPr="005303F7">
              <w:rPr>
                <w:rFonts w:ascii="Times New Roman" w:hAnsi="Times New Roman"/>
                <w:sz w:val="20"/>
                <w:lang w:val="sr-Cyrl-CS"/>
              </w:rPr>
              <w:t>што</w:t>
            </w:r>
            <w:r w:rsidR="008041B2" w:rsidRPr="005303F7">
              <w:rPr>
                <w:rFonts w:ascii="Times New Roman" w:hAnsi="Times New Roman"/>
                <w:sz w:val="20"/>
                <w:lang w:val="sr-Cyrl-CS"/>
              </w:rPr>
              <w:t xml:space="preserve"> </w:t>
            </w:r>
            <w:r w:rsidRPr="005303F7">
              <w:rPr>
                <w:rFonts w:ascii="Times New Roman" w:hAnsi="Times New Roman"/>
                <w:sz w:val="20"/>
                <w:lang w:val="sr-Cyrl-CS"/>
              </w:rPr>
              <w:t>смањује</w:t>
            </w:r>
            <w:r w:rsidR="008041B2" w:rsidRPr="005303F7">
              <w:rPr>
                <w:rFonts w:ascii="Times New Roman" w:hAnsi="Times New Roman"/>
                <w:sz w:val="20"/>
                <w:lang w:val="sr-Cyrl-CS"/>
              </w:rPr>
              <w:t xml:space="preserve"> </w:t>
            </w:r>
            <w:r w:rsidRPr="005303F7">
              <w:rPr>
                <w:rFonts w:ascii="Times New Roman" w:hAnsi="Times New Roman"/>
                <w:sz w:val="20"/>
                <w:lang w:val="sr-Cyrl-CS"/>
              </w:rPr>
              <w:t>трошкове</w:t>
            </w:r>
            <w:r w:rsidR="008041B2" w:rsidRPr="005303F7">
              <w:rPr>
                <w:rFonts w:ascii="Times New Roman" w:hAnsi="Times New Roman"/>
                <w:sz w:val="20"/>
                <w:lang w:val="sr-Cyrl-CS"/>
              </w:rPr>
              <w:t xml:space="preserve"> </w:t>
            </w:r>
            <w:r w:rsidRPr="005303F7">
              <w:rPr>
                <w:rFonts w:ascii="Times New Roman" w:hAnsi="Times New Roman"/>
                <w:sz w:val="20"/>
                <w:lang w:val="sr-Cyrl-CS"/>
              </w:rPr>
              <w:t>енергије</w:t>
            </w:r>
            <w:r w:rsidR="008041B2" w:rsidRPr="005303F7">
              <w:rPr>
                <w:rFonts w:ascii="Times New Roman" w:hAnsi="Times New Roman"/>
                <w:sz w:val="20"/>
                <w:lang w:val="sr-Cyrl-CS"/>
              </w:rPr>
              <w:t xml:space="preserve"> </w:t>
            </w:r>
            <w:r w:rsidRPr="005303F7">
              <w:rPr>
                <w:rFonts w:ascii="Times New Roman" w:hAnsi="Times New Roman"/>
                <w:sz w:val="20"/>
                <w:lang w:val="sr-Cyrl-CS"/>
              </w:rPr>
              <w:t>као</w:t>
            </w:r>
            <w:r w:rsidR="008041B2" w:rsidRPr="005303F7">
              <w:rPr>
                <w:rFonts w:ascii="Times New Roman" w:hAnsi="Times New Roman"/>
                <w:sz w:val="20"/>
                <w:lang w:val="sr-Cyrl-CS"/>
              </w:rPr>
              <w:t xml:space="preserve"> </w:t>
            </w:r>
            <w:r w:rsidRPr="005303F7">
              <w:rPr>
                <w:rFonts w:ascii="Times New Roman" w:hAnsi="Times New Roman"/>
                <w:sz w:val="20"/>
                <w:lang w:val="sr-Cyrl-CS"/>
              </w:rPr>
              <w:t>и</w:t>
            </w:r>
            <w:r w:rsidR="008041B2" w:rsidRPr="005303F7">
              <w:rPr>
                <w:rFonts w:ascii="Times New Roman" w:hAnsi="Times New Roman"/>
                <w:sz w:val="20"/>
                <w:lang w:val="sr-Cyrl-CS"/>
              </w:rPr>
              <w:t xml:space="preserve"> </w:t>
            </w:r>
            <w:r w:rsidRPr="005303F7">
              <w:rPr>
                <w:rFonts w:ascii="Times New Roman" w:hAnsi="Times New Roman"/>
                <w:sz w:val="20"/>
                <w:lang w:val="sr-Cyrl-CS"/>
              </w:rPr>
              <w:t>трошкове</w:t>
            </w:r>
            <w:r w:rsidR="008041B2" w:rsidRPr="005303F7">
              <w:rPr>
                <w:rFonts w:ascii="Times New Roman" w:hAnsi="Times New Roman"/>
                <w:sz w:val="20"/>
                <w:lang w:val="sr-Cyrl-CS"/>
              </w:rPr>
              <w:t xml:space="preserve"> </w:t>
            </w:r>
            <w:r w:rsidRPr="005303F7">
              <w:rPr>
                <w:rFonts w:ascii="Times New Roman" w:hAnsi="Times New Roman"/>
                <w:sz w:val="20"/>
                <w:lang w:val="sr-Cyrl-CS"/>
              </w:rPr>
              <w:t>улагања</w:t>
            </w:r>
            <w:r w:rsidR="008041B2" w:rsidRPr="005303F7">
              <w:rPr>
                <w:rFonts w:ascii="Times New Roman" w:hAnsi="Times New Roman"/>
                <w:sz w:val="20"/>
                <w:lang w:val="sr-Cyrl-CS"/>
              </w:rPr>
              <w:t xml:space="preserve"> </w:t>
            </w:r>
            <w:r w:rsidRPr="005303F7">
              <w:rPr>
                <w:rFonts w:ascii="Times New Roman" w:hAnsi="Times New Roman"/>
                <w:sz w:val="20"/>
                <w:lang w:val="sr-Cyrl-CS"/>
              </w:rPr>
              <w:t>у</w:t>
            </w:r>
            <w:r w:rsidR="008041B2" w:rsidRPr="005303F7">
              <w:rPr>
                <w:rFonts w:ascii="Times New Roman" w:hAnsi="Times New Roman"/>
                <w:sz w:val="20"/>
                <w:lang w:val="sr-Cyrl-CS"/>
              </w:rPr>
              <w:t xml:space="preserve"> </w:t>
            </w:r>
            <w:r w:rsidRPr="005303F7">
              <w:rPr>
                <w:rFonts w:ascii="Times New Roman" w:hAnsi="Times New Roman"/>
                <w:sz w:val="20"/>
                <w:lang w:val="sr-Cyrl-CS"/>
              </w:rPr>
              <w:t>инфраструктуру</w:t>
            </w:r>
            <w:r w:rsidR="008041B2" w:rsidRPr="005303F7">
              <w:rPr>
                <w:rFonts w:ascii="Times New Roman" w:hAnsi="Times New Roman"/>
                <w:sz w:val="20"/>
                <w:lang w:val="sr-Cyrl-CS"/>
              </w:rPr>
              <w:t xml:space="preserve"> </w:t>
            </w:r>
            <w:r w:rsidRPr="005303F7">
              <w:rPr>
                <w:rFonts w:ascii="Times New Roman" w:hAnsi="Times New Roman"/>
                <w:sz w:val="20"/>
                <w:lang w:val="sr-Cyrl-CS"/>
              </w:rPr>
              <w:t>за</w:t>
            </w:r>
            <w:r w:rsidR="008041B2" w:rsidRPr="005303F7">
              <w:rPr>
                <w:rFonts w:ascii="Times New Roman" w:hAnsi="Times New Roman"/>
                <w:sz w:val="20"/>
                <w:lang w:val="sr-Cyrl-CS"/>
              </w:rPr>
              <w:t xml:space="preserve"> </w:t>
            </w:r>
            <w:r w:rsidRPr="005303F7">
              <w:rPr>
                <w:rFonts w:ascii="Times New Roman" w:hAnsi="Times New Roman"/>
                <w:sz w:val="20"/>
                <w:lang w:val="sr-Cyrl-CS"/>
              </w:rPr>
              <w:t>грејање</w:t>
            </w:r>
            <w:r w:rsidR="008041B2" w:rsidRPr="005303F7">
              <w:rPr>
                <w:rFonts w:ascii="Times New Roman" w:hAnsi="Times New Roman"/>
                <w:sz w:val="20"/>
                <w:lang w:val="sr-Cyrl-CS"/>
              </w:rPr>
              <w:t xml:space="preserve"> </w:t>
            </w:r>
            <w:r w:rsidRPr="005303F7">
              <w:rPr>
                <w:rFonts w:ascii="Times New Roman" w:hAnsi="Times New Roman"/>
                <w:sz w:val="20"/>
                <w:lang w:val="sr-Cyrl-CS"/>
              </w:rPr>
              <w:t>и</w:t>
            </w:r>
            <w:r w:rsidR="008041B2" w:rsidRPr="005303F7">
              <w:rPr>
                <w:rFonts w:ascii="Times New Roman" w:hAnsi="Times New Roman"/>
                <w:sz w:val="20"/>
                <w:lang w:val="sr-Cyrl-CS"/>
              </w:rPr>
              <w:t xml:space="preserve"> </w:t>
            </w:r>
            <w:r w:rsidRPr="005303F7">
              <w:rPr>
                <w:rFonts w:ascii="Times New Roman" w:hAnsi="Times New Roman"/>
                <w:sz w:val="20"/>
                <w:lang w:val="sr-Cyrl-CS"/>
              </w:rPr>
              <w:t>хлађење</w:t>
            </w:r>
            <w:r w:rsidR="008041B2" w:rsidRPr="005303F7">
              <w:rPr>
                <w:rFonts w:ascii="Times New Roman" w:hAnsi="Times New Roman"/>
                <w:sz w:val="20"/>
                <w:lang w:val="sr-Cyrl-CS"/>
              </w:rPr>
              <w:t xml:space="preserve">. </w:t>
            </w:r>
            <w:r w:rsidRPr="005303F7">
              <w:rPr>
                <w:rFonts w:ascii="Times New Roman" w:hAnsi="Times New Roman"/>
                <w:sz w:val="20"/>
                <w:lang w:val="sr-Cyrl-CS"/>
              </w:rPr>
              <w:t>Постоји</w:t>
            </w:r>
            <w:r w:rsidR="008041B2" w:rsidRPr="005303F7">
              <w:rPr>
                <w:rFonts w:ascii="Times New Roman" w:hAnsi="Times New Roman"/>
                <w:sz w:val="20"/>
                <w:lang w:val="sr-Cyrl-CS"/>
              </w:rPr>
              <w:t xml:space="preserve"> </w:t>
            </w:r>
            <w:r w:rsidRPr="005303F7">
              <w:rPr>
                <w:rFonts w:ascii="Times New Roman" w:hAnsi="Times New Roman"/>
                <w:sz w:val="20"/>
                <w:lang w:val="sr-Cyrl-CS"/>
              </w:rPr>
              <w:t>процена</w:t>
            </w:r>
            <w:r w:rsidR="008041B2" w:rsidRPr="005303F7">
              <w:rPr>
                <w:rFonts w:ascii="Times New Roman" w:hAnsi="Times New Roman"/>
                <w:sz w:val="20"/>
                <w:lang w:val="sr-Cyrl-CS"/>
              </w:rPr>
              <w:t xml:space="preserve"> </w:t>
            </w:r>
            <w:r w:rsidRPr="005303F7">
              <w:rPr>
                <w:rFonts w:ascii="Times New Roman" w:hAnsi="Times New Roman"/>
                <w:sz w:val="20"/>
                <w:lang w:val="sr-Cyrl-CS"/>
              </w:rPr>
              <w:t>да</w:t>
            </w:r>
            <w:r w:rsidR="008041B2" w:rsidRPr="005303F7">
              <w:rPr>
                <w:rFonts w:ascii="Times New Roman" w:hAnsi="Times New Roman"/>
                <w:sz w:val="20"/>
                <w:lang w:val="sr-Cyrl-CS"/>
              </w:rPr>
              <w:t xml:space="preserve"> 85% </w:t>
            </w:r>
            <w:r w:rsidRPr="005303F7">
              <w:rPr>
                <w:rFonts w:ascii="Times New Roman" w:hAnsi="Times New Roman"/>
                <w:sz w:val="20"/>
                <w:lang w:val="sr-Cyrl-CS"/>
              </w:rPr>
              <w:t>постоје</w:t>
            </w:r>
            <w:r w:rsidR="00016298" w:rsidRPr="005303F7">
              <w:rPr>
                <w:rFonts w:ascii="Times New Roman" w:hAnsi="Times New Roman"/>
                <w:sz w:val="20"/>
                <w:lang w:val="sr-Cyrl-CS"/>
              </w:rPr>
              <w:t>ћ</w:t>
            </w:r>
            <w:r w:rsidRPr="005303F7">
              <w:rPr>
                <w:rFonts w:ascii="Times New Roman" w:hAnsi="Times New Roman"/>
                <w:sz w:val="20"/>
                <w:lang w:val="sr-Cyrl-CS"/>
              </w:rPr>
              <w:t>их</w:t>
            </w:r>
            <w:r w:rsidR="008041B2" w:rsidRPr="005303F7">
              <w:rPr>
                <w:rFonts w:ascii="Times New Roman" w:hAnsi="Times New Roman"/>
                <w:sz w:val="20"/>
                <w:lang w:val="sr-Cyrl-CS"/>
              </w:rPr>
              <w:t xml:space="preserve"> </w:t>
            </w:r>
            <w:r w:rsidRPr="005303F7">
              <w:rPr>
                <w:rFonts w:ascii="Times New Roman" w:hAnsi="Times New Roman"/>
                <w:sz w:val="20"/>
                <w:lang w:val="sr-Cyrl-CS"/>
              </w:rPr>
              <w:t>зграда</w:t>
            </w:r>
            <w:r w:rsidR="008041B2" w:rsidRPr="005303F7">
              <w:rPr>
                <w:rFonts w:ascii="Times New Roman" w:hAnsi="Times New Roman"/>
                <w:sz w:val="20"/>
                <w:lang w:val="sr-Cyrl-CS"/>
              </w:rPr>
              <w:t xml:space="preserve"> </w:t>
            </w:r>
            <w:r w:rsidRPr="005303F7">
              <w:rPr>
                <w:rFonts w:ascii="Times New Roman" w:hAnsi="Times New Roman"/>
                <w:sz w:val="20"/>
                <w:lang w:val="sr-Cyrl-CS"/>
              </w:rPr>
              <w:t>не</w:t>
            </w:r>
            <w:r w:rsidR="008041B2" w:rsidRPr="005303F7">
              <w:rPr>
                <w:rFonts w:ascii="Times New Roman" w:hAnsi="Times New Roman"/>
                <w:sz w:val="20"/>
                <w:lang w:val="sr-Cyrl-CS"/>
              </w:rPr>
              <w:t xml:space="preserve"> </w:t>
            </w:r>
            <w:r w:rsidRPr="005303F7">
              <w:rPr>
                <w:rFonts w:ascii="Times New Roman" w:hAnsi="Times New Roman"/>
                <w:sz w:val="20"/>
                <w:lang w:val="sr-Cyrl-CS"/>
              </w:rPr>
              <w:t>испуњава</w:t>
            </w:r>
            <w:r w:rsidR="008041B2" w:rsidRPr="005303F7">
              <w:rPr>
                <w:rFonts w:ascii="Times New Roman" w:hAnsi="Times New Roman"/>
                <w:sz w:val="20"/>
                <w:lang w:val="sr-Cyrl-CS"/>
              </w:rPr>
              <w:t xml:space="preserve"> </w:t>
            </w:r>
            <w:r w:rsidRPr="005303F7">
              <w:rPr>
                <w:rFonts w:ascii="Times New Roman" w:hAnsi="Times New Roman"/>
                <w:sz w:val="20"/>
                <w:lang w:val="sr-Cyrl-CS"/>
              </w:rPr>
              <w:t>минималне</w:t>
            </w:r>
            <w:r w:rsidR="008041B2" w:rsidRPr="005303F7">
              <w:rPr>
                <w:rFonts w:ascii="Times New Roman" w:hAnsi="Times New Roman"/>
                <w:sz w:val="20"/>
                <w:lang w:val="sr-Cyrl-CS"/>
              </w:rPr>
              <w:t xml:space="preserve"> </w:t>
            </w:r>
            <w:r w:rsidRPr="005303F7">
              <w:rPr>
                <w:rFonts w:ascii="Times New Roman" w:hAnsi="Times New Roman"/>
                <w:sz w:val="20"/>
                <w:lang w:val="sr-Cyrl-CS"/>
              </w:rPr>
              <w:t>захтеве</w:t>
            </w:r>
            <w:r w:rsidR="008041B2" w:rsidRPr="005303F7">
              <w:rPr>
                <w:rFonts w:ascii="Times New Roman" w:hAnsi="Times New Roman"/>
                <w:sz w:val="20"/>
                <w:lang w:val="sr-Cyrl-CS"/>
              </w:rPr>
              <w:t xml:space="preserve"> </w:t>
            </w:r>
            <w:r w:rsidRPr="005303F7">
              <w:rPr>
                <w:rFonts w:ascii="Times New Roman" w:hAnsi="Times New Roman"/>
                <w:sz w:val="20"/>
                <w:lang w:val="sr-Cyrl-CS"/>
              </w:rPr>
              <w:t>у</w:t>
            </w:r>
            <w:r w:rsidR="008041B2" w:rsidRPr="005303F7">
              <w:rPr>
                <w:rFonts w:ascii="Times New Roman" w:hAnsi="Times New Roman"/>
                <w:sz w:val="20"/>
                <w:lang w:val="sr-Cyrl-CS"/>
              </w:rPr>
              <w:t xml:space="preserve"> </w:t>
            </w:r>
            <w:r w:rsidRPr="005303F7">
              <w:rPr>
                <w:rFonts w:ascii="Times New Roman" w:hAnsi="Times New Roman"/>
                <w:sz w:val="20"/>
                <w:lang w:val="sr-Cyrl-CS"/>
              </w:rPr>
              <w:t>погледу</w:t>
            </w:r>
            <w:r w:rsidR="008041B2" w:rsidRPr="005303F7">
              <w:rPr>
                <w:rFonts w:ascii="Times New Roman" w:hAnsi="Times New Roman"/>
                <w:sz w:val="20"/>
                <w:lang w:val="sr-Cyrl-CS"/>
              </w:rPr>
              <w:t xml:space="preserve"> </w:t>
            </w:r>
            <w:r w:rsidRPr="005303F7">
              <w:rPr>
                <w:rFonts w:ascii="Times New Roman" w:hAnsi="Times New Roman"/>
                <w:sz w:val="20"/>
                <w:lang w:val="sr-Cyrl-CS"/>
              </w:rPr>
              <w:t>енергетске</w:t>
            </w:r>
            <w:r w:rsidR="008041B2" w:rsidRPr="005303F7">
              <w:rPr>
                <w:rFonts w:ascii="Times New Roman" w:hAnsi="Times New Roman"/>
                <w:sz w:val="20"/>
                <w:lang w:val="sr-Cyrl-CS"/>
              </w:rPr>
              <w:t xml:space="preserve"> </w:t>
            </w:r>
            <w:r w:rsidRPr="005303F7">
              <w:rPr>
                <w:rFonts w:ascii="Times New Roman" w:hAnsi="Times New Roman"/>
                <w:sz w:val="20"/>
                <w:lang w:val="sr-Cyrl-CS"/>
              </w:rPr>
              <w:t>ефикасности</w:t>
            </w:r>
            <w:r w:rsidR="00BD116A" w:rsidRPr="005303F7">
              <w:rPr>
                <w:rStyle w:val="FootnoteReference"/>
                <w:rFonts w:ascii="Times New Roman" w:hAnsi="Times New Roman"/>
                <w:sz w:val="12"/>
                <w:szCs w:val="12"/>
                <w:lang w:val="sr-Cyrl-CS"/>
              </w:rPr>
              <w:footnoteReference w:id="68"/>
            </w:r>
            <w:r w:rsidR="00BD116A" w:rsidRPr="005303F7">
              <w:rPr>
                <w:rFonts w:ascii="Times New Roman" w:hAnsi="Times New Roman"/>
                <w:sz w:val="20"/>
                <w:lang w:val="sr-Cyrl-CS"/>
              </w:rPr>
              <w:t xml:space="preserve">. </w:t>
            </w:r>
          </w:p>
          <w:p w14:paraId="44C2805C" w14:textId="03A1E7B0" w:rsidR="00D6417B" w:rsidRPr="005303F7" w:rsidRDefault="00CC6964">
            <w:pPr>
              <w:overflowPunct/>
              <w:jc w:val="left"/>
              <w:rPr>
                <w:rFonts w:ascii="Times New Roman" w:hAnsi="Times New Roman"/>
                <w:sz w:val="20"/>
                <w:lang w:val="sr-Cyrl-CS"/>
              </w:rPr>
            </w:pPr>
            <w:r w:rsidRPr="005303F7">
              <w:rPr>
                <w:rFonts w:ascii="Times New Roman" w:hAnsi="Times New Roman"/>
                <w:sz w:val="20"/>
                <w:lang w:val="sr-Cyrl-CS"/>
              </w:rPr>
              <w:t xml:space="preserve">       </w:t>
            </w:r>
            <w:r w:rsidR="00853378" w:rsidRPr="005303F7">
              <w:rPr>
                <w:rFonts w:ascii="Times New Roman" w:hAnsi="Times New Roman"/>
                <w:sz w:val="20"/>
                <w:lang w:val="sr-Cyrl-CS"/>
              </w:rPr>
              <w:t>Реновирање зграде финансијски је веома захтевно, па је финансијска подршка домаћинствима за ове мере од пресудне важности. Међутим, како би се подржала најприкладнија одлука о улагању за домаћинства, требало би успоставити независну мрежу стручњака за п</w:t>
            </w:r>
            <w:r w:rsidR="009340A4" w:rsidRPr="005303F7">
              <w:rPr>
                <w:rFonts w:ascii="Times New Roman" w:hAnsi="Times New Roman"/>
                <w:sz w:val="20"/>
                <w:lang w:val="sr-Cyrl-CS"/>
              </w:rPr>
              <w:t>ружање савета у области енергетике</w:t>
            </w:r>
            <w:r w:rsidR="00853378" w:rsidRPr="005303F7">
              <w:rPr>
                <w:rFonts w:ascii="Times New Roman" w:hAnsi="Times New Roman"/>
                <w:sz w:val="20"/>
                <w:lang w:val="sr-Cyrl-CS"/>
              </w:rPr>
              <w:t>, која би бесплатно, пружала савете грађанима о мерама енергетске ефикасности и кориштењу ОИЕ у домаћинствима. Мрежу саветника треба да финансира Влада</w:t>
            </w:r>
            <w:r w:rsidR="00673527" w:rsidRPr="005303F7">
              <w:rPr>
                <w:rFonts w:ascii="Times New Roman" w:hAnsi="Times New Roman"/>
                <w:sz w:val="20"/>
                <w:lang w:val="sr-Cyrl-CS"/>
              </w:rPr>
              <w:t>.</w:t>
            </w:r>
            <w:r w:rsidR="00853378" w:rsidRPr="005303F7">
              <w:rPr>
                <w:rFonts w:ascii="Times New Roman" w:hAnsi="Times New Roman"/>
                <w:sz w:val="20"/>
                <w:lang w:val="sr-Cyrl-CS"/>
              </w:rPr>
              <w:t xml:space="preserve"> Планирано је да кроз пројекат Светске банке којим се финансира енергетска санација стамбених објеката бити припремљен Информациони портал где ће грађани моћи да се упознају са свим мерама ЕЕ. Потом, морају се ажурирати грађевински прописи за нове зграде и обнављање старих, тако да се ускладе с</w:t>
            </w:r>
            <w:r w:rsidR="00673527" w:rsidRPr="005303F7">
              <w:rPr>
                <w:rFonts w:ascii="Times New Roman" w:hAnsi="Times New Roman"/>
                <w:sz w:val="20"/>
                <w:lang w:val="sr-Cyrl-CS"/>
              </w:rPr>
              <w:t>a</w:t>
            </w:r>
            <w:r w:rsidR="00853378" w:rsidRPr="005303F7">
              <w:rPr>
                <w:rFonts w:ascii="Times New Roman" w:hAnsi="Times New Roman"/>
                <w:sz w:val="20"/>
                <w:lang w:val="sr-Cyrl-CS"/>
              </w:rPr>
              <w:t xml:space="preserve"> директивом ЕУ о енергетским својствима зграда 2018/844/ЕУ која је ступила на снагу 2018. </w:t>
            </w:r>
            <w:r w:rsidR="00437485" w:rsidRPr="005303F7">
              <w:rPr>
                <w:rFonts w:ascii="Times New Roman" w:hAnsi="Times New Roman"/>
                <w:sz w:val="20"/>
                <w:lang w:val="sr-Cyrl-CS"/>
              </w:rPr>
              <w:t xml:space="preserve">године. </w:t>
            </w:r>
            <w:r w:rsidR="00853378" w:rsidRPr="005303F7">
              <w:rPr>
                <w:rFonts w:ascii="Times New Roman" w:hAnsi="Times New Roman"/>
                <w:sz w:val="20"/>
                <w:lang w:val="sr-Cyrl-CS"/>
              </w:rPr>
              <w:t>Потребна је и пуна транспозиција директиве о енергетској ефикасности. Треба напоменути да члан 4 Директиве 2018/844/ЕУ захтева и припрему Дугорочне стратегије за мобилизацију инвестиција и олакшавање обнове националног грађевинског фонда. Ова стратегија под називом Дугорочн</w:t>
            </w:r>
            <w:r w:rsidR="00753C2C" w:rsidRPr="005303F7">
              <w:rPr>
                <w:rFonts w:ascii="Times New Roman" w:hAnsi="Times New Roman"/>
                <w:sz w:val="20"/>
                <w:lang w:val="sr-Cyrl-CS"/>
              </w:rPr>
              <w:t>а</w:t>
            </w:r>
            <w:r w:rsidR="00853378" w:rsidRPr="005303F7">
              <w:rPr>
                <w:rFonts w:ascii="Times New Roman" w:hAnsi="Times New Roman"/>
                <w:sz w:val="20"/>
                <w:lang w:val="sr-Cyrl-CS"/>
              </w:rPr>
              <w:t xml:space="preserve"> стратегиј</w:t>
            </w:r>
            <w:r w:rsidR="00753C2C" w:rsidRPr="005303F7">
              <w:rPr>
                <w:rFonts w:ascii="Times New Roman" w:hAnsi="Times New Roman"/>
                <w:sz w:val="20"/>
                <w:lang w:val="sr-Cyrl-CS"/>
              </w:rPr>
              <w:t>а</w:t>
            </w:r>
            <w:r w:rsidR="00853378" w:rsidRPr="005303F7">
              <w:rPr>
                <w:rFonts w:ascii="Times New Roman" w:hAnsi="Times New Roman"/>
                <w:sz w:val="20"/>
                <w:lang w:val="sr-Cyrl-CS"/>
              </w:rPr>
              <w:t xml:space="preserve"> за подстицање улагања у обнову националног фонда зграда </w:t>
            </w:r>
            <w:r w:rsidR="00D73AAB" w:rsidRPr="005303F7">
              <w:rPr>
                <w:rFonts w:ascii="Times New Roman" w:hAnsi="Times New Roman"/>
                <w:sz w:val="20"/>
                <w:lang w:val="sr-Cyrl-CS"/>
              </w:rPr>
              <w:t>Републике Србије</w:t>
            </w:r>
            <w:r w:rsidR="00853378" w:rsidRPr="005303F7">
              <w:rPr>
                <w:rFonts w:ascii="Times New Roman" w:hAnsi="Times New Roman"/>
                <w:sz w:val="20"/>
                <w:lang w:val="sr-Cyrl-CS"/>
              </w:rPr>
              <w:t xml:space="preserve"> до 2050. године је усвојена фебруара 2022. године.</w:t>
            </w:r>
          </w:p>
          <w:p w14:paraId="6A30531C" w14:textId="2BBB1FDF" w:rsidR="00BD116A" w:rsidRPr="005303F7" w:rsidRDefault="008D69AF">
            <w:pPr>
              <w:overflowPunct/>
              <w:jc w:val="left"/>
              <w:rPr>
                <w:rFonts w:ascii="Times New Roman" w:hAnsi="Times New Roman"/>
                <w:bCs/>
                <w:sz w:val="20"/>
                <w:lang w:val="sr-Cyrl-CS"/>
              </w:rPr>
            </w:pPr>
            <w:r w:rsidRPr="005303F7">
              <w:rPr>
                <w:rFonts w:ascii="Times New Roman" w:hAnsi="Times New Roman"/>
                <w:b/>
                <w:bCs/>
                <w:sz w:val="20"/>
                <w:u w:val="single"/>
                <w:lang w:val="sr-Cyrl-CS"/>
              </w:rPr>
              <w:t>Процес</w:t>
            </w:r>
            <w:r w:rsidR="001C41B6"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преговора</w:t>
            </w:r>
            <w:r w:rsidR="001C41B6"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о</w:t>
            </w:r>
            <w:r w:rsidR="001C41B6"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приступању</w:t>
            </w:r>
            <w:r w:rsidR="001C41B6"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ЕУ</w:t>
            </w:r>
            <w:r w:rsidR="001C41B6"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Поглав</w:t>
            </w:r>
            <w:r w:rsidR="00D553BE" w:rsidRPr="005303F7">
              <w:rPr>
                <w:rFonts w:ascii="Times New Roman" w:hAnsi="Times New Roman"/>
                <w:b/>
                <w:bCs/>
                <w:sz w:val="20"/>
                <w:u w:val="single"/>
                <w:lang w:val="sr-Cyrl-CS"/>
              </w:rPr>
              <w:t>љ</w:t>
            </w:r>
            <w:r w:rsidRPr="005303F7">
              <w:rPr>
                <w:rFonts w:ascii="Times New Roman" w:hAnsi="Times New Roman"/>
                <w:b/>
                <w:bCs/>
                <w:sz w:val="20"/>
                <w:u w:val="single"/>
                <w:lang w:val="sr-Cyrl-CS"/>
              </w:rPr>
              <w:t>е</w:t>
            </w:r>
            <w:r w:rsidR="001C41B6" w:rsidRPr="005303F7">
              <w:rPr>
                <w:rFonts w:ascii="Times New Roman" w:hAnsi="Times New Roman"/>
                <w:b/>
                <w:bCs/>
                <w:sz w:val="20"/>
                <w:u w:val="single"/>
                <w:lang w:val="sr-Cyrl-CS"/>
              </w:rPr>
              <w:t xml:space="preserve"> 15 – </w:t>
            </w:r>
            <w:r w:rsidRPr="005303F7">
              <w:rPr>
                <w:rFonts w:ascii="Times New Roman" w:hAnsi="Times New Roman"/>
                <w:b/>
                <w:bCs/>
                <w:sz w:val="20"/>
                <w:u w:val="single"/>
                <w:lang w:val="sr-Cyrl-CS"/>
              </w:rPr>
              <w:t>Енергетика</w:t>
            </w:r>
          </w:p>
        </w:tc>
      </w:tr>
      <w:tr w:rsidR="007672E9" w:rsidRPr="005303F7" w14:paraId="50139F11" w14:textId="77777777" w:rsidTr="0009461F">
        <w:trPr>
          <w:trHeight w:val="442"/>
        </w:trPr>
        <w:tc>
          <w:tcPr>
            <w:tcW w:w="561" w:type="dxa"/>
            <w:gridSpan w:val="2"/>
            <w:vMerge/>
            <w:tcBorders>
              <w:top w:val="single" w:sz="4" w:space="0" w:color="auto"/>
              <w:left w:val="single" w:sz="4" w:space="0" w:color="auto"/>
              <w:bottom w:val="single" w:sz="4" w:space="0" w:color="auto"/>
              <w:right w:val="single" w:sz="4" w:space="0" w:color="auto"/>
            </w:tcBorders>
            <w:vAlign w:val="center"/>
            <w:hideMark/>
          </w:tcPr>
          <w:p w14:paraId="77C50C21" w14:textId="77777777" w:rsidR="007672E9" w:rsidRPr="005303F7" w:rsidRDefault="007672E9" w:rsidP="007672E9">
            <w:pPr>
              <w:tabs>
                <w:tab w:val="clear" w:pos="3825"/>
              </w:tabs>
              <w:overflowPunct/>
              <w:autoSpaceDE/>
              <w:autoSpaceDN/>
              <w:adjustRightInd/>
              <w:spacing w:before="0" w:after="0"/>
              <w:jc w:val="left"/>
              <w:rPr>
                <w:rFonts w:ascii="Times New Roman" w:hAnsi="Times New Roman"/>
                <w:b/>
                <w:lang w:val="sr-Cyrl-CS"/>
              </w:rPr>
            </w:pPr>
          </w:p>
        </w:tc>
        <w:tc>
          <w:tcPr>
            <w:tcW w:w="339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6F536F" w14:textId="64C495EF" w:rsidR="007672E9" w:rsidRPr="005303F7" w:rsidRDefault="008D69AF" w:rsidP="007672E9">
            <w:pPr>
              <w:spacing w:after="0"/>
              <w:jc w:val="center"/>
              <w:rPr>
                <w:rFonts w:ascii="Times New Roman" w:hAnsi="Times New Roman"/>
                <w:b/>
                <w:bCs/>
                <w:sz w:val="20"/>
                <w:lang w:val="sr-Cyrl-CS"/>
              </w:rPr>
            </w:pPr>
            <w:r w:rsidRPr="005303F7">
              <w:rPr>
                <w:rFonts w:ascii="Times New Roman" w:hAnsi="Times New Roman"/>
                <w:b/>
                <w:bCs/>
                <w:sz w:val="20"/>
                <w:lang w:val="sr-Cyrl-CS"/>
              </w:rPr>
              <w:t>К</w:t>
            </w:r>
            <w:r w:rsidR="00D553BE" w:rsidRPr="005303F7">
              <w:rPr>
                <w:rFonts w:ascii="Times New Roman" w:hAnsi="Times New Roman"/>
                <w:b/>
                <w:bCs/>
                <w:sz w:val="20"/>
                <w:lang w:val="sr-Cyrl-CS"/>
              </w:rPr>
              <w:t>љ</w:t>
            </w:r>
            <w:r w:rsidRPr="005303F7">
              <w:rPr>
                <w:rFonts w:ascii="Times New Roman" w:hAnsi="Times New Roman"/>
                <w:b/>
                <w:bCs/>
                <w:sz w:val="20"/>
                <w:lang w:val="sr-Cyrl-CS"/>
              </w:rPr>
              <w:t>учни</w:t>
            </w:r>
            <w:r w:rsidR="007672E9" w:rsidRPr="005303F7">
              <w:rPr>
                <w:rFonts w:ascii="Times New Roman" w:hAnsi="Times New Roman"/>
                <w:b/>
                <w:bCs/>
                <w:sz w:val="20"/>
                <w:lang w:val="sr-Cyrl-CS"/>
              </w:rPr>
              <w:t xml:space="preserve"> </w:t>
            </w:r>
            <w:r w:rsidRPr="005303F7">
              <w:rPr>
                <w:rFonts w:ascii="Times New Roman" w:hAnsi="Times New Roman"/>
                <w:b/>
                <w:bCs/>
                <w:sz w:val="20"/>
                <w:lang w:val="sr-Cyrl-CS"/>
              </w:rPr>
              <w:t>субјекат</w:t>
            </w:r>
            <w:r w:rsidR="007672E9" w:rsidRPr="005303F7">
              <w:rPr>
                <w:rFonts w:ascii="Times New Roman" w:hAnsi="Times New Roman"/>
                <w:b/>
                <w:bCs/>
                <w:sz w:val="20"/>
                <w:lang w:val="sr-Cyrl-CS"/>
              </w:rPr>
              <w:t xml:space="preserve"> </w:t>
            </w:r>
            <w:r w:rsidRPr="005303F7">
              <w:rPr>
                <w:rFonts w:ascii="Times New Roman" w:hAnsi="Times New Roman"/>
                <w:b/>
                <w:bCs/>
                <w:sz w:val="20"/>
                <w:lang w:val="sr-Cyrl-CS"/>
              </w:rPr>
              <w:t>за</w:t>
            </w:r>
            <w:r w:rsidR="007672E9" w:rsidRPr="005303F7">
              <w:rPr>
                <w:rFonts w:ascii="Times New Roman" w:hAnsi="Times New Roman"/>
                <w:b/>
                <w:bCs/>
                <w:sz w:val="20"/>
                <w:lang w:val="sr-Cyrl-CS"/>
              </w:rPr>
              <w:t xml:space="preserve"> </w:t>
            </w:r>
            <w:r w:rsidRPr="005303F7">
              <w:rPr>
                <w:rFonts w:ascii="Times New Roman" w:hAnsi="Times New Roman"/>
                <w:b/>
                <w:bCs/>
                <w:sz w:val="20"/>
                <w:lang w:val="sr-Cyrl-CS"/>
              </w:rPr>
              <w:t>спровођење</w:t>
            </w:r>
            <w:r w:rsidR="007672E9"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p>
        </w:tc>
        <w:tc>
          <w:tcPr>
            <w:tcW w:w="6227"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0B67F" w14:textId="7D4D350A" w:rsidR="007672E9" w:rsidRPr="005303F7" w:rsidRDefault="008D69AF" w:rsidP="007672E9">
            <w:pPr>
              <w:overflowPunct/>
              <w:spacing w:after="0"/>
              <w:jc w:val="center"/>
              <w:rPr>
                <w:rFonts w:ascii="Times New Roman" w:hAnsi="Times New Roman"/>
                <w:b/>
                <w:bCs/>
                <w:sz w:val="20"/>
                <w:lang w:val="sr-Cyrl-CS"/>
              </w:rPr>
            </w:pPr>
            <w:r w:rsidRPr="005303F7">
              <w:rPr>
                <w:rFonts w:ascii="Times New Roman" w:hAnsi="Times New Roman"/>
                <w:b/>
                <w:bCs/>
                <w:sz w:val="20"/>
                <w:lang w:val="sr-Cyrl-CS"/>
              </w:rPr>
              <w:t>Партнери</w:t>
            </w:r>
          </w:p>
        </w:tc>
        <w:tc>
          <w:tcPr>
            <w:tcW w:w="141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762A5" w14:textId="7BFBAA05" w:rsidR="007672E9" w:rsidRPr="005303F7" w:rsidRDefault="00690489" w:rsidP="0029378D">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 xml:space="preserve">ЕТS/ </w:t>
            </w:r>
            <w:r w:rsidR="004A35C7" w:rsidRPr="005303F7">
              <w:rPr>
                <w:rFonts w:ascii="Times New Roman" w:hAnsi="Times New Roman"/>
                <w:b/>
                <w:sz w:val="20"/>
                <w:lang w:val="sr-Cyrl-CS"/>
              </w:rPr>
              <w:t>не-ЕТS</w:t>
            </w:r>
          </w:p>
        </w:tc>
        <w:tc>
          <w:tcPr>
            <w:tcW w:w="157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00FBB" w14:textId="17A5AB3E" w:rsidR="007672E9" w:rsidRPr="005303F7" w:rsidRDefault="008D69AF" w:rsidP="007672E9">
            <w:pPr>
              <w:overflowPunct/>
              <w:spacing w:after="0"/>
              <w:jc w:val="center"/>
              <w:rPr>
                <w:rFonts w:ascii="Times New Roman" w:hAnsi="Times New Roman"/>
                <w:b/>
                <w:bCs/>
                <w:sz w:val="20"/>
                <w:lang w:val="sr-Cyrl-CS"/>
              </w:rPr>
            </w:pPr>
            <w:r w:rsidRPr="005303F7">
              <w:rPr>
                <w:rFonts w:ascii="Times New Roman" w:hAnsi="Times New Roman"/>
                <w:b/>
                <w:bCs/>
                <w:sz w:val="20"/>
                <w:lang w:val="sr-Cyrl-CS"/>
              </w:rPr>
              <w:t>Главни</w:t>
            </w:r>
            <w:r w:rsidR="007672E9" w:rsidRPr="005303F7">
              <w:rPr>
                <w:rFonts w:ascii="Times New Roman" w:hAnsi="Times New Roman"/>
                <w:b/>
                <w:bCs/>
                <w:sz w:val="20"/>
                <w:lang w:val="sr-Cyrl-CS"/>
              </w:rPr>
              <w:t xml:space="preserve"> </w:t>
            </w:r>
            <w:r w:rsidRPr="005303F7">
              <w:rPr>
                <w:rFonts w:ascii="Times New Roman" w:hAnsi="Times New Roman"/>
                <w:b/>
                <w:bCs/>
                <w:sz w:val="20"/>
                <w:lang w:val="sr-Cyrl-CS"/>
              </w:rPr>
              <w:t>гасови</w:t>
            </w:r>
          </w:p>
        </w:tc>
        <w:tc>
          <w:tcPr>
            <w:tcW w:w="2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E18944" w14:textId="7F997E84" w:rsidR="00D7102F" w:rsidRPr="005303F7" w:rsidRDefault="00284DF0"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 xml:space="preserve">Процењен утицај ублажавања </w:t>
            </w:r>
            <w:r w:rsidR="00D7102F" w:rsidRPr="005303F7">
              <w:rPr>
                <w:rFonts w:ascii="Times New Roman" w:hAnsi="Times New Roman"/>
                <w:b/>
                <w:bCs/>
                <w:sz w:val="20"/>
                <w:lang w:val="sr-Cyrl-CS"/>
              </w:rPr>
              <w:t xml:space="preserve">до 2030. </w:t>
            </w:r>
          </w:p>
          <w:p w14:paraId="56C148D3" w14:textId="00B74EA5" w:rsidR="007672E9"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BD116A" w:rsidRPr="005303F7" w14:paraId="54E96434" w14:textId="77777777" w:rsidTr="0009461F">
        <w:trPr>
          <w:trHeight w:val="820"/>
        </w:trPr>
        <w:tc>
          <w:tcPr>
            <w:tcW w:w="561" w:type="dxa"/>
            <w:gridSpan w:val="2"/>
            <w:vMerge/>
            <w:tcBorders>
              <w:top w:val="single" w:sz="4" w:space="0" w:color="auto"/>
              <w:left w:val="single" w:sz="4" w:space="0" w:color="auto"/>
              <w:bottom w:val="single" w:sz="4" w:space="0" w:color="auto"/>
              <w:right w:val="single" w:sz="4" w:space="0" w:color="auto"/>
            </w:tcBorders>
            <w:vAlign w:val="center"/>
            <w:hideMark/>
          </w:tcPr>
          <w:p w14:paraId="1BCA35E8" w14:textId="77777777" w:rsidR="00BD116A" w:rsidRPr="005303F7" w:rsidRDefault="00BD116A">
            <w:pPr>
              <w:tabs>
                <w:tab w:val="clear" w:pos="3825"/>
              </w:tabs>
              <w:overflowPunct/>
              <w:autoSpaceDE/>
              <w:autoSpaceDN/>
              <w:adjustRightInd/>
              <w:spacing w:before="0" w:after="0"/>
              <w:jc w:val="left"/>
              <w:rPr>
                <w:rFonts w:ascii="Times New Roman" w:hAnsi="Times New Roman"/>
                <w:b/>
                <w:lang w:val="sr-Cyrl-CS"/>
              </w:rPr>
            </w:pPr>
          </w:p>
        </w:tc>
        <w:tc>
          <w:tcPr>
            <w:tcW w:w="33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2B9E2" w14:textId="4D1708B2" w:rsidR="00BD116A" w:rsidRPr="005303F7" w:rsidRDefault="008D69AF" w:rsidP="009E1E28">
            <w:pPr>
              <w:spacing w:after="0"/>
              <w:jc w:val="center"/>
              <w:rPr>
                <w:rFonts w:ascii="Times New Roman" w:hAnsi="Times New Roman"/>
                <w:bCs/>
                <w:color w:val="000000"/>
                <w:sz w:val="20"/>
                <w:lang w:val="sr-Cyrl-CS"/>
              </w:rPr>
            </w:pPr>
            <w:r w:rsidRPr="005303F7">
              <w:rPr>
                <w:rFonts w:ascii="Times New Roman" w:hAnsi="Times New Roman"/>
                <w:sz w:val="20"/>
                <w:lang w:val="sr-Cyrl-CS"/>
              </w:rPr>
              <w:t>Министарство</w:t>
            </w:r>
            <w:r w:rsidR="007672E9" w:rsidRPr="005303F7">
              <w:rPr>
                <w:rFonts w:ascii="Times New Roman" w:hAnsi="Times New Roman"/>
                <w:sz w:val="20"/>
                <w:lang w:val="sr-Cyrl-CS"/>
              </w:rPr>
              <w:t xml:space="preserve"> </w:t>
            </w:r>
            <w:r w:rsidRPr="005303F7">
              <w:rPr>
                <w:rFonts w:ascii="Times New Roman" w:hAnsi="Times New Roman"/>
                <w:sz w:val="20"/>
                <w:lang w:val="sr-Cyrl-CS"/>
              </w:rPr>
              <w:t>грађевинарства</w:t>
            </w:r>
            <w:r w:rsidR="007672E9" w:rsidRPr="005303F7">
              <w:rPr>
                <w:rFonts w:ascii="Times New Roman" w:hAnsi="Times New Roman"/>
                <w:sz w:val="20"/>
                <w:lang w:val="sr-Cyrl-CS"/>
              </w:rPr>
              <w:t xml:space="preserve">, </w:t>
            </w:r>
            <w:r w:rsidRPr="005303F7">
              <w:rPr>
                <w:rFonts w:ascii="Times New Roman" w:hAnsi="Times New Roman"/>
                <w:sz w:val="20"/>
                <w:lang w:val="sr-Cyrl-CS"/>
              </w:rPr>
              <w:t>саобраћаја</w:t>
            </w:r>
            <w:r w:rsidR="007672E9" w:rsidRPr="005303F7">
              <w:rPr>
                <w:rFonts w:ascii="Times New Roman" w:hAnsi="Times New Roman"/>
                <w:sz w:val="20"/>
                <w:lang w:val="sr-Cyrl-CS"/>
              </w:rPr>
              <w:t xml:space="preserve"> </w:t>
            </w:r>
            <w:r w:rsidRPr="005303F7">
              <w:rPr>
                <w:rFonts w:ascii="Times New Roman" w:hAnsi="Times New Roman"/>
                <w:sz w:val="20"/>
                <w:lang w:val="sr-Cyrl-CS"/>
              </w:rPr>
              <w:t>и</w:t>
            </w:r>
            <w:r w:rsidR="007672E9" w:rsidRPr="005303F7">
              <w:rPr>
                <w:rFonts w:ascii="Times New Roman" w:hAnsi="Times New Roman"/>
                <w:sz w:val="20"/>
                <w:lang w:val="sr-Cyrl-CS"/>
              </w:rPr>
              <w:t xml:space="preserve"> </w:t>
            </w:r>
            <w:r w:rsidRPr="005303F7">
              <w:rPr>
                <w:rFonts w:ascii="Times New Roman" w:hAnsi="Times New Roman"/>
                <w:sz w:val="20"/>
                <w:lang w:val="sr-Cyrl-CS"/>
              </w:rPr>
              <w:t>инфраструктуре</w:t>
            </w:r>
          </w:p>
        </w:tc>
        <w:tc>
          <w:tcPr>
            <w:tcW w:w="6227"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21DA36" w14:textId="593FD172" w:rsidR="00BD116A" w:rsidRPr="005303F7" w:rsidRDefault="00BD116A" w:rsidP="00867F50">
            <w:pPr>
              <w:overflowPunct/>
              <w:spacing w:after="0"/>
              <w:jc w:val="center"/>
              <w:rPr>
                <w:rFonts w:ascii="Times New Roman" w:hAnsi="Times New Roman"/>
                <w:sz w:val="20"/>
                <w:lang w:val="sr-Cyrl-CS"/>
              </w:rPr>
            </w:pPr>
            <w:r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Министарство</w:t>
            </w:r>
            <w:r w:rsidR="00867F5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рударства</w:t>
            </w:r>
            <w:r w:rsidR="00867F5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867F5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енергетике</w:t>
            </w:r>
            <w:r w:rsidRPr="005303F7">
              <w:rPr>
                <w:rFonts w:ascii="Times New Roman" w:hAnsi="Times New Roman"/>
                <w:sz w:val="20"/>
                <w:lang w:val="sr-Cyrl-CS"/>
              </w:rPr>
              <w:t xml:space="preserve">, </w:t>
            </w:r>
            <w:r w:rsidR="008D69AF" w:rsidRPr="005303F7">
              <w:rPr>
                <w:rFonts w:ascii="Times New Roman" w:hAnsi="Times New Roman"/>
                <w:sz w:val="20"/>
                <w:lang w:val="sr-Cyrl-CS"/>
              </w:rPr>
              <w:t>Привредна</w:t>
            </w:r>
            <w:r w:rsidR="00867F50" w:rsidRPr="005303F7">
              <w:rPr>
                <w:rFonts w:ascii="Times New Roman" w:hAnsi="Times New Roman"/>
                <w:sz w:val="20"/>
                <w:lang w:val="sr-Cyrl-CS"/>
              </w:rPr>
              <w:t xml:space="preserve"> </w:t>
            </w:r>
            <w:r w:rsidR="008D69AF" w:rsidRPr="005303F7">
              <w:rPr>
                <w:rFonts w:ascii="Times New Roman" w:hAnsi="Times New Roman"/>
                <w:sz w:val="20"/>
                <w:lang w:val="sr-Cyrl-CS"/>
              </w:rPr>
              <w:t>комора</w:t>
            </w:r>
            <w:r w:rsidR="00867F50" w:rsidRPr="005303F7">
              <w:rPr>
                <w:rFonts w:ascii="Times New Roman" w:hAnsi="Times New Roman"/>
                <w:sz w:val="20"/>
                <w:lang w:val="sr-Cyrl-CS"/>
              </w:rPr>
              <w:t xml:space="preserve"> </w:t>
            </w:r>
            <w:r w:rsidR="008D69AF" w:rsidRPr="005303F7">
              <w:rPr>
                <w:rFonts w:ascii="Times New Roman" w:hAnsi="Times New Roman"/>
                <w:sz w:val="20"/>
                <w:lang w:val="sr-Cyrl-CS"/>
              </w:rPr>
              <w:t>Републике</w:t>
            </w:r>
            <w:r w:rsidR="00867F50" w:rsidRPr="005303F7">
              <w:rPr>
                <w:rFonts w:ascii="Times New Roman" w:hAnsi="Times New Roman"/>
                <w:sz w:val="20"/>
                <w:lang w:val="sr-Cyrl-CS"/>
              </w:rPr>
              <w:t xml:space="preserve"> </w:t>
            </w:r>
            <w:r w:rsidR="00D73AAB" w:rsidRPr="005303F7">
              <w:rPr>
                <w:rFonts w:ascii="Times New Roman" w:hAnsi="Times New Roman"/>
                <w:sz w:val="20"/>
                <w:lang w:val="sr-Cyrl-CS"/>
              </w:rPr>
              <w:t>Србије</w:t>
            </w:r>
          </w:p>
        </w:tc>
        <w:tc>
          <w:tcPr>
            <w:tcW w:w="1413"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BD0B8F" w14:textId="38F02D69" w:rsidR="00BD116A" w:rsidRPr="005303F7" w:rsidRDefault="004A35C7">
            <w:pPr>
              <w:overflowPunct/>
              <w:spacing w:after="0"/>
              <w:jc w:val="center"/>
              <w:rPr>
                <w:rFonts w:ascii="Times New Roman" w:hAnsi="Times New Roman"/>
                <w:bCs/>
                <w:sz w:val="20"/>
                <w:lang w:val="sr-Cyrl-CS"/>
              </w:rPr>
            </w:pPr>
            <w:r w:rsidRPr="005303F7">
              <w:rPr>
                <w:rFonts w:ascii="Times New Roman" w:hAnsi="Times New Roman"/>
                <w:bCs/>
                <w:sz w:val="20"/>
                <w:lang w:val="sr-Cyrl-CS"/>
              </w:rPr>
              <w:t>не-ЕТS</w:t>
            </w:r>
          </w:p>
        </w:tc>
        <w:tc>
          <w:tcPr>
            <w:tcW w:w="1579"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711A6F" w14:textId="59FD766D" w:rsidR="00BD116A" w:rsidRPr="005303F7" w:rsidRDefault="00690489">
            <w:pPr>
              <w:overflowPunct/>
              <w:spacing w:after="0"/>
              <w:jc w:val="center"/>
              <w:rPr>
                <w:rFonts w:ascii="Times New Roman" w:hAnsi="Times New Roman"/>
                <w:bCs/>
                <w:sz w:val="20"/>
                <w:lang w:val="sr-Cyrl-CS"/>
              </w:rPr>
            </w:pPr>
            <w:r w:rsidRPr="005303F7">
              <w:rPr>
                <w:rFonts w:ascii="Times New Roman" w:hAnsi="Times New Roman"/>
                <w:bCs/>
                <w:sz w:val="20"/>
                <w:lang w:val="sr-Cyrl-CS"/>
              </w:rPr>
              <w:t>C</w:t>
            </w:r>
            <w:r w:rsidR="008D69AF" w:rsidRPr="005303F7">
              <w:rPr>
                <w:rFonts w:ascii="Times New Roman" w:hAnsi="Times New Roman"/>
                <w:bCs/>
                <w:sz w:val="20"/>
                <w:lang w:val="sr-Cyrl-CS"/>
              </w:rPr>
              <w:t>О</w:t>
            </w:r>
            <w:r w:rsidR="00BD116A" w:rsidRPr="005303F7">
              <w:rPr>
                <w:rFonts w:ascii="Times New Roman" w:hAnsi="Times New Roman"/>
                <w:bCs/>
                <w:sz w:val="20"/>
                <w:vertAlign w:val="subscript"/>
                <w:lang w:val="sr-Cyrl-CS"/>
              </w:rPr>
              <w:t>2</w:t>
            </w:r>
          </w:p>
        </w:tc>
        <w:tc>
          <w:tcPr>
            <w:tcW w:w="2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0FD19E" w14:textId="77777777" w:rsidR="00BD116A" w:rsidRPr="005303F7" w:rsidRDefault="00BD116A">
            <w:pPr>
              <w:overflowPunct/>
              <w:spacing w:after="0"/>
              <w:jc w:val="center"/>
              <w:rPr>
                <w:rFonts w:ascii="Times New Roman" w:hAnsi="Times New Roman"/>
                <w:bCs/>
                <w:color w:val="000000"/>
                <w:sz w:val="20"/>
                <w:lang w:val="sr-Cyrl-CS"/>
              </w:rPr>
            </w:pPr>
            <w:r w:rsidRPr="005303F7">
              <w:rPr>
                <w:rFonts w:ascii="Times New Roman" w:hAnsi="Times New Roman"/>
                <w:bCs/>
                <w:sz w:val="20"/>
                <w:lang w:val="sr-Cyrl-CS"/>
              </w:rPr>
              <w:t>220</w:t>
            </w:r>
          </w:p>
        </w:tc>
      </w:tr>
      <w:tr w:rsidR="00BD116A" w:rsidRPr="005303F7" w14:paraId="4A081D66" w14:textId="77777777" w:rsidTr="0009461F">
        <w:trPr>
          <w:trHeight w:val="442"/>
        </w:trPr>
        <w:tc>
          <w:tcPr>
            <w:tcW w:w="561" w:type="dxa"/>
            <w:gridSpan w:val="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18B5F583" w14:textId="1C63ECC4" w:rsidR="00BD116A" w:rsidRPr="005303F7" w:rsidRDefault="008D69AF">
            <w:pPr>
              <w:overflowPunct/>
              <w:spacing w:after="0"/>
              <w:rPr>
                <w:rFonts w:ascii="Times New Roman" w:hAnsi="Times New Roman"/>
                <w:sz w:val="20"/>
                <w:lang w:val="sr-Cyrl-CS"/>
              </w:rPr>
            </w:pPr>
            <w:r w:rsidRPr="005303F7">
              <w:rPr>
                <w:rFonts w:ascii="Times New Roman" w:hAnsi="Times New Roman"/>
                <w:sz w:val="20"/>
                <w:lang w:val="sr-Cyrl-CS"/>
              </w:rPr>
              <w:t>Бр</w:t>
            </w:r>
            <w:r w:rsidR="00BD116A" w:rsidRPr="005303F7">
              <w:rPr>
                <w:rFonts w:ascii="Times New Roman" w:hAnsi="Times New Roman"/>
                <w:sz w:val="20"/>
                <w:lang w:val="sr-Cyrl-CS"/>
              </w:rPr>
              <w:t>.</w:t>
            </w:r>
          </w:p>
        </w:tc>
        <w:tc>
          <w:tcPr>
            <w:tcW w:w="15429" w:type="dxa"/>
            <w:gridSpan w:val="3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1798552B" w14:textId="66AF0B96" w:rsidR="00BD116A" w:rsidRPr="005303F7" w:rsidRDefault="008D69AF" w:rsidP="00652668">
            <w:pPr>
              <w:overflowPunct/>
              <w:jc w:val="left"/>
              <w:rPr>
                <w:rFonts w:ascii="Times New Roman" w:hAnsi="Times New Roman"/>
                <w:b/>
                <w:bCs/>
                <w:sz w:val="20"/>
                <w:lang w:val="sr-Cyrl-CS"/>
              </w:rPr>
            </w:pPr>
            <w:r w:rsidRPr="005303F7">
              <w:rPr>
                <w:rFonts w:ascii="Times New Roman" w:hAnsi="Times New Roman"/>
                <w:b/>
                <w:bCs/>
                <w:sz w:val="20"/>
                <w:lang w:val="sr-Cyrl-CS"/>
              </w:rPr>
              <w:t>Назив</w:t>
            </w:r>
            <w:r w:rsidR="00867F50"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r w:rsidR="00BD116A" w:rsidRPr="005303F7">
              <w:rPr>
                <w:rFonts w:ascii="Times New Roman" w:hAnsi="Times New Roman"/>
                <w:b/>
                <w:bCs/>
                <w:sz w:val="20"/>
                <w:lang w:val="sr-Cyrl-CS"/>
              </w:rPr>
              <w:t xml:space="preserve">: </w:t>
            </w:r>
            <w:r w:rsidRPr="005303F7">
              <w:rPr>
                <w:rFonts w:ascii="Times New Roman" w:hAnsi="Times New Roman"/>
                <w:b/>
                <w:bCs/>
                <w:sz w:val="20"/>
                <w:u w:val="single"/>
                <w:lang w:val="sr-Cyrl-CS"/>
              </w:rPr>
              <w:t>Унапређење</w:t>
            </w:r>
            <w:r w:rsidR="00064094"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енергетске</w:t>
            </w:r>
            <w:r w:rsidR="00AC39D3"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ефикасности</w:t>
            </w:r>
            <w:r w:rsidR="00AC39D3"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инфраструктуре</w:t>
            </w:r>
            <w:r w:rsidR="00AC39D3"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за</w:t>
            </w:r>
            <w:r w:rsidR="00AC39D3"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грејање</w:t>
            </w:r>
            <w:r w:rsidR="00AC39D3"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и</w:t>
            </w:r>
            <w:r w:rsidR="00AC39D3"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хлађење</w:t>
            </w:r>
            <w:r w:rsidR="00AC39D3"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и</w:t>
            </w:r>
            <w:r w:rsidR="00AC39D3"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промоција</w:t>
            </w:r>
            <w:r w:rsidR="00AC39D3"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кориш</w:t>
            </w:r>
            <w:r w:rsidR="00016298" w:rsidRPr="005303F7">
              <w:rPr>
                <w:rFonts w:ascii="Times New Roman" w:hAnsi="Times New Roman"/>
                <w:b/>
                <w:bCs/>
                <w:sz w:val="20"/>
                <w:u w:val="single"/>
                <w:lang w:val="sr-Cyrl-CS"/>
              </w:rPr>
              <w:t>ћ</w:t>
            </w:r>
            <w:r w:rsidRPr="005303F7">
              <w:rPr>
                <w:rFonts w:ascii="Times New Roman" w:hAnsi="Times New Roman"/>
                <w:b/>
                <w:bCs/>
                <w:sz w:val="20"/>
                <w:u w:val="single"/>
                <w:lang w:val="sr-Cyrl-CS"/>
              </w:rPr>
              <w:t>ења</w:t>
            </w:r>
            <w:r w:rsidR="00AC39D3"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ОИЕ</w:t>
            </w:r>
            <w:r w:rsidR="00AC39D3"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у</w:t>
            </w:r>
            <w:r w:rsidR="00AC39D3"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дома</w:t>
            </w:r>
            <w:r w:rsidR="00016298" w:rsidRPr="005303F7">
              <w:rPr>
                <w:rFonts w:ascii="Times New Roman" w:hAnsi="Times New Roman"/>
                <w:b/>
                <w:bCs/>
                <w:sz w:val="20"/>
                <w:u w:val="single"/>
                <w:lang w:val="sr-Cyrl-CS"/>
              </w:rPr>
              <w:t>ћ</w:t>
            </w:r>
            <w:r w:rsidRPr="005303F7">
              <w:rPr>
                <w:rFonts w:ascii="Times New Roman" w:hAnsi="Times New Roman"/>
                <w:b/>
                <w:bCs/>
                <w:sz w:val="20"/>
                <w:u w:val="single"/>
                <w:lang w:val="sr-Cyrl-CS"/>
              </w:rPr>
              <w:t>инствима</w:t>
            </w:r>
          </w:p>
        </w:tc>
      </w:tr>
      <w:tr w:rsidR="00BD116A" w:rsidRPr="005303F7" w14:paraId="02EFC472" w14:textId="77777777" w:rsidTr="0009461F">
        <w:trPr>
          <w:trHeight w:val="639"/>
        </w:trPr>
        <w:tc>
          <w:tcPr>
            <w:tcW w:w="56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45CB689" w14:textId="77777777" w:rsidR="00BD116A" w:rsidRPr="005303F7" w:rsidRDefault="00BD116A">
            <w:pPr>
              <w:rPr>
                <w:rFonts w:ascii="Times New Roman" w:hAnsi="Times New Roman"/>
                <w:b/>
                <w:lang w:val="sr-Cyrl-CS"/>
              </w:rPr>
            </w:pPr>
            <w:r w:rsidRPr="005303F7">
              <w:rPr>
                <w:rFonts w:ascii="Times New Roman" w:hAnsi="Times New Roman"/>
                <w:b/>
                <w:lang w:val="sr-Cyrl-CS"/>
              </w:rPr>
              <w:t>8</w:t>
            </w:r>
          </w:p>
        </w:tc>
        <w:tc>
          <w:tcPr>
            <w:tcW w:w="15429" w:type="dxa"/>
            <w:gridSpan w:val="32"/>
            <w:tcBorders>
              <w:top w:val="single" w:sz="4" w:space="0" w:color="auto"/>
              <w:left w:val="single" w:sz="4" w:space="0" w:color="auto"/>
              <w:bottom w:val="single" w:sz="4" w:space="0" w:color="auto"/>
              <w:right w:val="single" w:sz="4" w:space="0" w:color="auto"/>
            </w:tcBorders>
            <w:vAlign w:val="center"/>
            <w:hideMark/>
          </w:tcPr>
          <w:p w14:paraId="63D36F7F" w14:textId="27A633CE" w:rsidR="00BD116A" w:rsidRPr="005303F7" w:rsidRDefault="008D69AF">
            <w:pPr>
              <w:overflowPunct/>
              <w:jc w:val="left"/>
              <w:rPr>
                <w:rFonts w:ascii="Times New Roman" w:hAnsi="Times New Roman"/>
                <w:b/>
                <w:color w:val="000000"/>
                <w:sz w:val="20"/>
                <w:u w:val="single"/>
                <w:lang w:val="sr-Cyrl-CS"/>
              </w:rPr>
            </w:pPr>
            <w:r w:rsidRPr="005303F7">
              <w:rPr>
                <w:rFonts w:ascii="Times New Roman" w:hAnsi="Times New Roman"/>
                <w:b/>
                <w:color w:val="000000"/>
                <w:sz w:val="20"/>
                <w:u w:val="single"/>
                <w:lang w:val="sr-Cyrl-CS"/>
              </w:rPr>
              <w:t>Врста</w:t>
            </w:r>
            <w:r w:rsidR="00F62043"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F62043" w:rsidRPr="005303F7">
              <w:rPr>
                <w:rFonts w:ascii="Times New Roman" w:hAnsi="Times New Roman"/>
                <w:b/>
                <w:color w:val="000000"/>
                <w:sz w:val="20"/>
                <w:u w:val="single"/>
                <w:lang w:val="sr-Cyrl-CS"/>
              </w:rPr>
              <w:t>:</w:t>
            </w:r>
            <w:r w:rsidR="00F62043" w:rsidRPr="005303F7">
              <w:rPr>
                <w:rFonts w:ascii="Times New Roman" w:hAnsi="Times New Roman"/>
                <w:b/>
                <w:color w:val="000000"/>
                <w:sz w:val="20"/>
                <w:lang w:val="sr-Cyrl-CS"/>
              </w:rPr>
              <w:t xml:space="preserve"> </w:t>
            </w:r>
            <w:r w:rsidRPr="005303F7">
              <w:rPr>
                <w:rFonts w:ascii="Times New Roman" w:hAnsi="Times New Roman"/>
                <w:bCs/>
                <w:color w:val="000000"/>
                <w:sz w:val="20"/>
                <w:lang w:val="sr-Cyrl-CS"/>
              </w:rPr>
              <w:t>Регулаторна</w:t>
            </w:r>
            <w:r w:rsidR="00BD116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подстицајна</w:t>
            </w:r>
            <w:r w:rsidR="00F6204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финансијска</w:t>
            </w:r>
            <w:r w:rsidR="00BD116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информативно</w:t>
            </w:r>
            <w:r w:rsidR="00F62043" w:rsidRPr="005303F7">
              <w:rPr>
                <w:rFonts w:ascii="Times New Roman" w:hAnsi="Times New Roman"/>
                <w:bCs/>
                <w:color w:val="000000"/>
                <w:sz w:val="20"/>
                <w:lang w:val="sr-Cyrl-CS"/>
              </w:rPr>
              <w:t>-</w:t>
            </w:r>
            <w:r w:rsidRPr="005303F7">
              <w:rPr>
                <w:rFonts w:ascii="Times New Roman" w:hAnsi="Times New Roman"/>
                <w:bCs/>
                <w:color w:val="000000"/>
                <w:sz w:val="20"/>
                <w:lang w:val="sr-Cyrl-CS"/>
              </w:rPr>
              <w:t>едукативна</w:t>
            </w:r>
          </w:p>
          <w:p w14:paraId="42F189E2" w14:textId="03A62EEB" w:rsidR="00D074BE" w:rsidRPr="005303F7" w:rsidRDefault="008D69AF" w:rsidP="00840424">
            <w:pPr>
              <w:overflowPunct/>
              <w:spacing w:after="0"/>
              <w:rPr>
                <w:rFonts w:ascii="Times New Roman" w:hAnsi="Times New Roman"/>
                <w:sz w:val="20"/>
                <w:lang w:val="sr-Cyrl-CS"/>
              </w:rPr>
            </w:pPr>
            <w:r w:rsidRPr="005303F7">
              <w:rPr>
                <w:rFonts w:ascii="Times New Roman" w:hAnsi="Times New Roman"/>
                <w:b/>
                <w:color w:val="000000"/>
                <w:sz w:val="20"/>
                <w:u w:val="single"/>
                <w:lang w:val="sr-Cyrl-CS"/>
              </w:rPr>
              <w:t>Опис</w:t>
            </w:r>
            <w:r w:rsidR="00054637"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BD116A" w:rsidRPr="005303F7">
              <w:rPr>
                <w:rFonts w:ascii="Times New Roman" w:hAnsi="Times New Roman"/>
                <w:bCs/>
                <w:color w:val="000000"/>
                <w:sz w:val="20"/>
                <w:lang w:val="sr-Cyrl-CS"/>
              </w:rPr>
              <w:t>:</w:t>
            </w:r>
            <w:r w:rsidR="00BD116A" w:rsidRPr="005303F7">
              <w:rPr>
                <w:rFonts w:ascii="Times New Roman" w:hAnsi="Times New Roman"/>
                <w:sz w:val="20"/>
                <w:lang w:val="sr-Cyrl-CS"/>
              </w:rPr>
              <w:t xml:space="preserve"> </w:t>
            </w:r>
            <w:r w:rsidR="00D074BE" w:rsidRPr="005303F7">
              <w:rPr>
                <w:rFonts w:ascii="Times New Roman" w:hAnsi="Times New Roman"/>
                <w:sz w:val="20"/>
                <w:lang w:val="sr-Cyrl-CS"/>
              </w:rPr>
              <w:t xml:space="preserve">Велики број породичних кућа претежно користи старе неефикасне </w:t>
            </w:r>
            <w:r w:rsidR="00673527" w:rsidRPr="005303F7">
              <w:rPr>
                <w:rFonts w:ascii="Times New Roman" w:hAnsi="Times New Roman"/>
                <w:sz w:val="20"/>
                <w:lang w:val="sr-Cyrl-CS"/>
              </w:rPr>
              <w:t>пећи и</w:t>
            </w:r>
            <w:r w:rsidR="00D074BE" w:rsidRPr="005303F7">
              <w:rPr>
                <w:rFonts w:ascii="Times New Roman" w:hAnsi="Times New Roman"/>
                <w:sz w:val="20"/>
                <w:lang w:val="sr-Cyrl-CS"/>
              </w:rPr>
              <w:t xml:space="preserve"> котлове на угаљ и дрвну биомасу. Сагоревање угља узрокује високе специфичне емисије CО</w:t>
            </w:r>
            <w:r w:rsidR="00D074BE" w:rsidRPr="005303F7">
              <w:rPr>
                <w:rFonts w:ascii="Times New Roman" w:hAnsi="Times New Roman"/>
                <w:sz w:val="20"/>
                <w:vertAlign w:val="subscript"/>
                <w:lang w:val="sr-Cyrl-CS"/>
              </w:rPr>
              <w:t>2</w:t>
            </w:r>
            <w:r w:rsidR="00D074BE" w:rsidRPr="005303F7">
              <w:rPr>
                <w:rFonts w:ascii="Times New Roman" w:hAnsi="Times New Roman"/>
                <w:sz w:val="20"/>
                <w:lang w:val="sr-Cyrl-CS"/>
              </w:rPr>
              <w:t xml:space="preserve">, док употреба угља и биомасе у неефикасним </w:t>
            </w:r>
            <w:r w:rsidR="00673527" w:rsidRPr="005303F7">
              <w:rPr>
                <w:rFonts w:ascii="Times New Roman" w:hAnsi="Times New Roman"/>
                <w:sz w:val="20"/>
                <w:lang w:val="sr-Cyrl-CS"/>
              </w:rPr>
              <w:t>пећима</w:t>
            </w:r>
            <w:r w:rsidR="00D074BE" w:rsidRPr="005303F7">
              <w:rPr>
                <w:rFonts w:ascii="Times New Roman" w:hAnsi="Times New Roman"/>
                <w:sz w:val="20"/>
                <w:lang w:val="sr-Cyrl-CS"/>
              </w:rPr>
              <w:t xml:space="preserve"> и котловима изазива и велику емисију PМ</w:t>
            </w:r>
            <w:r w:rsidR="00D074BE" w:rsidRPr="005303F7">
              <w:rPr>
                <w:rFonts w:ascii="Times New Roman" w:hAnsi="Times New Roman"/>
                <w:sz w:val="20"/>
                <w:vertAlign w:val="subscript"/>
                <w:lang w:val="sr-Cyrl-CS"/>
              </w:rPr>
              <w:t>2,5</w:t>
            </w:r>
            <w:r w:rsidR="00D074BE" w:rsidRPr="005303F7">
              <w:rPr>
                <w:rFonts w:ascii="Times New Roman" w:hAnsi="Times New Roman"/>
                <w:sz w:val="20"/>
                <w:lang w:val="sr-Cyrl-CS"/>
              </w:rPr>
              <w:t xml:space="preserve">, што има штетне ефекте на здравље грађана. Ефикасније </w:t>
            </w:r>
            <w:r w:rsidR="00673527" w:rsidRPr="005303F7">
              <w:rPr>
                <w:rFonts w:ascii="Times New Roman" w:hAnsi="Times New Roman"/>
                <w:sz w:val="20"/>
                <w:lang w:val="sr-Cyrl-CS"/>
              </w:rPr>
              <w:t>пећи</w:t>
            </w:r>
            <w:r w:rsidR="00D074BE" w:rsidRPr="005303F7">
              <w:rPr>
                <w:rFonts w:ascii="Times New Roman" w:hAnsi="Times New Roman"/>
                <w:sz w:val="20"/>
                <w:lang w:val="sr-Cyrl-CS"/>
              </w:rPr>
              <w:t xml:space="preserve">/котлови смањују потрошњу горива, а истовремено смањују и емисију. </w:t>
            </w:r>
          </w:p>
          <w:p w14:paraId="47436E54" w14:textId="6356E038" w:rsidR="00D074BE" w:rsidRPr="005303F7" w:rsidRDefault="00D074BE" w:rsidP="00840424">
            <w:pPr>
              <w:overflowPunct/>
              <w:spacing w:after="0"/>
              <w:rPr>
                <w:rFonts w:ascii="Times New Roman" w:hAnsi="Times New Roman"/>
                <w:sz w:val="20"/>
                <w:lang w:val="sr-Cyrl-CS"/>
              </w:rPr>
            </w:pPr>
            <w:r w:rsidRPr="005303F7">
              <w:rPr>
                <w:rFonts w:ascii="Times New Roman" w:hAnsi="Times New Roman"/>
                <w:sz w:val="20"/>
                <w:lang w:val="sr-Cyrl-CS"/>
              </w:rPr>
              <w:t>ЕУ је 2015. године усвојила Уредбу којом су прописани захтев</w:t>
            </w:r>
            <w:r w:rsidR="00765368" w:rsidRPr="005303F7">
              <w:rPr>
                <w:rFonts w:ascii="Times New Roman" w:hAnsi="Times New Roman"/>
                <w:sz w:val="20"/>
                <w:lang w:val="sr-Cyrl-CS"/>
              </w:rPr>
              <w:t>и</w:t>
            </w:r>
            <w:r w:rsidRPr="005303F7">
              <w:rPr>
                <w:rFonts w:ascii="Times New Roman" w:hAnsi="Times New Roman"/>
                <w:sz w:val="20"/>
                <w:lang w:val="sr-Cyrl-CS"/>
              </w:rPr>
              <w:t xml:space="preserve"> еко-дизајна за котлове на чврста горива  (1189/2015), чија је примена почела 1. јануара 2020. године, и Уредбу којом су прописани захтев</w:t>
            </w:r>
            <w:r w:rsidR="003A2A07" w:rsidRPr="005303F7">
              <w:rPr>
                <w:rFonts w:ascii="Times New Roman" w:hAnsi="Times New Roman"/>
                <w:sz w:val="20"/>
                <w:lang w:val="sr-Cyrl-CS"/>
              </w:rPr>
              <w:t>и</w:t>
            </w:r>
            <w:r w:rsidRPr="005303F7">
              <w:rPr>
                <w:rFonts w:ascii="Times New Roman" w:hAnsi="Times New Roman"/>
                <w:sz w:val="20"/>
                <w:lang w:val="sr-Cyrl-CS"/>
              </w:rPr>
              <w:t xml:space="preserve"> еко-дизајна за локалне грејаче простора на чврста горива (2015/1185), чија је примена почела 1. јануара 2022. године. Прописи постављају минималне захтеве за сезонску енергетску ефикасност грејања простора и емисију честица, испарљивих органских једињења (VOC), угљен-моноксида (CО) и азотне оксиде (NОx). Уређаји који не испуњавају </w:t>
            </w:r>
            <w:r w:rsidR="003A2A07" w:rsidRPr="005303F7">
              <w:rPr>
                <w:rFonts w:ascii="Times New Roman" w:hAnsi="Times New Roman"/>
                <w:sz w:val="20"/>
                <w:lang w:val="sr-Cyrl-CS"/>
              </w:rPr>
              <w:t xml:space="preserve">захтеве </w:t>
            </w:r>
            <w:r w:rsidRPr="005303F7">
              <w:rPr>
                <w:rFonts w:ascii="Times New Roman" w:hAnsi="Times New Roman"/>
                <w:sz w:val="20"/>
                <w:lang w:val="sr-Cyrl-CS"/>
              </w:rPr>
              <w:t>еко</w:t>
            </w:r>
            <w:r w:rsidR="003A2A07" w:rsidRPr="005303F7">
              <w:rPr>
                <w:rFonts w:ascii="Times New Roman" w:hAnsi="Times New Roman"/>
                <w:sz w:val="20"/>
                <w:lang w:val="sr-Cyrl-CS"/>
              </w:rPr>
              <w:t>-</w:t>
            </w:r>
            <w:r w:rsidRPr="005303F7">
              <w:rPr>
                <w:rFonts w:ascii="Times New Roman" w:hAnsi="Times New Roman"/>
                <w:sz w:val="20"/>
                <w:lang w:val="sr-Cyrl-CS"/>
              </w:rPr>
              <w:t>диз</w:t>
            </w:r>
            <w:r w:rsidR="003A2A07" w:rsidRPr="005303F7">
              <w:rPr>
                <w:rFonts w:ascii="Times New Roman" w:hAnsi="Times New Roman"/>
                <w:sz w:val="20"/>
                <w:lang w:val="sr-Cyrl-CS"/>
              </w:rPr>
              <w:t>а</w:t>
            </w:r>
            <w:r w:rsidRPr="005303F7">
              <w:rPr>
                <w:rFonts w:ascii="Times New Roman" w:hAnsi="Times New Roman"/>
                <w:sz w:val="20"/>
                <w:lang w:val="sr-Cyrl-CS"/>
              </w:rPr>
              <w:t xml:space="preserve">јана не могу се стављати на тржиште ЕУ.  Транспозицијом и применом горе наведених прописа купци неће моћи да купују уређаје који не испуњавају постављене минималне захтеве. У </w:t>
            </w:r>
            <w:r w:rsidR="00D73AAB" w:rsidRPr="005303F7">
              <w:rPr>
                <w:rFonts w:ascii="Times New Roman" w:hAnsi="Times New Roman"/>
                <w:sz w:val="20"/>
                <w:lang w:val="sr-Cyrl-CS"/>
              </w:rPr>
              <w:t>Републици Србији</w:t>
            </w:r>
            <w:r w:rsidRPr="005303F7">
              <w:rPr>
                <w:rFonts w:ascii="Times New Roman" w:hAnsi="Times New Roman"/>
                <w:sz w:val="20"/>
                <w:lang w:val="sr-Cyrl-CS"/>
              </w:rPr>
              <w:t xml:space="preserve"> правни оквир за преношење прописа ЕУ у области еко-дизајна уређен је Законом о енергетској ефикасности и рационалној употреби енергије</w:t>
            </w:r>
            <w:r w:rsidR="00903CD0" w:rsidRPr="005303F7">
              <w:rPr>
                <w:rFonts w:ascii="Times New Roman" w:hAnsi="Times New Roman"/>
                <w:sz w:val="20"/>
                <w:lang w:val="sr-Cyrl-CS"/>
              </w:rPr>
              <w:t xml:space="preserve"> и</w:t>
            </w:r>
            <w:r w:rsidRPr="005303F7">
              <w:rPr>
                <w:rFonts w:ascii="Times New Roman" w:hAnsi="Times New Roman"/>
                <w:sz w:val="20"/>
                <w:lang w:val="sr-Cyrl-CS"/>
              </w:rPr>
              <w:t xml:space="preserve"> Уредбом о еко-дизајну производа који утичу на потрошњу енергије којом је пренета Директива 2009/125/ЕЗ од 21. октобра 2009. године којим </w:t>
            </w:r>
            <w:r w:rsidRPr="005303F7">
              <w:rPr>
                <w:rFonts w:ascii="Times New Roman" w:hAnsi="Times New Roman"/>
                <w:sz w:val="20"/>
                <w:lang w:val="sr-Cyrl-CS"/>
              </w:rPr>
              <w:lastRenderedPageBreak/>
              <w:t>се успоставља општи оквир за утврђивање захтева еко-дизајна за производе који утичу на потрошњу енергије. Доношење правилника којим се прописују захтеви еко-дизајна за котлове на чврста горива и локалне грејаче простора на чврсто гориво</w:t>
            </w:r>
            <w:r w:rsidR="00884356" w:rsidRPr="005303F7">
              <w:rPr>
                <w:rFonts w:ascii="Times New Roman" w:hAnsi="Times New Roman"/>
                <w:sz w:val="20"/>
                <w:lang w:val="sr-Cyrl-CS"/>
              </w:rPr>
              <w:t>,</w:t>
            </w:r>
            <w:r w:rsidRPr="005303F7">
              <w:rPr>
                <w:rFonts w:ascii="Times New Roman" w:hAnsi="Times New Roman"/>
                <w:sz w:val="20"/>
                <w:lang w:val="sr-Cyrl-CS"/>
              </w:rPr>
              <w:t xml:space="preserve"> а којима се преносе горе наведене уредбе Комисије (ЕУ) планирано је за 2023. годину.</w:t>
            </w:r>
          </w:p>
          <w:p w14:paraId="00EC7472" w14:textId="20C00A2B" w:rsidR="00D074BE" w:rsidRPr="005303F7" w:rsidRDefault="00CC6964" w:rsidP="00840424">
            <w:pPr>
              <w:overflowPunct/>
              <w:spacing w:after="0"/>
              <w:rPr>
                <w:rFonts w:ascii="Times New Roman" w:hAnsi="Times New Roman"/>
                <w:sz w:val="20"/>
                <w:lang w:val="sr-Cyrl-CS"/>
              </w:rPr>
            </w:pPr>
            <w:r w:rsidRPr="005303F7">
              <w:rPr>
                <w:rFonts w:ascii="Times New Roman" w:hAnsi="Times New Roman"/>
                <w:sz w:val="20"/>
                <w:lang w:val="sr-Cyrl-CS"/>
              </w:rPr>
              <w:t xml:space="preserve">       </w:t>
            </w:r>
            <w:r w:rsidR="00D074BE" w:rsidRPr="005303F7">
              <w:rPr>
                <w:rFonts w:ascii="Times New Roman" w:hAnsi="Times New Roman"/>
                <w:sz w:val="20"/>
                <w:lang w:val="sr-Cyrl-CS"/>
              </w:rPr>
              <w:t>Осим прописа који дефинишу захтеве еко</w:t>
            </w:r>
            <w:r w:rsidR="00673527" w:rsidRPr="005303F7">
              <w:rPr>
                <w:rFonts w:ascii="Times New Roman" w:hAnsi="Times New Roman"/>
                <w:sz w:val="20"/>
                <w:lang w:val="sr-Cyrl-CS"/>
              </w:rPr>
              <w:t>-</w:t>
            </w:r>
            <w:r w:rsidR="00D074BE" w:rsidRPr="005303F7">
              <w:rPr>
                <w:rFonts w:ascii="Times New Roman" w:hAnsi="Times New Roman"/>
                <w:sz w:val="20"/>
                <w:lang w:val="sr-Cyrl-CS"/>
              </w:rPr>
              <w:t xml:space="preserve">дизајна без чије испуњености се на тржиште не могу стављати производи, ЕУ је 2015. године донела и прописе о облежавању енергетске ефикасности (енергетско означавање) ових уређаја, односно Делегирану уредбу о означавању локалних грејача простора (2015/1186) и Делегирану уредбу о означавању котлова на чврсто гориво и пакети котлова на чврсто гориво, помоћни грејачи, регулатори температуре и соларни уређаји (2015/1187). Измена прве Делегиране уредбе од стране ЕУ је планирана у другој половини 2023. године </w:t>
            </w:r>
            <w:r w:rsidR="00BB0AA2" w:rsidRPr="005303F7">
              <w:rPr>
                <w:rFonts w:ascii="Times New Roman" w:hAnsi="Times New Roman"/>
                <w:sz w:val="20"/>
                <w:lang w:val="sr-Cyrl-CS"/>
              </w:rPr>
              <w:t>после</w:t>
            </w:r>
            <w:r w:rsidR="00D074BE" w:rsidRPr="005303F7">
              <w:rPr>
                <w:rFonts w:ascii="Times New Roman" w:hAnsi="Times New Roman"/>
                <w:sz w:val="20"/>
                <w:lang w:val="sr-Cyrl-CS"/>
              </w:rPr>
              <w:t xml:space="preserve"> чега се она може пренети и у </w:t>
            </w:r>
            <w:r w:rsidR="00D73AAB" w:rsidRPr="005303F7">
              <w:rPr>
                <w:rFonts w:ascii="Times New Roman" w:hAnsi="Times New Roman"/>
                <w:sz w:val="20"/>
                <w:lang w:val="sr-Cyrl-CS"/>
              </w:rPr>
              <w:t>Републици Србији</w:t>
            </w:r>
            <w:r w:rsidR="00D074BE" w:rsidRPr="005303F7">
              <w:rPr>
                <w:rFonts w:ascii="Times New Roman" w:hAnsi="Times New Roman"/>
                <w:sz w:val="20"/>
                <w:lang w:val="sr-Cyrl-CS"/>
              </w:rPr>
              <w:t xml:space="preserve"> док се измен</w:t>
            </w:r>
            <w:r w:rsidR="00E3567B" w:rsidRPr="005303F7">
              <w:rPr>
                <w:rFonts w:ascii="Times New Roman" w:hAnsi="Times New Roman"/>
                <w:sz w:val="20"/>
                <w:lang w:val="sr-Cyrl-CS"/>
              </w:rPr>
              <w:t>a</w:t>
            </w:r>
            <w:r w:rsidR="00D074BE" w:rsidRPr="005303F7">
              <w:rPr>
                <w:rFonts w:ascii="Times New Roman" w:hAnsi="Times New Roman"/>
                <w:sz w:val="20"/>
                <w:lang w:val="sr-Cyrl-CS"/>
              </w:rPr>
              <w:t xml:space="preserve"> дру</w:t>
            </w:r>
            <w:r w:rsidR="00E3567B" w:rsidRPr="005303F7">
              <w:rPr>
                <w:rFonts w:ascii="Times New Roman" w:hAnsi="Times New Roman"/>
                <w:sz w:val="20"/>
                <w:lang w:val="sr-Cyrl-CS"/>
              </w:rPr>
              <w:t>г</w:t>
            </w:r>
            <w:r w:rsidR="00D074BE" w:rsidRPr="005303F7">
              <w:rPr>
                <w:rFonts w:ascii="Times New Roman" w:hAnsi="Times New Roman"/>
                <w:sz w:val="20"/>
                <w:lang w:val="sr-Cyrl-CS"/>
              </w:rPr>
              <w:t xml:space="preserve">е Делегиране уредбе не планира у скоријем периоду па је планирано да се она у овом облику транспонује у правни систем </w:t>
            </w:r>
            <w:r w:rsidR="00D73AAB" w:rsidRPr="005303F7">
              <w:rPr>
                <w:rFonts w:ascii="Times New Roman" w:hAnsi="Times New Roman"/>
                <w:sz w:val="20"/>
                <w:lang w:val="sr-Cyrl-CS"/>
              </w:rPr>
              <w:t>Републике Србије</w:t>
            </w:r>
            <w:r w:rsidR="00D074BE" w:rsidRPr="005303F7">
              <w:rPr>
                <w:rFonts w:ascii="Times New Roman" w:hAnsi="Times New Roman"/>
                <w:sz w:val="20"/>
                <w:lang w:val="sr-Cyrl-CS"/>
              </w:rPr>
              <w:t>. Правни оквир за преношење прописа ЕУ у области енергетског означавања уређен је такође кроз ЗЕЕРУЕ. Прописи о енергетском означавању значајни су јер потенцијалним купцима производа дају податке о њиховој енергетској ефикасности у односу на ефикасност других уређаја на тржишту и њиховој потрошњи енергије како би ове податке узели у обзир приликом набавке нових уређаја.</w:t>
            </w:r>
          </w:p>
          <w:p w14:paraId="0A3BEA6C" w14:textId="33B59FE9" w:rsidR="00D074BE" w:rsidRPr="005303F7" w:rsidRDefault="00CC6964" w:rsidP="00840424">
            <w:pPr>
              <w:overflowPunct/>
              <w:spacing w:after="0"/>
              <w:rPr>
                <w:rFonts w:ascii="Times New Roman" w:hAnsi="Times New Roman"/>
                <w:sz w:val="20"/>
                <w:lang w:val="sr-Cyrl-CS"/>
              </w:rPr>
            </w:pPr>
            <w:r w:rsidRPr="005303F7">
              <w:rPr>
                <w:rFonts w:ascii="Times New Roman" w:hAnsi="Times New Roman"/>
                <w:sz w:val="20"/>
                <w:lang w:val="sr-Cyrl-CS"/>
              </w:rPr>
              <w:t xml:space="preserve">       </w:t>
            </w:r>
            <w:r w:rsidR="00D074BE" w:rsidRPr="005303F7">
              <w:rPr>
                <w:rFonts w:ascii="Times New Roman" w:hAnsi="Times New Roman"/>
                <w:sz w:val="20"/>
                <w:lang w:val="sr-Cyrl-CS"/>
              </w:rPr>
              <w:t>Да би се подржала замена старих неефикасних уређаја за загревање простора (котлова, пећи и других грејача простора) на чврсто гориво, посебно на угаљ, домаћинствима би требало да се обезбеде субвенције за куповину нових, ефикаснијих уређаја за загревање простора, односно оних који користе обновљиве изворе енергије (котлови на биомасу, топлотне пумпе итд),а који испуњавају захтеве еко</w:t>
            </w:r>
            <w:r w:rsidR="003A2A07" w:rsidRPr="005303F7">
              <w:rPr>
                <w:rFonts w:ascii="Times New Roman" w:hAnsi="Times New Roman"/>
                <w:sz w:val="20"/>
                <w:lang w:val="sr-Cyrl-CS"/>
              </w:rPr>
              <w:t>-</w:t>
            </w:r>
            <w:r w:rsidR="00D074BE" w:rsidRPr="005303F7">
              <w:rPr>
                <w:rFonts w:ascii="Times New Roman" w:hAnsi="Times New Roman"/>
                <w:sz w:val="20"/>
                <w:lang w:val="sr-Cyrl-CS"/>
              </w:rPr>
              <w:t xml:space="preserve">дизајна односно који имају ознаку вишег нивоа енергетске ефикасности. Министарство рударства и енергетике већ спроводи субвенционисање куповине и уградње нових ефикасних котлова на биомасу и гас, од 2021 . године и у оквиру јавних позива за енергетску санацију стамбених зграда, породичних кућа и станова које спроводе јединице локалне самоуправе као и градске општине, уз техничку и финансијску подршку Управе за финансирање и промовисање енергетске ефикасности, у 2022. години уграђено је 670 котлова на биомасу у домаћинствима широм </w:t>
            </w:r>
            <w:r w:rsidR="00D73AAB" w:rsidRPr="005303F7">
              <w:rPr>
                <w:rFonts w:ascii="Times New Roman" w:hAnsi="Times New Roman"/>
                <w:sz w:val="20"/>
                <w:lang w:val="sr-Cyrl-CS"/>
              </w:rPr>
              <w:t>Републике Србије</w:t>
            </w:r>
            <w:r w:rsidR="00D074BE" w:rsidRPr="005303F7">
              <w:rPr>
                <w:rFonts w:ascii="Times New Roman" w:hAnsi="Times New Roman"/>
                <w:sz w:val="20"/>
                <w:lang w:val="sr-Cyrl-CS"/>
              </w:rPr>
              <w:t>. У 2023. години се очекује сличан број у</w:t>
            </w:r>
            <w:r w:rsidR="00EB03BD" w:rsidRPr="005303F7">
              <w:rPr>
                <w:rFonts w:ascii="Times New Roman" w:hAnsi="Times New Roman"/>
                <w:sz w:val="20"/>
                <w:lang w:val="sr-Cyrl-CS"/>
              </w:rPr>
              <w:t>грађених котлова, а у наредних пет</w:t>
            </w:r>
            <w:r w:rsidR="00D074BE" w:rsidRPr="005303F7">
              <w:rPr>
                <w:rFonts w:ascii="Times New Roman" w:hAnsi="Times New Roman"/>
                <w:sz w:val="20"/>
                <w:lang w:val="sr-Cyrl-CS"/>
              </w:rPr>
              <w:t xml:space="preserve"> година више од 1000 котлова годишње, с обзиром да ће средином ове године започети реализација пројекта  „Чиста енергија и енергетска ефикасност за грађане у </w:t>
            </w:r>
            <w:r w:rsidR="00D73AAB" w:rsidRPr="005303F7">
              <w:rPr>
                <w:rFonts w:ascii="Times New Roman" w:hAnsi="Times New Roman"/>
                <w:sz w:val="20"/>
                <w:lang w:val="sr-Cyrl-CS"/>
              </w:rPr>
              <w:t>Републици Србији</w:t>
            </w:r>
            <w:r w:rsidR="0035174D" w:rsidRPr="005303F7">
              <w:rPr>
                <w:rFonts w:ascii="Times New Roman" w:hAnsi="Times New Roman"/>
                <w:sz w:val="20"/>
                <w:lang w:val="sr-Cyrl-CS"/>
              </w:rPr>
              <w:t>”</w:t>
            </w:r>
            <w:r w:rsidR="00D074BE" w:rsidRPr="005303F7">
              <w:rPr>
                <w:rFonts w:ascii="Times New Roman" w:hAnsi="Times New Roman"/>
                <w:sz w:val="20"/>
                <w:lang w:val="sr-Cyrl-CS"/>
              </w:rPr>
              <w:t>, који се финансира из зајма Светске банке и има за циљ наставак финансирања енергетских санација породичних кућа, које ће, између осталих мера, обухватити и уградњу котлова на биомасу.</w:t>
            </w:r>
          </w:p>
          <w:p w14:paraId="3B00AB5E" w14:textId="2549C56B" w:rsidR="00D074BE" w:rsidRPr="005303F7" w:rsidRDefault="00CC6964" w:rsidP="00F618CC">
            <w:pPr>
              <w:overflowPunct/>
              <w:spacing w:after="0"/>
              <w:jc w:val="left"/>
              <w:rPr>
                <w:rFonts w:ascii="Times New Roman" w:hAnsi="Times New Roman"/>
                <w:sz w:val="20"/>
                <w:lang w:val="sr-Cyrl-CS"/>
              </w:rPr>
            </w:pPr>
            <w:r w:rsidRPr="005303F7">
              <w:rPr>
                <w:rFonts w:ascii="Times New Roman" w:hAnsi="Times New Roman"/>
                <w:sz w:val="20"/>
                <w:lang w:val="sr-Cyrl-CS"/>
              </w:rPr>
              <w:t xml:space="preserve">       </w:t>
            </w:r>
            <w:r w:rsidR="00D074BE" w:rsidRPr="005303F7">
              <w:rPr>
                <w:rFonts w:ascii="Times New Roman" w:hAnsi="Times New Roman"/>
                <w:sz w:val="20"/>
                <w:lang w:val="sr-Cyrl-CS"/>
              </w:rPr>
              <w:t>Процес преговора о приступању ЕУ: Поглавље 15 – Енергетика</w:t>
            </w:r>
          </w:p>
          <w:p w14:paraId="240585EE" w14:textId="12AF018A" w:rsidR="00BD116A" w:rsidRPr="005303F7" w:rsidRDefault="00D074BE">
            <w:pPr>
              <w:overflowPunct/>
              <w:jc w:val="left"/>
              <w:rPr>
                <w:rFonts w:ascii="Times New Roman" w:hAnsi="Times New Roman"/>
                <w:bCs/>
                <w:sz w:val="20"/>
                <w:lang w:val="sr-Cyrl-CS"/>
              </w:rPr>
            </w:pPr>
            <w:r w:rsidRPr="005303F7" w:rsidDel="00F618CC">
              <w:rPr>
                <w:rFonts w:ascii="Times New Roman" w:hAnsi="Times New Roman"/>
                <w:bCs/>
                <w:color w:val="000000"/>
                <w:sz w:val="20"/>
                <w:lang w:val="sr-Cyrl-CS"/>
              </w:rPr>
              <w:t xml:space="preserve"> </w:t>
            </w:r>
            <w:r w:rsidR="008D69AF" w:rsidRPr="005303F7">
              <w:rPr>
                <w:rFonts w:ascii="Times New Roman" w:hAnsi="Times New Roman"/>
                <w:b/>
                <w:bCs/>
                <w:sz w:val="20"/>
                <w:u w:val="single"/>
                <w:lang w:val="sr-Cyrl-CS"/>
              </w:rPr>
              <w:t>Процес</w:t>
            </w:r>
            <w:r w:rsidR="009E1E28" w:rsidRPr="005303F7">
              <w:rPr>
                <w:rFonts w:ascii="Times New Roman" w:hAnsi="Times New Roman"/>
                <w:b/>
                <w:bCs/>
                <w:sz w:val="20"/>
                <w:u w:val="single"/>
                <w:lang w:val="sr-Cyrl-CS"/>
              </w:rPr>
              <w:t xml:space="preserve"> </w:t>
            </w:r>
            <w:r w:rsidR="008D69AF" w:rsidRPr="005303F7">
              <w:rPr>
                <w:rFonts w:ascii="Times New Roman" w:hAnsi="Times New Roman"/>
                <w:b/>
                <w:bCs/>
                <w:sz w:val="20"/>
                <w:u w:val="single"/>
                <w:lang w:val="sr-Cyrl-CS"/>
              </w:rPr>
              <w:t>преговора</w:t>
            </w:r>
            <w:r w:rsidR="009E1E28" w:rsidRPr="005303F7">
              <w:rPr>
                <w:rFonts w:ascii="Times New Roman" w:hAnsi="Times New Roman"/>
                <w:b/>
                <w:bCs/>
                <w:sz w:val="20"/>
                <w:u w:val="single"/>
                <w:lang w:val="sr-Cyrl-CS"/>
              </w:rPr>
              <w:t xml:space="preserve"> </w:t>
            </w:r>
            <w:r w:rsidR="008D69AF" w:rsidRPr="005303F7">
              <w:rPr>
                <w:rFonts w:ascii="Times New Roman" w:hAnsi="Times New Roman"/>
                <w:b/>
                <w:bCs/>
                <w:sz w:val="20"/>
                <w:u w:val="single"/>
                <w:lang w:val="sr-Cyrl-CS"/>
              </w:rPr>
              <w:t>о</w:t>
            </w:r>
            <w:r w:rsidR="009E1E28" w:rsidRPr="005303F7">
              <w:rPr>
                <w:rFonts w:ascii="Times New Roman" w:hAnsi="Times New Roman"/>
                <w:b/>
                <w:bCs/>
                <w:sz w:val="20"/>
                <w:u w:val="single"/>
                <w:lang w:val="sr-Cyrl-CS"/>
              </w:rPr>
              <w:t xml:space="preserve"> </w:t>
            </w:r>
            <w:r w:rsidR="008D69AF" w:rsidRPr="005303F7">
              <w:rPr>
                <w:rFonts w:ascii="Times New Roman" w:hAnsi="Times New Roman"/>
                <w:b/>
                <w:bCs/>
                <w:sz w:val="20"/>
                <w:u w:val="single"/>
                <w:lang w:val="sr-Cyrl-CS"/>
              </w:rPr>
              <w:t>приступању</w:t>
            </w:r>
            <w:r w:rsidR="009E1E28" w:rsidRPr="005303F7">
              <w:rPr>
                <w:rFonts w:ascii="Times New Roman" w:hAnsi="Times New Roman"/>
                <w:b/>
                <w:bCs/>
                <w:sz w:val="20"/>
                <w:u w:val="single"/>
                <w:lang w:val="sr-Cyrl-CS"/>
              </w:rPr>
              <w:t xml:space="preserve"> </w:t>
            </w:r>
            <w:r w:rsidR="008D69AF" w:rsidRPr="005303F7">
              <w:rPr>
                <w:rFonts w:ascii="Times New Roman" w:hAnsi="Times New Roman"/>
                <w:b/>
                <w:bCs/>
                <w:sz w:val="20"/>
                <w:u w:val="single"/>
                <w:lang w:val="sr-Cyrl-CS"/>
              </w:rPr>
              <w:t>ЕУ</w:t>
            </w:r>
            <w:r w:rsidR="009E1E28" w:rsidRPr="005303F7">
              <w:rPr>
                <w:rFonts w:ascii="Times New Roman" w:hAnsi="Times New Roman"/>
                <w:b/>
                <w:bCs/>
                <w:sz w:val="20"/>
                <w:u w:val="single"/>
                <w:lang w:val="sr-Cyrl-CS"/>
              </w:rPr>
              <w:t xml:space="preserve">: </w:t>
            </w:r>
            <w:r w:rsidR="008D69AF" w:rsidRPr="005303F7">
              <w:rPr>
                <w:rFonts w:ascii="Times New Roman" w:hAnsi="Times New Roman"/>
                <w:b/>
                <w:bCs/>
                <w:sz w:val="20"/>
                <w:u w:val="single"/>
                <w:lang w:val="sr-Cyrl-CS"/>
              </w:rPr>
              <w:t>Поглав</w:t>
            </w:r>
            <w:r w:rsidR="00D553BE" w:rsidRPr="005303F7">
              <w:rPr>
                <w:rFonts w:ascii="Times New Roman" w:hAnsi="Times New Roman"/>
                <w:b/>
                <w:bCs/>
                <w:sz w:val="20"/>
                <w:u w:val="single"/>
                <w:lang w:val="sr-Cyrl-CS"/>
              </w:rPr>
              <w:t>љ</w:t>
            </w:r>
            <w:r w:rsidR="008D69AF" w:rsidRPr="005303F7">
              <w:rPr>
                <w:rFonts w:ascii="Times New Roman" w:hAnsi="Times New Roman"/>
                <w:b/>
                <w:bCs/>
                <w:sz w:val="20"/>
                <w:u w:val="single"/>
                <w:lang w:val="sr-Cyrl-CS"/>
              </w:rPr>
              <w:t>е</w:t>
            </w:r>
            <w:r w:rsidR="009E1E28" w:rsidRPr="005303F7">
              <w:rPr>
                <w:rFonts w:ascii="Times New Roman" w:hAnsi="Times New Roman"/>
                <w:b/>
                <w:bCs/>
                <w:sz w:val="20"/>
                <w:u w:val="single"/>
                <w:lang w:val="sr-Cyrl-CS"/>
              </w:rPr>
              <w:t xml:space="preserve"> 15 – </w:t>
            </w:r>
            <w:r w:rsidR="008D69AF" w:rsidRPr="005303F7">
              <w:rPr>
                <w:rFonts w:ascii="Times New Roman" w:hAnsi="Times New Roman"/>
                <w:b/>
                <w:bCs/>
                <w:sz w:val="20"/>
                <w:u w:val="single"/>
                <w:lang w:val="sr-Cyrl-CS"/>
              </w:rPr>
              <w:t>Енергетика</w:t>
            </w:r>
          </w:p>
        </w:tc>
      </w:tr>
      <w:tr w:rsidR="009E1E28" w:rsidRPr="005303F7" w14:paraId="62A1EBB9" w14:textId="77777777" w:rsidTr="0009461F">
        <w:trPr>
          <w:trHeight w:val="442"/>
        </w:trPr>
        <w:tc>
          <w:tcPr>
            <w:tcW w:w="561" w:type="dxa"/>
            <w:gridSpan w:val="2"/>
            <w:vMerge/>
            <w:tcBorders>
              <w:top w:val="single" w:sz="4" w:space="0" w:color="auto"/>
              <w:left w:val="single" w:sz="4" w:space="0" w:color="auto"/>
              <w:bottom w:val="single" w:sz="4" w:space="0" w:color="auto"/>
              <w:right w:val="single" w:sz="4" w:space="0" w:color="auto"/>
            </w:tcBorders>
            <w:vAlign w:val="center"/>
            <w:hideMark/>
          </w:tcPr>
          <w:p w14:paraId="434FF9BE" w14:textId="77777777" w:rsidR="009E1E28" w:rsidRPr="005303F7" w:rsidRDefault="009E1E28">
            <w:pPr>
              <w:tabs>
                <w:tab w:val="clear" w:pos="3825"/>
              </w:tabs>
              <w:overflowPunct/>
              <w:autoSpaceDE/>
              <w:autoSpaceDN/>
              <w:adjustRightInd/>
              <w:spacing w:before="0" w:after="0"/>
              <w:jc w:val="left"/>
              <w:rPr>
                <w:rFonts w:ascii="Times New Roman" w:hAnsi="Times New Roman"/>
                <w:b/>
                <w:lang w:val="sr-Cyrl-CS"/>
              </w:rPr>
            </w:pPr>
          </w:p>
        </w:tc>
        <w:tc>
          <w:tcPr>
            <w:tcW w:w="438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2CCDEE" w14:textId="6028DB73" w:rsidR="009E1E28" w:rsidRPr="005303F7" w:rsidRDefault="008D69AF">
            <w:pPr>
              <w:spacing w:after="0"/>
              <w:jc w:val="center"/>
              <w:rPr>
                <w:rFonts w:ascii="Times New Roman" w:hAnsi="Times New Roman"/>
                <w:b/>
                <w:bCs/>
                <w:sz w:val="20"/>
                <w:lang w:val="sr-Cyrl-CS"/>
              </w:rPr>
            </w:pPr>
            <w:r w:rsidRPr="005303F7">
              <w:rPr>
                <w:rFonts w:ascii="Times New Roman" w:hAnsi="Times New Roman"/>
                <w:b/>
                <w:bCs/>
                <w:sz w:val="20"/>
                <w:lang w:val="sr-Cyrl-CS"/>
              </w:rPr>
              <w:t>К</w:t>
            </w:r>
            <w:r w:rsidR="00D553BE" w:rsidRPr="005303F7">
              <w:rPr>
                <w:rFonts w:ascii="Times New Roman" w:hAnsi="Times New Roman"/>
                <w:b/>
                <w:bCs/>
                <w:sz w:val="20"/>
                <w:lang w:val="sr-Cyrl-CS"/>
              </w:rPr>
              <w:t>љ</w:t>
            </w:r>
            <w:r w:rsidRPr="005303F7">
              <w:rPr>
                <w:rFonts w:ascii="Times New Roman" w:hAnsi="Times New Roman"/>
                <w:b/>
                <w:bCs/>
                <w:sz w:val="20"/>
                <w:lang w:val="sr-Cyrl-CS"/>
              </w:rPr>
              <w:t>учни</w:t>
            </w:r>
            <w:r w:rsidR="009E1E28" w:rsidRPr="005303F7">
              <w:rPr>
                <w:rFonts w:ascii="Times New Roman" w:hAnsi="Times New Roman"/>
                <w:b/>
                <w:bCs/>
                <w:sz w:val="20"/>
                <w:lang w:val="sr-Cyrl-CS"/>
              </w:rPr>
              <w:t xml:space="preserve"> </w:t>
            </w:r>
            <w:r w:rsidRPr="005303F7">
              <w:rPr>
                <w:rFonts w:ascii="Times New Roman" w:hAnsi="Times New Roman"/>
                <w:b/>
                <w:bCs/>
                <w:sz w:val="20"/>
                <w:lang w:val="sr-Cyrl-CS"/>
              </w:rPr>
              <w:t>субјекат</w:t>
            </w:r>
            <w:r w:rsidR="009E1E28" w:rsidRPr="005303F7">
              <w:rPr>
                <w:rFonts w:ascii="Times New Roman" w:hAnsi="Times New Roman"/>
                <w:b/>
                <w:bCs/>
                <w:sz w:val="20"/>
                <w:lang w:val="sr-Cyrl-CS"/>
              </w:rPr>
              <w:t xml:space="preserve"> </w:t>
            </w:r>
            <w:r w:rsidRPr="005303F7">
              <w:rPr>
                <w:rFonts w:ascii="Times New Roman" w:hAnsi="Times New Roman"/>
                <w:b/>
                <w:bCs/>
                <w:sz w:val="20"/>
                <w:lang w:val="sr-Cyrl-CS"/>
              </w:rPr>
              <w:t>за</w:t>
            </w:r>
            <w:r w:rsidR="009E1E28" w:rsidRPr="005303F7">
              <w:rPr>
                <w:rFonts w:ascii="Times New Roman" w:hAnsi="Times New Roman"/>
                <w:b/>
                <w:bCs/>
                <w:sz w:val="20"/>
                <w:lang w:val="sr-Cyrl-CS"/>
              </w:rPr>
              <w:t xml:space="preserve"> </w:t>
            </w:r>
            <w:r w:rsidRPr="005303F7">
              <w:rPr>
                <w:rFonts w:ascii="Times New Roman" w:hAnsi="Times New Roman"/>
                <w:b/>
                <w:bCs/>
                <w:sz w:val="20"/>
                <w:lang w:val="sr-Cyrl-CS"/>
              </w:rPr>
              <w:t>спровођење</w:t>
            </w:r>
            <w:r w:rsidR="009E1E28"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p>
        </w:tc>
        <w:tc>
          <w:tcPr>
            <w:tcW w:w="537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E5277C" w14:textId="329F4A02" w:rsidR="009E1E28" w:rsidRPr="005303F7" w:rsidRDefault="008D69AF">
            <w:pPr>
              <w:overflowPunct/>
              <w:spacing w:after="0"/>
              <w:jc w:val="center"/>
              <w:rPr>
                <w:rFonts w:ascii="Times New Roman" w:hAnsi="Times New Roman"/>
                <w:b/>
                <w:bCs/>
                <w:sz w:val="20"/>
                <w:lang w:val="sr-Cyrl-CS"/>
              </w:rPr>
            </w:pPr>
            <w:r w:rsidRPr="005303F7">
              <w:rPr>
                <w:rFonts w:ascii="Times New Roman" w:hAnsi="Times New Roman"/>
                <w:b/>
                <w:bCs/>
                <w:sz w:val="20"/>
                <w:lang w:val="sr-Cyrl-CS"/>
              </w:rPr>
              <w:t>Партнери</w:t>
            </w:r>
          </w:p>
        </w:tc>
        <w:tc>
          <w:tcPr>
            <w:tcW w:w="141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EF27C6" w14:textId="4A991591" w:rsidR="009E1E28" w:rsidRPr="005303F7" w:rsidRDefault="00690489" w:rsidP="0029378D">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 xml:space="preserve">ЕТS/ </w:t>
            </w:r>
            <w:r w:rsidR="004A35C7" w:rsidRPr="005303F7">
              <w:rPr>
                <w:rFonts w:ascii="Times New Roman" w:hAnsi="Times New Roman"/>
                <w:b/>
                <w:sz w:val="20"/>
                <w:lang w:val="sr-Cyrl-CS"/>
              </w:rPr>
              <w:t>не-ЕТS</w:t>
            </w:r>
          </w:p>
        </w:tc>
        <w:tc>
          <w:tcPr>
            <w:tcW w:w="143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D5B843" w14:textId="140C0DCB" w:rsidR="009E1E28"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Главни</w:t>
            </w:r>
            <w:r w:rsidR="009E1E28" w:rsidRPr="005303F7">
              <w:rPr>
                <w:rFonts w:ascii="Times New Roman" w:hAnsi="Times New Roman"/>
                <w:b/>
                <w:bCs/>
                <w:sz w:val="20"/>
                <w:lang w:val="sr-Cyrl-CS"/>
              </w:rPr>
              <w:t xml:space="preserve"> </w:t>
            </w:r>
            <w:r w:rsidRPr="005303F7">
              <w:rPr>
                <w:rFonts w:ascii="Times New Roman" w:hAnsi="Times New Roman"/>
                <w:b/>
                <w:bCs/>
                <w:sz w:val="20"/>
                <w:lang w:val="sr-Cyrl-CS"/>
              </w:rPr>
              <w:t>гасови</w:t>
            </w:r>
          </w:p>
        </w:tc>
        <w:tc>
          <w:tcPr>
            <w:tcW w:w="2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1B7523" w14:textId="3E9779A0" w:rsidR="00D7102F" w:rsidRPr="005303F7" w:rsidRDefault="00284DF0"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 xml:space="preserve">Процењен утицај ублажавања </w:t>
            </w:r>
            <w:r w:rsidR="00D7102F" w:rsidRPr="005303F7">
              <w:rPr>
                <w:rFonts w:ascii="Times New Roman" w:hAnsi="Times New Roman"/>
                <w:b/>
                <w:bCs/>
                <w:sz w:val="20"/>
                <w:lang w:val="sr-Cyrl-CS"/>
              </w:rPr>
              <w:t xml:space="preserve">до 2030. </w:t>
            </w:r>
          </w:p>
          <w:p w14:paraId="069A259F" w14:textId="5A0538EF" w:rsidR="009E1E28"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BD116A" w:rsidRPr="005303F7" w14:paraId="7C6CF2E7" w14:textId="77777777" w:rsidTr="0029378D">
        <w:trPr>
          <w:trHeight w:val="668"/>
        </w:trPr>
        <w:tc>
          <w:tcPr>
            <w:tcW w:w="561" w:type="dxa"/>
            <w:gridSpan w:val="2"/>
            <w:vMerge/>
            <w:tcBorders>
              <w:top w:val="single" w:sz="4" w:space="0" w:color="auto"/>
              <w:left w:val="single" w:sz="4" w:space="0" w:color="auto"/>
              <w:bottom w:val="single" w:sz="4" w:space="0" w:color="auto"/>
              <w:right w:val="single" w:sz="4" w:space="0" w:color="auto"/>
            </w:tcBorders>
            <w:vAlign w:val="center"/>
            <w:hideMark/>
          </w:tcPr>
          <w:p w14:paraId="78DD036D" w14:textId="77777777" w:rsidR="00BD116A" w:rsidRPr="005303F7" w:rsidRDefault="00BD116A">
            <w:pPr>
              <w:tabs>
                <w:tab w:val="clear" w:pos="3825"/>
              </w:tabs>
              <w:overflowPunct/>
              <w:autoSpaceDE/>
              <w:autoSpaceDN/>
              <w:adjustRightInd/>
              <w:spacing w:before="0" w:after="0"/>
              <w:jc w:val="left"/>
              <w:rPr>
                <w:rFonts w:ascii="Times New Roman" w:hAnsi="Times New Roman"/>
                <w:b/>
                <w:lang w:val="sr-Cyrl-CS"/>
              </w:rPr>
            </w:pPr>
          </w:p>
        </w:tc>
        <w:tc>
          <w:tcPr>
            <w:tcW w:w="4388"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D96A07" w14:textId="45801155" w:rsidR="00BD116A" w:rsidRPr="005303F7" w:rsidRDefault="008D69AF" w:rsidP="00624CDA">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624CD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рударства</w:t>
            </w:r>
            <w:r w:rsidR="00624CD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624CD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енергетике</w:t>
            </w:r>
          </w:p>
        </w:tc>
        <w:tc>
          <w:tcPr>
            <w:tcW w:w="537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A404E0" w14:textId="4410FBDD" w:rsidR="00BD116A" w:rsidRPr="005303F7" w:rsidRDefault="008D69AF" w:rsidP="0029378D">
            <w:pPr>
              <w:overflowPunct/>
              <w:spacing w:before="0" w:after="0"/>
              <w:jc w:val="center"/>
              <w:rPr>
                <w:rFonts w:ascii="Times New Roman" w:hAnsi="Times New Roman"/>
                <w:sz w:val="20"/>
                <w:szCs w:val="18"/>
                <w:lang w:val="sr-Cyrl-CS"/>
              </w:rPr>
            </w:pPr>
            <w:r w:rsidRPr="005303F7">
              <w:rPr>
                <w:rFonts w:ascii="Times New Roman" w:hAnsi="Times New Roman"/>
                <w:bCs/>
                <w:color w:val="000000"/>
                <w:sz w:val="20"/>
                <w:lang w:val="sr-Cyrl-CS"/>
              </w:rPr>
              <w:t>Министарство</w:t>
            </w:r>
            <w:r w:rsidR="00624CD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грађевинарства</w:t>
            </w:r>
            <w:r w:rsidR="00624CD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саобраћаја</w:t>
            </w:r>
            <w:r w:rsidR="00624CD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624CD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инфраструктуре</w:t>
            </w:r>
            <w:r w:rsidR="00BD116A" w:rsidRPr="005303F7">
              <w:rPr>
                <w:rFonts w:ascii="Times New Roman" w:hAnsi="Times New Roman"/>
                <w:lang w:val="sr-Cyrl-CS"/>
              </w:rPr>
              <w:t>,</w:t>
            </w:r>
            <w:r w:rsidR="00BD116A" w:rsidRPr="005303F7">
              <w:rPr>
                <w:rFonts w:ascii="Times New Roman" w:hAnsi="Times New Roman"/>
                <w:sz w:val="20"/>
                <w:szCs w:val="18"/>
                <w:lang w:val="sr-Cyrl-CS"/>
              </w:rPr>
              <w:t xml:space="preserve"> </w:t>
            </w:r>
          </w:p>
          <w:p w14:paraId="307D7C69" w14:textId="5EDAB671" w:rsidR="00BD116A" w:rsidRPr="005303F7" w:rsidRDefault="008D69AF" w:rsidP="0029378D">
            <w:pPr>
              <w:overflowPunct/>
              <w:spacing w:before="0" w:after="0"/>
              <w:jc w:val="center"/>
              <w:rPr>
                <w:rFonts w:ascii="Times New Roman" w:hAnsi="Times New Roman"/>
                <w:bCs/>
                <w:color w:val="000000"/>
                <w:sz w:val="20"/>
                <w:lang w:val="sr-Cyrl-CS"/>
              </w:rPr>
            </w:pPr>
            <w:r w:rsidRPr="005303F7">
              <w:rPr>
                <w:rFonts w:ascii="Times New Roman" w:hAnsi="Times New Roman"/>
                <w:sz w:val="20"/>
                <w:szCs w:val="18"/>
                <w:lang w:val="sr-Cyrl-CS"/>
              </w:rPr>
              <w:t>Привредна</w:t>
            </w:r>
            <w:r w:rsidR="00624CDA" w:rsidRPr="005303F7">
              <w:rPr>
                <w:rFonts w:ascii="Times New Roman" w:hAnsi="Times New Roman"/>
                <w:sz w:val="20"/>
                <w:szCs w:val="18"/>
                <w:lang w:val="sr-Cyrl-CS"/>
              </w:rPr>
              <w:t xml:space="preserve"> </w:t>
            </w:r>
            <w:r w:rsidRPr="005303F7">
              <w:rPr>
                <w:rFonts w:ascii="Times New Roman" w:hAnsi="Times New Roman"/>
                <w:sz w:val="20"/>
                <w:szCs w:val="18"/>
                <w:lang w:val="sr-Cyrl-CS"/>
              </w:rPr>
              <w:t>комора</w:t>
            </w:r>
            <w:r w:rsidR="00624CDA" w:rsidRPr="005303F7">
              <w:rPr>
                <w:rFonts w:ascii="Times New Roman" w:hAnsi="Times New Roman"/>
                <w:sz w:val="20"/>
                <w:szCs w:val="18"/>
                <w:lang w:val="sr-Cyrl-CS"/>
              </w:rPr>
              <w:t xml:space="preserve"> </w:t>
            </w:r>
            <w:r w:rsidR="00D73AAB" w:rsidRPr="005303F7">
              <w:rPr>
                <w:rFonts w:ascii="Times New Roman" w:hAnsi="Times New Roman"/>
                <w:sz w:val="20"/>
                <w:szCs w:val="18"/>
                <w:lang w:val="sr-Cyrl-CS"/>
              </w:rPr>
              <w:t>Србије</w:t>
            </w:r>
            <w:r w:rsidR="00624CDA" w:rsidRPr="005303F7">
              <w:rPr>
                <w:rFonts w:ascii="Times New Roman" w:hAnsi="Times New Roman"/>
                <w:sz w:val="20"/>
                <w:szCs w:val="18"/>
                <w:lang w:val="sr-Cyrl-CS"/>
              </w:rPr>
              <w:t xml:space="preserve"> </w:t>
            </w:r>
            <w:r w:rsidRPr="005303F7">
              <w:rPr>
                <w:rFonts w:ascii="Times New Roman" w:hAnsi="Times New Roman"/>
                <w:sz w:val="20"/>
                <w:szCs w:val="18"/>
                <w:lang w:val="sr-Cyrl-CS"/>
              </w:rPr>
              <w:t>и</w:t>
            </w:r>
            <w:r w:rsidR="00624CDA" w:rsidRPr="005303F7">
              <w:rPr>
                <w:rFonts w:ascii="Times New Roman" w:hAnsi="Times New Roman"/>
                <w:sz w:val="20"/>
                <w:szCs w:val="18"/>
                <w:lang w:val="sr-Cyrl-CS"/>
              </w:rPr>
              <w:t xml:space="preserve"> </w:t>
            </w:r>
            <w:r w:rsidRPr="005303F7">
              <w:rPr>
                <w:rFonts w:ascii="Times New Roman" w:hAnsi="Times New Roman"/>
                <w:sz w:val="20"/>
                <w:szCs w:val="18"/>
                <w:lang w:val="sr-Cyrl-CS"/>
              </w:rPr>
              <w:t>Министарство</w:t>
            </w:r>
            <w:r w:rsidR="00624CDA" w:rsidRPr="005303F7">
              <w:rPr>
                <w:rFonts w:ascii="Times New Roman" w:hAnsi="Times New Roman"/>
                <w:sz w:val="20"/>
                <w:szCs w:val="18"/>
                <w:lang w:val="sr-Cyrl-CS"/>
              </w:rPr>
              <w:t xml:space="preserve"> </w:t>
            </w:r>
            <w:r w:rsidRPr="005303F7">
              <w:rPr>
                <w:rFonts w:ascii="Times New Roman" w:hAnsi="Times New Roman"/>
                <w:sz w:val="20"/>
                <w:szCs w:val="18"/>
                <w:lang w:val="sr-Cyrl-CS"/>
              </w:rPr>
              <w:t>заштите</w:t>
            </w:r>
            <w:r w:rsidR="00624CDA" w:rsidRPr="005303F7">
              <w:rPr>
                <w:rFonts w:ascii="Times New Roman" w:hAnsi="Times New Roman"/>
                <w:sz w:val="20"/>
                <w:szCs w:val="18"/>
                <w:lang w:val="sr-Cyrl-CS"/>
              </w:rPr>
              <w:t xml:space="preserve"> </w:t>
            </w:r>
            <w:r w:rsidRPr="005303F7">
              <w:rPr>
                <w:rFonts w:ascii="Times New Roman" w:hAnsi="Times New Roman"/>
                <w:sz w:val="20"/>
                <w:szCs w:val="18"/>
                <w:lang w:val="sr-Cyrl-CS"/>
              </w:rPr>
              <w:t>животне</w:t>
            </w:r>
            <w:r w:rsidR="00624CDA" w:rsidRPr="005303F7">
              <w:rPr>
                <w:rFonts w:ascii="Times New Roman" w:hAnsi="Times New Roman"/>
                <w:sz w:val="20"/>
                <w:szCs w:val="18"/>
                <w:lang w:val="sr-Cyrl-CS"/>
              </w:rPr>
              <w:t xml:space="preserve"> </w:t>
            </w:r>
            <w:r w:rsidRPr="005303F7">
              <w:rPr>
                <w:rFonts w:ascii="Times New Roman" w:hAnsi="Times New Roman"/>
                <w:sz w:val="20"/>
                <w:szCs w:val="18"/>
                <w:lang w:val="sr-Cyrl-CS"/>
              </w:rPr>
              <w:t>средине</w:t>
            </w:r>
          </w:p>
        </w:tc>
        <w:tc>
          <w:tcPr>
            <w:tcW w:w="141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1A8F40" w14:textId="57F9760A" w:rsidR="00BD116A" w:rsidRPr="005303F7" w:rsidRDefault="004A35C7">
            <w:pPr>
              <w:overflowPunct/>
              <w:spacing w:after="0"/>
              <w:jc w:val="center"/>
              <w:rPr>
                <w:rFonts w:ascii="Times New Roman" w:hAnsi="Times New Roman"/>
                <w:bCs/>
                <w:sz w:val="20"/>
                <w:lang w:val="sr-Cyrl-CS"/>
              </w:rPr>
            </w:pPr>
            <w:r w:rsidRPr="005303F7">
              <w:rPr>
                <w:rFonts w:ascii="Times New Roman" w:hAnsi="Times New Roman"/>
                <w:bCs/>
                <w:sz w:val="20"/>
                <w:lang w:val="sr-Cyrl-CS"/>
              </w:rPr>
              <w:t>не-ЕТS</w:t>
            </w:r>
          </w:p>
        </w:tc>
        <w:tc>
          <w:tcPr>
            <w:tcW w:w="143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F6728C" w14:textId="06B53266" w:rsidR="00BD116A" w:rsidRPr="005303F7" w:rsidRDefault="00CE33C4">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C</w:t>
            </w:r>
            <w:r w:rsidR="008D69AF" w:rsidRPr="005303F7">
              <w:rPr>
                <w:rFonts w:ascii="Times New Roman" w:hAnsi="Times New Roman"/>
                <w:bCs/>
                <w:color w:val="000000"/>
                <w:sz w:val="20"/>
                <w:lang w:val="sr-Cyrl-CS"/>
              </w:rPr>
              <w:t>О</w:t>
            </w:r>
            <w:r w:rsidR="00BD116A" w:rsidRPr="005303F7">
              <w:rPr>
                <w:rFonts w:ascii="Times New Roman" w:hAnsi="Times New Roman"/>
                <w:bCs/>
                <w:color w:val="000000"/>
                <w:sz w:val="20"/>
                <w:vertAlign w:val="subscript"/>
                <w:lang w:val="sr-Cyrl-CS"/>
              </w:rPr>
              <w:t>2</w:t>
            </w:r>
          </w:p>
        </w:tc>
        <w:tc>
          <w:tcPr>
            <w:tcW w:w="2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955F12" w14:textId="0CFD85A8"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lang w:val="sr-Cyrl-CS"/>
              </w:rPr>
              <w:t>под</w:t>
            </w:r>
            <w:r w:rsidR="00CB0242" w:rsidRPr="005303F7">
              <w:rPr>
                <w:rFonts w:ascii="Times New Roman" w:hAnsi="Times New Roman"/>
                <w:bCs/>
                <w:lang w:val="sr-Cyrl-CS"/>
              </w:rPr>
              <w:t xml:space="preserve"> </w:t>
            </w:r>
            <w:r w:rsidRPr="005303F7">
              <w:rPr>
                <w:rFonts w:ascii="Times New Roman" w:hAnsi="Times New Roman"/>
                <w:bCs/>
                <w:lang w:val="sr-Cyrl-CS"/>
              </w:rPr>
              <w:t>Бр</w:t>
            </w:r>
            <w:r w:rsidR="00CB0242" w:rsidRPr="005303F7">
              <w:rPr>
                <w:rFonts w:ascii="Times New Roman" w:hAnsi="Times New Roman"/>
                <w:bCs/>
                <w:lang w:val="sr-Cyrl-CS"/>
              </w:rPr>
              <w:t>.7</w:t>
            </w:r>
          </w:p>
        </w:tc>
      </w:tr>
      <w:tr w:rsidR="00BD116A" w:rsidRPr="005303F7" w14:paraId="4BFE4385" w14:textId="77777777" w:rsidTr="0009461F">
        <w:trPr>
          <w:trHeight w:val="442"/>
        </w:trPr>
        <w:tc>
          <w:tcPr>
            <w:tcW w:w="561" w:type="dxa"/>
            <w:gridSpan w:val="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7AAF7F0D" w14:textId="3135D054" w:rsidR="00BD116A" w:rsidRPr="005303F7" w:rsidRDefault="008D69AF">
            <w:pPr>
              <w:overflowPunct/>
              <w:spacing w:after="0"/>
              <w:rPr>
                <w:rFonts w:ascii="Times New Roman" w:hAnsi="Times New Roman"/>
                <w:szCs w:val="22"/>
                <w:lang w:val="sr-Cyrl-CS"/>
              </w:rPr>
            </w:pPr>
            <w:r w:rsidRPr="005303F7">
              <w:rPr>
                <w:rFonts w:ascii="Times New Roman" w:hAnsi="Times New Roman"/>
                <w:szCs w:val="22"/>
                <w:lang w:val="sr-Cyrl-CS"/>
              </w:rPr>
              <w:t>Бр</w:t>
            </w:r>
            <w:r w:rsidR="00BD116A" w:rsidRPr="005303F7">
              <w:rPr>
                <w:rFonts w:ascii="Times New Roman" w:hAnsi="Times New Roman"/>
                <w:szCs w:val="22"/>
                <w:lang w:val="sr-Cyrl-CS"/>
              </w:rPr>
              <w:t>.</w:t>
            </w:r>
          </w:p>
        </w:tc>
        <w:tc>
          <w:tcPr>
            <w:tcW w:w="15429" w:type="dxa"/>
            <w:gridSpan w:val="3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39AA0E95" w14:textId="20AD3C97" w:rsidR="00BD116A" w:rsidRPr="005303F7" w:rsidRDefault="008D69AF" w:rsidP="00652668">
            <w:pPr>
              <w:overflowPunct/>
              <w:jc w:val="left"/>
              <w:rPr>
                <w:rFonts w:ascii="Times New Roman" w:hAnsi="Times New Roman"/>
                <w:b/>
                <w:szCs w:val="22"/>
                <w:u w:val="single"/>
                <w:lang w:val="sr-Cyrl-CS"/>
              </w:rPr>
            </w:pPr>
            <w:r w:rsidRPr="005303F7">
              <w:rPr>
                <w:rFonts w:ascii="Times New Roman" w:hAnsi="Times New Roman"/>
                <w:b/>
                <w:bCs/>
                <w:sz w:val="20"/>
                <w:lang w:val="sr-Cyrl-CS"/>
              </w:rPr>
              <w:t>Назив</w:t>
            </w:r>
            <w:r w:rsidR="00C5756A"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r w:rsidR="00C5756A" w:rsidRPr="005303F7">
              <w:rPr>
                <w:rFonts w:ascii="Times New Roman" w:hAnsi="Times New Roman"/>
                <w:b/>
                <w:bCs/>
                <w:sz w:val="20"/>
                <w:lang w:val="sr-Cyrl-CS"/>
              </w:rPr>
              <w:t>:</w:t>
            </w:r>
            <w:r w:rsidR="00BD116A" w:rsidRPr="005303F7">
              <w:rPr>
                <w:rFonts w:ascii="Times New Roman" w:hAnsi="Times New Roman"/>
                <w:b/>
                <w:bCs/>
                <w:szCs w:val="22"/>
                <w:lang w:val="sr-Cyrl-CS"/>
              </w:rPr>
              <w:t xml:space="preserve"> </w:t>
            </w:r>
            <w:r w:rsidRPr="005303F7">
              <w:rPr>
                <w:rFonts w:ascii="Times New Roman" w:hAnsi="Times New Roman"/>
                <w:b/>
                <w:bCs/>
                <w:sz w:val="20"/>
                <w:u w:val="single"/>
                <w:lang w:val="sr-Cyrl-CS"/>
              </w:rPr>
              <w:t>Унапређење</w:t>
            </w:r>
            <w:r w:rsidR="00C5756A"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енергетске</w:t>
            </w:r>
            <w:r w:rsidR="00C5756A"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ефикасности</w:t>
            </w:r>
            <w:r w:rsidR="00C5756A"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и</w:t>
            </w:r>
            <w:r w:rsidR="00C5756A"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коришћења</w:t>
            </w:r>
            <w:r w:rsidR="00C5756A"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ОИЕ</w:t>
            </w:r>
            <w:r w:rsidR="00C5756A"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у</w:t>
            </w:r>
            <w:r w:rsidR="00C5756A"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терцијарном</w:t>
            </w:r>
            <w:r w:rsidR="00C5756A"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сектору</w:t>
            </w:r>
          </w:p>
        </w:tc>
      </w:tr>
      <w:tr w:rsidR="00BD116A" w:rsidRPr="005303F7" w14:paraId="05081295" w14:textId="77777777" w:rsidTr="0009461F">
        <w:trPr>
          <w:trHeight w:val="922"/>
        </w:trPr>
        <w:tc>
          <w:tcPr>
            <w:tcW w:w="56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71138A" w14:textId="77777777" w:rsidR="00BD116A" w:rsidRPr="005303F7" w:rsidRDefault="00BD116A">
            <w:pPr>
              <w:rPr>
                <w:rFonts w:ascii="Times New Roman" w:hAnsi="Times New Roman"/>
                <w:b/>
                <w:lang w:val="sr-Cyrl-CS"/>
              </w:rPr>
            </w:pPr>
            <w:bookmarkStart w:id="402" w:name="_Hlk23345230"/>
            <w:r w:rsidRPr="005303F7">
              <w:rPr>
                <w:rFonts w:ascii="Times New Roman" w:hAnsi="Times New Roman"/>
                <w:b/>
                <w:lang w:val="sr-Cyrl-CS"/>
              </w:rPr>
              <w:t>9</w:t>
            </w:r>
          </w:p>
        </w:tc>
        <w:tc>
          <w:tcPr>
            <w:tcW w:w="15429" w:type="dxa"/>
            <w:gridSpan w:val="32"/>
            <w:tcBorders>
              <w:top w:val="single" w:sz="4" w:space="0" w:color="auto"/>
              <w:left w:val="single" w:sz="4" w:space="0" w:color="auto"/>
              <w:bottom w:val="single" w:sz="4" w:space="0" w:color="auto"/>
              <w:right w:val="single" w:sz="4" w:space="0" w:color="auto"/>
            </w:tcBorders>
            <w:vAlign w:val="center"/>
            <w:hideMark/>
          </w:tcPr>
          <w:p w14:paraId="31078740" w14:textId="5A7DF3C6" w:rsidR="00BD116A" w:rsidRPr="005303F7" w:rsidRDefault="008D69AF">
            <w:pPr>
              <w:overflowPunct/>
              <w:jc w:val="left"/>
              <w:rPr>
                <w:rFonts w:ascii="Times New Roman" w:hAnsi="Times New Roman"/>
                <w:b/>
                <w:color w:val="000000"/>
                <w:sz w:val="20"/>
                <w:u w:val="single"/>
                <w:lang w:val="sr-Cyrl-CS"/>
              </w:rPr>
            </w:pPr>
            <w:r w:rsidRPr="005303F7">
              <w:rPr>
                <w:rFonts w:ascii="Times New Roman" w:hAnsi="Times New Roman"/>
                <w:b/>
                <w:color w:val="000000"/>
                <w:sz w:val="20"/>
                <w:u w:val="single"/>
                <w:lang w:val="sr-Cyrl-CS"/>
              </w:rPr>
              <w:t>Врста</w:t>
            </w:r>
            <w:r w:rsidR="0052338C"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BD116A" w:rsidRPr="005303F7">
              <w:rPr>
                <w:rFonts w:ascii="Times New Roman" w:hAnsi="Times New Roman"/>
                <w:b/>
                <w:color w:val="000000"/>
                <w:sz w:val="20"/>
                <w:u w:val="single"/>
                <w:lang w:val="sr-Cyrl-CS"/>
              </w:rPr>
              <w:t xml:space="preserve">: </w:t>
            </w:r>
            <w:r w:rsidRPr="005303F7">
              <w:rPr>
                <w:rFonts w:ascii="Times New Roman" w:hAnsi="Times New Roman"/>
                <w:bCs/>
                <w:color w:val="000000"/>
                <w:sz w:val="20"/>
                <w:lang w:val="sr-Cyrl-CS"/>
              </w:rPr>
              <w:t>Регулаторна</w:t>
            </w:r>
            <w:r w:rsidR="0052338C"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подстицајна</w:t>
            </w:r>
            <w:r w:rsidR="0052338C"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финансијска</w:t>
            </w:r>
          </w:p>
          <w:p w14:paraId="3C21FD8E" w14:textId="4F2D7A99" w:rsidR="002F64E5" w:rsidRPr="005303F7" w:rsidRDefault="008D69AF" w:rsidP="00931E2C">
            <w:pPr>
              <w:overflowPunct/>
              <w:spacing w:after="0"/>
              <w:rPr>
                <w:rFonts w:ascii="Times New Roman" w:hAnsi="Times New Roman"/>
                <w:bCs/>
                <w:color w:val="000000"/>
                <w:sz w:val="20"/>
                <w:lang w:val="sr-Cyrl-CS"/>
              </w:rPr>
            </w:pPr>
            <w:r w:rsidRPr="005303F7">
              <w:rPr>
                <w:rFonts w:ascii="Times New Roman" w:hAnsi="Times New Roman"/>
                <w:b/>
                <w:color w:val="000000"/>
                <w:sz w:val="20"/>
                <w:u w:val="single"/>
                <w:lang w:val="sr-Cyrl-CS"/>
              </w:rPr>
              <w:t>Опис</w:t>
            </w:r>
            <w:r w:rsidR="0052338C"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BD116A" w:rsidRPr="005303F7">
              <w:rPr>
                <w:rFonts w:ascii="Times New Roman" w:hAnsi="Times New Roman"/>
                <w:bCs/>
                <w:color w:val="000000"/>
                <w:sz w:val="20"/>
                <w:lang w:val="sr-Cyrl-CS"/>
              </w:rPr>
              <w:t>:</w:t>
            </w:r>
            <w:r w:rsidR="00BD116A" w:rsidRPr="005303F7">
              <w:rPr>
                <w:rFonts w:ascii="Times New Roman" w:hAnsi="Times New Roman"/>
                <w:lang w:val="sr-Cyrl-CS"/>
              </w:rPr>
              <w:t xml:space="preserve"> </w:t>
            </w:r>
            <w:r w:rsidRPr="005303F7">
              <w:rPr>
                <w:rFonts w:ascii="Times New Roman" w:hAnsi="Times New Roman"/>
                <w:bCs/>
                <w:color w:val="000000"/>
                <w:sz w:val="20"/>
                <w:lang w:val="sr-Cyrl-CS"/>
              </w:rPr>
              <w:t>Пословне</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институционалне</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зграде</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представ</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ају</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важне</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могу</w:t>
            </w:r>
            <w:r w:rsidR="00016298" w:rsidRPr="005303F7">
              <w:rPr>
                <w:rFonts w:ascii="Times New Roman" w:hAnsi="Times New Roman"/>
                <w:bCs/>
                <w:color w:val="000000"/>
                <w:sz w:val="20"/>
                <w:lang w:val="sr-Cyrl-CS"/>
              </w:rPr>
              <w:t>ћ</w:t>
            </w:r>
            <w:r w:rsidRPr="005303F7">
              <w:rPr>
                <w:rFonts w:ascii="Times New Roman" w:hAnsi="Times New Roman"/>
                <w:bCs/>
                <w:color w:val="000000"/>
                <w:sz w:val="20"/>
                <w:lang w:val="sr-Cyrl-CS"/>
              </w:rPr>
              <w:t>ности</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примену</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мера</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енергетске</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ефикасности</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јер</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њима</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професионално</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управ</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а</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њихови</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власници</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2F64E5" w:rsidRPr="005303F7">
              <w:rPr>
                <w:rFonts w:ascii="Times New Roman" w:hAnsi="Times New Roman"/>
                <w:bCs/>
                <w:color w:val="000000"/>
                <w:sz w:val="20"/>
                <w:lang w:val="sr-Cyrl-CS"/>
              </w:rPr>
              <w:t>/</w:t>
            </w:r>
            <w:r w:rsidRPr="005303F7">
              <w:rPr>
                <w:rFonts w:ascii="Times New Roman" w:hAnsi="Times New Roman"/>
                <w:bCs/>
                <w:color w:val="000000"/>
                <w:sz w:val="20"/>
                <w:lang w:val="sr-Cyrl-CS"/>
              </w:rPr>
              <w:t>или</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менаџери</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су</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осет</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иви</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на</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трошкове</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енергију</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које</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предвиђа</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да</w:t>
            </w:r>
            <w:r w:rsidR="002F64E5" w:rsidRPr="005303F7">
              <w:rPr>
                <w:rFonts w:ascii="Times New Roman" w:hAnsi="Times New Roman"/>
                <w:bCs/>
                <w:color w:val="000000"/>
                <w:sz w:val="20"/>
                <w:lang w:val="sr-Cyrl-CS"/>
              </w:rPr>
              <w:t xml:space="preserve"> </w:t>
            </w:r>
            <w:r w:rsidR="00016298" w:rsidRPr="005303F7">
              <w:rPr>
                <w:rFonts w:ascii="Times New Roman" w:hAnsi="Times New Roman"/>
                <w:bCs/>
                <w:color w:val="000000"/>
                <w:sz w:val="20"/>
                <w:lang w:val="sr-Cyrl-CS"/>
              </w:rPr>
              <w:t>ћ</w:t>
            </w:r>
            <w:r w:rsidRPr="005303F7">
              <w:rPr>
                <w:rFonts w:ascii="Times New Roman" w:hAnsi="Times New Roman"/>
                <w:bCs/>
                <w:color w:val="000000"/>
                <w:sz w:val="20"/>
                <w:lang w:val="sr-Cyrl-CS"/>
              </w:rPr>
              <w:t>е</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пове</w:t>
            </w:r>
            <w:r w:rsidR="00016298" w:rsidRPr="005303F7">
              <w:rPr>
                <w:rFonts w:ascii="Times New Roman" w:hAnsi="Times New Roman"/>
                <w:bCs/>
                <w:color w:val="000000"/>
                <w:sz w:val="20"/>
                <w:lang w:val="sr-Cyrl-CS"/>
              </w:rPr>
              <w:t>ћ</w:t>
            </w:r>
            <w:r w:rsidRPr="005303F7">
              <w:rPr>
                <w:rFonts w:ascii="Times New Roman" w:hAnsi="Times New Roman"/>
                <w:bCs/>
                <w:color w:val="000000"/>
                <w:sz w:val="20"/>
                <w:lang w:val="sr-Cyrl-CS"/>
              </w:rPr>
              <w:t>аватити</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увођењем</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цене</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емисије</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цену</w:t>
            </w:r>
            <w:r w:rsidR="002F64E5" w:rsidRPr="005303F7">
              <w:rPr>
                <w:rFonts w:ascii="Times New Roman" w:hAnsi="Times New Roman"/>
                <w:bCs/>
                <w:color w:val="000000"/>
                <w:sz w:val="20"/>
                <w:lang w:val="sr-Cyrl-CS"/>
              </w:rPr>
              <w:t xml:space="preserve"> </w:t>
            </w:r>
            <w:r w:rsidR="009B3AEF" w:rsidRPr="005303F7">
              <w:rPr>
                <w:rFonts w:ascii="Times New Roman" w:hAnsi="Times New Roman"/>
                <w:bCs/>
                <w:color w:val="000000"/>
                <w:sz w:val="20"/>
                <w:lang w:val="sr-Cyrl-CS"/>
              </w:rPr>
              <w:t xml:space="preserve">електричне енергије </w:t>
            </w:r>
            <w:r w:rsidRPr="005303F7">
              <w:rPr>
                <w:rFonts w:ascii="Times New Roman" w:hAnsi="Times New Roman"/>
                <w:bCs/>
                <w:color w:val="000000"/>
                <w:sz w:val="20"/>
                <w:lang w:val="sr-Cyrl-CS"/>
              </w:rPr>
              <w:t>и</w:t>
            </w:r>
            <w:r w:rsidR="002F64E5" w:rsidRPr="005303F7">
              <w:rPr>
                <w:rFonts w:ascii="Times New Roman" w:hAnsi="Times New Roman"/>
                <w:bCs/>
                <w:color w:val="000000"/>
                <w:sz w:val="20"/>
                <w:lang w:val="sr-Cyrl-CS"/>
              </w:rPr>
              <w:t xml:space="preserve"> </w:t>
            </w:r>
            <w:r w:rsidR="002B75EF" w:rsidRPr="005303F7">
              <w:rPr>
                <w:rFonts w:ascii="Times New Roman" w:hAnsi="Times New Roman"/>
                <w:bCs/>
                <w:color w:val="000000"/>
                <w:sz w:val="20"/>
                <w:lang w:val="sr-Cyrl-CS"/>
              </w:rPr>
              <w:t>цене на угљеник за</w:t>
            </w:r>
            <w:r w:rsidR="002F64E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горива</w:t>
            </w:r>
            <w:r w:rsidR="002F64E5" w:rsidRPr="005303F7">
              <w:rPr>
                <w:rFonts w:ascii="Times New Roman" w:hAnsi="Times New Roman"/>
                <w:bCs/>
                <w:color w:val="000000"/>
                <w:sz w:val="20"/>
                <w:lang w:val="sr-Cyrl-CS"/>
              </w:rPr>
              <w:t>).</w:t>
            </w:r>
          </w:p>
          <w:p w14:paraId="7F08F1FF" w14:textId="0795E672" w:rsidR="002F64E5" w:rsidRPr="005303F7" w:rsidRDefault="00CC6964" w:rsidP="00931E2C">
            <w:pPr>
              <w:overflowPunct/>
              <w:spacing w:after="0"/>
              <w:rPr>
                <w:rFonts w:ascii="Times New Roman" w:hAnsi="Times New Roman"/>
                <w:bCs/>
                <w:color w:val="000000"/>
                <w:sz w:val="20"/>
                <w:lang w:val="sr-Cyrl-CS"/>
              </w:rPr>
            </w:pPr>
            <w:r w:rsidRPr="005303F7">
              <w:rPr>
                <w:rFonts w:ascii="Times New Roman" w:hAnsi="Times New Roman"/>
                <w:bCs/>
                <w:color w:val="000000"/>
                <w:sz w:val="20"/>
                <w:lang w:val="sr-Cyrl-CS"/>
              </w:rPr>
              <w:lastRenderedPageBreak/>
              <w:t xml:space="preserve">       </w:t>
            </w:r>
            <w:r w:rsidR="008D69AF" w:rsidRPr="005303F7">
              <w:rPr>
                <w:rFonts w:ascii="Times New Roman" w:hAnsi="Times New Roman"/>
                <w:bCs/>
                <w:color w:val="000000"/>
                <w:sz w:val="20"/>
                <w:lang w:val="sr-Cyrl-CS"/>
              </w:rPr>
              <w:t>Ова</w:t>
            </w:r>
            <w:r w:rsidR="000419E8"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мера</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има</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ци</w:t>
            </w:r>
            <w:r w:rsidR="00D553BE" w:rsidRPr="005303F7">
              <w:rPr>
                <w:rFonts w:ascii="Times New Roman" w:hAnsi="Times New Roman"/>
                <w:bCs/>
                <w:sz w:val="20"/>
                <w:lang w:val="sr-Cyrl-CS"/>
              </w:rPr>
              <w:t>љ</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смањење</w:t>
            </w:r>
            <w:r w:rsidR="00F47528"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потрошње</w:t>
            </w:r>
            <w:r w:rsidR="00F47528"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енергије</w:t>
            </w:r>
            <w:r w:rsidR="00F47528"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F47528" w:rsidRPr="005303F7">
              <w:rPr>
                <w:rFonts w:ascii="Times New Roman" w:hAnsi="Times New Roman"/>
                <w:bCs/>
                <w:color w:val="000000"/>
                <w:sz w:val="20"/>
                <w:lang w:val="sr-Cyrl-CS"/>
              </w:rPr>
              <w:t xml:space="preserve"> </w:t>
            </w:r>
            <w:r w:rsidR="00B20FDF" w:rsidRPr="005303F7">
              <w:rPr>
                <w:rFonts w:ascii="Times New Roman" w:hAnsi="Times New Roman"/>
                <w:bCs/>
                <w:color w:val="000000"/>
                <w:sz w:val="20"/>
                <w:lang w:val="sr-Cyrl-CS"/>
              </w:rPr>
              <w:t>В</w:t>
            </w:r>
            <w:r w:rsidR="008D69AF" w:rsidRPr="005303F7">
              <w:rPr>
                <w:rFonts w:ascii="Times New Roman" w:hAnsi="Times New Roman"/>
                <w:bCs/>
                <w:color w:val="000000"/>
                <w:sz w:val="20"/>
                <w:lang w:val="sr-Cyrl-CS"/>
              </w:rPr>
              <w:t>ладиним</w:t>
            </w:r>
            <w:r w:rsidR="00F47528" w:rsidRPr="005303F7">
              <w:rPr>
                <w:rFonts w:ascii="Times New Roman" w:hAnsi="Times New Roman"/>
                <w:bCs/>
                <w:color w:val="000000"/>
                <w:sz w:val="20"/>
                <w:lang w:val="sr-Cyrl-CS"/>
              </w:rPr>
              <w:t>,</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службеним</w:t>
            </w:r>
            <w:r w:rsidR="000419E8"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0419E8"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пословним</w:t>
            </w:r>
            <w:r w:rsidR="000419E8"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зградама</w:t>
            </w:r>
            <w:r w:rsidR="000419E8"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Ци</w:t>
            </w:r>
            <w:r w:rsidR="00D553BE" w:rsidRPr="005303F7">
              <w:rPr>
                <w:rFonts w:ascii="Times New Roman" w:hAnsi="Times New Roman"/>
                <w:bCs/>
                <w:sz w:val="20"/>
                <w:lang w:val="sr-Cyrl-CS"/>
              </w:rPr>
              <w:t>љ</w:t>
            </w:r>
            <w:r w:rsidR="000419E8"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мере</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је</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углавном</w:t>
            </w:r>
            <w:r w:rsidR="0035448D"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побо</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шати</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начин</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који</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задово</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авају</w:t>
            </w:r>
            <w:r w:rsidR="000419E8"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потребе</w:t>
            </w:r>
            <w:r w:rsidR="000419E8"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0419E8"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грејањем</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хлађењем</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терцијарном</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сектору</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ук</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учују</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и</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побо</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шање</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електричних</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уређаја</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који</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користе</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сектору</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услуга</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Ци</w:t>
            </w:r>
            <w:r w:rsidR="00D553BE" w:rsidRPr="005303F7">
              <w:rPr>
                <w:rFonts w:ascii="Times New Roman" w:hAnsi="Times New Roman"/>
                <w:bCs/>
                <w:sz w:val="20"/>
                <w:lang w:val="sr-Cyrl-CS"/>
              </w:rPr>
              <w:t>љ</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ове</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мере</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је</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смањење</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потрошње</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енергије</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ук</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учују</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и</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електричну</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енергију</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прелазак</w:t>
            </w:r>
            <w:r w:rsidR="000419E8"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горива</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са</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нултим</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или</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нижим</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емисијама</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потребе</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грејања</w:t>
            </w:r>
            <w:r w:rsidR="002F64E5" w:rsidRPr="005303F7">
              <w:rPr>
                <w:rFonts w:ascii="Times New Roman" w:hAnsi="Times New Roman"/>
                <w:bCs/>
                <w:color w:val="000000"/>
                <w:sz w:val="20"/>
                <w:lang w:val="sr-Cyrl-CS"/>
              </w:rPr>
              <w:t>.</w:t>
            </w:r>
          </w:p>
          <w:p w14:paraId="3B485D1A" w14:textId="482DCA8F" w:rsidR="002F64E5" w:rsidRPr="005303F7" w:rsidRDefault="00CC6964" w:rsidP="00931E2C">
            <w:pPr>
              <w:overflowPunct/>
              <w:rPr>
                <w:rFonts w:ascii="Times New Roman" w:hAnsi="Times New Roman"/>
                <w:bCs/>
                <w:color w:val="000000"/>
                <w:sz w:val="20"/>
                <w:lang w:val="sr-Cyrl-CS"/>
              </w:rPr>
            </w:pPr>
            <w:r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Јавни</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сектор</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је</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поступку</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јавних</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набавки</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дефинисао</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минималне</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захтеве</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8665BC"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погледу</w:t>
            </w:r>
            <w:r w:rsidR="008665BC"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опреме</w:t>
            </w:r>
            <w:r w:rsidR="008665BC"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која</w:t>
            </w:r>
            <w:r w:rsidR="008665BC"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користи</w:t>
            </w:r>
            <w:r w:rsidR="008665BC"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енергију</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канцеларијска</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рачунарска</w:t>
            </w:r>
            <w:r w:rsidR="008665BC"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опрема</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расхладни</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уређаји</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клима</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уређаји</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освет</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ење</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Опсег</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производа</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услуга</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мора</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е</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бити</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проширен</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складу</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са</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критеријумима</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зелене</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јавне</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набавке</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ЕУ</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Јавни</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сектор</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кроз</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овај</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инструмент</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такође</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пружа</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подршку</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тржишту</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енергетски</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ефикасних</w:t>
            </w:r>
            <w:r w:rsidR="002F64E5"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производа</w:t>
            </w:r>
            <w:r w:rsidR="002F64E5" w:rsidRPr="005303F7">
              <w:rPr>
                <w:rFonts w:ascii="Times New Roman" w:hAnsi="Times New Roman"/>
                <w:bCs/>
                <w:color w:val="000000"/>
                <w:sz w:val="20"/>
                <w:lang w:val="sr-Cyrl-CS"/>
              </w:rPr>
              <w:t>.</w:t>
            </w:r>
          </w:p>
          <w:p w14:paraId="3F88FABE" w14:textId="073C4C09" w:rsidR="00BD116A" w:rsidRPr="005303F7" w:rsidRDefault="008D69AF" w:rsidP="002F64E5">
            <w:pPr>
              <w:overflowPunct/>
              <w:jc w:val="left"/>
              <w:rPr>
                <w:rFonts w:ascii="Times New Roman" w:hAnsi="Times New Roman"/>
                <w:bCs/>
                <w:sz w:val="20"/>
                <w:lang w:val="sr-Cyrl-CS"/>
              </w:rPr>
            </w:pPr>
            <w:r w:rsidRPr="005303F7">
              <w:rPr>
                <w:rFonts w:ascii="Times New Roman" w:hAnsi="Times New Roman"/>
                <w:b/>
                <w:bCs/>
                <w:sz w:val="20"/>
                <w:u w:val="single"/>
                <w:lang w:val="sr-Cyrl-CS"/>
              </w:rPr>
              <w:t>Процес</w:t>
            </w:r>
            <w:r w:rsidR="00912C42"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преговора</w:t>
            </w:r>
            <w:r w:rsidR="00912C42"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о</w:t>
            </w:r>
            <w:r w:rsidR="00912C42"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приступању</w:t>
            </w:r>
            <w:r w:rsidR="00912C42"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ЕУ</w:t>
            </w:r>
            <w:r w:rsidR="00912C42"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Поглав</w:t>
            </w:r>
            <w:r w:rsidR="00D553BE" w:rsidRPr="005303F7">
              <w:rPr>
                <w:rFonts w:ascii="Times New Roman" w:hAnsi="Times New Roman"/>
                <w:b/>
                <w:bCs/>
                <w:sz w:val="20"/>
                <w:u w:val="single"/>
                <w:lang w:val="sr-Cyrl-CS"/>
              </w:rPr>
              <w:t>љ</w:t>
            </w:r>
            <w:r w:rsidRPr="005303F7">
              <w:rPr>
                <w:rFonts w:ascii="Times New Roman" w:hAnsi="Times New Roman"/>
                <w:b/>
                <w:bCs/>
                <w:sz w:val="20"/>
                <w:u w:val="single"/>
                <w:lang w:val="sr-Cyrl-CS"/>
              </w:rPr>
              <w:t>е</w:t>
            </w:r>
            <w:r w:rsidR="00912C42" w:rsidRPr="005303F7">
              <w:rPr>
                <w:rFonts w:ascii="Times New Roman" w:hAnsi="Times New Roman"/>
                <w:b/>
                <w:bCs/>
                <w:sz w:val="20"/>
                <w:u w:val="single"/>
                <w:lang w:val="sr-Cyrl-CS"/>
              </w:rPr>
              <w:t xml:space="preserve"> 15 – </w:t>
            </w:r>
            <w:r w:rsidRPr="005303F7">
              <w:rPr>
                <w:rFonts w:ascii="Times New Roman" w:hAnsi="Times New Roman"/>
                <w:b/>
                <w:bCs/>
                <w:sz w:val="20"/>
                <w:u w:val="single"/>
                <w:lang w:val="sr-Cyrl-CS"/>
              </w:rPr>
              <w:t>Енергетика</w:t>
            </w:r>
          </w:p>
        </w:tc>
      </w:tr>
      <w:tr w:rsidR="009E1E28" w:rsidRPr="005303F7" w14:paraId="31EA3F12" w14:textId="77777777" w:rsidTr="0009461F">
        <w:trPr>
          <w:trHeight w:val="442"/>
        </w:trPr>
        <w:tc>
          <w:tcPr>
            <w:tcW w:w="561" w:type="dxa"/>
            <w:gridSpan w:val="2"/>
            <w:vMerge/>
            <w:tcBorders>
              <w:top w:val="single" w:sz="4" w:space="0" w:color="auto"/>
              <w:left w:val="single" w:sz="4" w:space="0" w:color="auto"/>
              <w:bottom w:val="single" w:sz="4" w:space="0" w:color="auto"/>
              <w:right w:val="single" w:sz="4" w:space="0" w:color="auto"/>
            </w:tcBorders>
            <w:vAlign w:val="center"/>
            <w:hideMark/>
          </w:tcPr>
          <w:p w14:paraId="21BDA384" w14:textId="77777777" w:rsidR="009E1E28" w:rsidRPr="005303F7" w:rsidRDefault="009E1E28">
            <w:pPr>
              <w:tabs>
                <w:tab w:val="clear" w:pos="3825"/>
              </w:tabs>
              <w:overflowPunct/>
              <w:autoSpaceDE/>
              <w:autoSpaceDN/>
              <w:adjustRightInd/>
              <w:spacing w:before="0" w:after="0"/>
              <w:jc w:val="left"/>
              <w:rPr>
                <w:rFonts w:ascii="Times New Roman" w:hAnsi="Times New Roman"/>
                <w:b/>
                <w:lang w:val="sr-Cyrl-CS"/>
              </w:rPr>
            </w:pPr>
          </w:p>
        </w:tc>
        <w:tc>
          <w:tcPr>
            <w:tcW w:w="438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36BA13" w14:textId="6AADA27F" w:rsidR="009E1E28" w:rsidRPr="005303F7" w:rsidRDefault="008D69AF" w:rsidP="0029378D">
            <w:pPr>
              <w:spacing w:before="0" w:after="0"/>
              <w:jc w:val="center"/>
              <w:rPr>
                <w:rFonts w:ascii="Times New Roman" w:hAnsi="Times New Roman"/>
                <w:b/>
                <w:bCs/>
                <w:sz w:val="20"/>
                <w:lang w:val="sr-Cyrl-CS"/>
              </w:rPr>
            </w:pPr>
            <w:r w:rsidRPr="005303F7">
              <w:rPr>
                <w:rFonts w:ascii="Times New Roman" w:hAnsi="Times New Roman"/>
                <w:b/>
                <w:bCs/>
                <w:sz w:val="20"/>
                <w:lang w:val="sr-Cyrl-CS"/>
              </w:rPr>
              <w:t>К</w:t>
            </w:r>
            <w:r w:rsidR="00D553BE" w:rsidRPr="005303F7">
              <w:rPr>
                <w:rFonts w:ascii="Times New Roman" w:hAnsi="Times New Roman"/>
                <w:b/>
                <w:bCs/>
                <w:sz w:val="20"/>
                <w:lang w:val="sr-Cyrl-CS"/>
              </w:rPr>
              <w:t>љ</w:t>
            </w:r>
            <w:r w:rsidRPr="005303F7">
              <w:rPr>
                <w:rFonts w:ascii="Times New Roman" w:hAnsi="Times New Roman"/>
                <w:b/>
                <w:bCs/>
                <w:sz w:val="20"/>
                <w:lang w:val="sr-Cyrl-CS"/>
              </w:rPr>
              <w:t>учни</w:t>
            </w:r>
            <w:r w:rsidR="009E1E28" w:rsidRPr="005303F7">
              <w:rPr>
                <w:rFonts w:ascii="Times New Roman" w:hAnsi="Times New Roman"/>
                <w:b/>
                <w:bCs/>
                <w:sz w:val="20"/>
                <w:lang w:val="sr-Cyrl-CS"/>
              </w:rPr>
              <w:t xml:space="preserve"> </w:t>
            </w:r>
            <w:r w:rsidRPr="005303F7">
              <w:rPr>
                <w:rFonts w:ascii="Times New Roman" w:hAnsi="Times New Roman"/>
                <w:b/>
                <w:bCs/>
                <w:sz w:val="20"/>
                <w:lang w:val="sr-Cyrl-CS"/>
              </w:rPr>
              <w:t>субјекат</w:t>
            </w:r>
            <w:r w:rsidR="009E1E28" w:rsidRPr="005303F7">
              <w:rPr>
                <w:rFonts w:ascii="Times New Roman" w:hAnsi="Times New Roman"/>
                <w:b/>
                <w:bCs/>
                <w:sz w:val="20"/>
                <w:lang w:val="sr-Cyrl-CS"/>
              </w:rPr>
              <w:t xml:space="preserve"> </w:t>
            </w:r>
            <w:r w:rsidRPr="005303F7">
              <w:rPr>
                <w:rFonts w:ascii="Times New Roman" w:hAnsi="Times New Roman"/>
                <w:b/>
                <w:bCs/>
                <w:sz w:val="20"/>
                <w:lang w:val="sr-Cyrl-CS"/>
              </w:rPr>
              <w:t>за</w:t>
            </w:r>
            <w:r w:rsidR="009E1E28" w:rsidRPr="005303F7">
              <w:rPr>
                <w:rFonts w:ascii="Times New Roman" w:hAnsi="Times New Roman"/>
                <w:b/>
                <w:bCs/>
                <w:sz w:val="20"/>
                <w:lang w:val="sr-Cyrl-CS"/>
              </w:rPr>
              <w:t xml:space="preserve"> </w:t>
            </w:r>
            <w:r w:rsidRPr="005303F7">
              <w:rPr>
                <w:rFonts w:ascii="Times New Roman" w:hAnsi="Times New Roman"/>
                <w:b/>
                <w:bCs/>
                <w:sz w:val="20"/>
                <w:lang w:val="sr-Cyrl-CS"/>
              </w:rPr>
              <w:t>спровођење</w:t>
            </w:r>
            <w:r w:rsidR="009E1E28"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p>
        </w:tc>
        <w:tc>
          <w:tcPr>
            <w:tcW w:w="523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8D2A71" w14:textId="1B366CDC" w:rsidR="009E1E28"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Партнери</w:t>
            </w:r>
          </w:p>
        </w:tc>
        <w:tc>
          <w:tcPr>
            <w:tcW w:w="141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B6B36F" w14:textId="5DEDBBEE" w:rsidR="009E1E28" w:rsidRPr="005303F7" w:rsidRDefault="00690489" w:rsidP="0029378D">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 xml:space="preserve">ЕТS/ </w:t>
            </w:r>
            <w:r w:rsidR="004A35C7" w:rsidRPr="005303F7">
              <w:rPr>
                <w:rFonts w:ascii="Times New Roman" w:hAnsi="Times New Roman"/>
                <w:b/>
                <w:sz w:val="20"/>
                <w:lang w:val="sr-Cyrl-CS"/>
              </w:rPr>
              <w:t>не-ЕТS</w:t>
            </w:r>
          </w:p>
        </w:tc>
        <w:tc>
          <w:tcPr>
            <w:tcW w:w="12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0E8483" w14:textId="0B96729A" w:rsidR="009E1E28"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Главни</w:t>
            </w:r>
            <w:r w:rsidR="009E1E28" w:rsidRPr="005303F7">
              <w:rPr>
                <w:rFonts w:ascii="Times New Roman" w:hAnsi="Times New Roman"/>
                <w:b/>
                <w:bCs/>
                <w:sz w:val="20"/>
                <w:lang w:val="sr-Cyrl-CS"/>
              </w:rPr>
              <w:t xml:space="preserve"> </w:t>
            </w:r>
            <w:r w:rsidRPr="005303F7">
              <w:rPr>
                <w:rFonts w:ascii="Times New Roman" w:hAnsi="Times New Roman"/>
                <w:b/>
                <w:bCs/>
                <w:sz w:val="20"/>
                <w:lang w:val="sr-Cyrl-CS"/>
              </w:rPr>
              <w:t>гасови</w:t>
            </w:r>
          </w:p>
        </w:tc>
        <w:tc>
          <w:tcPr>
            <w:tcW w:w="310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ED4155" w14:textId="5421C9B6" w:rsidR="00D7102F" w:rsidRPr="005303F7" w:rsidRDefault="00284DF0"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 xml:space="preserve">Процењен утицај ублажавања </w:t>
            </w:r>
            <w:r w:rsidR="00D7102F" w:rsidRPr="005303F7">
              <w:rPr>
                <w:rFonts w:ascii="Times New Roman" w:hAnsi="Times New Roman"/>
                <w:b/>
                <w:bCs/>
                <w:sz w:val="20"/>
                <w:lang w:val="sr-Cyrl-CS"/>
              </w:rPr>
              <w:t xml:space="preserve">до 2030. </w:t>
            </w:r>
          </w:p>
          <w:p w14:paraId="3558FCE2" w14:textId="288B4298" w:rsidR="009E1E28"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bookmarkEnd w:id="402"/>
      <w:tr w:rsidR="00BD116A" w:rsidRPr="005303F7" w14:paraId="103A3CB7" w14:textId="77777777" w:rsidTr="0009461F">
        <w:trPr>
          <w:trHeight w:val="859"/>
        </w:trPr>
        <w:tc>
          <w:tcPr>
            <w:tcW w:w="561" w:type="dxa"/>
            <w:gridSpan w:val="2"/>
            <w:vMerge/>
            <w:tcBorders>
              <w:top w:val="single" w:sz="4" w:space="0" w:color="auto"/>
              <w:left w:val="single" w:sz="4" w:space="0" w:color="auto"/>
              <w:bottom w:val="single" w:sz="4" w:space="0" w:color="auto"/>
              <w:right w:val="single" w:sz="4" w:space="0" w:color="auto"/>
            </w:tcBorders>
            <w:vAlign w:val="center"/>
            <w:hideMark/>
          </w:tcPr>
          <w:p w14:paraId="02826EA2" w14:textId="77777777" w:rsidR="00BD116A" w:rsidRPr="005303F7" w:rsidRDefault="00BD116A">
            <w:pPr>
              <w:tabs>
                <w:tab w:val="clear" w:pos="3825"/>
              </w:tabs>
              <w:overflowPunct/>
              <w:autoSpaceDE/>
              <w:autoSpaceDN/>
              <w:adjustRightInd/>
              <w:spacing w:before="0" w:after="0"/>
              <w:jc w:val="left"/>
              <w:rPr>
                <w:rFonts w:ascii="Times New Roman" w:hAnsi="Times New Roman"/>
                <w:b/>
                <w:lang w:val="sr-Cyrl-CS"/>
              </w:rPr>
            </w:pPr>
          </w:p>
        </w:tc>
        <w:tc>
          <w:tcPr>
            <w:tcW w:w="4388"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DAEF34" w14:textId="6FC7CF81" w:rsidR="00BD116A" w:rsidRPr="005303F7" w:rsidRDefault="008D69AF" w:rsidP="003D0F73">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Управа</w:t>
            </w:r>
            <w:r w:rsidR="003D0F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3D0F73" w:rsidRPr="005303F7">
              <w:rPr>
                <w:rFonts w:ascii="Times New Roman" w:hAnsi="Times New Roman"/>
                <w:bCs/>
                <w:color w:val="000000"/>
                <w:sz w:val="20"/>
                <w:lang w:val="sr-Cyrl-CS"/>
              </w:rPr>
              <w:t xml:space="preserve"> </w:t>
            </w:r>
            <w:r w:rsidR="00E359E8" w:rsidRPr="005303F7">
              <w:rPr>
                <w:rFonts w:ascii="Times New Roman" w:hAnsi="Times New Roman"/>
                <w:bCs/>
                <w:color w:val="000000"/>
                <w:sz w:val="20"/>
                <w:lang w:val="sr-Cyrl-CS"/>
              </w:rPr>
              <w:t>финансирање и подстицање енергетске ефикасности</w:t>
            </w:r>
            <w:r w:rsidR="00BD116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Министарство</w:t>
            </w:r>
            <w:r w:rsidR="003D0F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рударства</w:t>
            </w:r>
            <w:r w:rsidR="003D0F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3D0F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енергетике</w:t>
            </w:r>
          </w:p>
        </w:tc>
        <w:tc>
          <w:tcPr>
            <w:tcW w:w="523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52579" w14:textId="3D76F27B" w:rsidR="00BD116A" w:rsidRPr="005303F7" w:rsidRDefault="008D69AF" w:rsidP="003D0F73">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3D0F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грађевинарства</w:t>
            </w:r>
            <w:r w:rsidR="003D0F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саобраћаја</w:t>
            </w:r>
            <w:r w:rsidR="003D0F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3D0F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инфраструктуре</w:t>
            </w:r>
            <w:r w:rsidR="003D0F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Министарство</w:t>
            </w:r>
            <w:r w:rsidR="003D0F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финансија</w:t>
            </w:r>
            <w:r w:rsidR="003D0F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општине</w:t>
            </w:r>
            <w:r w:rsidR="003D0F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локална</w:t>
            </w:r>
            <w:r w:rsidR="003D0F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самоуправа</w:t>
            </w:r>
            <w:r w:rsidR="003D0F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3D0F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други</w:t>
            </w:r>
            <w:r w:rsidR="003D0F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субјекти</w:t>
            </w:r>
            <w:r w:rsidR="003D0F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јавне</w:t>
            </w:r>
            <w:r w:rsidR="003D0F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управе</w:t>
            </w:r>
            <w:r w:rsidR="003D0F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4154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приватног</w:t>
            </w:r>
            <w:r w:rsidR="003D0F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сектора</w:t>
            </w:r>
          </w:p>
        </w:tc>
        <w:tc>
          <w:tcPr>
            <w:tcW w:w="1413"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B5280" w14:textId="0B72DF7C" w:rsidR="00BD116A" w:rsidRPr="005303F7" w:rsidRDefault="004A35C7">
            <w:pPr>
              <w:overflowPunct/>
              <w:spacing w:after="0"/>
              <w:jc w:val="center"/>
              <w:rPr>
                <w:rFonts w:ascii="Times New Roman" w:hAnsi="Times New Roman"/>
                <w:bCs/>
                <w:sz w:val="20"/>
                <w:lang w:val="sr-Cyrl-CS"/>
              </w:rPr>
            </w:pPr>
            <w:r w:rsidRPr="005303F7">
              <w:rPr>
                <w:rFonts w:ascii="Times New Roman" w:hAnsi="Times New Roman"/>
                <w:bCs/>
                <w:sz w:val="20"/>
                <w:lang w:val="sr-Cyrl-CS"/>
              </w:rPr>
              <w:t>не-ЕТS</w:t>
            </w:r>
          </w:p>
        </w:tc>
        <w:tc>
          <w:tcPr>
            <w:tcW w:w="12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48AD2D" w14:textId="18F37B59" w:rsidR="00BD116A" w:rsidRPr="005303F7" w:rsidRDefault="00531F8A">
            <w:pPr>
              <w:overflowPunct/>
              <w:spacing w:after="0"/>
              <w:jc w:val="center"/>
              <w:rPr>
                <w:rFonts w:ascii="Times New Roman" w:hAnsi="Times New Roman"/>
                <w:bCs/>
                <w:sz w:val="20"/>
                <w:lang w:val="sr-Cyrl-CS"/>
              </w:rPr>
            </w:pPr>
            <w:r w:rsidRPr="005303F7">
              <w:rPr>
                <w:rFonts w:ascii="Times New Roman" w:hAnsi="Times New Roman"/>
                <w:bCs/>
                <w:sz w:val="20"/>
                <w:lang w:val="sr-Cyrl-CS"/>
              </w:rPr>
              <w:t>C</w:t>
            </w:r>
            <w:r w:rsidR="008D69AF" w:rsidRPr="005303F7">
              <w:rPr>
                <w:rFonts w:ascii="Times New Roman" w:hAnsi="Times New Roman"/>
                <w:bCs/>
                <w:sz w:val="20"/>
                <w:lang w:val="sr-Cyrl-CS"/>
              </w:rPr>
              <w:t>О</w:t>
            </w:r>
            <w:r w:rsidR="00BD116A" w:rsidRPr="005303F7">
              <w:rPr>
                <w:rFonts w:ascii="Times New Roman" w:hAnsi="Times New Roman"/>
                <w:bCs/>
                <w:sz w:val="20"/>
                <w:vertAlign w:val="subscript"/>
                <w:lang w:val="sr-Cyrl-CS"/>
              </w:rPr>
              <w:t>2</w:t>
            </w:r>
          </w:p>
        </w:tc>
        <w:tc>
          <w:tcPr>
            <w:tcW w:w="310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287C6D" w14:textId="77777777" w:rsidR="00BD116A" w:rsidRPr="005303F7" w:rsidRDefault="00BD116A">
            <w:pPr>
              <w:overflowPunct/>
              <w:spacing w:after="0"/>
              <w:jc w:val="center"/>
              <w:rPr>
                <w:rFonts w:ascii="Times New Roman" w:hAnsi="Times New Roman"/>
                <w:bCs/>
                <w:color w:val="000000"/>
                <w:sz w:val="20"/>
                <w:lang w:val="sr-Cyrl-CS"/>
              </w:rPr>
            </w:pPr>
            <w:r w:rsidRPr="005303F7">
              <w:rPr>
                <w:rFonts w:ascii="Times New Roman" w:hAnsi="Times New Roman"/>
                <w:bCs/>
                <w:lang w:val="sr-Cyrl-CS"/>
              </w:rPr>
              <w:t>365</w:t>
            </w:r>
          </w:p>
        </w:tc>
      </w:tr>
      <w:tr w:rsidR="00BD116A" w:rsidRPr="005303F7" w14:paraId="1B21383D" w14:textId="77777777" w:rsidTr="0009461F">
        <w:trPr>
          <w:trHeight w:val="442"/>
        </w:trPr>
        <w:tc>
          <w:tcPr>
            <w:tcW w:w="561" w:type="dxa"/>
            <w:gridSpan w:val="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2537E72A" w14:textId="71029713" w:rsidR="00BD116A" w:rsidRPr="005303F7" w:rsidRDefault="008D69AF">
            <w:pPr>
              <w:overflowPunct/>
              <w:spacing w:after="0"/>
              <w:rPr>
                <w:rFonts w:ascii="Times New Roman" w:hAnsi="Times New Roman"/>
                <w:sz w:val="20"/>
                <w:lang w:val="sr-Cyrl-CS"/>
              </w:rPr>
            </w:pPr>
            <w:r w:rsidRPr="005303F7">
              <w:rPr>
                <w:rFonts w:ascii="Times New Roman" w:hAnsi="Times New Roman"/>
                <w:sz w:val="20"/>
                <w:lang w:val="sr-Cyrl-CS"/>
              </w:rPr>
              <w:t>Бр</w:t>
            </w:r>
            <w:r w:rsidR="00BD116A" w:rsidRPr="005303F7">
              <w:rPr>
                <w:rFonts w:ascii="Times New Roman" w:hAnsi="Times New Roman"/>
                <w:sz w:val="20"/>
                <w:lang w:val="sr-Cyrl-CS"/>
              </w:rPr>
              <w:t>.</w:t>
            </w:r>
          </w:p>
        </w:tc>
        <w:tc>
          <w:tcPr>
            <w:tcW w:w="15429" w:type="dxa"/>
            <w:gridSpan w:val="3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6CABEFF3" w14:textId="058A2B17" w:rsidR="00BD116A" w:rsidRPr="005303F7" w:rsidRDefault="008D69AF" w:rsidP="00652668">
            <w:pPr>
              <w:overflowPunct/>
              <w:jc w:val="left"/>
              <w:rPr>
                <w:rFonts w:ascii="Times New Roman" w:hAnsi="Times New Roman"/>
                <w:b/>
                <w:sz w:val="20"/>
                <w:u w:val="single"/>
                <w:lang w:val="sr-Cyrl-CS"/>
              </w:rPr>
            </w:pPr>
            <w:r w:rsidRPr="005303F7">
              <w:rPr>
                <w:rFonts w:ascii="Times New Roman" w:hAnsi="Times New Roman"/>
                <w:b/>
                <w:bCs/>
                <w:sz w:val="20"/>
                <w:lang w:val="sr-Cyrl-CS"/>
              </w:rPr>
              <w:t>Назив</w:t>
            </w:r>
            <w:r w:rsidR="00EE5288"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r w:rsidR="00BD116A" w:rsidRPr="005303F7">
              <w:rPr>
                <w:rFonts w:ascii="Times New Roman" w:hAnsi="Times New Roman"/>
                <w:b/>
                <w:bCs/>
                <w:sz w:val="20"/>
                <w:lang w:val="sr-Cyrl-CS"/>
              </w:rPr>
              <w:t>:</w:t>
            </w:r>
            <w:r w:rsidR="00BD116A" w:rsidRPr="005303F7">
              <w:rPr>
                <w:rFonts w:ascii="Times New Roman" w:hAnsi="Times New Roman"/>
                <w:b/>
                <w:sz w:val="20"/>
                <w:lang w:val="sr-Cyrl-CS"/>
              </w:rPr>
              <w:t xml:space="preserve"> </w:t>
            </w:r>
            <w:r w:rsidRPr="005303F7">
              <w:rPr>
                <w:rFonts w:ascii="Times New Roman" w:hAnsi="Times New Roman"/>
                <w:b/>
                <w:sz w:val="20"/>
                <w:u w:val="single"/>
                <w:lang w:val="sr-Cyrl-CS"/>
              </w:rPr>
              <w:t>Унапређење</w:t>
            </w:r>
            <w:r w:rsidR="00CE6369"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термичког</w:t>
            </w:r>
            <w:r w:rsidR="00CE6369"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интегритета</w:t>
            </w:r>
            <w:r w:rsidR="00EE5288"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у</w:t>
            </w:r>
            <w:r w:rsidR="00EE5288"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терцијарном</w:t>
            </w:r>
            <w:r w:rsidR="00EE5288"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сектору</w:t>
            </w:r>
          </w:p>
        </w:tc>
      </w:tr>
      <w:tr w:rsidR="00BD116A" w:rsidRPr="005303F7" w14:paraId="69A6B159" w14:textId="77777777" w:rsidTr="0009461F">
        <w:trPr>
          <w:trHeight w:val="639"/>
        </w:trPr>
        <w:tc>
          <w:tcPr>
            <w:tcW w:w="56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77327B" w14:textId="77777777" w:rsidR="00BD116A" w:rsidRPr="005303F7" w:rsidRDefault="00BD116A">
            <w:pPr>
              <w:rPr>
                <w:rFonts w:ascii="Times New Roman" w:hAnsi="Times New Roman"/>
                <w:b/>
                <w:lang w:val="sr-Cyrl-CS"/>
              </w:rPr>
            </w:pPr>
            <w:r w:rsidRPr="005303F7">
              <w:rPr>
                <w:rFonts w:ascii="Times New Roman" w:hAnsi="Times New Roman"/>
                <w:b/>
                <w:lang w:val="sr-Cyrl-CS"/>
              </w:rPr>
              <w:t>10</w:t>
            </w:r>
          </w:p>
        </w:tc>
        <w:tc>
          <w:tcPr>
            <w:tcW w:w="15429" w:type="dxa"/>
            <w:gridSpan w:val="32"/>
            <w:tcBorders>
              <w:top w:val="single" w:sz="4" w:space="0" w:color="auto"/>
              <w:left w:val="single" w:sz="4" w:space="0" w:color="auto"/>
              <w:bottom w:val="single" w:sz="4" w:space="0" w:color="auto"/>
              <w:right w:val="single" w:sz="4" w:space="0" w:color="auto"/>
            </w:tcBorders>
            <w:vAlign w:val="center"/>
            <w:hideMark/>
          </w:tcPr>
          <w:p w14:paraId="4BD88CF9" w14:textId="3ABE4451" w:rsidR="00BD116A" w:rsidRPr="005303F7" w:rsidRDefault="008D69AF">
            <w:pPr>
              <w:overflowPunct/>
              <w:jc w:val="left"/>
              <w:rPr>
                <w:rFonts w:ascii="Times New Roman" w:hAnsi="Times New Roman"/>
                <w:b/>
                <w:color w:val="000000"/>
                <w:sz w:val="20"/>
                <w:u w:val="single"/>
                <w:lang w:val="sr-Cyrl-CS"/>
              </w:rPr>
            </w:pPr>
            <w:r w:rsidRPr="005303F7">
              <w:rPr>
                <w:rFonts w:ascii="Times New Roman" w:hAnsi="Times New Roman"/>
                <w:b/>
                <w:color w:val="000000"/>
                <w:sz w:val="20"/>
                <w:u w:val="single"/>
                <w:lang w:val="sr-Cyrl-CS"/>
              </w:rPr>
              <w:t>Врста</w:t>
            </w:r>
            <w:r w:rsidR="00EE5288"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BD116A" w:rsidRPr="005303F7">
              <w:rPr>
                <w:rFonts w:ascii="Times New Roman" w:hAnsi="Times New Roman"/>
                <w:b/>
                <w:color w:val="000000"/>
                <w:sz w:val="20"/>
                <w:u w:val="single"/>
                <w:lang w:val="sr-Cyrl-CS"/>
              </w:rPr>
              <w:t xml:space="preserve">: </w:t>
            </w:r>
            <w:r w:rsidRPr="005303F7">
              <w:rPr>
                <w:rFonts w:ascii="Times New Roman" w:hAnsi="Times New Roman"/>
                <w:bCs/>
                <w:color w:val="000000"/>
                <w:sz w:val="20"/>
                <w:lang w:val="sr-Cyrl-CS"/>
              </w:rPr>
              <w:t>Регулаторна</w:t>
            </w:r>
            <w:r w:rsidR="00EE52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подстицајна</w:t>
            </w:r>
            <w:r w:rsidR="00EE52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финансијска</w:t>
            </w:r>
          </w:p>
          <w:p w14:paraId="4DA502B3" w14:textId="5F70722F" w:rsidR="00BD116A" w:rsidRPr="005303F7" w:rsidRDefault="008D69AF" w:rsidP="000D5146">
            <w:pPr>
              <w:overflowPunct/>
              <w:spacing w:after="0"/>
              <w:rPr>
                <w:rFonts w:ascii="Times New Roman" w:hAnsi="Times New Roman"/>
                <w:bCs/>
                <w:color w:val="000000"/>
                <w:sz w:val="20"/>
                <w:lang w:val="sr-Cyrl-CS"/>
              </w:rPr>
            </w:pPr>
            <w:r w:rsidRPr="005303F7">
              <w:rPr>
                <w:rFonts w:ascii="Times New Roman" w:hAnsi="Times New Roman"/>
                <w:b/>
                <w:color w:val="000000"/>
                <w:sz w:val="20"/>
                <w:u w:val="single"/>
                <w:lang w:val="sr-Cyrl-CS"/>
              </w:rPr>
              <w:t>Опис</w:t>
            </w:r>
            <w:r w:rsidR="00EE5288"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BD116A" w:rsidRPr="005303F7">
              <w:rPr>
                <w:rFonts w:ascii="Times New Roman" w:hAnsi="Times New Roman"/>
                <w:bCs/>
                <w:color w:val="000000"/>
                <w:sz w:val="20"/>
                <w:lang w:val="sr-Cyrl-CS"/>
              </w:rPr>
              <w:t>:</w:t>
            </w:r>
            <w:r w:rsidR="00BD116A" w:rsidRPr="005303F7">
              <w:rPr>
                <w:rFonts w:ascii="Times New Roman" w:hAnsi="Times New Roman"/>
                <w:lang w:val="sr-Cyrl-CS"/>
              </w:rPr>
              <w:t xml:space="preserve"> </w:t>
            </w:r>
            <w:r w:rsidRPr="005303F7">
              <w:rPr>
                <w:rFonts w:ascii="Times New Roman" w:hAnsi="Times New Roman"/>
                <w:bCs/>
                <w:color w:val="000000"/>
                <w:sz w:val="20"/>
                <w:lang w:val="sr-Cyrl-CS"/>
              </w:rPr>
              <w:t>Унапређењем</w:t>
            </w:r>
            <w:r w:rsidR="00CE636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термичког</w:t>
            </w:r>
            <w:r w:rsidR="00CE636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интегритета</w:t>
            </w:r>
            <w:r w:rsidR="00AA4DA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зграда</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терц</w:t>
            </w:r>
            <w:r w:rsidR="00C61B08" w:rsidRPr="005303F7">
              <w:rPr>
                <w:rFonts w:ascii="Times New Roman" w:hAnsi="Times New Roman"/>
                <w:bCs/>
                <w:color w:val="000000"/>
                <w:sz w:val="20"/>
                <w:lang w:val="sr-Cyrl-CS"/>
              </w:rPr>
              <w:t>и</w:t>
            </w:r>
            <w:r w:rsidRPr="005303F7">
              <w:rPr>
                <w:rFonts w:ascii="Times New Roman" w:hAnsi="Times New Roman"/>
                <w:bCs/>
                <w:color w:val="000000"/>
                <w:sz w:val="20"/>
                <w:lang w:val="sr-Cyrl-CS"/>
              </w:rPr>
              <w:t>јарног</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сектора</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смањују</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потребе</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грејањем</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хлађењем</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значајно</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доприноси</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уштеди</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енергије</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Сходно</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томе</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смањују</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трошкови</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енергију</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као</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трошкови</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улагања</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инфраструктуру</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грејање</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хлађење</w:t>
            </w:r>
            <w:r w:rsidR="00205D88" w:rsidRPr="005303F7">
              <w:rPr>
                <w:rFonts w:ascii="Times New Roman" w:hAnsi="Times New Roman"/>
                <w:bCs/>
                <w:color w:val="000000"/>
                <w:sz w:val="20"/>
                <w:lang w:val="sr-Cyrl-CS"/>
              </w:rPr>
              <w:t xml:space="preserve">. </w:t>
            </w:r>
            <w:r w:rsidR="00D73AAB" w:rsidRPr="005303F7">
              <w:rPr>
                <w:rFonts w:ascii="Times New Roman" w:hAnsi="Times New Roman"/>
                <w:bCs/>
                <w:color w:val="000000"/>
                <w:sz w:val="20"/>
                <w:lang w:val="sr-Cyrl-CS"/>
              </w:rPr>
              <w:t>Република Србија</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има</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велики</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број</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зграда</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терцијарном</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сектору</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посебно</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јавних</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зграда</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повезан</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са</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системима</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да</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инског</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грејања</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што</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управнике</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зграда</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остав</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а</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без</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могу</w:t>
            </w:r>
            <w:r w:rsidR="00016298" w:rsidRPr="005303F7">
              <w:rPr>
                <w:rFonts w:ascii="Times New Roman" w:hAnsi="Times New Roman"/>
                <w:bCs/>
                <w:color w:val="000000"/>
                <w:sz w:val="20"/>
                <w:lang w:val="sr-Cyrl-CS"/>
              </w:rPr>
              <w:t>ћ</w:t>
            </w:r>
            <w:r w:rsidRPr="005303F7">
              <w:rPr>
                <w:rFonts w:ascii="Times New Roman" w:hAnsi="Times New Roman"/>
                <w:bCs/>
                <w:color w:val="000000"/>
                <w:sz w:val="20"/>
                <w:lang w:val="sr-Cyrl-CS"/>
              </w:rPr>
              <w:t>ности</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да</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управ</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ају</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снабдевањем</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енергијом</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што</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је</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обухва</w:t>
            </w:r>
            <w:r w:rsidR="00016298" w:rsidRPr="005303F7">
              <w:rPr>
                <w:rFonts w:ascii="Times New Roman" w:hAnsi="Times New Roman"/>
                <w:bCs/>
                <w:color w:val="000000"/>
                <w:sz w:val="20"/>
                <w:lang w:val="sr-Cyrl-CS"/>
              </w:rPr>
              <w:t>ћ</w:t>
            </w:r>
            <w:r w:rsidRPr="005303F7">
              <w:rPr>
                <w:rFonts w:ascii="Times New Roman" w:hAnsi="Times New Roman"/>
                <w:bCs/>
                <w:color w:val="000000"/>
                <w:sz w:val="20"/>
                <w:lang w:val="sr-Cyrl-CS"/>
              </w:rPr>
              <w:t>ено</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мером</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Унапређење</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енергетске</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ефикасности</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употребе</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ОИЕ</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терцијарном</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сектору</w:t>
            </w:r>
            <w:r w:rsidR="0035174D" w:rsidRPr="005303F7">
              <w:rPr>
                <w:rFonts w:ascii="Times New Roman" w:hAnsi="Times New Roman"/>
                <w:bCs/>
                <w:color w:val="000000"/>
                <w:sz w:val="20"/>
                <w:lang w:val="sr-Cyrl-CS"/>
              </w:rPr>
              <w:t>”</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То</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је</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главни</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разлог</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што</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су</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ове</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две</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мере</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одвојене</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обзиром</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на</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то</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да</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многим</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случајевима</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управници</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зграда</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терцијарног</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сектора</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не</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могу</w:t>
            </w:r>
            <w:r w:rsidR="00147D56"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да</w:t>
            </w:r>
            <w:r w:rsidR="00147D56"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утичу</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на</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ефикасност</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производње</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топлотне</w:t>
            </w:r>
            <w:r w:rsidR="00205D88"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енергије</w:t>
            </w:r>
            <w:r w:rsidR="00205D88" w:rsidRPr="005303F7">
              <w:rPr>
                <w:rFonts w:ascii="Times New Roman" w:hAnsi="Times New Roman"/>
                <w:bCs/>
                <w:color w:val="000000"/>
                <w:sz w:val="20"/>
                <w:lang w:val="sr-Cyrl-CS"/>
              </w:rPr>
              <w:t>.</w:t>
            </w:r>
          </w:p>
          <w:p w14:paraId="0D0753E6" w14:textId="0252D1E4" w:rsidR="00D85944" w:rsidRPr="005303F7" w:rsidRDefault="00CC6964" w:rsidP="000D5146">
            <w:pPr>
              <w:overflowPunct/>
              <w:rPr>
                <w:rFonts w:ascii="Times New Roman" w:hAnsi="Times New Roman"/>
                <w:bCs/>
                <w:color w:val="000000"/>
                <w:sz w:val="20"/>
                <w:lang w:val="sr-Cyrl-CS"/>
              </w:rPr>
            </w:pPr>
            <w:r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све</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зграде</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приоритет</w:t>
            </w:r>
            <w:r w:rsidR="00D85944" w:rsidRPr="005303F7">
              <w:rPr>
                <w:rFonts w:ascii="Times New Roman" w:hAnsi="Times New Roman"/>
                <w:bCs/>
                <w:color w:val="000000"/>
                <w:sz w:val="20"/>
                <w:lang w:val="sr-Cyrl-CS"/>
              </w:rPr>
              <w:t xml:space="preserve"> </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е</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бити</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унапређење</w:t>
            </w:r>
            <w:r w:rsidR="00CE636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термичког</w:t>
            </w:r>
            <w:r w:rsidR="00CE636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интегритета</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Зграде</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које</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имају</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инфраструктуру</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грејање</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котлови</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треба</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да</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улажу</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њих</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паралелно</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или</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тек</w:t>
            </w:r>
            <w:r w:rsidR="00D85944" w:rsidRPr="005303F7">
              <w:rPr>
                <w:rFonts w:ascii="Times New Roman" w:hAnsi="Times New Roman"/>
                <w:bCs/>
                <w:color w:val="000000"/>
                <w:sz w:val="20"/>
                <w:lang w:val="sr-Cyrl-CS"/>
              </w:rPr>
              <w:t xml:space="preserve"> </w:t>
            </w:r>
            <w:r w:rsidR="00BB0AA2" w:rsidRPr="005303F7">
              <w:rPr>
                <w:rFonts w:ascii="Times New Roman" w:hAnsi="Times New Roman"/>
                <w:bCs/>
                <w:color w:val="000000"/>
                <w:sz w:val="20"/>
                <w:lang w:val="sr-Cyrl-CS"/>
              </w:rPr>
              <w:t>после</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завршетка</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улагања</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изолацију</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Развој</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тржишта</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енергетских</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услуга</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предвиђен</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је</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Националним</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акционим</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плановима</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енергетску</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ефикасност</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а</w:t>
            </w:r>
            <w:r w:rsidR="00D85944" w:rsidRPr="005303F7">
              <w:rPr>
                <w:rFonts w:ascii="Times New Roman" w:hAnsi="Times New Roman"/>
                <w:bCs/>
                <w:color w:val="000000"/>
                <w:sz w:val="20"/>
                <w:lang w:val="sr-Cyrl-CS"/>
              </w:rPr>
              <w:t xml:space="preserve"> </w:t>
            </w:r>
            <w:r w:rsidR="00D73AAB" w:rsidRPr="005303F7">
              <w:rPr>
                <w:rFonts w:ascii="Times New Roman" w:hAnsi="Times New Roman"/>
                <w:bCs/>
                <w:color w:val="000000"/>
                <w:sz w:val="20"/>
                <w:lang w:val="sr-Cyrl-CS"/>
              </w:rPr>
              <w:t>Република Србија</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је</w:t>
            </w:r>
            <w:r w:rsidR="00D85944" w:rsidRPr="005303F7">
              <w:rPr>
                <w:rFonts w:ascii="Times New Roman" w:hAnsi="Times New Roman"/>
                <w:bCs/>
                <w:color w:val="000000"/>
                <w:sz w:val="20"/>
                <w:lang w:val="sr-Cyrl-CS"/>
              </w:rPr>
              <w:t xml:space="preserve"> </w:t>
            </w:r>
            <w:r w:rsidR="00531F8A" w:rsidRPr="005303F7">
              <w:rPr>
                <w:rFonts w:ascii="Times New Roman" w:hAnsi="Times New Roman"/>
                <w:bCs/>
                <w:color w:val="000000"/>
                <w:sz w:val="20"/>
                <w:lang w:val="sr-Cyrl-CS"/>
              </w:rPr>
              <w:t>ESCO</w:t>
            </w:r>
            <w:r w:rsidR="002D1F70" w:rsidRPr="005303F7">
              <w:rPr>
                <w:rStyle w:val="FootnoteReference"/>
                <w:rFonts w:ascii="Times New Roman" w:hAnsi="Times New Roman"/>
                <w:bCs/>
                <w:i/>
                <w:color w:val="000000"/>
                <w:lang w:val="sr-Cyrl-CS"/>
              </w:rPr>
              <w:footnoteReference w:id="69"/>
            </w:r>
            <w:r w:rsidR="002D1F70" w:rsidRPr="005303F7">
              <w:rPr>
                <w:rFonts w:ascii="Times New Roman" w:hAnsi="Times New Roman"/>
                <w:bCs/>
                <w:i/>
                <w:color w:val="000000"/>
                <w:sz w:val="20"/>
                <w:lang w:val="sr-Cyrl-CS"/>
              </w:rPr>
              <w:t xml:space="preserve"> </w:t>
            </w:r>
            <w:r w:rsidR="008D69AF" w:rsidRPr="005303F7">
              <w:rPr>
                <w:rFonts w:ascii="Times New Roman" w:hAnsi="Times New Roman"/>
                <w:bCs/>
                <w:iCs/>
                <w:color w:val="000000"/>
                <w:sz w:val="20"/>
                <w:lang w:val="sr-Cyrl-CS"/>
              </w:rPr>
              <w:t>приступ</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ве</w:t>
            </w:r>
            <w:r w:rsidR="00016298" w:rsidRPr="005303F7">
              <w:rPr>
                <w:rFonts w:ascii="Times New Roman" w:hAnsi="Times New Roman"/>
                <w:bCs/>
                <w:color w:val="000000"/>
                <w:sz w:val="20"/>
                <w:lang w:val="sr-Cyrl-CS"/>
              </w:rPr>
              <w:t>ћ</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ук</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учила</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примарно</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секундарно</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законодавство</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Ситуацију</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је</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потребно</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побо</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шати</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програмима</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подршке</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који</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комбинују</w:t>
            </w:r>
            <w:r w:rsidR="00D85944" w:rsidRPr="005303F7">
              <w:rPr>
                <w:rFonts w:ascii="Times New Roman" w:hAnsi="Times New Roman"/>
                <w:bCs/>
                <w:color w:val="000000"/>
                <w:sz w:val="20"/>
                <w:lang w:val="sr-Cyrl-CS"/>
              </w:rPr>
              <w:t xml:space="preserve"> </w:t>
            </w:r>
            <w:r w:rsidR="00531F8A" w:rsidRPr="005303F7">
              <w:rPr>
                <w:rFonts w:ascii="Times New Roman" w:hAnsi="Times New Roman"/>
                <w:bCs/>
                <w:color w:val="000000"/>
                <w:sz w:val="20"/>
                <w:lang w:val="sr-Cyrl-CS"/>
              </w:rPr>
              <w:t>ESCO</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финансирање</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са</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буџетским</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грантовима</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јавне</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зграде</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Овај</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приступ</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треба</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одмах</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применити</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јер</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финансирање</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пројеката</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енергетске</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ефикасности</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јавном</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сектору</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може</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ефикасније</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обавити</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уговарањем</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енергетских</w:t>
            </w:r>
            <w:r w:rsidR="00D8594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перформанси</w:t>
            </w:r>
            <w:r w:rsidR="00A55536" w:rsidRPr="005303F7">
              <w:rPr>
                <w:rFonts w:ascii="Times New Roman" w:hAnsi="Times New Roman"/>
                <w:bCs/>
                <w:color w:val="000000"/>
                <w:sz w:val="20"/>
                <w:lang w:val="sr-Cyrl-CS"/>
              </w:rPr>
              <w:t xml:space="preserve">. </w:t>
            </w:r>
            <w:r w:rsidR="00D85944" w:rsidRPr="005303F7">
              <w:rPr>
                <w:rFonts w:ascii="Times New Roman" w:hAnsi="Times New Roman"/>
                <w:bCs/>
                <w:color w:val="000000"/>
                <w:sz w:val="20"/>
                <w:lang w:val="sr-Cyrl-CS"/>
              </w:rPr>
              <w:t xml:space="preserve"> </w:t>
            </w:r>
            <w:r w:rsidR="00A55536" w:rsidRPr="005303F7">
              <w:rPr>
                <w:rFonts w:ascii="Times New Roman" w:hAnsi="Times New Roman"/>
                <w:bCs/>
                <w:sz w:val="20"/>
                <w:lang w:val="sr-Cyrl-CS"/>
              </w:rPr>
              <w:t>Министарство</w:t>
            </w:r>
            <w:r w:rsidR="00437485" w:rsidRPr="005303F7">
              <w:rPr>
                <w:rFonts w:ascii="Times New Roman" w:hAnsi="Times New Roman"/>
                <w:bCs/>
                <w:sz w:val="20"/>
                <w:lang w:val="sr-Cyrl-CS"/>
              </w:rPr>
              <w:t xml:space="preserve"> рударства и енергетике</w:t>
            </w:r>
            <w:r w:rsidR="00A55536" w:rsidRPr="005303F7">
              <w:rPr>
                <w:rFonts w:ascii="Times New Roman" w:hAnsi="Times New Roman"/>
                <w:bCs/>
                <w:sz w:val="20"/>
                <w:lang w:val="sr-Cyrl-CS"/>
              </w:rPr>
              <w:t xml:space="preserve"> </w:t>
            </w:r>
            <w:r w:rsidR="00A55536" w:rsidRPr="005303F7">
              <w:rPr>
                <w:rFonts w:ascii="Times New Roman" w:hAnsi="Times New Roman"/>
                <w:bCs/>
                <w:color w:val="000000"/>
                <w:sz w:val="20"/>
                <w:lang w:val="sr-Cyrl-CS"/>
              </w:rPr>
              <w:t xml:space="preserve">почев од 2014. године финансира пројекте унапређења ЕЕ јавних објеката, и до сада је обухваћено финансирањем </w:t>
            </w:r>
            <w:r w:rsidR="000D5146" w:rsidRPr="005303F7">
              <w:rPr>
                <w:rFonts w:ascii="Times New Roman" w:hAnsi="Times New Roman"/>
                <w:bCs/>
                <w:color w:val="000000"/>
                <w:sz w:val="20"/>
                <w:lang w:val="sr-Cyrl-CS"/>
              </w:rPr>
              <w:t xml:space="preserve">144 објеката у </w:t>
            </w:r>
            <w:r w:rsidR="00437485" w:rsidRPr="005303F7">
              <w:rPr>
                <w:rFonts w:ascii="Times New Roman" w:hAnsi="Times New Roman"/>
                <w:bCs/>
                <w:color w:val="000000"/>
                <w:sz w:val="20"/>
                <w:lang w:val="sr-Cyrl-CS"/>
              </w:rPr>
              <w:t>јединицама локалне самоуправе</w:t>
            </w:r>
            <w:r w:rsidR="000D5146" w:rsidRPr="005303F7">
              <w:rPr>
                <w:rFonts w:ascii="Times New Roman" w:hAnsi="Times New Roman"/>
                <w:bCs/>
                <w:color w:val="000000"/>
                <w:sz w:val="20"/>
                <w:lang w:val="sr-Cyrl-CS"/>
              </w:rPr>
              <w:t>.</w:t>
            </w:r>
            <w:r w:rsidR="00A55536" w:rsidRPr="005303F7">
              <w:rPr>
                <w:rFonts w:ascii="Times New Roman" w:hAnsi="Times New Roman"/>
                <w:bCs/>
                <w:color w:val="000000"/>
                <w:sz w:val="20"/>
                <w:lang w:val="sr-Cyrl-CS"/>
              </w:rPr>
              <w:t xml:space="preserve"> Такође</w:t>
            </w:r>
            <w:r w:rsidR="00437485" w:rsidRPr="005303F7">
              <w:rPr>
                <w:rFonts w:ascii="Times New Roman" w:hAnsi="Times New Roman"/>
                <w:bCs/>
                <w:color w:val="000000"/>
                <w:sz w:val="20"/>
                <w:lang w:val="sr-Cyrl-CS"/>
              </w:rPr>
              <w:t>, ово</w:t>
            </w:r>
            <w:r w:rsidR="00EE6901" w:rsidRPr="005303F7">
              <w:rPr>
                <w:rFonts w:ascii="Times New Roman" w:hAnsi="Times New Roman"/>
                <w:bCs/>
                <w:color w:val="000000"/>
                <w:sz w:val="20"/>
                <w:lang w:val="sr-Cyrl-CS"/>
              </w:rPr>
              <w:t xml:space="preserve"> м</w:t>
            </w:r>
            <w:r w:rsidR="00A55536" w:rsidRPr="005303F7">
              <w:rPr>
                <w:rFonts w:ascii="Times New Roman" w:hAnsi="Times New Roman"/>
                <w:bCs/>
                <w:color w:val="000000"/>
                <w:sz w:val="20"/>
                <w:lang w:val="sr-Cyrl-CS"/>
              </w:rPr>
              <w:t>инистарство је подржало Е</w:t>
            </w:r>
            <w:r w:rsidR="00B20FDF" w:rsidRPr="005303F7">
              <w:rPr>
                <w:rFonts w:ascii="Times New Roman" w:hAnsi="Times New Roman"/>
                <w:bCs/>
                <w:color w:val="000000"/>
                <w:sz w:val="20"/>
                <w:lang w:val="sr-Cyrl-CS"/>
              </w:rPr>
              <w:t>SC</w:t>
            </w:r>
            <w:r w:rsidR="00A55536" w:rsidRPr="005303F7">
              <w:rPr>
                <w:rFonts w:ascii="Times New Roman" w:hAnsi="Times New Roman"/>
                <w:bCs/>
                <w:color w:val="000000"/>
                <w:sz w:val="20"/>
                <w:lang w:val="sr-Cyrl-CS"/>
              </w:rPr>
              <w:t>О финансирање кроз доношење модела уговора са јавним сектором.</w:t>
            </w:r>
          </w:p>
          <w:p w14:paraId="238CBFCC" w14:textId="4967ED70" w:rsidR="00D85944" w:rsidRPr="005303F7" w:rsidRDefault="008D69AF">
            <w:pPr>
              <w:overflowPunct/>
              <w:jc w:val="left"/>
              <w:rPr>
                <w:rFonts w:ascii="Times New Roman" w:hAnsi="Times New Roman"/>
                <w:bCs/>
                <w:sz w:val="20"/>
                <w:lang w:val="sr-Cyrl-CS"/>
              </w:rPr>
            </w:pPr>
            <w:r w:rsidRPr="005303F7">
              <w:rPr>
                <w:rFonts w:ascii="Times New Roman" w:hAnsi="Times New Roman"/>
                <w:b/>
                <w:bCs/>
                <w:sz w:val="20"/>
                <w:szCs w:val="18"/>
                <w:u w:val="single"/>
                <w:lang w:val="sr-Cyrl-CS"/>
              </w:rPr>
              <w:t>Процес</w:t>
            </w:r>
            <w:r w:rsidR="00912C42"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преговора</w:t>
            </w:r>
            <w:r w:rsidR="00912C42"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о</w:t>
            </w:r>
            <w:r w:rsidR="00912C42"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приступању</w:t>
            </w:r>
            <w:r w:rsidR="00912C42"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ЕУ</w:t>
            </w:r>
            <w:r w:rsidR="00912C42"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Поглав</w:t>
            </w:r>
            <w:r w:rsidR="00D553BE" w:rsidRPr="005303F7">
              <w:rPr>
                <w:rFonts w:ascii="Times New Roman" w:hAnsi="Times New Roman"/>
                <w:b/>
                <w:bCs/>
                <w:sz w:val="20"/>
                <w:szCs w:val="18"/>
                <w:u w:val="single"/>
                <w:lang w:val="sr-Cyrl-CS"/>
              </w:rPr>
              <w:t>љ</w:t>
            </w:r>
            <w:r w:rsidRPr="005303F7">
              <w:rPr>
                <w:rFonts w:ascii="Times New Roman" w:hAnsi="Times New Roman"/>
                <w:b/>
                <w:bCs/>
                <w:sz w:val="20"/>
                <w:szCs w:val="18"/>
                <w:u w:val="single"/>
                <w:lang w:val="sr-Cyrl-CS"/>
              </w:rPr>
              <w:t>е</w:t>
            </w:r>
            <w:r w:rsidR="00912C42" w:rsidRPr="005303F7">
              <w:rPr>
                <w:rFonts w:ascii="Times New Roman" w:hAnsi="Times New Roman"/>
                <w:b/>
                <w:bCs/>
                <w:sz w:val="20"/>
                <w:szCs w:val="18"/>
                <w:u w:val="single"/>
                <w:lang w:val="sr-Cyrl-CS"/>
              </w:rPr>
              <w:t xml:space="preserve"> 15 – </w:t>
            </w:r>
            <w:r w:rsidRPr="005303F7">
              <w:rPr>
                <w:rFonts w:ascii="Times New Roman" w:hAnsi="Times New Roman"/>
                <w:b/>
                <w:bCs/>
                <w:sz w:val="20"/>
                <w:szCs w:val="18"/>
                <w:u w:val="single"/>
                <w:lang w:val="sr-Cyrl-CS"/>
              </w:rPr>
              <w:t>Енергетика</w:t>
            </w:r>
          </w:p>
        </w:tc>
      </w:tr>
      <w:tr w:rsidR="005E05E0" w:rsidRPr="005303F7" w14:paraId="79646C72" w14:textId="77777777" w:rsidTr="0009461F">
        <w:trPr>
          <w:trHeight w:val="442"/>
        </w:trPr>
        <w:tc>
          <w:tcPr>
            <w:tcW w:w="561" w:type="dxa"/>
            <w:gridSpan w:val="2"/>
            <w:vMerge/>
            <w:tcBorders>
              <w:top w:val="single" w:sz="4" w:space="0" w:color="auto"/>
              <w:left w:val="single" w:sz="4" w:space="0" w:color="auto"/>
              <w:bottom w:val="single" w:sz="4" w:space="0" w:color="auto"/>
              <w:right w:val="single" w:sz="4" w:space="0" w:color="auto"/>
            </w:tcBorders>
            <w:vAlign w:val="center"/>
            <w:hideMark/>
          </w:tcPr>
          <w:p w14:paraId="3AEEA509" w14:textId="77777777" w:rsidR="005E05E0" w:rsidRPr="005303F7" w:rsidRDefault="005E05E0">
            <w:pPr>
              <w:tabs>
                <w:tab w:val="clear" w:pos="3825"/>
              </w:tabs>
              <w:overflowPunct/>
              <w:autoSpaceDE/>
              <w:autoSpaceDN/>
              <w:adjustRightInd/>
              <w:spacing w:before="0" w:after="0"/>
              <w:jc w:val="left"/>
              <w:rPr>
                <w:rFonts w:ascii="Times New Roman" w:hAnsi="Times New Roman"/>
                <w:b/>
                <w:lang w:val="sr-Cyrl-CS"/>
              </w:rPr>
            </w:pPr>
          </w:p>
        </w:tc>
        <w:tc>
          <w:tcPr>
            <w:tcW w:w="438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3E0DDA" w14:textId="0B12B541" w:rsidR="005E05E0" w:rsidRPr="005303F7" w:rsidRDefault="008D69AF">
            <w:pPr>
              <w:spacing w:after="0"/>
              <w:jc w:val="center"/>
              <w:rPr>
                <w:rFonts w:ascii="Times New Roman" w:hAnsi="Times New Roman"/>
                <w:b/>
                <w:bCs/>
                <w:sz w:val="20"/>
                <w:lang w:val="sr-Cyrl-CS"/>
              </w:rPr>
            </w:pPr>
            <w:r w:rsidRPr="005303F7">
              <w:rPr>
                <w:rFonts w:ascii="Times New Roman" w:hAnsi="Times New Roman"/>
                <w:b/>
                <w:bCs/>
                <w:sz w:val="20"/>
                <w:lang w:val="sr-Cyrl-CS"/>
              </w:rPr>
              <w:t>К</w:t>
            </w:r>
            <w:r w:rsidR="00D553BE" w:rsidRPr="005303F7">
              <w:rPr>
                <w:rFonts w:ascii="Times New Roman" w:hAnsi="Times New Roman"/>
                <w:b/>
                <w:bCs/>
                <w:sz w:val="20"/>
                <w:lang w:val="sr-Cyrl-CS"/>
              </w:rPr>
              <w:t>љ</w:t>
            </w:r>
            <w:r w:rsidRPr="005303F7">
              <w:rPr>
                <w:rFonts w:ascii="Times New Roman" w:hAnsi="Times New Roman"/>
                <w:b/>
                <w:bCs/>
                <w:sz w:val="20"/>
                <w:lang w:val="sr-Cyrl-CS"/>
              </w:rPr>
              <w:t>учни</w:t>
            </w:r>
            <w:r w:rsidR="005E05E0" w:rsidRPr="005303F7">
              <w:rPr>
                <w:rFonts w:ascii="Times New Roman" w:hAnsi="Times New Roman"/>
                <w:b/>
                <w:bCs/>
                <w:sz w:val="20"/>
                <w:lang w:val="sr-Cyrl-CS"/>
              </w:rPr>
              <w:t xml:space="preserve"> </w:t>
            </w:r>
            <w:r w:rsidRPr="005303F7">
              <w:rPr>
                <w:rFonts w:ascii="Times New Roman" w:hAnsi="Times New Roman"/>
                <w:b/>
                <w:bCs/>
                <w:sz w:val="20"/>
                <w:lang w:val="sr-Cyrl-CS"/>
              </w:rPr>
              <w:t>субјекат</w:t>
            </w:r>
            <w:r w:rsidR="005E05E0" w:rsidRPr="005303F7">
              <w:rPr>
                <w:rFonts w:ascii="Times New Roman" w:hAnsi="Times New Roman"/>
                <w:b/>
                <w:bCs/>
                <w:sz w:val="20"/>
                <w:lang w:val="sr-Cyrl-CS"/>
              </w:rPr>
              <w:t xml:space="preserve"> </w:t>
            </w:r>
            <w:r w:rsidRPr="005303F7">
              <w:rPr>
                <w:rFonts w:ascii="Times New Roman" w:hAnsi="Times New Roman"/>
                <w:b/>
                <w:bCs/>
                <w:sz w:val="20"/>
                <w:lang w:val="sr-Cyrl-CS"/>
              </w:rPr>
              <w:t>за</w:t>
            </w:r>
            <w:r w:rsidR="005E05E0" w:rsidRPr="005303F7">
              <w:rPr>
                <w:rFonts w:ascii="Times New Roman" w:hAnsi="Times New Roman"/>
                <w:b/>
                <w:bCs/>
                <w:sz w:val="20"/>
                <w:lang w:val="sr-Cyrl-CS"/>
              </w:rPr>
              <w:t xml:space="preserve"> </w:t>
            </w:r>
            <w:r w:rsidRPr="005303F7">
              <w:rPr>
                <w:rFonts w:ascii="Times New Roman" w:hAnsi="Times New Roman"/>
                <w:b/>
                <w:bCs/>
                <w:sz w:val="20"/>
                <w:lang w:val="sr-Cyrl-CS"/>
              </w:rPr>
              <w:t>спровођење</w:t>
            </w:r>
            <w:r w:rsidR="005E05E0"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p>
        </w:tc>
        <w:tc>
          <w:tcPr>
            <w:tcW w:w="516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A65E42" w14:textId="56CFC44C" w:rsidR="005E05E0" w:rsidRPr="005303F7" w:rsidRDefault="008D69AF">
            <w:pPr>
              <w:overflowPunct/>
              <w:spacing w:after="0"/>
              <w:jc w:val="center"/>
              <w:rPr>
                <w:rFonts w:ascii="Times New Roman" w:hAnsi="Times New Roman"/>
                <w:b/>
                <w:bCs/>
                <w:sz w:val="20"/>
                <w:lang w:val="sr-Cyrl-CS"/>
              </w:rPr>
            </w:pPr>
            <w:r w:rsidRPr="005303F7">
              <w:rPr>
                <w:rFonts w:ascii="Times New Roman" w:hAnsi="Times New Roman"/>
                <w:b/>
                <w:bCs/>
                <w:sz w:val="20"/>
                <w:lang w:val="sr-Cyrl-CS"/>
              </w:rPr>
              <w:t>Партнери</w:t>
            </w:r>
          </w:p>
        </w:tc>
        <w:tc>
          <w:tcPr>
            <w:tcW w:w="140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27A3CC" w14:textId="18F2F998" w:rsidR="005E05E0" w:rsidRPr="005303F7" w:rsidRDefault="00690489" w:rsidP="0029378D">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 xml:space="preserve">ЕТS/ </w:t>
            </w:r>
            <w:r w:rsidR="004A35C7" w:rsidRPr="005303F7">
              <w:rPr>
                <w:rFonts w:ascii="Times New Roman" w:hAnsi="Times New Roman"/>
                <w:b/>
                <w:sz w:val="20"/>
                <w:lang w:val="sr-Cyrl-CS"/>
              </w:rPr>
              <w:t>не-ЕТS</w:t>
            </w:r>
          </w:p>
        </w:tc>
        <w:tc>
          <w:tcPr>
            <w:tcW w:w="164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39ADB" w14:textId="39C814D1" w:rsidR="005E05E0"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Главни</w:t>
            </w:r>
            <w:r w:rsidR="005E05E0" w:rsidRPr="005303F7">
              <w:rPr>
                <w:rFonts w:ascii="Times New Roman" w:hAnsi="Times New Roman"/>
                <w:b/>
                <w:bCs/>
                <w:sz w:val="20"/>
                <w:lang w:val="sr-Cyrl-CS"/>
              </w:rPr>
              <w:t xml:space="preserve"> </w:t>
            </w:r>
            <w:r w:rsidRPr="005303F7">
              <w:rPr>
                <w:rFonts w:ascii="Times New Roman" w:hAnsi="Times New Roman"/>
                <w:b/>
                <w:bCs/>
                <w:sz w:val="20"/>
                <w:lang w:val="sr-Cyrl-CS"/>
              </w:rPr>
              <w:t>гасови</w:t>
            </w:r>
          </w:p>
        </w:tc>
        <w:tc>
          <w:tcPr>
            <w:tcW w:w="2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1D620" w14:textId="079D333D" w:rsidR="00D7102F" w:rsidRPr="005303F7" w:rsidRDefault="00284DF0"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 xml:space="preserve">Процењен утицај ублажавања </w:t>
            </w:r>
            <w:r w:rsidR="00D7102F" w:rsidRPr="005303F7">
              <w:rPr>
                <w:rFonts w:ascii="Times New Roman" w:hAnsi="Times New Roman"/>
                <w:b/>
                <w:bCs/>
                <w:sz w:val="20"/>
                <w:lang w:val="sr-Cyrl-CS"/>
              </w:rPr>
              <w:t xml:space="preserve">до 2030. </w:t>
            </w:r>
          </w:p>
          <w:p w14:paraId="6D553879" w14:textId="3B8B537D" w:rsidR="005E05E0"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BD116A" w:rsidRPr="005303F7" w14:paraId="04D8E9A4" w14:textId="77777777" w:rsidTr="0009461F">
        <w:trPr>
          <w:trHeight w:val="608"/>
        </w:trPr>
        <w:tc>
          <w:tcPr>
            <w:tcW w:w="561" w:type="dxa"/>
            <w:gridSpan w:val="2"/>
            <w:vMerge/>
            <w:tcBorders>
              <w:top w:val="single" w:sz="4" w:space="0" w:color="auto"/>
              <w:left w:val="single" w:sz="4" w:space="0" w:color="auto"/>
              <w:bottom w:val="single" w:sz="4" w:space="0" w:color="auto"/>
              <w:right w:val="single" w:sz="4" w:space="0" w:color="auto"/>
            </w:tcBorders>
            <w:vAlign w:val="center"/>
            <w:hideMark/>
          </w:tcPr>
          <w:p w14:paraId="1CA1403C" w14:textId="77777777" w:rsidR="00BD116A" w:rsidRPr="005303F7" w:rsidRDefault="00BD116A">
            <w:pPr>
              <w:tabs>
                <w:tab w:val="clear" w:pos="3825"/>
              </w:tabs>
              <w:overflowPunct/>
              <w:autoSpaceDE/>
              <w:autoSpaceDN/>
              <w:adjustRightInd/>
              <w:spacing w:before="0" w:after="0"/>
              <w:jc w:val="left"/>
              <w:rPr>
                <w:rFonts w:ascii="Times New Roman" w:hAnsi="Times New Roman"/>
                <w:b/>
                <w:lang w:val="sr-Cyrl-CS"/>
              </w:rPr>
            </w:pPr>
          </w:p>
        </w:tc>
        <w:tc>
          <w:tcPr>
            <w:tcW w:w="4388"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2A0A25" w14:textId="02CD4203" w:rsidR="00BD116A" w:rsidRPr="005303F7" w:rsidRDefault="008D69AF" w:rsidP="00FE004C">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Управа</w:t>
            </w:r>
            <w:r w:rsidR="001B37E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1B37E0" w:rsidRPr="005303F7">
              <w:rPr>
                <w:rFonts w:ascii="Times New Roman" w:hAnsi="Times New Roman"/>
                <w:bCs/>
                <w:color w:val="000000"/>
                <w:sz w:val="20"/>
                <w:lang w:val="sr-Cyrl-CS"/>
              </w:rPr>
              <w:t xml:space="preserve"> </w:t>
            </w:r>
            <w:r w:rsidR="00E359E8" w:rsidRPr="005303F7">
              <w:rPr>
                <w:rFonts w:ascii="Times New Roman" w:hAnsi="Times New Roman"/>
                <w:bCs/>
                <w:color w:val="000000"/>
                <w:sz w:val="20"/>
                <w:lang w:val="sr-Cyrl-CS"/>
              </w:rPr>
              <w:t>финансирање и подстицање енергетске ефикасности</w:t>
            </w:r>
            <w:r w:rsidR="001B37E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Министарство</w:t>
            </w:r>
            <w:r w:rsidR="001B37E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рударства</w:t>
            </w:r>
            <w:r w:rsidR="001B37E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1B37E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енергетике</w:t>
            </w:r>
          </w:p>
        </w:tc>
        <w:tc>
          <w:tcPr>
            <w:tcW w:w="516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D4312A" w14:textId="0E7B2435"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1B37E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грађевинарства</w:t>
            </w:r>
            <w:r w:rsidR="001B37E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саобраћаја</w:t>
            </w:r>
            <w:r w:rsidR="001B37E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1B37E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инфраструктуре</w:t>
            </w:r>
            <w:r w:rsidR="001B37E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Министарство</w:t>
            </w:r>
            <w:r w:rsidR="001B37E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финансија</w:t>
            </w:r>
            <w:r w:rsidR="001B37E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општине</w:t>
            </w:r>
            <w:r w:rsidR="001B37E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локална</w:t>
            </w:r>
            <w:r w:rsidR="001B37E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самоуправа</w:t>
            </w:r>
            <w:r w:rsidR="001B37E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1B37E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други</w:t>
            </w:r>
            <w:r w:rsidR="001B37E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субјекти</w:t>
            </w:r>
            <w:r w:rsidR="001B37E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јавне</w:t>
            </w:r>
            <w:r w:rsidR="001B37E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управе</w:t>
            </w:r>
            <w:r w:rsidR="001B37E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4154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приватног</w:t>
            </w:r>
            <w:r w:rsidR="001B37E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сектора</w:t>
            </w:r>
          </w:p>
        </w:tc>
        <w:tc>
          <w:tcPr>
            <w:tcW w:w="140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6EFE8A" w14:textId="7E816623" w:rsidR="00BD116A" w:rsidRPr="005303F7" w:rsidRDefault="004A35C7">
            <w:pPr>
              <w:overflowPunct/>
              <w:spacing w:after="0"/>
              <w:jc w:val="center"/>
              <w:rPr>
                <w:rFonts w:ascii="Times New Roman" w:hAnsi="Times New Roman"/>
                <w:bCs/>
                <w:sz w:val="20"/>
                <w:lang w:val="sr-Cyrl-CS"/>
              </w:rPr>
            </w:pPr>
            <w:r w:rsidRPr="005303F7">
              <w:rPr>
                <w:rFonts w:ascii="Times New Roman" w:hAnsi="Times New Roman"/>
                <w:bCs/>
                <w:sz w:val="20"/>
                <w:lang w:val="sr-Cyrl-CS"/>
              </w:rPr>
              <w:t>не-ЕТS</w:t>
            </w:r>
          </w:p>
        </w:tc>
        <w:tc>
          <w:tcPr>
            <w:tcW w:w="1647"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27A55C" w14:textId="63E9A1E8" w:rsidR="00BD116A" w:rsidRPr="005303F7" w:rsidRDefault="00531F8A">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C</w:t>
            </w:r>
            <w:r w:rsidR="008D69AF" w:rsidRPr="005303F7">
              <w:rPr>
                <w:rFonts w:ascii="Times New Roman" w:hAnsi="Times New Roman"/>
                <w:bCs/>
                <w:color w:val="000000"/>
                <w:sz w:val="20"/>
                <w:lang w:val="sr-Cyrl-CS"/>
              </w:rPr>
              <w:t>О</w:t>
            </w:r>
            <w:r w:rsidR="00BD116A" w:rsidRPr="005303F7">
              <w:rPr>
                <w:rFonts w:ascii="Times New Roman" w:hAnsi="Times New Roman"/>
                <w:bCs/>
                <w:color w:val="000000"/>
                <w:sz w:val="20"/>
                <w:vertAlign w:val="subscript"/>
                <w:lang w:val="sr-Cyrl-CS"/>
              </w:rPr>
              <w:t>2</w:t>
            </w:r>
          </w:p>
        </w:tc>
        <w:tc>
          <w:tcPr>
            <w:tcW w:w="2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FA139" w14:textId="2DE9A774"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lang w:val="sr-Cyrl-CS"/>
              </w:rPr>
              <w:t>под</w:t>
            </w:r>
            <w:r w:rsidR="00CB0242" w:rsidRPr="005303F7">
              <w:rPr>
                <w:rFonts w:ascii="Times New Roman" w:hAnsi="Times New Roman"/>
                <w:bCs/>
                <w:lang w:val="sr-Cyrl-CS"/>
              </w:rPr>
              <w:t xml:space="preserve"> </w:t>
            </w:r>
            <w:r w:rsidRPr="005303F7">
              <w:rPr>
                <w:rFonts w:ascii="Times New Roman" w:hAnsi="Times New Roman"/>
                <w:bCs/>
                <w:lang w:val="sr-Cyrl-CS"/>
              </w:rPr>
              <w:t>Бр</w:t>
            </w:r>
            <w:r w:rsidR="00CB0242" w:rsidRPr="005303F7">
              <w:rPr>
                <w:rFonts w:ascii="Times New Roman" w:hAnsi="Times New Roman"/>
                <w:bCs/>
                <w:lang w:val="sr-Cyrl-CS"/>
              </w:rPr>
              <w:t>.9</w:t>
            </w:r>
          </w:p>
        </w:tc>
      </w:tr>
      <w:tr w:rsidR="00BD116A" w:rsidRPr="005303F7" w14:paraId="4BCAABFD" w14:textId="77777777" w:rsidTr="00BD116A">
        <w:trPr>
          <w:trHeight w:val="247"/>
        </w:trPr>
        <w:tc>
          <w:tcPr>
            <w:tcW w:w="15990" w:type="dxa"/>
            <w:gridSpan w:val="34"/>
            <w:tcBorders>
              <w:top w:val="single" w:sz="4" w:space="0" w:color="auto"/>
              <w:left w:val="single" w:sz="4" w:space="0" w:color="auto"/>
              <w:bottom w:val="single" w:sz="4" w:space="0" w:color="auto"/>
              <w:right w:val="single" w:sz="4" w:space="0" w:color="auto"/>
            </w:tcBorders>
            <w:shd w:val="clear" w:color="auto" w:fill="BBDAFD" w:themeFill="accent6" w:themeFillTint="33"/>
            <w:vAlign w:val="center"/>
            <w:hideMark/>
          </w:tcPr>
          <w:p w14:paraId="1087FB91" w14:textId="511B0760" w:rsidR="00BD116A" w:rsidRPr="005303F7" w:rsidRDefault="008D69AF" w:rsidP="0011128F">
            <w:pPr>
              <w:overflowPunct/>
              <w:autoSpaceDE/>
              <w:adjustRightInd/>
              <w:spacing w:before="60" w:after="60"/>
              <w:jc w:val="left"/>
              <w:rPr>
                <w:rFonts w:ascii="Times New Roman" w:hAnsi="Times New Roman"/>
                <w:b/>
                <w:bCs/>
                <w:color w:val="000000"/>
                <w:sz w:val="18"/>
                <w:szCs w:val="18"/>
                <w:lang w:val="sr-Cyrl-CS" w:eastAsia="en-US"/>
              </w:rPr>
            </w:pPr>
            <w:r w:rsidRPr="005303F7">
              <w:rPr>
                <w:rFonts w:ascii="Times New Roman" w:hAnsi="Times New Roman"/>
                <w:b/>
                <w:bCs/>
                <w:color w:val="000000"/>
                <w:sz w:val="18"/>
                <w:szCs w:val="18"/>
                <w:lang w:val="sr-Cyrl-CS" w:eastAsia="en-US"/>
              </w:rPr>
              <w:t>Секторски</w:t>
            </w:r>
            <w:r w:rsidR="003066C5"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ци</w:t>
            </w:r>
            <w:r w:rsidR="00D553BE" w:rsidRPr="005303F7">
              <w:rPr>
                <w:rFonts w:ascii="Times New Roman" w:hAnsi="Times New Roman"/>
                <w:b/>
                <w:bCs/>
                <w:sz w:val="18"/>
                <w:szCs w:val="18"/>
                <w:lang w:val="sr-Cyrl-CS" w:eastAsia="en-US"/>
              </w:rPr>
              <w:t>љ</w:t>
            </w:r>
            <w:r w:rsidR="00BD116A"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Ограничење</w:t>
            </w:r>
            <w:r w:rsidR="003066C5"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раста</w:t>
            </w:r>
            <w:r w:rsidR="003066C5" w:rsidRPr="005303F7">
              <w:rPr>
                <w:rFonts w:ascii="Times New Roman" w:hAnsi="Times New Roman"/>
                <w:b/>
                <w:bCs/>
                <w:color w:val="000000"/>
                <w:sz w:val="18"/>
                <w:szCs w:val="18"/>
                <w:lang w:val="sr-Cyrl-CS" w:eastAsia="en-US"/>
              </w:rPr>
              <w:t xml:space="preserve"> </w:t>
            </w:r>
            <w:r w:rsidRPr="005303F7">
              <w:rPr>
                <w:rFonts w:ascii="Times New Roman" w:hAnsi="Times New Roman"/>
                <w:b/>
                <w:bCs/>
                <w:sz w:val="18"/>
                <w:szCs w:val="18"/>
                <w:lang w:val="sr-Cyrl-CS" w:eastAsia="en-US"/>
              </w:rPr>
              <w:t>емисија</w:t>
            </w:r>
            <w:r w:rsidR="003066C5" w:rsidRPr="005303F7">
              <w:rPr>
                <w:rFonts w:ascii="Times New Roman" w:hAnsi="Times New Roman"/>
                <w:b/>
                <w:bCs/>
                <w:sz w:val="18"/>
                <w:szCs w:val="18"/>
                <w:lang w:val="sr-Cyrl-CS" w:eastAsia="en-US"/>
              </w:rPr>
              <w:t xml:space="preserve"> </w:t>
            </w:r>
            <w:r w:rsidR="00690489" w:rsidRPr="005303F7">
              <w:rPr>
                <w:rFonts w:ascii="Times New Roman" w:hAnsi="Times New Roman"/>
                <w:b/>
                <w:bCs/>
                <w:sz w:val="18"/>
                <w:szCs w:val="18"/>
                <w:lang w:val="sr-Cyrl-CS" w:eastAsia="en-US"/>
              </w:rPr>
              <w:t>GHG</w:t>
            </w:r>
            <w:r w:rsidR="003066C5" w:rsidRPr="005303F7">
              <w:rPr>
                <w:rFonts w:ascii="Times New Roman" w:hAnsi="Times New Roman"/>
                <w:b/>
                <w:bCs/>
                <w:sz w:val="18"/>
                <w:szCs w:val="18"/>
                <w:lang w:val="sr-Cyrl-CS" w:eastAsia="en-US"/>
              </w:rPr>
              <w:t xml:space="preserve"> </w:t>
            </w:r>
            <w:r w:rsidRPr="005303F7">
              <w:rPr>
                <w:rFonts w:ascii="Times New Roman" w:hAnsi="Times New Roman"/>
                <w:b/>
                <w:bCs/>
                <w:sz w:val="18"/>
                <w:szCs w:val="18"/>
                <w:lang w:val="sr-Cyrl-CS" w:eastAsia="en-US"/>
              </w:rPr>
              <w:t>у</w:t>
            </w:r>
            <w:r w:rsidR="003066C5" w:rsidRPr="005303F7">
              <w:rPr>
                <w:rFonts w:ascii="Times New Roman" w:hAnsi="Times New Roman"/>
                <w:b/>
                <w:bCs/>
                <w:sz w:val="18"/>
                <w:szCs w:val="18"/>
                <w:lang w:val="sr-Cyrl-CS" w:eastAsia="en-US"/>
              </w:rPr>
              <w:t xml:space="preserve"> </w:t>
            </w:r>
            <w:r w:rsidRPr="005303F7">
              <w:rPr>
                <w:rFonts w:ascii="Times New Roman" w:hAnsi="Times New Roman"/>
                <w:b/>
                <w:bCs/>
                <w:sz w:val="18"/>
                <w:szCs w:val="18"/>
                <w:lang w:val="sr-Cyrl-CS" w:eastAsia="en-US"/>
              </w:rPr>
              <w:t>саобрћајном</w:t>
            </w:r>
            <w:r w:rsidR="00EB7852" w:rsidRPr="005303F7">
              <w:rPr>
                <w:rFonts w:ascii="Times New Roman" w:hAnsi="Times New Roman"/>
                <w:b/>
                <w:bCs/>
                <w:sz w:val="18"/>
                <w:szCs w:val="18"/>
                <w:lang w:val="sr-Cyrl-CS" w:eastAsia="en-US"/>
              </w:rPr>
              <w:t xml:space="preserve"> </w:t>
            </w:r>
            <w:r w:rsidRPr="005303F7">
              <w:rPr>
                <w:rFonts w:ascii="Times New Roman" w:hAnsi="Times New Roman"/>
                <w:b/>
                <w:bCs/>
                <w:color w:val="000000"/>
                <w:sz w:val="18"/>
                <w:szCs w:val="18"/>
                <w:lang w:val="sr-Cyrl-CS" w:eastAsia="en-US"/>
              </w:rPr>
              <w:t>сектору</w:t>
            </w:r>
            <w:r w:rsidR="0011128F"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на</w:t>
            </w:r>
            <w:r w:rsidR="002862FB" w:rsidRPr="005303F7">
              <w:rPr>
                <w:rFonts w:ascii="Times New Roman" w:hAnsi="Times New Roman"/>
                <w:b/>
                <w:bCs/>
                <w:color w:val="000000"/>
                <w:sz w:val="18"/>
                <w:szCs w:val="18"/>
                <w:lang w:val="sr-Cyrl-CS" w:eastAsia="en-US"/>
              </w:rPr>
              <w:t xml:space="preserve"> 10%</w:t>
            </w:r>
            <w:r w:rsidR="003066C5"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до</w:t>
            </w:r>
            <w:r w:rsidR="003066C5" w:rsidRPr="005303F7">
              <w:rPr>
                <w:rFonts w:ascii="Times New Roman" w:hAnsi="Times New Roman"/>
                <w:b/>
                <w:bCs/>
                <w:color w:val="000000"/>
                <w:sz w:val="18"/>
                <w:szCs w:val="18"/>
                <w:lang w:val="sr-Cyrl-CS" w:eastAsia="en-US"/>
              </w:rPr>
              <w:t xml:space="preserve"> 2030. </w:t>
            </w:r>
            <w:r w:rsidRPr="005303F7">
              <w:rPr>
                <w:rFonts w:ascii="Times New Roman" w:hAnsi="Times New Roman"/>
                <w:b/>
                <w:bCs/>
                <w:color w:val="000000"/>
                <w:sz w:val="18"/>
                <w:szCs w:val="18"/>
                <w:lang w:val="sr-Cyrl-CS" w:eastAsia="en-US"/>
              </w:rPr>
              <w:t>године</w:t>
            </w:r>
            <w:r w:rsidR="003066C5"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у</w:t>
            </w:r>
            <w:r w:rsidR="003066C5"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односу</w:t>
            </w:r>
            <w:r w:rsidR="003066C5"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на</w:t>
            </w:r>
            <w:r w:rsidR="003066C5" w:rsidRPr="005303F7">
              <w:rPr>
                <w:rFonts w:ascii="Times New Roman" w:hAnsi="Times New Roman"/>
                <w:b/>
                <w:bCs/>
                <w:color w:val="000000"/>
                <w:sz w:val="18"/>
                <w:szCs w:val="18"/>
                <w:lang w:val="sr-Cyrl-CS" w:eastAsia="en-US"/>
              </w:rPr>
              <w:t xml:space="preserve"> 2010.</w:t>
            </w:r>
            <w:r w:rsidR="00816585"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годину</w:t>
            </w:r>
          </w:p>
        </w:tc>
      </w:tr>
      <w:tr w:rsidR="00BD116A" w:rsidRPr="005303F7" w14:paraId="06BFDF9A" w14:textId="77777777" w:rsidTr="0009461F">
        <w:trPr>
          <w:trHeight w:val="442"/>
        </w:trPr>
        <w:tc>
          <w:tcPr>
            <w:tcW w:w="687" w:type="dxa"/>
            <w:gridSpan w:val="3"/>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3934D93C" w14:textId="46824C66" w:rsidR="00BD116A" w:rsidRPr="005303F7" w:rsidRDefault="008D69AF">
            <w:pPr>
              <w:overflowPunct/>
              <w:spacing w:after="0"/>
              <w:rPr>
                <w:rFonts w:ascii="Times New Roman" w:hAnsi="Times New Roman"/>
                <w:sz w:val="20"/>
                <w:lang w:val="sr-Cyrl-CS"/>
              </w:rPr>
            </w:pPr>
            <w:r w:rsidRPr="005303F7">
              <w:rPr>
                <w:rFonts w:ascii="Times New Roman" w:hAnsi="Times New Roman"/>
                <w:sz w:val="20"/>
                <w:lang w:val="sr-Cyrl-CS"/>
              </w:rPr>
              <w:t>Бр</w:t>
            </w:r>
            <w:r w:rsidR="00BD116A" w:rsidRPr="005303F7">
              <w:rPr>
                <w:rFonts w:ascii="Times New Roman" w:hAnsi="Times New Roman"/>
                <w:sz w:val="20"/>
                <w:lang w:val="sr-Cyrl-CS"/>
              </w:rPr>
              <w:t>.</w:t>
            </w:r>
          </w:p>
        </w:tc>
        <w:tc>
          <w:tcPr>
            <w:tcW w:w="15303" w:type="dxa"/>
            <w:gridSpan w:val="31"/>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3B7EA1D9" w14:textId="3631B8BA" w:rsidR="00BD116A" w:rsidRPr="005303F7" w:rsidRDefault="008D69AF">
            <w:pPr>
              <w:overflowPunct/>
              <w:jc w:val="left"/>
              <w:rPr>
                <w:rFonts w:ascii="Times New Roman" w:hAnsi="Times New Roman"/>
                <w:b/>
                <w:bCs/>
                <w:color w:val="FFFFFF" w:themeColor="background1"/>
                <w:sz w:val="20"/>
                <w:lang w:val="sr-Cyrl-CS"/>
              </w:rPr>
            </w:pPr>
            <w:r w:rsidRPr="005303F7">
              <w:rPr>
                <w:rFonts w:ascii="Times New Roman" w:hAnsi="Times New Roman"/>
                <w:b/>
                <w:bCs/>
                <w:sz w:val="20"/>
                <w:lang w:val="sr-Cyrl-CS"/>
              </w:rPr>
              <w:t>Назив</w:t>
            </w:r>
            <w:r w:rsidR="00D85944"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r w:rsidR="00BD116A" w:rsidRPr="005303F7">
              <w:rPr>
                <w:rFonts w:ascii="Times New Roman" w:hAnsi="Times New Roman"/>
                <w:b/>
                <w:bCs/>
                <w:color w:val="FFFFFF" w:themeColor="background1"/>
                <w:sz w:val="20"/>
                <w:lang w:val="sr-Cyrl-CS"/>
              </w:rPr>
              <w:t xml:space="preserve">: </w:t>
            </w:r>
            <w:r w:rsidRPr="005303F7">
              <w:rPr>
                <w:rFonts w:ascii="Times New Roman" w:hAnsi="Times New Roman"/>
                <w:b/>
                <w:bCs/>
                <w:color w:val="FFFFFF" w:themeColor="background1"/>
                <w:sz w:val="20"/>
                <w:lang w:val="sr-Cyrl-CS" w:eastAsia="pt-PT"/>
              </w:rPr>
              <w:t>Обнова</w:t>
            </w:r>
            <w:r w:rsidR="00D85944" w:rsidRPr="005303F7">
              <w:rPr>
                <w:rFonts w:ascii="Times New Roman" w:hAnsi="Times New Roman"/>
                <w:b/>
                <w:bCs/>
                <w:color w:val="FFFFFF" w:themeColor="background1"/>
                <w:sz w:val="20"/>
                <w:lang w:val="sr-Cyrl-CS" w:eastAsia="pt-PT"/>
              </w:rPr>
              <w:t xml:space="preserve"> </w:t>
            </w:r>
            <w:r w:rsidRPr="005303F7">
              <w:rPr>
                <w:rFonts w:ascii="Times New Roman" w:hAnsi="Times New Roman"/>
                <w:b/>
                <w:bCs/>
                <w:color w:val="FFFFFF" w:themeColor="background1"/>
                <w:sz w:val="20"/>
                <w:lang w:val="sr-Cyrl-CS" w:eastAsia="pt-PT"/>
              </w:rPr>
              <w:t>возног</w:t>
            </w:r>
            <w:r w:rsidR="00D85944" w:rsidRPr="005303F7">
              <w:rPr>
                <w:rFonts w:ascii="Times New Roman" w:hAnsi="Times New Roman"/>
                <w:b/>
                <w:bCs/>
                <w:color w:val="FFFFFF" w:themeColor="background1"/>
                <w:sz w:val="20"/>
                <w:lang w:val="sr-Cyrl-CS" w:eastAsia="pt-PT"/>
              </w:rPr>
              <w:t xml:space="preserve"> </w:t>
            </w:r>
            <w:r w:rsidRPr="005303F7">
              <w:rPr>
                <w:rFonts w:ascii="Times New Roman" w:hAnsi="Times New Roman"/>
                <w:b/>
                <w:bCs/>
                <w:color w:val="FFFFFF" w:themeColor="background1"/>
                <w:sz w:val="20"/>
                <w:lang w:val="sr-Cyrl-CS" w:eastAsia="pt-PT"/>
              </w:rPr>
              <w:t>парка</w:t>
            </w:r>
            <w:r w:rsidR="00186394" w:rsidRPr="005303F7">
              <w:rPr>
                <w:rFonts w:ascii="Times New Roman" w:hAnsi="Times New Roman"/>
                <w:b/>
                <w:bCs/>
                <w:color w:val="FFFFFF" w:themeColor="background1"/>
                <w:sz w:val="20"/>
                <w:lang w:val="sr-Cyrl-CS" w:eastAsia="pt-PT"/>
              </w:rPr>
              <w:t xml:space="preserve"> </w:t>
            </w:r>
            <w:r w:rsidRPr="005303F7">
              <w:rPr>
                <w:rFonts w:ascii="Times New Roman" w:hAnsi="Times New Roman"/>
                <w:b/>
                <w:bCs/>
                <w:color w:val="FFFFFF" w:themeColor="background1"/>
                <w:sz w:val="20"/>
                <w:lang w:val="sr-Cyrl-CS" w:eastAsia="pt-PT"/>
              </w:rPr>
              <w:t>за</w:t>
            </w:r>
            <w:r w:rsidR="00186394" w:rsidRPr="005303F7">
              <w:rPr>
                <w:rFonts w:ascii="Times New Roman" w:hAnsi="Times New Roman"/>
                <w:b/>
                <w:bCs/>
                <w:color w:val="FFFFFF" w:themeColor="background1"/>
                <w:sz w:val="20"/>
                <w:lang w:val="sr-Cyrl-CS" w:eastAsia="pt-PT"/>
              </w:rPr>
              <w:t xml:space="preserve"> </w:t>
            </w:r>
            <w:r w:rsidRPr="005303F7">
              <w:rPr>
                <w:rFonts w:ascii="Times New Roman" w:hAnsi="Times New Roman"/>
                <w:b/>
                <w:bCs/>
                <w:color w:val="FFFFFF" w:themeColor="background1"/>
                <w:sz w:val="20"/>
                <w:lang w:val="sr-Cyrl-CS" w:eastAsia="pt-PT"/>
              </w:rPr>
              <w:t>превоз</w:t>
            </w:r>
            <w:r w:rsidR="00186394" w:rsidRPr="005303F7">
              <w:rPr>
                <w:rFonts w:ascii="Times New Roman" w:hAnsi="Times New Roman"/>
                <w:b/>
                <w:bCs/>
                <w:color w:val="FFFFFF" w:themeColor="background1"/>
                <w:sz w:val="20"/>
                <w:lang w:val="sr-Cyrl-CS" w:eastAsia="pt-PT"/>
              </w:rPr>
              <w:t xml:space="preserve"> </w:t>
            </w:r>
            <w:r w:rsidRPr="005303F7">
              <w:rPr>
                <w:rFonts w:ascii="Times New Roman" w:hAnsi="Times New Roman"/>
                <w:b/>
                <w:bCs/>
                <w:color w:val="FFFFFF" w:themeColor="background1"/>
                <w:sz w:val="20"/>
                <w:lang w:val="sr-Cyrl-CS" w:eastAsia="pt-PT"/>
              </w:rPr>
              <w:t>путника</w:t>
            </w:r>
            <w:r w:rsidR="00D85944" w:rsidRPr="005303F7">
              <w:rPr>
                <w:rFonts w:ascii="Times New Roman" w:hAnsi="Times New Roman"/>
                <w:b/>
                <w:bCs/>
                <w:color w:val="FFFFFF" w:themeColor="background1"/>
                <w:sz w:val="20"/>
                <w:lang w:val="sr-Cyrl-CS" w:eastAsia="pt-PT"/>
              </w:rPr>
              <w:t xml:space="preserve"> </w:t>
            </w:r>
            <w:r w:rsidRPr="005303F7">
              <w:rPr>
                <w:rFonts w:ascii="Times New Roman" w:hAnsi="Times New Roman"/>
                <w:b/>
                <w:bCs/>
                <w:color w:val="FFFFFF" w:themeColor="background1"/>
                <w:sz w:val="20"/>
                <w:lang w:val="sr-Cyrl-CS" w:eastAsia="pt-PT"/>
              </w:rPr>
              <w:t>и</w:t>
            </w:r>
            <w:r w:rsidR="00D85944" w:rsidRPr="005303F7">
              <w:rPr>
                <w:rFonts w:ascii="Times New Roman" w:hAnsi="Times New Roman"/>
                <w:b/>
                <w:bCs/>
                <w:color w:val="FFFFFF" w:themeColor="background1"/>
                <w:sz w:val="20"/>
                <w:lang w:val="sr-Cyrl-CS" w:eastAsia="pt-PT"/>
              </w:rPr>
              <w:t xml:space="preserve"> </w:t>
            </w:r>
            <w:r w:rsidRPr="005303F7">
              <w:rPr>
                <w:rFonts w:ascii="Times New Roman" w:hAnsi="Times New Roman"/>
                <w:b/>
                <w:bCs/>
                <w:color w:val="FFFFFF" w:themeColor="background1"/>
                <w:sz w:val="20"/>
                <w:lang w:val="sr-Cyrl-CS" w:eastAsia="pt-PT"/>
              </w:rPr>
              <w:t>промоција</w:t>
            </w:r>
            <w:r w:rsidR="00D85944" w:rsidRPr="005303F7">
              <w:rPr>
                <w:rFonts w:ascii="Times New Roman" w:hAnsi="Times New Roman"/>
                <w:b/>
                <w:bCs/>
                <w:color w:val="FFFFFF" w:themeColor="background1"/>
                <w:sz w:val="20"/>
                <w:lang w:val="sr-Cyrl-CS" w:eastAsia="pt-PT"/>
              </w:rPr>
              <w:t xml:space="preserve"> </w:t>
            </w:r>
            <w:r w:rsidRPr="005303F7">
              <w:rPr>
                <w:rFonts w:ascii="Times New Roman" w:hAnsi="Times New Roman"/>
                <w:b/>
                <w:bCs/>
                <w:color w:val="FFFFFF" w:themeColor="background1"/>
                <w:sz w:val="20"/>
                <w:lang w:val="sr-Cyrl-CS" w:eastAsia="pt-PT"/>
              </w:rPr>
              <w:t>одрживог</w:t>
            </w:r>
            <w:r w:rsidR="00D85944" w:rsidRPr="005303F7">
              <w:rPr>
                <w:rFonts w:ascii="Times New Roman" w:hAnsi="Times New Roman"/>
                <w:b/>
                <w:bCs/>
                <w:color w:val="FFFFFF" w:themeColor="background1"/>
                <w:sz w:val="20"/>
                <w:lang w:val="sr-Cyrl-CS" w:eastAsia="pt-PT"/>
              </w:rPr>
              <w:t xml:space="preserve"> </w:t>
            </w:r>
            <w:r w:rsidRPr="005303F7">
              <w:rPr>
                <w:rFonts w:ascii="Times New Roman" w:hAnsi="Times New Roman"/>
                <w:b/>
                <w:bCs/>
                <w:color w:val="FFFFFF" w:themeColor="background1"/>
                <w:sz w:val="20"/>
                <w:lang w:val="sr-Cyrl-CS" w:eastAsia="pt-PT"/>
              </w:rPr>
              <w:t>путничког</w:t>
            </w:r>
            <w:r w:rsidR="00D85944" w:rsidRPr="005303F7">
              <w:rPr>
                <w:rFonts w:ascii="Times New Roman" w:hAnsi="Times New Roman"/>
                <w:b/>
                <w:bCs/>
                <w:color w:val="FFFFFF" w:themeColor="background1"/>
                <w:sz w:val="20"/>
                <w:lang w:val="sr-Cyrl-CS" w:eastAsia="pt-PT"/>
              </w:rPr>
              <w:t xml:space="preserve"> </w:t>
            </w:r>
            <w:r w:rsidRPr="005303F7">
              <w:rPr>
                <w:rFonts w:ascii="Times New Roman" w:hAnsi="Times New Roman"/>
                <w:b/>
                <w:bCs/>
                <w:color w:val="FFFFFF" w:themeColor="background1"/>
                <w:sz w:val="20"/>
                <w:lang w:val="sr-Cyrl-CS" w:eastAsia="pt-PT"/>
              </w:rPr>
              <w:t>саобра</w:t>
            </w:r>
            <w:r w:rsidR="00016298" w:rsidRPr="005303F7">
              <w:rPr>
                <w:rFonts w:ascii="Times New Roman" w:hAnsi="Times New Roman"/>
                <w:b/>
                <w:bCs/>
                <w:color w:val="FFFFFF" w:themeColor="background1"/>
                <w:sz w:val="20"/>
                <w:lang w:val="sr-Cyrl-CS" w:eastAsia="pt-PT"/>
              </w:rPr>
              <w:t>ћ</w:t>
            </w:r>
            <w:r w:rsidRPr="005303F7">
              <w:rPr>
                <w:rFonts w:ascii="Times New Roman" w:hAnsi="Times New Roman"/>
                <w:b/>
                <w:bCs/>
                <w:color w:val="FFFFFF" w:themeColor="background1"/>
                <w:sz w:val="20"/>
                <w:lang w:val="sr-Cyrl-CS" w:eastAsia="pt-PT"/>
              </w:rPr>
              <w:t>аја</w:t>
            </w:r>
            <w:r w:rsidR="00D85944" w:rsidRPr="005303F7">
              <w:rPr>
                <w:rFonts w:ascii="Times New Roman" w:hAnsi="Times New Roman"/>
                <w:b/>
                <w:bCs/>
                <w:color w:val="FFFFFF" w:themeColor="background1"/>
                <w:sz w:val="20"/>
                <w:lang w:val="sr-Cyrl-CS" w:eastAsia="pt-PT"/>
              </w:rPr>
              <w:t xml:space="preserve"> </w:t>
            </w:r>
          </w:p>
          <w:p w14:paraId="0413CD83" w14:textId="4EA7A6D6" w:rsidR="00BD116A" w:rsidRPr="005303F7" w:rsidRDefault="008D69AF">
            <w:pPr>
              <w:overflowPunct/>
              <w:jc w:val="left"/>
              <w:rPr>
                <w:rFonts w:ascii="Times New Roman" w:hAnsi="Times New Roman"/>
                <w:b/>
                <w:sz w:val="20"/>
                <w:u w:val="single"/>
                <w:lang w:val="sr-Cyrl-CS"/>
              </w:rPr>
            </w:pPr>
            <w:r w:rsidRPr="005303F7">
              <w:rPr>
                <w:rFonts w:ascii="Times New Roman" w:hAnsi="Times New Roman"/>
                <w:b/>
                <w:bCs/>
                <w:color w:val="FFFFFF" w:themeColor="background1"/>
                <w:sz w:val="20"/>
                <w:u w:val="single"/>
                <w:lang w:val="sr-Cyrl-CS"/>
              </w:rPr>
              <w:t>Унапређење</w:t>
            </w:r>
            <w:r w:rsidR="00186394" w:rsidRPr="005303F7">
              <w:rPr>
                <w:rFonts w:ascii="Times New Roman" w:hAnsi="Times New Roman"/>
                <w:b/>
                <w:bCs/>
                <w:color w:val="FFFFFF" w:themeColor="background1"/>
                <w:sz w:val="20"/>
                <w:u w:val="single"/>
                <w:lang w:val="sr-Cyrl-CS"/>
              </w:rPr>
              <w:t xml:space="preserve"> </w:t>
            </w:r>
            <w:r w:rsidRPr="005303F7">
              <w:rPr>
                <w:rFonts w:ascii="Times New Roman" w:hAnsi="Times New Roman"/>
                <w:b/>
                <w:bCs/>
                <w:color w:val="FFFFFF" w:themeColor="background1"/>
                <w:sz w:val="20"/>
                <w:u w:val="single"/>
                <w:lang w:val="sr-Cyrl-CS"/>
              </w:rPr>
              <w:t>ефикасности</w:t>
            </w:r>
            <w:r w:rsidR="00D96C96" w:rsidRPr="005303F7">
              <w:rPr>
                <w:rFonts w:ascii="Times New Roman" w:hAnsi="Times New Roman"/>
                <w:b/>
                <w:bCs/>
                <w:color w:val="FFFFFF" w:themeColor="background1"/>
                <w:sz w:val="20"/>
                <w:u w:val="single"/>
                <w:lang w:val="sr-Cyrl-CS"/>
              </w:rPr>
              <w:t xml:space="preserve"> </w:t>
            </w:r>
            <w:r w:rsidRPr="005303F7">
              <w:rPr>
                <w:rFonts w:ascii="Times New Roman" w:hAnsi="Times New Roman"/>
                <w:b/>
                <w:bCs/>
                <w:color w:val="FFFFFF" w:themeColor="background1"/>
                <w:sz w:val="20"/>
                <w:u w:val="single"/>
                <w:lang w:val="sr-Cyrl-CS"/>
              </w:rPr>
              <w:t>возног</w:t>
            </w:r>
            <w:r w:rsidR="00D96C96" w:rsidRPr="005303F7">
              <w:rPr>
                <w:rFonts w:ascii="Times New Roman" w:hAnsi="Times New Roman"/>
                <w:b/>
                <w:bCs/>
                <w:color w:val="FFFFFF" w:themeColor="background1"/>
                <w:sz w:val="20"/>
                <w:u w:val="single"/>
                <w:lang w:val="sr-Cyrl-CS"/>
              </w:rPr>
              <w:t xml:space="preserve"> </w:t>
            </w:r>
            <w:r w:rsidRPr="005303F7">
              <w:rPr>
                <w:rFonts w:ascii="Times New Roman" w:hAnsi="Times New Roman"/>
                <w:b/>
                <w:bCs/>
                <w:color w:val="FFFFFF" w:themeColor="background1"/>
                <w:sz w:val="20"/>
                <w:u w:val="single"/>
                <w:lang w:val="sr-Cyrl-CS"/>
              </w:rPr>
              <w:t>парка</w:t>
            </w:r>
            <w:r w:rsidR="00D96C96" w:rsidRPr="005303F7">
              <w:rPr>
                <w:rFonts w:ascii="Times New Roman" w:hAnsi="Times New Roman"/>
                <w:b/>
                <w:bCs/>
                <w:color w:val="FFFFFF" w:themeColor="background1"/>
                <w:sz w:val="20"/>
                <w:u w:val="single"/>
                <w:lang w:val="sr-Cyrl-CS"/>
              </w:rPr>
              <w:t xml:space="preserve"> </w:t>
            </w:r>
            <w:r w:rsidRPr="005303F7">
              <w:rPr>
                <w:rFonts w:ascii="Times New Roman" w:hAnsi="Times New Roman"/>
                <w:b/>
                <w:bCs/>
                <w:color w:val="FFFFFF" w:themeColor="background1"/>
                <w:sz w:val="20"/>
                <w:u w:val="single"/>
                <w:lang w:val="sr-Cyrl-CS"/>
              </w:rPr>
              <w:t>и</w:t>
            </w:r>
            <w:r w:rsidR="00D96C96" w:rsidRPr="005303F7">
              <w:rPr>
                <w:rFonts w:ascii="Times New Roman" w:hAnsi="Times New Roman"/>
                <w:b/>
                <w:bCs/>
                <w:color w:val="FFFFFF" w:themeColor="background1"/>
                <w:sz w:val="20"/>
                <w:u w:val="single"/>
                <w:lang w:val="sr-Cyrl-CS"/>
              </w:rPr>
              <w:t xml:space="preserve"> </w:t>
            </w:r>
            <w:r w:rsidRPr="005303F7">
              <w:rPr>
                <w:rFonts w:ascii="Times New Roman" w:hAnsi="Times New Roman"/>
                <w:b/>
                <w:bCs/>
                <w:color w:val="FFFFFF" w:themeColor="background1"/>
                <w:sz w:val="20"/>
                <w:u w:val="single"/>
                <w:lang w:val="sr-Cyrl-CS"/>
              </w:rPr>
              <w:t>употребе</w:t>
            </w:r>
            <w:r w:rsidR="00D96C96" w:rsidRPr="005303F7">
              <w:rPr>
                <w:rFonts w:ascii="Times New Roman" w:hAnsi="Times New Roman"/>
                <w:b/>
                <w:bCs/>
                <w:color w:val="FFFFFF" w:themeColor="background1"/>
                <w:sz w:val="20"/>
                <w:u w:val="single"/>
                <w:lang w:val="sr-Cyrl-CS"/>
              </w:rPr>
              <w:t xml:space="preserve"> </w:t>
            </w:r>
            <w:r w:rsidRPr="005303F7">
              <w:rPr>
                <w:rFonts w:ascii="Times New Roman" w:hAnsi="Times New Roman"/>
                <w:b/>
                <w:bCs/>
                <w:color w:val="FFFFFF" w:themeColor="background1"/>
                <w:sz w:val="20"/>
                <w:u w:val="single"/>
                <w:lang w:val="sr-Cyrl-CS"/>
              </w:rPr>
              <w:t>возила</w:t>
            </w:r>
          </w:p>
        </w:tc>
      </w:tr>
      <w:tr w:rsidR="00BD116A" w:rsidRPr="005303F7" w14:paraId="7DA91202" w14:textId="77777777" w:rsidTr="00D27999">
        <w:trPr>
          <w:trHeight w:val="3968"/>
        </w:trPr>
        <w:tc>
          <w:tcPr>
            <w:tcW w:w="549" w:type="dxa"/>
            <w:vMerge w:val="restart"/>
            <w:tcBorders>
              <w:top w:val="single" w:sz="4" w:space="0" w:color="auto"/>
              <w:left w:val="single" w:sz="4" w:space="0" w:color="auto"/>
              <w:bottom w:val="single" w:sz="4" w:space="0" w:color="auto"/>
              <w:right w:val="single" w:sz="4" w:space="0" w:color="auto"/>
            </w:tcBorders>
            <w:vAlign w:val="center"/>
            <w:hideMark/>
          </w:tcPr>
          <w:p w14:paraId="09F1D597" w14:textId="77777777" w:rsidR="00BD116A" w:rsidRPr="005303F7" w:rsidRDefault="00BD116A">
            <w:pPr>
              <w:overflowPunct/>
              <w:spacing w:after="0"/>
              <w:jc w:val="center"/>
              <w:rPr>
                <w:rFonts w:ascii="Times New Roman" w:hAnsi="Times New Roman"/>
                <w:b/>
                <w:color w:val="000000"/>
                <w:sz w:val="20"/>
                <w:lang w:val="sr-Cyrl-CS"/>
              </w:rPr>
            </w:pPr>
            <w:r w:rsidRPr="005303F7">
              <w:rPr>
                <w:rFonts w:ascii="Times New Roman" w:hAnsi="Times New Roman"/>
                <w:b/>
                <w:color w:val="000000"/>
                <w:sz w:val="20"/>
                <w:lang w:val="sr-Cyrl-CS"/>
              </w:rPr>
              <w:t>11</w:t>
            </w:r>
          </w:p>
        </w:tc>
        <w:tc>
          <w:tcPr>
            <w:tcW w:w="15441" w:type="dxa"/>
            <w:gridSpan w:val="33"/>
            <w:tcBorders>
              <w:top w:val="single" w:sz="4" w:space="0" w:color="auto"/>
              <w:left w:val="single" w:sz="4" w:space="0" w:color="auto"/>
              <w:bottom w:val="single" w:sz="4" w:space="0" w:color="auto"/>
              <w:right w:val="single" w:sz="4" w:space="0" w:color="auto"/>
            </w:tcBorders>
            <w:vAlign w:val="center"/>
          </w:tcPr>
          <w:p w14:paraId="1D9BAFA4" w14:textId="729B8805" w:rsidR="00BD116A" w:rsidRPr="005303F7" w:rsidRDefault="008D69AF">
            <w:pPr>
              <w:overflowPunct/>
              <w:jc w:val="left"/>
              <w:rPr>
                <w:rFonts w:ascii="Times New Roman" w:hAnsi="Times New Roman"/>
                <w:b/>
                <w:color w:val="000000"/>
                <w:sz w:val="20"/>
                <w:u w:val="single"/>
                <w:lang w:val="sr-Cyrl-CS"/>
              </w:rPr>
            </w:pPr>
            <w:r w:rsidRPr="005303F7">
              <w:rPr>
                <w:rFonts w:ascii="Times New Roman" w:hAnsi="Times New Roman"/>
                <w:b/>
                <w:color w:val="000000"/>
                <w:sz w:val="20"/>
                <w:u w:val="single"/>
                <w:lang w:val="sr-Cyrl-CS"/>
              </w:rPr>
              <w:t>Врста</w:t>
            </w:r>
            <w:r w:rsidR="00E41826"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BD116A" w:rsidRPr="005303F7">
              <w:rPr>
                <w:rFonts w:ascii="Times New Roman" w:hAnsi="Times New Roman"/>
                <w:b/>
                <w:color w:val="000000"/>
                <w:sz w:val="20"/>
                <w:u w:val="single"/>
                <w:lang w:val="sr-Cyrl-CS"/>
              </w:rPr>
              <w:t>:</w:t>
            </w:r>
            <w:r w:rsidR="00BD116A" w:rsidRPr="005303F7">
              <w:rPr>
                <w:rFonts w:ascii="Times New Roman" w:hAnsi="Times New Roman"/>
                <w:b/>
                <w:color w:val="000000"/>
                <w:sz w:val="20"/>
                <w:lang w:val="sr-Cyrl-CS"/>
              </w:rPr>
              <w:t xml:space="preserve"> </w:t>
            </w:r>
            <w:r w:rsidRPr="005303F7">
              <w:rPr>
                <w:rFonts w:ascii="Times New Roman" w:hAnsi="Times New Roman"/>
                <w:bCs/>
                <w:color w:val="000000"/>
                <w:sz w:val="20"/>
                <w:lang w:val="sr-Cyrl-CS"/>
              </w:rPr>
              <w:t>Регулаторна</w:t>
            </w:r>
            <w:r w:rsidR="00E41826"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подстицајна</w:t>
            </w:r>
            <w:r w:rsidR="00E41826"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финансијска</w:t>
            </w:r>
            <w:r w:rsidR="00E41826"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информативно</w:t>
            </w:r>
            <w:r w:rsidR="00E41826" w:rsidRPr="005303F7">
              <w:rPr>
                <w:rFonts w:ascii="Times New Roman" w:hAnsi="Times New Roman"/>
                <w:bCs/>
                <w:color w:val="000000"/>
                <w:sz w:val="20"/>
                <w:lang w:val="sr-Cyrl-CS"/>
              </w:rPr>
              <w:t>-</w:t>
            </w:r>
            <w:r w:rsidRPr="005303F7">
              <w:rPr>
                <w:rFonts w:ascii="Times New Roman" w:hAnsi="Times New Roman"/>
                <w:bCs/>
                <w:color w:val="000000"/>
                <w:sz w:val="20"/>
                <w:lang w:val="sr-Cyrl-CS"/>
              </w:rPr>
              <w:t>едукативна</w:t>
            </w:r>
          </w:p>
          <w:p w14:paraId="68734627" w14:textId="77777777" w:rsidR="00CD3010" w:rsidRPr="005303F7" w:rsidRDefault="008D69AF" w:rsidP="00CD3010">
            <w:pPr>
              <w:overflowPunct/>
              <w:spacing w:after="0"/>
              <w:rPr>
                <w:rFonts w:ascii="Times New Roman" w:hAnsi="Times New Roman"/>
                <w:bCs/>
                <w:color w:val="000000"/>
                <w:sz w:val="20"/>
                <w:lang w:val="sr-Cyrl-CS"/>
              </w:rPr>
            </w:pPr>
            <w:r w:rsidRPr="005303F7">
              <w:rPr>
                <w:rFonts w:ascii="Times New Roman" w:hAnsi="Times New Roman"/>
                <w:b/>
                <w:color w:val="000000"/>
                <w:sz w:val="20"/>
                <w:u w:val="single"/>
                <w:lang w:val="sr-Cyrl-CS"/>
              </w:rPr>
              <w:t>Опис</w:t>
            </w:r>
            <w:r w:rsidR="00E41826"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BD116A" w:rsidRPr="005303F7">
              <w:rPr>
                <w:rFonts w:ascii="Times New Roman" w:hAnsi="Times New Roman"/>
                <w:bCs/>
                <w:color w:val="000000"/>
                <w:sz w:val="20"/>
                <w:lang w:val="sr-Cyrl-CS"/>
              </w:rPr>
              <w:t xml:space="preserve">: </w:t>
            </w:r>
            <w:r w:rsidR="00CD3010" w:rsidRPr="005303F7">
              <w:rPr>
                <w:rFonts w:ascii="Times New Roman" w:hAnsi="Times New Roman"/>
                <w:bCs/>
                <w:color w:val="000000"/>
                <w:sz w:val="20"/>
                <w:lang w:val="sr-Cyrl-CS"/>
              </w:rPr>
              <w:t>Нова возила постају ефикаснија на основу CО2 стандарда који су на снази у ЕУ, од којих Република Србија има индиректну корист. ЕУ је усвојила Уредбу 443/2009 којом се одређују циљеви за емисију CО2 од 130 g CО2 / km у 2015. години и 95 g CО2 / km у 2021. години. У 2019. години договорени су циљеви ЕУ за 2030., емисије се морају смањити за 37,5% до 2030. године у поређењу са нивоом из 2021. године, за аутомобиле и до 30% за комбије. ЕУ се први пут у 2019. години сложила и са циљем смањења емисија тешких теретних возила и аутобуса, за које ће просечна емисија нових возила у 2030. години морати да буде 30% мања него 2019. године. На основу тих циљева, возила у Републици Србији постаће ефикаснија, чак и ако Република Србија није део ЕУ, јер се у Републици Србији продају иста возила као и у ЕУ. Република Србија мора да усклади своје законодавство са законодавством ЕУ најкасније до 2023. године.</w:t>
            </w:r>
          </w:p>
          <w:p w14:paraId="29E8DFBF" w14:textId="47A2ECC6" w:rsidR="00776F54" w:rsidRPr="005303F7" w:rsidRDefault="00CD3010" w:rsidP="00CD3010">
            <w:pPr>
              <w:overflowPunct/>
              <w:spacing w:after="0"/>
              <w:rPr>
                <w:rFonts w:ascii="Times New Roman" w:hAnsi="Times New Roman"/>
                <w:bCs/>
                <w:color w:val="000000"/>
                <w:sz w:val="20"/>
                <w:lang w:val="sr-Cyrl-CS"/>
              </w:rPr>
            </w:pPr>
            <w:r w:rsidRPr="005303F7">
              <w:rPr>
                <w:rFonts w:ascii="Times New Roman" w:hAnsi="Times New Roman"/>
                <w:bCs/>
                <w:color w:val="000000"/>
                <w:sz w:val="20"/>
                <w:lang w:val="sr-Cyrl-CS"/>
              </w:rPr>
              <w:t xml:space="preserve">        За побољшање ефикасности возила важно је да Република Србија контролише увоз половних аутомобила и њихову употребу, посебно за веома стара возила. Постоји ризик да ће, због надолазеће електрификације, у Србију бити увезено још више старих возила из ЕУ, ограничавајући ефекте законодавства на нова возила. Зато се законодавство о годишњем опорезивању мора променити на начин који ће подстаћи куповину ефикаснијих возила, која  која мање доприносе ефекту стаклене баште. Законом о порезима на употре</w:t>
            </w:r>
            <w:r w:rsidR="00A560D2" w:rsidRPr="005303F7">
              <w:rPr>
                <w:rFonts w:ascii="Times New Roman" w:hAnsi="Times New Roman"/>
                <w:bCs/>
                <w:color w:val="000000"/>
                <w:sz w:val="20"/>
                <w:lang w:val="sr-Cyrl-CS"/>
              </w:rPr>
              <w:t>бу, држање и ношење добара („Службени</w:t>
            </w:r>
            <w:r w:rsidRPr="005303F7">
              <w:rPr>
                <w:rFonts w:ascii="Times New Roman" w:hAnsi="Times New Roman"/>
                <w:bCs/>
                <w:color w:val="000000"/>
                <w:sz w:val="20"/>
                <w:lang w:val="sr-Cyrl-CS"/>
              </w:rPr>
              <w:t xml:space="preserve"> </w:t>
            </w:r>
            <w:r w:rsidR="003957AE" w:rsidRPr="005303F7">
              <w:rPr>
                <w:rFonts w:ascii="Times New Roman" w:hAnsi="Times New Roman"/>
                <w:bCs/>
                <w:color w:val="000000"/>
                <w:sz w:val="20"/>
                <w:lang w:val="sr-Cyrl-CS"/>
              </w:rPr>
              <w:t>г</w:t>
            </w:r>
            <w:r w:rsidRPr="005303F7">
              <w:rPr>
                <w:rFonts w:ascii="Times New Roman" w:hAnsi="Times New Roman"/>
                <w:bCs/>
                <w:color w:val="000000"/>
                <w:sz w:val="20"/>
                <w:lang w:val="sr-Cyrl-CS"/>
              </w:rPr>
              <w:t>ласник РС”, бр. 26/01, 80/02, 43/04, 31/09, 101/10, 24/11, 68/14 – др.</w:t>
            </w:r>
            <w:r w:rsidR="00A560D2"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закон, 112/15, 86/19 и 118/21) уведени су порези на држање, употребу и ношење добара.  Порез на употребу моторних возила се плаћа за моторна возила побројана тим законом, али тренутно подаци о емисијама гасова са ефектом стаклене баште  нису један од елемената критеријума за опорезивање. Попуст за старије аутомобиле треба постепено укидати, јер они имају много већи негативни утицај на животну средину од нових аутомобила.Стога би требало подстаћи  употребу моторних возила чији је утицај на животну средину повољнији и  која мање доприносе ефекту стаклене баште. За бржи продор електричних возила требало би обезбедити субвенције, бар у раној фази развоја тржишта. Потом, Директива о јавним набавкама, усклађена са Директивом о промоцији чистих и енергетски ефикасних друмских возила, препознаје да јавне набавке могу бити моћан покретач тржишта за увођење нових технологија, укључујући чиста и високо енергетски ефикасна возила. То није зато што могу имати директан велики утицај на смањење емисија, већ због великог демонстративног ефекта. Република Србија ће морати да улаже у инфраструктуру за пуњење електричних возила и такође за друга возила на алтернативна горива (природни гас)</w:t>
            </w:r>
          </w:p>
          <w:p w14:paraId="645DCDB2" w14:textId="3DDAD634" w:rsidR="00BD116A" w:rsidRPr="005303F7" w:rsidRDefault="00CD3010" w:rsidP="00353B06">
            <w:pPr>
              <w:overflowPunct/>
              <w:jc w:val="left"/>
              <w:rPr>
                <w:rFonts w:ascii="Times New Roman" w:hAnsi="Times New Roman"/>
                <w:b/>
                <w:i/>
                <w:sz w:val="8"/>
                <w:szCs w:val="6"/>
                <w:u w:val="single"/>
                <w:lang w:val="sr-Cyrl-CS"/>
              </w:rPr>
            </w:pPr>
            <w:r w:rsidRPr="005303F7">
              <w:rPr>
                <w:rFonts w:ascii="Times New Roman" w:hAnsi="Times New Roman"/>
                <w:bCs/>
                <w:color w:val="000000"/>
                <w:sz w:val="20"/>
                <w:lang w:val="sr-Cyrl-CS"/>
              </w:rPr>
              <w:t xml:space="preserve">. </w:t>
            </w:r>
            <w:r w:rsidR="008D69AF" w:rsidRPr="005303F7">
              <w:rPr>
                <w:rFonts w:ascii="Times New Roman" w:hAnsi="Times New Roman"/>
                <w:b/>
                <w:bCs/>
                <w:sz w:val="20"/>
                <w:szCs w:val="18"/>
                <w:u w:val="single"/>
                <w:lang w:val="sr-Cyrl-CS"/>
              </w:rPr>
              <w:t>Процес</w:t>
            </w:r>
            <w:r w:rsidR="0021489F" w:rsidRPr="005303F7">
              <w:rPr>
                <w:rFonts w:ascii="Times New Roman" w:hAnsi="Times New Roman"/>
                <w:b/>
                <w:bCs/>
                <w:sz w:val="20"/>
                <w:szCs w:val="18"/>
                <w:u w:val="single"/>
                <w:lang w:val="sr-Cyrl-CS"/>
              </w:rPr>
              <w:t xml:space="preserve"> </w:t>
            </w:r>
            <w:r w:rsidR="008D69AF" w:rsidRPr="005303F7">
              <w:rPr>
                <w:rFonts w:ascii="Times New Roman" w:hAnsi="Times New Roman"/>
                <w:b/>
                <w:bCs/>
                <w:sz w:val="20"/>
                <w:szCs w:val="18"/>
                <w:u w:val="single"/>
                <w:lang w:val="sr-Cyrl-CS"/>
              </w:rPr>
              <w:t>преговора</w:t>
            </w:r>
            <w:r w:rsidR="0021489F" w:rsidRPr="005303F7">
              <w:rPr>
                <w:rFonts w:ascii="Times New Roman" w:hAnsi="Times New Roman"/>
                <w:b/>
                <w:bCs/>
                <w:sz w:val="20"/>
                <w:szCs w:val="18"/>
                <w:u w:val="single"/>
                <w:lang w:val="sr-Cyrl-CS"/>
              </w:rPr>
              <w:t xml:space="preserve"> </w:t>
            </w:r>
            <w:r w:rsidR="008D69AF" w:rsidRPr="005303F7">
              <w:rPr>
                <w:rFonts w:ascii="Times New Roman" w:hAnsi="Times New Roman"/>
                <w:b/>
                <w:bCs/>
                <w:sz w:val="20"/>
                <w:szCs w:val="18"/>
                <w:u w:val="single"/>
                <w:lang w:val="sr-Cyrl-CS"/>
              </w:rPr>
              <w:t>о</w:t>
            </w:r>
            <w:r w:rsidR="0021489F" w:rsidRPr="005303F7">
              <w:rPr>
                <w:rFonts w:ascii="Times New Roman" w:hAnsi="Times New Roman"/>
                <w:b/>
                <w:bCs/>
                <w:sz w:val="20"/>
                <w:szCs w:val="18"/>
                <w:u w:val="single"/>
                <w:lang w:val="sr-Cyrl-CS"/>
              </w:rPr>
              <w:t xml:space="preserve"> </w:t>
            </w:r>
            <w:r w:rsidR="008D69AF" w:rsidRPr="005303F7">
              <w:rPr>
                <w:rFonts w:ascii="Times New Roman" w:hAnsi="Times New Roman"/>
                <w:b/>
                <w:bCs/>
                <w:sz w:val="20"/>
                <w:szCs w:val="18"/>
                <w:u w:val="single"/>
                <w:lang w:val="sr-Cyrl-CS"/>
              </w:rPr>
              <w:t>приступању</w:t>
            </w:r>
            <w:r w:rsidR="0021489F" w:rsidRPr="005303F7">
              <w:rPr>
                <w:rFonts w:ascii="Times New Roman" w:hAnsi="Times New Roman"/>
                <w:b/>
                <w:bCs/>
                <w:sz w:val="20"/>
                <w:szCs w:val="18"/>
                <w:u w:val="single"/>
                <w:lang w:val="sr-Cyrl-CS"/>
              </w:rPr>
              <w:t xml:space="preserve"> </w:t>
            </w:r>
            <w:r w:rsidR="008D69AF" w:rsidRPr="005303F7">
              <w:rPr>
                <w:rFonts w:ascii="Times New Roman" w:hAnsi="Times New Roman"/>
                <w:b/>
                <w:bCs/>
                <w:sz w:val="20"/>
                <w:szCs w:val="18"/>
                <w:u w:val="single"/>
                <w:lang w:val="sr-Cyrl-CS"/>
              </w:rPr>
              <w:t>ЕУ</w:t>
            </w:r>
            <w:r w:rsidR="0021489F" w:rsidRPr="005303F7">
              <w:rPr>
                <w:rFonts w:ascii="Times New Roman" w:hAnsi="Times New Roman"/>
                <w:b/>
                <w:bCs/>
                <w:sz w:val="20"/>
                <w:szCs w:val="18"/>
                <w:u w:val="single"/>
                <w:lang w:val="sr-Cyrl-CS"/>
              </w:rPr>
              <w:t xml:space="preserve">: </w:t>
            </w:r>
            <w:r w:rsidR="008D69AF" w:rsidRPr="005303F7">
              <w:rPr>
                <w:rFonts w:ascii="Times New Roman" w:hAnsi="Times New Roman"/>
                <w:b/>
                <w:bCs/>
                <w:sz w:val="20"/>
                <w:szCs w:val="18"/>
                <w:u w:val="single"/>
                <w:lang w:val="sr-Cyrl-CS"/>
              </w:rPr>
              <w:t>Поглав</w:t>
            </w:r>
            <w:r w:rsidR="00D553BE" w:rsidRPr="005303F7">
              <w:rPr>
                <w:rFonts w:ascii="Times New Roman" w:hAnsi="Times New Roman"/>
                <w:b/>
                <w:bCs/>
                <w:sz w:val="20"/>
                <w:szCs w:val="18"/>
                <w:u w:val="single"/>
                <w:lang w:val="sr-Cyrl-CS"/>
              </w:rPr>
              <w:t>љ</w:t>
            </w:r>
            <w:r w:rsidR="008D69AF" w:rsidRPr="005303F7">
              <w:rPr>
                <w:rFonts w:ascii="Times New Roman" w:hAnsi="Times New Roman"/>
                <w:b/>
                <w:bCs/>
                <w:sz w:val="20"/>
                <w:szCs w:val="18"/>
                <w:u w:val="single"/>
                <w:lang w:val="sr-Cyrl-CS"/>
              </w:rPr>
              <w:t>е</w:t>
            </w:r>
            <w:r w:rsidR="0021489F" w:rsidRPr="005303F7">
              <w:rPr>
                <w:rFonts w:ascii="Times New Roman" w:hAnsi="Times New Roman"/>
                <w:b/>
                <w:bCs/>
                <w:sz w:val="20"/>
                <w:szCs w:val="18"/>
                <w:u w:val="single"/>
                <w:lang w:val="sr-Cyrl-CS"/>
              </w:rPr>
              <w:t xml:space="preserve"> </w:t>
            </w:r>
            <w:r w:rsidR="00BD116A" w:rsidRPr="005303F7">
              <w:rPr>
                <w:rFonts w:ascii="Times New Roman" w:hAnsi="Times New Roman"/>
                <w:b/>
                <w:bCs/>
                <w:sz w:val="20"/>
                <w:szCs w:val="18"/>
                <w:u w:val="single"/>
                <w:lang w:val="sr-Cyrl-CS"/>
              </w:rPr>
              <w:t xml:space="preserve">27 </w:t>
            </w:r>
            <w:r w:rsidR="003E3EDD" w:rsidRPr="005303F7">
              <w:rPr>
                <w:rFonts w:ascii="Times New Roman" w:hAnsi="Times New Roman"/>
                <w:b/>
                <w:bCs/>
                <w:sz w:val="20"/>
                <w:szCs w:val="18"/>
                <w:u w:val="single"/>
                <w:lang w:val="sr-Cyrl-CS"/>
              </w:rPr>
              <w:t>–</w:t>
            </w:r>
            <w:r w:rsidR="00BD116A" w:rsidRPr="005303F7">
              <w:rPr>
                <w:rFonts w:ascii="Times New Roman" w:hAnsi="Times New Roman"/>
                <w:b/>
                <w:bCs/>
                <w:sz w:val="20"/>
                <w:szCs w:val="18"/>
                <w:u w:val="single"/>
                <w:lang w:val="sr-Cyrl-CS"/>
              </w:rPr>
              <w:t xml:space="preserve"> </w:t>
            </w:r>
            <w:r w:rsidR="008D69AF" w:rsidRPr="005303F7">
              <w:rPr>
                <w:rFonts w:ascii="Times New Roman" w:hAnsi="Times New Roman"/>
                <w:b/>
                <w:bCs/>
                <w:sz w:val="20"/>
                <w:szCs w:val="18"/>
                <w:u w:val="single"/>
                <w:lang w:val="sr-Cyrl-CS"/>
              </w:rPr>
              <w:t>Животна</w:t>
            </w:r>
            <w:r w:rsidR="0021489F" w:rsidRPr="005303F7">
              <w:rPr>
                <w:rFonts w:ascii="Times New Roman" w:hAnsi="Times New Roman"/>
                <w:b/>
                <w:bCs/>
                <w:sz w:val="20"/>
                <w:szCs w:val="18"/>
                <w:u w:val="single"/>
                <w:lang w:val="sr-Cyrl-CS"/>
              </w:rPr>
              <w:t xml:space="preserve"> </w:t>
            </w:r>
            <w:r w:rsidR="008D69AF" w:rsidRPr="005303F7">
              <w:rPr>
                <w:rFonts w:ascii="Times New Roman" w:hAnsi="Times New Roman"/>
                <w:b/>
                <w:bCs/>
                <w:sz w:val="20"/>
                <w:szCs w:val="18"/>
                <w:u w:val="single"/>
                <w:lang w:val="sr-Cyrl-CS"/>
              </w:rPr>
              <w:t>средина</w:t>
            </w:r>
          </w:p>
        </w:tc>
      </w:tr>
      <w:tr w:rsidR="005E05E0" w:rsidRPr="005303F7" w14:paraId="19C4A517" w14:textId="77777777" w:rsidTr="0009461F">
        <w:trPr>
          <w:trHeight w:val="442"/>
        </w:trPr>
        <w:tc>
          <w:tcPr>
            <w:tcW w:w="549" w:type="dxa"/>
            <w:vMerge/>
            <w:tcBorders>
              <w:top w:val="single" w:sz="4" w:space="0" w:color="auto"/>
              <w:left w:val="single" w:sz="4" w:space="0" w:color="auto"/>
              <w:bottom w:val="single" w:sz="4" w:space="0" w:color="auto"/>
              <w:right w:val="single" w:sz="4" w:space="0" w:color="auto"/>
            </w:tcBorders>
            <w:vAlign w:val="center"/>
            <w:hideMark/>
          </w:tcPr>
          <w:p w14:paraId="5A24C997" w14:textId="77777777" w:rsidR="005E05E0" w:rsidRPr="005303F7" w:rsidRDefault="005E05E0">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422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56913A" w14:textId="60810E57" w:rsidR="005E05E0" w:rsidRPr="005303F7" w:rsidRDefault="008D69AF" w:rsidP="0029378D">
            <w:pPr>
              <w:spacing w:before="0" w:after="0"/>
              <w:jc w:val="center"/>
              <w:rPr>
                <w:rFonts w:ascii="Times New Roman" w:hAnsi="Times New Roman"/>
                <w:b/>
                <w:bCs/>
                <w:sz w:val="20"/>
                <w:lang w:val="sr-Cyrl-CS"/>
              </w:rPr>
            </w:pPr>
            <w:r w:rsidRPr="005303F7">
              <w:rPr>
                <w:rFonts w:ascii="Times New Roman" w:hAnsi="Times New Roman"/>
                <w:b/>
                <w:bCs/>
                <w:sz w:val="20"/>
                <w:lang w:val="sr-Cyrl-CS"/>
              </w:rPr>
              <w:t>К</w:t>
            </w:r>
            <w:r w:rsidR="00D553BE" w:rsidRPr="005303F7">
              <w:rPr>
                <w:rFonts w:ascii="Times New Roman" w:hAnsi="Times New Roman"/>
                <w:b/>
                <w:bCs/>
                <w:sz w:val="20"/>
                <w:lang w:val="sr-Cyrl-CS"/>
              </w:rPr>
              <w:t>љ</w:t>
            </w:r>
            <w:r w:rsidRPr="005303F7">
              <w:rPr>
                <w:rFonts w:ascii="Times New Roman" w:hAnsi="Times New Roman"/>
                <w:b/>
                <w:bCs/>
                <w:sz w:val="20"/>
                <w:lang w:val="sr-Cyrl-CS"/>
              </w:rPr>
              <w:t>учни</w:t>
            </w:r>
            <w:r w:rsidR="005E05E0" w:rsidRPr="005303F7">
              <w:rPr>
                <w:rFonts w:ascii="Times New Roman" w:hAnsi="Times New Roman"/>
                <w:b/>
                <w:bCs/>
                <w:sz w:val="20"/>
                <w:lang w:val="sr-Cyrl-CS"/>
              </w:rPr>
              <w:t xml:space="preserve"> </w:t>
            </w:r>
            <w:r w:rsidRPr="005303F7">
              <w:rPr>
                <w:rFonts w:ascii="Times New Roman" w:hAnsi="Times New Roman"/>
                <w:b/>
                <w:bCs/>
                <w:sz w:val="20"/>
                <w:lang w:val="sr-Cyrl-CS"/>
              </w:rPr>
              <w:t>субјекат</w:t>
            </w:r>
            <w:r w:rsidR="005E05E0" w:rsidRPr="005303F7">
              <w:rPr>
                <w:rFonts w:ascii="Times New Roman" w:hAnsi="Times New Roman"/>
                <w:b/>
                <w:bCs/>
                <w:sz w:val="20"/>
                <w:lang w:val="sr-Cyrl-CS"/>
              </w:rPr>
              <w:t xml:space="preserve"> </w:t>
            </w:r>
            <w:r w:rsidRPr="005303F7">
              <w:rPr>
                <w:rFonts w:ascii="Times New Roman" w:hAnsi="Times New Roman"/>
                <w:b/>
                <w:bCs/>
                <w:sz w:val="20"/>
                <w:lang w:val="sr-Cyrl-CS"/>
              </w:rPr>
              <w:t>за</w:t>
            </w:r>
            <w:r w:rsidR="005E05E0" w:rsidRPr="005303F7">
              <w:rPr>
                <w:rFonts w:ascii="Times New Roman" w:hAnsi="Times New Roman"/>
                <w:b/>
                <w:bCs/>
                <w:sz w:val="20"/>
                <w:lang w:val="sr-Cyrl-CS"/>
              </w:rPr>
              <w:t xml:space="preserve"> </w:t>
            </w:r>
            <w:r w:rsidRPr="005303F7">
              <w:rPr>
                <w:rFonts w:ascii="Times New Roman" w:hAnsi="Times New Roman"/>
                <w:b/>
                <w:bCs/>
                <w:sz w:val="20"/>
                <w:lang w:val="sr-Cyrl-CS"/>
              </w:rPr>
              <w:t>спровођење</w:t>
            </w:r>
            <w:r w:rsidR="005E05E0"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p>
        </w:tc>
        <w:tc>
          <w:tcPr>
            <w:tcW w:w="45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0E4313" w14:textId="10A157A9" w:rsidR="005E05E0"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Партнери</w:t>
            </w:r>
          </w:p>
        </w:tc>
        <w:tc>
          <w:tcPr>
            <w:tcW w:w="184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181987" w14:textId="1C8C9DE1" w:rsidR="005E05E0" w:rsidRPr="005303F7" w:rsidRDefault="00690489" w:rsidP="0029378D">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 xml:space="preserve">ЕТS/ </w:t>
            </w:r>
            <w:r w:rsidR="004A35C7" w:rsidRPr="005303F7">
              <w:rPr>
                <w:rFonts w:ascii="Times New Roman" w:hAnsi="Times New Roman"/>
                <w:b/>
                <w:sz w:val="20"/>
                <w:lang w:val="sr-Cyrl-CS"/>
              </w:rPr>
              <w:t>не-ЕТS</w:t>
            </w:r>
          </w:p>
        </w:tc>
        <w:tc>
          <w:tcPr>
            <w:tcW w:w="138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98095E" w14:textId="6390DC3B" w:rsidR="005E05E0"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Главни</w:t>
            </w:r>
            <w:r w:rsidR="005E05E0" w:rsidRPr="005303F7">
              <w:rPr>
                <w:rFonts w:ascii="Times New Roman" w:hAnsi="Times New Roman"/>
                <w:b/>
                <w:bCs/>
                <w:sz w:val="20"/>
                <w:lang w:val="sr-Cyrl-CS"/>
              </w:rPr>
              <w:t xml:space="preserve"> </w:t>
            </w:r>
            <w:r w:rsidRPr="005303F7">
              <w:rPr>
                <w:rFonts w:ascii="Times New Roman" w:hAnsi="Times New Roman"/>
                <w:b/>
                <w:bCs/>
                <w:sz w:val="20"/>
                <w:lang w:val="sr-Cyrl-CS"/>
              </w:rPr>
              <w:t>гасови</w:t>
            </w:r>
          </w:p>
        </w:tc>
        <w:tc>
          <w:tcPr>
            <w:tcW w:w="347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D9BAF0" w14:textId="451FA2C5" w:rsidR="00D7102F" w:rsidRPr="005303F7" w:rsidRDefault="00284DF0"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 xml:space="preserve">Процењен утицај ублажавања </w:t>
            </w:r>
            <w:r w:rsidR="00D7102F" w:rsidRPr="005303F7">
              <w:rPr>
                <w:rFonts w:ascii="Times New Roman" w:hAnsi="Times New Roman"/>
                <w:b/>
                <w:bCs/>
                <w:sz w:val="20"/>
                <w:lang w:val="sr-Cyrl-CS"/>
              </w:rPr>
              <w:t xml:space="preserve">до 2030. </w:t>
            </w:r>
          </w:p>
          <w:p w14:paraId="7C77C4C5" w14:textId="76D1AE13" w:rsidR="005E05E0"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BD116A" w:rsidRPr="005303F7" w14:paraId="2A1586F2" w14:textId="77777777" w:rsidTr="002925CB">
        <w:trPr>
          <w:trHeight w:val="740"/>
        </w:trPr>
        <w:tc>
          <w:tcPr>
            <w:tcW w:w="549" w:type="dxa"/>
            <w:vMerge/>
            <w:tcBorders>
              <w:top w:val="single" w:sz="4" w:space="0" w:color="auto"/>
              <w:left w:val="single" w:sz="4" w:space="0" w:color="auto"/>
              <w:bottom w:val="single" w:sz="4" w:space="0" w:color="auto"/>
              <w:right w:val="single" w:sz="4" w:space="0" w:color="auto"/>
            </w:tcBorders>
            <w:vAlign w:val="center"/>
            <w:hideMark/>
          </w:tcPr>
          <w:p w14:paraId="27FE3002" w14:textId="77777777" w:rsidR="00BD116A" w:rsidRPr="005303F7" w:rsidRDefault="00BD116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4226"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848F99" w14:textId="3D5BC098"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DE351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заштите</w:t>
            </w:r>
            <w:r w:rsidR="00DE351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животне</w:t>
            </w:r>
            <w:r w:rsidR="00DE351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средине</w:t>
            </w:r>
            <w:r w:rsidR="00DE351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Минситарство</w:t>
            </w:r>
            <w:r w:rsidR="00DE351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финансија</w:t>
            </w:r>
          </w:p>
        </w:tc>
        <w:tc>
          <w:tcPr>
            <w:tcW w:w="45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85B660" w14:textId="2607D7D0"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DE351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грађевинарства</w:t>
            </w:r>
            <w:r w:rsidR="00DE351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саобраћаја</w:t>
            </w:r>
            <w:r w:rsidR="00DE351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DE3515"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инфраструктуре</w:t>
            </w:r>
          </w:p>
        </w:tc>
        <w:tc>
          <w:tcPr>
            <w:tcW w:w="184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B259E4" w14:textId="3D074970" w:rsidR="00BD116A" w:rsidRPr="005303F7" w:rsidRDefault="004A35C7">
            <w:pPr>
              <w:overflowPunct/>
              <w:spacing w:after="0"/>
              <w:jc w:val="center"/>
              <w:rPr>
                <w:rFonts w:ascii="Times New Roman" w:hAnsi="Times New Roman"/>
                <w:bCs/>
                <w:sz w:val="20"/>
                <w:lang w:val="sr-Cyrl-CS"/>
              </w:rPr>
            </w:pPr>
            <w:r w:rsidRPr="005303F7">
              <w:rPr>
                <w:rFonts w:ascii="Times New Roman" w:hAnsi="Times New Roman"/>
                <w:bCs/>
                <w:sz w:val="20"/>
                <w:lang w:val="sr-Cyrl-CS"/>
              </w:rPr>
              <w:t>не-ЕТS</w:t>
            </w:r>
          </w:p>
        </w:tc>
        <w:tc>
          <w:tcPr>
            <w:tcW w:w="138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2F5192" w14:textId="37C42A15" w:rsidR="00BD116A" w:rsidRPr="005303F7" w:rsidRDefault="00531F8A">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C</w:t>
            </w:r>
            <w:r w:rsidR="008D69AF" w:rsidRPr="005303F7">
              <w:rPr>
                <w:rFonts w:ascii="Times New Roman" w:hAnsi="Times New Roman"/>
                <w:bCs/>
                <w:color w:val="000000"/>
                <w:sz w:val="20"/>
                <w:lang w:val="sr-Cyrl-CS"/>
              </w:rPr>
              <w:t>О</w:t>
            </w:r>
            <w:r w:rsidR="00BD116A" w:rsidRPr="005303F7">
              <w:rPr>
                <w:rFonts w:ascii="Times New Roman" w:hAnsi="Times New Roman"/>
                <w:bCs/>
                <w:color w:val="000000"/>
                <w:sz w:val="20"/>
                <w:vertAlign w:val="subscript"/>
                <w:lang w:val="sr-Cyrl-CS"/>
              </w:rPr>
              <w:t>2</w:t>
            </w:r>
          </w:p>
        </w:tc>
        <w:tc>
          <w:tcPr>
            <w:tcW w:w="347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5954C3" w14:textId="77777777" w:rsidR="00BD116A" w:rsidRPr="005303F7" w:rsidRDefault="00BD116A">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752</w:t>
            </w:r>
          </w:p>
        </w:tc>
      </w:tr>
      <w:tr w:rsidR="00BD116A" w:rsidRPr="005303F7" w14:paraId="3863A944" w14:textId="77777777" w:rsidTr="00F23EDD">
        <w:trPr>
          <w:trHeight w:val="638"/>
        </w:trPr>
        <w:tc>
          <w:tcPr>
            <w:tcW w:w="561" w:type="dxa"/>
            <w:gridSpan w:val="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16E6BE0B" w14:textId="4259640F" w:rsidR="00BD116A" w:rsidRPr="005303F7" w:rsidRDefault="008D69AF">
            <w:pPr>
              <w:overflowPunct/>
              <w:spacing w:after="0"/>
              <w:rPr>
                <w:rFonts w:ascii="Times New Roman" w:hAnsi="Times New Roman"/>
                <w:sz w:val="20"/>
                <w:lang w:val="sr-Cyrl-CS"/>
              </w:rPr>
            </w:pPr>
            <w:r w:rsidRPr="005303F7">
              <w:rPr>
                <w:rFonts w:ascii="Times New Roman" w:hAnsi="Times New Roman"/>
                <w:sz w:val="20"/>
                <w:lang w:val="sr-Cyrl-CS"/>
              </w:rPr>
              <w:t>Бр</w:t>
            </w:r>
            <w:r w:rsidR="00BD116A" w:rsidRPr="005303F7">
              <w:rPr>
                <w:rFonts w:ascii="Times New Roman" w:hAnsi="Times New Roman"/>
                <w:sz w:val="20"/>
                <w:lang w:val="sr-Cyrl-CS"/>
              </w:rPr>
              <w:t>.</w:t>
            </w:r>
          </w:p>
        </w:tc>
        <w:tc>
          <w:tcPr>
            <w:tcW w:w="15429" w:type="dxa"/>
            <w:gridSpan w:val="3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2D157474" w14:textId="25B8747B" w:rsidR="00BD116A" w:rsidRPr="005303F7" w:rsidRDefault="008D69AF" w:rsidP="00F23EDD">
            <w:pPr>
              <w:overflowPunct/>
              <w:spacing w:before="0" w:after="0"/>
              <w:jc w:val="left"/>
              <w:rPr>
                <w:rFonts w:ascii="Times New Roman" w:hAnsi="Times New Roman"/>
                <w:b/>
                <w:bCs/>
                <w:color w:val="FFFFFF" w:themeColor="background1"/>
                <w:sz w:val="20"/>
                <w:lang w:val="sr-Cyrl-CS"/>
              </w:rPr>
            </w:pPr>
            <w:r w:rsidRPr="005303F7">
              <w:rPr>
                <w:rFonts w:ascii="Times New Roman" w:hAnsi="Times New Roman"/>
                <w:b/>
                <w:bCs/>
                <w:sz w:val="20"/>
                <w:lang w:val="sr-Cyrl-CS"/>
              </w:rPr>
              <w:t>Назив</w:t>
            </w:r>
            <w:r w:rsidR="00EF00EA"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r w:rsidR="00EF00EA" w:rsidRPr="005303F7">
              <w:rPr>
                <w:rFonts w:ascii="Times New Roman" w:hAnsi="Times New Roman"/>
                <w:b/>
                <w:bCs/>
                <w:sz w:val="20"/>
                <w:lang w:val="sr-Cyrl-CS"/>
              </w:rPr>
              <w:t xml:space="preserve">: </w:t>
            </w:r>
            <w:r w:rsidRPr="005303F7">
              <w:rPr>
                <w:rFonts w:ascii="Times New Roman" w:hAnsi="Times New Roman"/>
                <w:b/>
                <w:bCs/>
                <w:color w:val="FFFFFF" w:themeColor="background1"/>
                <w:sz w:val="20"/>
                <w:lang w:val="sr-Cyrl-CS" w:eastAsia="pt-PT"/>
              </w:rPr>
              <w:t>Обнова</w:t>
            </w:r>
            <w:r w:rsidR="00EF00EA" w:rsidRPr="005303F7">
              <w:rPr>
                <w:rFonts w:ascii="Times New Roman" w:hAnsi="Times New Roman"/>
                <w:b/>
                <w:bCs/>
                <w:color w:val="FFFFFF" w:themeColor="background1"/>
                <w:sz w:val="20"/>
                <w:lang w:val="sr-Cyrl-CS" w:eastAsia="pt-PT"/>
              </w:rPr>
              <w:t xml:space="preserve"> </w:t>
            </w:r>
            <w:r w:rsidRPr="005303F7">
              <w:rPr>
                <w:rFonts w:ascii="Times New Roman" w:hAnsi="Times New Roman"/>
                <w:b/>
                <w:bCs/>
                <w:color w:val="FFFFFF" w:themeColor="background1"/>
                <w:sz w:val="20"/>
                <w:lang w:val="sr-Cyrl-CS" w:eastAsia="pt-PT"/>
              </w:rPr>
              <w:t>возног</w:t>
            </w:r>
            <w:r w:rsidR="00EF00EA" w:rsidRPr="005303F7">
              <w:rPr>
                <w:rFonts w:ascii="Times New Roman" w:hAnsi="Times New Roman"/>
                <w:b/>
                <w:bCs/>
                <w:color w:val="FFFFFF" w:themeColor="background1"/>
                <w:sz w:val="20"/>
                <w:lang w:val="sr-Cyrl-CS" w:eastAsia="pt-PT"/>
              </w:rPr>
              <w:t xml:space="preserve"> </w:t>
            </w:r>
            <w:r w:rsidRPr="005303F7">
              <w:rPr>
                <w:rFonts w:ascii="Times New Roman" w:hAnsi="Times New Roman"/>
                <w:b/>
                <w:bCs/>
                <w:color w:val="FFFFFF" w:themeColor="background1"/>
                <w:sz w:val="20"/>
                <w:lang w:val="sr-Cyrl-CS" w:eastAsia="pt-PT"/>
              </w:rPr>
              <w:t>парка</w:t>
            </w:r>
            <w:r w:rsidR="009B04F4" w:rsidRPr="005303F7">
              <w:rPr>
                <w:rFonts w:ascii="Times New Roman" w:hAnsi="Times New Roman"/>
                <w:b/>
                <w:bCs/>
                <w:color w:val="FFFFFF" w:themeColor="background1"/>
                <w:sz w:val="20"/>
                <w:lang w:val="sr-Cyrl-CS" w:eastAsia="pt-PT"/>
              </w:rPr>
              <w:t xml:space="preserve"> </w:t>
            </w:r>
            <w:r w:rsidRPr="005303F7">
              <w:rPr>
                <w:rFonts w:ascii="Times New Roman" w:hAnsi="Times New Roman"/>
                <w:b/>
                <w:bCs/>
                <w:color w:val="FFFFFF" w:themeColor="background1"/>
                <w:sz w:val="20"/>
                <w:lang w:val="sr-Cyrl-CS" w:eastAsia="pt-PT"/>
              </w:rPr>
              <w:t>за</w:t>
            </w:r>
            <w:r w:rsidR="009B04F4" w:rsidRPr="005303F7">
              <w:rPr>
                <w:rFonts w:ascii="Times New Roman" w:hAnsi="Times New Roman"/>
                <w:b/>
                <w:bCs/>
                <w:color w:val="FFFFFF" w:themeColor="background1"/>
                <w:sz w:val="20"/>
                <w:lang w:val="sr-Cyrl-CS" w:eastAsia="pt-PT"/>
              </w:rPr>
              <w:t xml:space="preserve"> </w:t>
            </w:r>
            <w:r w:rsidRPr="005303F7">
              <w:rPr>
                <w:rFonts w:ascii="Times New Roman" w:hAnsi="Times New Roman"/>
                <w:b/>
                <w:bCs/>
                <w:color w:val="FFFFFF" w:themeColor="background1"/>
                <w:sz w:val="20"/>
                <w:lang w:val="sr-Cyrl-CS" w:eastAsia="pt-PT"/>
              </w:rPr>
              <w:t>превоз</w:t>
            </w:r>
            <w:r w:rsidR="009B04F4" w:rsidRPr="005303F7">
              <w:rPr>
                <w:rFonts w:ascii="Times New Roman" w:hAnsi="Times New Roman"/>
                <w:b/>
                <w:bCs/>
                <w:color w:val="FFFFFF" w:themeColor="background1"/>
                <w:sz w:val="20"/>
                <w:lang w:val="sr-Cyrl-CS" w:eastAsia="pt-PT"/>
              </w:rPr>
              <w:t xml:space="preserve"> </w:t>
            </w:r>
            <w:r w:rsidRPr="005303F7">
              <w:rPr>
                <w:rFonts w:ascii="Times New Roman" w:hAnsi="Times New Roman"/>
                <w:b/>
                <w:bCs/>
                <w:color w:val="FFFFFF" w:themeColor="background1"/>
                <w:sz w:val="20"/>
                <w:lang w:val="sr-Cyrl-CS" w:eastAsia="pt-PT"/>
              </w:rPr>
              <w:t>путника</w:t>
            </w:r>
            <w:r w:rsidR="00EF00EA" w:rsidRPr="005303F7">
              <w:rPr>
                <w:rFonts w:ascii="Times New Roman" w:hAnsi="Times New Roman"/>
                <w:b/>
                <w:bCs/>
                <w:color w:val="FFFFFF" w:themeColor="background1"/>
                <w:sz w:val="20"/>
                <w:lang w:val="sr-Cyrl-CS" w:eastAsia="pt-PT"/>
              </w:rPr>
              <w:t xml:space="preserve"> </w:t>
            </w:r>
            <w:r w:rsidRPr="005303F7">
              <w:rPr>
                <w:rFonts w:ascii="Times New Roman" w:hAnsi="Times New Roman"/>
                <w:b/>
                <w:bCs/>
                <w:color w:val="FFFFFF" w:themeColor="background1"/>
                <w:sz w:val="20"/>
                <w:lang w:val="sr-Cyrl-CS" w:eastAsia="pt-PT"/>
              </w:rPr>
              <w:t>и</w:t>
            </w:r>
            <w:r w:rsidR="00EF00EA" w:rsidRPr="005303F7">
              <w:rPr>
                <w:rFonts w:ascii="Times New Roman" w:hAnsi="Times New Roman"/>
                <w:b/>
                <w:bCs/>
                <w:color w:val="FFFFFF" w:themeColor="background1"/>
                <w:sz w:val="20"/>
                <w:lang w:val="sr-Cyrl-CS" w:eastAsia="pt-PT"/>
              </w:rPr>
              <w:t xml:space="preserve"> </w:t>
            </w:r>
            <w:r w:rsidRPr="005303F7">
              <w:rPr>
                <w:rFonts w:ascii="Times New Roman" w:hAnsi="Times New Roman"/>
                <w:b/>
                <w:bCs/>
                <w:color w:val="FFFFFF" w:themeColor="background1"/>
                <w:sz w:val="20"/>
                <w:lang w:val="sr-Cyrl-CS" w:eastAsia="pt-PT"/>
              </w:rPr>
              <w:t>промоција</w:t>
            </w:r>
            <w:r w:rsidR="00EF00EA" w:rsidRPr="005303F7">
              <w:rPr>
                <w:rFonts w:ascii="Times New Roman" w:hAnsi="Times New Roman"/>
                <w:b/>
                <w:bCs/>
                <w:color w:val="FFFFFF" w:themeColor="background1"/>
                <w:sz w:val="20"/>
                <w:lang w:val="sr-Cyrl-CS" w:eastAsia="pt-PT"/>
              </w:rPr>
              <w:t xml:space="preserve"> </w:t>
            </w:r>
            <w:r w:rsidRPr="005303F7">
              <w:rPr>
                <w:rFonts w:ascii="Times New Roman" w:hAnsi="Times New Roman"/>
                <w:b/>
                <w:bCs/>
                <w:color w:val="FFFFFF" w:themeColor="background1"/>
                <w:sz w:val="20"/>
                <w:lang w:val="sr-Cyrl-CS" w:eastAsia="pt-PT"/>
              </w:rPr>
              <w:t>одрживог</w:t>
            </w:r>
            <w:r w:rsidR="00EF00EA" w:rsidRPr="005303F7">
              <w:rPr>
                <w:rFonts w:ascii="Times New Roman" w:hAnsi="Times New Roman"/>
                <w:b/>
                <w:bCs/>
                <w:color w:val="FFFFFF" w:themeColor="background1"/>
                <w:sz w:val="20"/>
                <w:lang w:val="sr-Cyrl-CS" w:eastAsia="pt-PT"/>
              </w:rPr>
              <w:t xml:space="preserve"> </w:t>
            </w:r>
            <w:r w:rsidRPr="005303F7">
              <w:rPr>
                <w:rFonts w:ascii="Times New Roman" w:hAnsi="Times New Roman"/>
                <w:b/>
                <w:bCs/>
                <w:color w:val="FFFFFF" w:themeColor="background1"/>
                <w:sz w:val="20"/>
                <w:lang w:val="sr-Cyrl-CS" w:eastAsia="pt-PT"/>
              </w:rPr>
              <w:t>путничког</w:t>
            </w:r>
            <w:r w:rsidR="00EF00EA" w:rsidRPr="005303F7">
              <w:rPr>
                <w:rFonts w:ascii="Times New Roman" w:hAnsi="Times New Roman"/>
                <w:b/>
                <w:bCs/>
                <w:color w:val="FFFFFF" w:themeColor="background1"/>
                <w:sz w:val="20"/>
                <w:lang w:val="sr-Cyrl-CS" w:eastAsia="pt-PT"/>
              </w:rPr>
              <w:t xml:space="preserve"> </w:t>
            </w:r>
            <w:r w:rsidRPr="005303F7">
              <w:rPr>
                <w:rFonts w:ascii="Times New Roman" w:hAnsi="Times New Roman"/>
                <w:b/>
                <w:bCs/>
                <w:color w:val="FFFFFF" w:themeColor="background1"/>
                <w:sz w:val="20"/>
                <w:lang w:val="sr-Cyrl-CS" w:eastAsia="pt-PT"/>
              </w:rPr>
              <w:t>саобра</w:t>
            </w:r>
            <w:r w:rsidR="00016298" w:rsidRPr="005303F7">
              <w:rPr>
                <w:rFonts w:ascii="Times New Roman" w:hAnsi="Times New Roman"/>
                <w:b/>
                <w:bCs/>
                <w:color w:val="FFFFFF" w:themeColor="background1"/>
                <w:sz w:val="20"/>
                <w:lang w:val="sr-Cyrl-CS" w:eastAsia="pt-PT"/>
              </w:rPr>
              <w:t>ћ</w:t>
            </w:r>
            <w:r w:rsidRPr="005303F7">
              <w:rPr>
                <w:rFonts w:ascii="Times New Roman" w:hAnsi="Times New Roman"/>
                <w:b/>
                <w:bCs/>
                <w:color w:val="FFFFFF" w:themeColor="background1"/>
                <w:sz w:val="20"/>
                <w:lang w:val="sr-Cyrl-CS" w:eastAsia="pt-PT"/>
              </w:rPr>
              <w:t>аја</w:t>
            </w:r>
          </w:p>
          <w:p w14:paraId="2B21526B" w14:textId="58DA1D48" w:rsidR="00BD116A" w:rsidRPr="005303F7" w:rsidRDefault="008D69AF" w:rsidP="00F23EDD">
            <w:pPr>
              <w:overflowPunct/>
              <w:spacing w:before="0" w:after="0"/>
              <w:jc w:val="left"/>
              <w:rPr>
                <w:rFonts w:ascii="Times New Roman" w:hAnsi="Times New Roman"/>
                <w:b/>
                <w:sz w:val="20"/>
                <w:u w:val="single"/>
                <w:lang w:val="sr-Cyrl-CS"/>
              </w:rPr>
            </w:pPr>
            <w:r w:rsidRPr="005303F7">
              <w:rPr>
                <w:rFonts w:ascii="Times New Roman" w:hAnsi="Times New Roman"/>
                <w:b/>
                <w:color w:val="FFFFFF" w:themeColor="background1"/>
                <w:sz w:val="20"/>
                <w:u w:val="single"/>
                <w:lang w:val="sr-Cyrl-CS"/>
              </w:rPr>
              <w:t>Промоција</w:t>
            </w:r>
            <w:r w:rsidR="00EF00EA"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јавног</w:t>
            </w:r>
            <w:r w:rsidR="009B04F4"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превоза</w:t>
            </w:r>
            <w:r w:rsidR="00EF00EA"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и</w:t>
            </w:r>
            <w:r w:rsidR="00EF00EA"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немоторизованог</w:t>
            </w:r>
            <w:r w:rsidR="00EF00EA"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транспорта</w:t>
            </w:r>
            <w:r w:rsidR="00EF00EA" w:rsidRPr="005303F7">
              <w:rPr>
                <w:rFonts w:ascii="Times New Roman" w:hAnsi="Times New Roman"/>
                <w:b/>
                <w:color w:val="FFFFFF" w:themeColor="background1"/>
                <w:sz w:val="20"/>
                <w:u w:val="single"/>
                <w:lang w:val="sr-Cyrl-CS"/>
              </w:rPr>
              <w:t xml:space="preserve"> </w:t>
            </w:r>
          </w:p>
        </w:tc>
      </w:tr>
      <w:tr w:rsidR="00BD116A" w:rsidRPr="005303F7" w14:paraId="4EB63EEA" w14:textId="77777777" w:rsidTr="00D27999">
        <w:trPr>
          <w:trHeight w:val="565"/>
        </w:trPr>
        <w:tc>
          <w:tcPr>
            <w:tcW w:w="56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6159BC" w14:textId="77777777" w:rsidR="00BD116A" w:rsidRPr="005303F7" w:rsidRDefault="00BD116A">
            <w:pPr>
              <w:overflowPunct/>
              <w:spacing w:after="0"/>
              <w:jc w:val="center"/>
              <w:rPr>
                <w:rFonts w:ascii="Times New Roman" w:hAnsi="Times New Roman"/>
                <w:b/>
                <w:color w:val="000000"/>
                <w:sz w:val="20"/>
                <w:lang w:val="sr-Cyrl-CS"/>
              </w:rPr>
            </w:pPr>
            <w:r w:rsidRPr="005303F7">
              <w:rPr>
                <w:rFonts w:ascii="Times New Roman" w:hAnsi="Times New Roman"/>
                <w:b/>
                <w:color w:val="000000"/>
                <w:sz w:val="20"/>
                <w:lang w:val="sr-Cyrl-CS"/>
              </w:rPr>
              <w:t>12</w:t>
            </w:r>
          </w:p>
        </w:tc>
        <w:tc>
          <w:tcPr>
            <w:tcW w:w="15429" w:type="dxa"/>
            <w:gridSpan w:val="32"/>
            <w:tcBorders>
              <w:top w:val="single" w:sz="4" w:space="0" w:color="auto"/>
              <w:left w:val="single" w:sz="4" w:space="0" w:color="auto"/>
              <w:bottom w:val="single" w:sz="4" w:space="0" w:color="auto"/>
              <w:right w:val="single" w:sz="4" w:space="0" w:color="auto"/>
            </w:tcBorders>
            <w:vAlign w:val="center"/>
          </w:tcPr>
          <w:p w14:paraId="4BBC7ECD" w14:textId="4DF4CD24" w:rsidR="00BD116A" w:rsidRPr="005303F7" w:rsidRDefault="008D69AF">
            <w:pPr>
              <w:overflowPunct/>
              <w:jc w:val="left"/>
              <w:rPr>
                <w:rFonts w:ascii="Times New Roman" w:hAnsi="Times New Roman"/>
                <w:b/>
                <w:color w:val="000000"/>
                <w:sz w:val="20"/>
                <w:u w:val="single"/>
                <w:lang w:val="sr-Cyrl-CS"/>
              </w:rPr>
            </w:pPr>
            <w:r w:rsidRPr="005303F7">
              <w:rPr>
                <w:rFonts w:ascii="Times New Roman" w:hAnsi="Times New Roman"/>
                <w:b/>
                <w:color w:val="000000"/>
                <w:sz w:val="20"/>
                <w:u w:val="single"/>
                <w:lang w:val="sr-Cyrl-CS"/>
              </w:rPr>
              <w:t>Врста</w:t>
            </w:r>
            <w:r w:rsidR="00B97807"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BD116A" w:rsidRPr="005303F7">
              <w:rPr>
                <w:rFonts w:ascii="Times New Roman" w:hAnsi="Times New Roman"/>
                <w:b/>
                <w:color w:val="000000"/>
                <w:sz w:val="20"/>
                <w:u w:val="single"/>
                <w:lang w:val="sr-Cyrl-CS"/>
              </w:rPr>
              <w:t>:</w:t>
            </w:r>
            <w:r w:rsidR="00BD116A" w:rsidRPr="005303F7">
              <w:rPr>
                <w:rFonts w:ascii="Times New Roman" w:hAnsi="Times New Roman"/>
                <w:b/>
                <w:color w:val="000000"/>
                <w:sz w:val="20"/>
                <w:lang w:val="sr-Cyrl-CS"/>
              </w:rPr>
              <w:t xml:space="preserve"> </w:t>
            </w:r>
            <w:r w:rsidRPr="005303F7">
              <w:rPr>
                <w:rFonts w:ascii="Times New Roman" w:hAnsi="Times New Roman"/>
                <w:bCs/>
                <w:color w:val="000000"/>
                <w:sz w:val="20"/>
                <w:lang w:val="sr-Cyrl-CS"/>
              </w:rPr>
              <w:t>Регулаторна</w:t>
            </w:r>
            <w:r w:rsidR="00BD116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информативно</w:t>
            </w:r>
            <w:r w:rsidR="00F85AC6" w:rsidRPr="005303F7">
              <w:rPr>
                <w:rFonts w:ascii="Times New Roman" w:hAnsi="Times New Roman"/>
                <w:bCs/>
                <w:color w:val="000000"/>
                <w:sz w:val="20"/>
                <w:lang w:val="sr-Cyrl-CS"/>
              </w:rPr>
              <w:t>-</w:t>
            </w:r>
            <w:r w:rsidRPr="005303F7">
              <w:rPr>
                <w:rFonts w:ascii="Times New Roman" w:hAnsi="Times New Roman"/>
                <w:bCs/>
                <w:color w:val="000000"/>
                <w:sz w:val="20"/>
                <w:lang w:val="sr-Cyrl-CS"/>
              </w:rPr>
              <w:t>едукативна</w:t>
            </w:r>
            <w:r w:rsidR="00F85AC6"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организационо</w:t>
            </w:r>
            <w:r w:rsidR="00F85AC6" w:rsidRPr="005303F7">
              <w:rPr>
                <w:rFonts w:ascii="Times New Roman" w:hAnsi="Times New Roman"/>
                <w:bCs/>
                <w:color w:val="000000"/>
                <w:sz w:val="20"/>
                <w:lang w:val="sr-Cyrl-CS"/>
              </w:rPr>
              <w:t>-</w:t>
            </w:r>
            <w:r w:rsidRPr="005303F7">
              <w:rPr>
                <w:rFonts w:ascii="Times New Roman" w:hAnsi="Times New Roman"/>
                <w:bCs/>
                <w:color w:val="000000"/>
                <w:sz w:val="20"/>
                <w:lang w:val="sr-Cyrl-CS"/>
              </w:rPr>
              <w:t>управ</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ачка</w:t>
            </w:r>
            <w:r w:rsidR="00F85AC6" w:rsidRPr="005303F7">
              <w:rPr>
                <w:rFonts w:ascii="Times New Roman" w:hAnsi="Times New Roman"/>
                <w:bCs/>
                <w:color w:val="000000"/>
                <w:sz w:val="20"/>
                <w:lang w:val="sr-Cyrl-CS"/>
              </w:rPr>
              <w:t>-</w:t>
            </w:r>
            <w:r w:rsidRPr="005303F7">
              <w:rPr>
                <w:rFonts w:ascii="Times New Roman" w:hAnsi="Times New Roman"/>
                <w:bCs/>
                <w:color w:val="000000"/>
                <w:sz w:val="20"/>
                <w:lang w:val="sr-Cyrl-CS"/>
              </w:rPr>
              <w:t>институционална</w:t>
            </w:r>
          </w:p>
          <w:p w14:paraId="5A679E5F" w14:textId="4BA85EED" w:rsidR="00AE0963" w:rsidRPr="005303F7" w:rsidRDefault="008D69AF" w:rsidP="00955072">
            <w:pPr>
              <w:overflowPunct/>
              <w:spacing w:after="0"/>
              <w:rPr>
                <w:rFonts w:ascii="Times New Roman" w:hAnsi="Times New Roman"/>
                <w:sz w:val="20"/>
                <w:lang w:val="sr-Cyrl-CS"/>
              </w:rPr>
            </w:pPr>
            <w:r w:rsidRPr="005303F7">
              <w:rPr>
                <w:rFonts w:ascii="Times New Roman" w:hAnsi="Times New Roman"/>
                <w:b/>
                <w:color w:val="000000"/>
                <w:sz w:val="20"/>
                <w:u w:val="single"/>
                <w:lang w:val="sr-Cyrl-CS"/>
              </w:rPr>
              <w:t>Опис</w:t>
            </w:r>
            <w:r w:rsidR="00B97807"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BD116A" w:rsidRPr="005303F7">
              <w:rPr>
                <w:rFonts w:ascii="Times New Roman" w:hAnsi="Times New Roman"/>
                <w:bCs/>
                <w:color w:val="000000"/>
                <w:sz w:val="20"/>
                <w:lang w:val="sr-Cyrl-CS"/>
              </w:rPr>
              <w:t>:</w:t>
            </w:r>
            <w:r w:rsidR="00BD116A" w:rsidRPr="005303F7">
              <w:rPr>
                <w:rFonts w:ascii="Times New Roman" w:hAnsi="Times New Roman"/>
                <w:sz w:val="20"/>
                <w:lang w:val="sr-Cyrl-CS"/>
              </w:rPr>
              <w:t xml:space="preserve"> </w:t>
            </w:r>
            <w:r w:rsidRPr="005303F7">
              <w:rPr>
                <w:rFonts w:ascii="Times New Roman" w:hAnsi="Times New Roman"/>
                <w:sz w:val="20"/>
                <w:lang w:val="sr-Cyrl-CS"/>
              </w:rPr>
              <w:t>Пове</w:t>
            </w:r>
            <w:r w:rsidR="00016298" w:rsidRPr="005303F7">
              <w:rPr>
                <w:rFonts w:ascii="Times New Roman" w:hAnsi="Times New Roman"/>
                <w:sz w:val="20"/>
                <w:lang w:val="sr-Cyrl-CS"/>
              </w:rPr>
              <w:t>ћ</w:t>
            </w:r>
            <w:r w:rsidRPr="005303F7">
              <w:rPr>
                <w:rFonts w:ascii="Times New Roman" w:hAnsi="Times New Roman"/>
                <w:sz w:val="20"/>
                <w:lang w:val="sr-Cyrl-CS"/>
              </w:rPr>
              <w:t>ање</w:t>
            </w:r>
            <w:r w:rsidR="00CF220D" w:rsidRPr="005303F7">
              <w:rPr>
                <w:rFonts w:ascii="Times New Roman" w:hAnsi="Times New Roman"/>
                <w:sz w:val="20"/>
                <w:lang w:val="sr-Cyrl-CS"/>
              </w:rPr>
              <w:t xml:space="preserve"> </w:t>
            </w:r>
            <w:r w:rsidRPr="005303F7">
              <w:rPr>
                <w:rFonts w:ascii="Times New Roman" w:hAnsi="Times New Roman"/>
                <w:sz w:val="20"/>
                <w:lang w:val="sr-Cyrl-CS"/>
              </w:rPr>
              <w:t>кориш</w:t>
            </w:r>
            <w:r w:rsidR="00016298" w:rsidRPr="005303F7">
              <w:rPr>
                <w:rFonts w:ascii="Times New Roman" w:hAnsi="Times New Roman"/>
                <w:sz w:val="20"/>
                <w:lang w:val="sr-Cyrl-CS"/>
              </w:rPr>
              <w:t>ћ</w:t>
            </w:r>
            <w:r w:rsidRPr="005303F7">
              <w:rPr>
                <w:rFonts w:ascii="Times New Roman" w:hAnsi="Times New Roman"/>
                <w:sz w:val="20"/>
                <w:lang w:val="sr-Cyrl-CS"/>
              </w:rPr>
              <w:t>ења</w:t>
            </w:r>
            <w:r w:rsidR="00CF220D" w:rsidRPr="005303F7">
              <w:rPr>
                <w:rFonts w:ascii="Times New Roman" w:hAnsi="Times New Roman"/>
                <w:sz w:val="20"/>
                <w:lang w:val="sr-Cyrl-CS"/>
              </w:rPr>
              <w:t xml:space="preserve"> </w:t>
            </w:r>
            <w:r w:rsidRPr="005303F7">
              <w:rPr>
                <w:rFonts w:ascii="Times New Roman" w:hAnsi="Times New Roman"/>
                <w:sz w:val="20"/>
                <w:lang w:val="sr-Cyrl-CS"/>
              </w:rPr>
              <w:t>јавног</w:t>
            </w:r>
            <w:r w:rsidR="00CF220D" w:rsidRPr="005303F7">
              <w:rPr>
                <w:rFonts w:ascii="Times New Roman" w:hAnsi="Times New Roman"/>
                <w:sz w:val="20"/>
                <w:lang w:val="sr-Cyrl-CS"/>
              </w:rPr>
              <w:t xml:space="preserve"> </w:t>
            </w:r>
            <w:r w:rsidRPr="005303F7">
              <w:rPr>
                <w:rFonts w:ascii="Times New Roman" w:hAnsi="Times New Roman"/>
                <w:sz w:val="20"/>
                <w:lang w:val="sr-Cyrl-CS"/>
              </w:rPr>
              <w:t>превоза</w:t>
            </w:r>
            <w:r w:rsidR="00CF220D" w:rsidRPr="005303F7">
              <w:rPr>
                <w:rFonts w:ascii="Times New Roman" w:hAnsi="Times New Roman"/>
                <w:sz w:val="20"/>
                <w:lang w:val="sr-Cyrl-CS"/>
              </w:rPr>
              <w:t xml:space="preserve"> </w:t>
            </w:r>
            <w:r w:rsidR="00BD116A" w:rsidRPr="005303F7">
              <w:rPr>
                <w:rFonts w:ascii="Times New Roman" w:hAnsi="Times New Roman"/>
                <w:sz w:val="20"/>
                <w:lang w:val="sr-Cyrl-CS"/>
              </w:rPr>
              <w:t xml:space="preserve">(33% </w:t>
            </w:r>
            <w:r w:rsidRPr="005303F7">
              <w:rPr>
                <w:rFonts w:ascii="Times New Roman" w:hAnsi="Times New Roman"/>
                <w:sz w:val="20"/>
                <w:lang w:val="sr-Cyrl-CS"/>
              </w:rPr>
              <w:t>до</w:t>
            </w:r>
            <w:r w:rsidR="00CF220D" w:rsidRPr="005303F7">
              <w:rPr>
                <w:rFonts w:ascii="Times New Roman" w:hAnsi="Times New Roman"/>
                <w:sz w:val="20"/>
                <w:lang w:val="sr-Cyrl-CS"/>
              </w:rPr>
              <w:t>.</w:t>
            </w:r>
            <w:r w:rsidR="00BD116A" w:rsidRPr="005303F7">
              <w:rPr>
                <w:rFonts w:ascii="Times New Roman" w:hAnsi="Times New Roman"/>
                <w:sz w:val="20"/>
                <w:lang w:val="sr-Cyrl-CS"/>
              </w:rPr>
              <w:t xml:space="preserve"> 2030</w:t>
            </w:r>
            <w:r w:rsidR="0016491A" w:rsidRPr="005303F7">
              <w:rPr>
                <w:rFonts w:ascii="Times New Roman" w:hAnsi="Times New Roman"/>
                <w:sz w:val="20"/>
                <w:lang w:val="sr-Cyrl-CS"/>
              </w:rPr>
              <w:t xml:space="preserve">. </w:t>
            </w:r>
            <w:r w:rsidRPr="005303F7">
              <w:rPr>
                <w:rFonts w:ascii="Times New Roman" w:hAnsi="Times New Roman"/>
                <w:sz w:val="20"/>
                <w:lang w:val="sr-Cyrl-CS"/>
              </w:rPr>
              <w:t>год</w:t>
            </w:r>
            <w:r w:rsidR="0016491A" w:rsidRPr="005303F7">
              <w:rPr>
                <w:rFonts w:ascii="Times New Roman" w:hAnsi="Times New Roman"/>
                <w:sz w:val="20"/>
                <w:lang w:val="sr-Cyrl-CS"/>
              </w:rPr>
              <w:t>.</w:t>
            </w:r>
            <w:r w:rsidR="00BD116A" w:rsidRPr="005303F7">
              <w:rPr>
                <w:rFonts w:ascii="Times New Roman" w:hAnsi="Times New Roman"/>
                <w:sz w:val="20"/>
                <w:lang w:val="sr-Cyrl-CS"/>
              </w:rPr>
              <w:t xml:space="preserve"> </w:t>
            </w:r>
            <w:r w:rsidRPr="005303F7">
              <w:rPr>
                <w:rFonts w:ascii="Times New Roman" w:hAnsi="Times New Roman"/>
                <w:sz w:val="20"/>
                <w:lang w:val="sr-Cyrl-CS"/>
              </w:rPr>
              <w:t>у</w:t>
            </w:r>
            <w:r w:rsidR="00CF220D" w:rsidRPr="005303F7">
              <w:rPr>
                <w:rFonts w:ascii="Times New Roman" w:hAnsi="Times New Roman"/>
                <w:sz w:val="20"/>
                <w:lang w:val="sr-Cyrl-CS"/>
              </w:rPr>
              <w:t xml:space="preserve"> </w:t>
            </w:r>
            <w:r w:rsidRPr="005303F7">
              <w:rPr>
                <w:rFonts w:ascii="Times New Roman" w:hAnsi="Times New Roman"/>
                <w:sz w:val="20"/>
                <w:lang w:val="sr-Cyrl-CS"/>
              </w:rPr>
              <w:t>поређењу</w:t>
            </w:r>
            <w:r w:rsidR="00CF220D" w:rsidRPr="005303F7">
              <w:rPr>
                <w:rFonts w:ascii="Times New Roman" w:hAnsi="Times New Roman"/>
                <w:sz w:val="20"/>
                <w:lang w:val="sr-Cyrl-CS"/>
              </w:rPr>
              <w:t xml:space="preserve"> </w:t>
            </w:r>
            <w:r w:rsidRPr="005303F7">
              <w:rPr>
                <w:rFonts w:ascii="Times New Roman" w:hAnsi="Times New Roman"/>
                <w:sz w:val="20"/>
                <w:lang w:val="sr-Cyrl-CS"/>
              </w:rPr>
              <w:t>са</w:t>
            </w:r>
            <w:r w:rsidR="00BD116A" w:rsidRPr="005303F7">
              <w:rPr>
                <w:rFonts w:ascii="Times New Roman" w:hAnsi="Times New Roman"/>
                <w:sz w:val="20"/>
                <w:lang w:val="sr-Cyrl-CS"/>
              </w:rPr>
              <w:t xml:space="preserve"> 2010</w:t>
            </w:r>
            <w:r w:rsidR="00CF220D" w:rsidRPr="005303F7">
              <w:rPr>
                <w:rFonts w:ascii="Times New Roman" w:hAnsi="Times New Roman"/>
                <w:sz w:val="20"/>
                <w:lang w:val="sr-Cyrl-CS"/>
              </w:rPr>
              <w:t>.</w:t>
            </w:r>
            <w:r w:rsidR="0016491A" w:rsidRPr="005303F7">
              <w:rPr>
                <w:rFonts w:ascii="Times New Roman" w:hAnsi="Times New Roman"/>
                <w:sz w:val="20"/>
                <w:lang w:val="sr-Cyrl-CS"/>
              </w:rPr>
              <w:t xml:space="preserve"> </w:t>
            </w:r>
            <w:r w:rsidRPr="005303F7">
              <w:rPr>
                <w:rFonts w:ascii="Times New Roman" w:hAnsi="Times New Roman"/>
                <w:sz w:val="20"/>
                <w:lang w:val="sr-Cyrl-CS"/>
              </w:rPr>
              <w:t>годином</w:t>
            </w:r>
            <w:r w:rsidR="00BD116A" w:rsidRPr="005303F7">
              <w:rPr>
                <w:rFonts w:ascii="Times New Roman" w:hAnsi="Times New Roman"/>
                <w:sz w:val="20"/>
                <w:lang w:val="sr-Cyrl-CS"/>
              </w:rPr>
              <w:t xml:space="preserve">), </w:t>
            </w:r>
            <w:r w:rsidRPr="005303F7">
              <w:rPr>
                <w:rFonts w:ascii="Times New Roman" w:hAnsi="Times New Roman"/>
                <w:sz w:val="20"/>
                <w:lang w:val="sr-Cyrl-CS"/>
              </w:rPr>
              <w:t>је</w:t>
            </w:r>
            <w:r w:rsidR="00CF220D" w:rsidRPr="005303F7">
              <w:rPr>
                <w:rFonts w:ascii="Times New Roman" w:hAnsi="Times New Roman"/>
                <w:sz w:val="20"/>
                <w:lang w:val="sr-Cyrl-CS"/>
              </w:rPr>
              <w:t xml:space="preserve"> </w:t>
            </w:r>
            <w:r w:rsidRPr="005303F7">
              <w:rPr>
                <w:rFonts w:ascii="Times New Roman" w:hAnsi="Times New Roman"/>
                <w:sz w:val="20"/>
                <w:lang w:val="sr-Cyrl-CS"/>
              </w:rPr>
              <w:t>од</w:t>
            </w:r>
            <w:r w:rsidR="00CF220D" w:rsidRPr="005303F7">
              <w:rPr>
                <w:rFonts w:ascii="Times New Roman" w:hAnsi="Times New Roman"/>
                <w:sz w:val="20"/>
                <w:lang w:val="sr-Cyrl-CS"/>
              </w:rPr>
              <w:t xml:space="preserve"> </w:t>
            </w:r>
            <w:r w:rsidRPr="005303F7">
              <w:rPr>
                <w:rFonts w:ascii="Times New Roman" w:hAnsi="Times New Roman"/>
                <w:sz w:val="20"/>
                <w:lang w:val="sr-Cyrl-CS"/>
              </w:rPr>
              <w:t>суштинског</w:t>
            </w:r>
            <w:r w:rsidR="00CF220D" w:rsidRPr="005303F7">
              <w:rPr>
                <w:rFonts w:ascii="Times New Roman" w:hAnsi="Times New Roman"/>
                <w:sz w:val="20"/>
                <w:lang w:val="sr-Cyrl-CS"/>
              </w:rPr>
              <w:t xml:space="preserve"> </w:t>
            </w:r>
            <w:r w:rsidRPr="005303F7">
              <w:rPr>
                <w:rFonts w:ascii="Times New Roman" w:hAnsi="Times New Roman"/>
                <w:sz w:val="20"/>
                <w:lang w:val="sr-Cyrl-CS"/>
              </w:rPr>
              <w:t>значаја</w:t>
            </w:r>
            <w:r w:rsidR="00CF220D" w:rsidRPr="005303F7">
              <w:rPr>
                <w:rFonts w:ascii="Times New Roman" w:hAnsi="Times New Roman"/>
                <w:sz w:val="20"/>
                <w:lang w:val="sr-Cyrl-CS"/>
              </w:rPr>
              <w:t xml:space="preserve"> </w:t>
            </w:r>
            <w:r w:rsidRPr="005303F7">
              <w:rPr>
                <w:rFonts w:ascii="Times New Roman" w:hAnsi="Times New Roman"/>
                <w:sz w:val="20"/>
                <w:lang w:val="sr-Cyrl-CS"/>
              </w:rPr>
              <w:t>за</w:t>
            </w:r>
            <w:r w:rsidR="00CF220D" w:rsidRPr="005303F7">
              <w:rPr>
                <w:rFonts w:ascii="Times New Roman" w:hAnsi="Times New Roman"/>
                <w:sz w:val="20"/>
                <w:lang w:val="sr-Cyrl-CS"/>
              </w:rPr>
              <w:t xml:space="preserve"> </w:t>
            </w:r>
            <w:r w:rsidRPr="005303F7">
              <w:rPr>
                <w:rFonts w:ascii="Times New Roman" w:hAnsi="Times New Roman"/>
                <w:sz w:val="20"/>
                <w:lang w:val="sr-Cyrl-CS"/>
              </w:rPr>
              <w:t>ограничавање</w:t>
            </w:r>
            <w:r w:rsidR="00CF220D" w:rsidRPr="005303F7">
              <w:rPr>
                <w:rFonts w:ascii="Times New Roman" w:hAnsi="Times New Roman"/>
                <w:sz w:val="20"/>
                <w:lang w:val="sr-Cyrl-CS"/>
              </w:rPr>
              <w:t xml:space="preserve"> </w:t>
            </w:r>
            <w:r w:rsidRPr="005303F7">
              <w:rPr>
                <w:rFonts w:ascii="Times New Roman" w:hAnsi="Times New Roman"/>
                <w:sz w:val="20"/>
                <w:lang w:val="sr-Cyrl-CS"/>
              </w:rPr>
              <w:t>раста</w:t>
            </w:r>
            <w:r w:rsidR="00CF220D" w:rsidRPr="005303F7">
              <w:rPr>
                <w:rFonts w:ascii="Times New Roman" w:hAnsi="Times New Roman"/>
                <w:sz w:val="20"/>
                <w:lang w:val="sr-Cyrl-CS"/>
              </w:rPr>
              <w:t xml:space="preserve"> </w:t>
            </w:r>
            <w:r w:rsidRPr="005303F7">
              <w:rPr>
                <w:rFonts w:ascii="Times New Roman" w:hAnsi="Times New Roman"/>
                <w:sz w:val="20"/>
                <w:lang w:val="sr-Cyrl-CS"/>
              </w:rPr>
              <w:t>емисија</w:t>
            </w:r>
            <w:r w:rsidR="00CF220D" w:rsidRPr="005303F7">
              <w:rPr>
                <w:rFonts w:ascii="Times New Roman" w:hAnsi="Times New Roman"/>
                <w:sz w:val="20"/>
                <w:lang w:val="sr-Cyrl-CS"/>
              </w:rPr>
              <w:t xml:space="preserve"> </w:t>
            </w:r>
            <w:r w:rsidRPr="005303F7">
              <w:rPr>
                <w:rFonts w:ascii="Times New Roman" w:hAnsi="Times New Roman"/>
                <w:sz w:val="20"/>
                <w:lang w:val="sr-Cyrl-CS"/>
              </w:rPr>
              <w:t>до</w:t>
            </w:r>
            <w:r w:rsidR="00BD116A" w:rsidRPr="005303F7">
              <w:rPr>
                <w:rFonts w:ascii="Times New Roman" w:hAnsi="Times New Roman"/>
                <w:sz w:val="20"/>
                <w:lang w:val="sr-Cyrl-CS"/>
              </w:rPr>
              <w:t xml:space="preserve"> 2030. </w:t>
            </w:r>
            <w:r w:rsidRPr="005303F7">
              <w:rPr>
                <w:rFonts w:ascii="Times New Roman" w:hAnsi="Times New Roman"/>
                <w:sz w:val="20"/>
                <w:lang w:val="sr-Cyrl-CS"/>
              </w:rPr>
              <w:t>године</w:t>
            </w:r>
            <w:r w:rsidR="00AE0963" w:rsidRPr="005303F7">
              <w:rPr>
                <w:rFonts w:ascii="Times New Roman" w:hAnsi="Times New Roman"/>
                <w:sz w:val="20"/>
                <w:lang w:val="sr-Cyrl-CS"/>
              </w:rPr>
              <w:t xml:space="preserve">. </w:t>
            </w:r>
            <w:r w:rsidRPr="005303F7">
              <w:rPr>
                <w:rFonts w:ascii="Times New Roman" w:hAnsi="Times New Roman"/>
                <w:sz w:val="20"/>
                <w:lang w:val="sr-Cyrl-CS"/>
              </w:rPr>
              <w:t>У</w:t>
            </w:r>
            <w:r w:rsidR="00AE0963" w:rsidRPr="005303F7">
              <w:rPr>
                <w:rFonts w:ascii="Times New Roman" w:hAnsi="Times New Roman"/>
                <w:sz w:val="20"/>
                <w:lang w:val="sr-Cyrl-CS"/>
              </w:rPr>
              <w:t xml:space="preserve"> </w:t>
            </w:r>
            <w:r w:rsidRPr="005303F7">
              <w:rPr>
                <w:rFonts w:ascii="Times New Roman" w:hAnsi="Times New Roman"/>
                <w:sz w:val="20"/>
                <w:lang w:val="sr-Cyrl-CS"/>
              </w:rPr>
              <w:t>вези</w:t>
            </w:r>
            <w:r w:rsidR="00AE0963" w:rsidRPr="005303F7">
              <w:rPr>
                <w:rFonts w:ascii="Times New Roman" w:hAnsi="Times New Roman"/>
                <w:sz w:val="20"/>
                <w:lang w:val="sr-Cyrl-CS"/>
              </w:rPr>
              <w:t xml:space="preserve"> </w:t>
            </w:r>
            <w:r w:rsidRPr="005303F7">
              <w:rPr>
                <w:rFonts w:ascii="Times New Roman" w:hAnsi="Times New Roman"/>
                <w:sz w:val="20"/>
                <w:lang w:val="sr-Cyrl-CS"/>
              </w:rPr>
              <w:t>с</w:t>
            </w:r>
            <w:r w:rsidR="00AE0963" w:rsidRPr="005303F7">
              <w:rPr>
                <w:rFonts w:ascii="Times New Roman" w:hAnsi="Times New Roman"/>
                <w:sz w:val="20"/>
                <w:lang w:val="sr-Cyrl-CS"/>
              </w:rPr>
              <w:t xml:space="preserve"> </w:t>
            </w:r>
            <w:r w:rsidRPr="005303F7">
              <w:rPr>
                <w:rFonts w:ascii="Times New Roman" w:hAnsi="Times New Roman"/>
                <w:sz w:val="20"/>
                <w:lang w:val="sr-Cyrl-CS"/>
              </w:rPr>
              <w:t>тим</w:t>
            </w:r>
            <w:r w:rsidR="00AE0963" w:rsidRPr="005303F7">
              <w:rPr>
                <w:rFonts w:ascii="Times New Roman" w:hAnsi="Times New Roman"/>
                <w:sz w:val="20"/>
                <w:lang w:val="sr-Cyrl-CS"/>
              </w:rPr>
              <w:t xml:space="preserve">, </w:t>
            </w:r>
            <w:r w:rsidRPr="005303F7">
              <w:rPr>
                <w:rFonts w:ascii="Times New Roman" w:hAnsi="Times New Roman"/>
                <w:sz w:val="20"/>
                <w:lang w:val="sr-Cyrl-CS"/>
              </w:rPr>
              <w:t>потребан</w:t>
            </w:r>
            <w:r w:rsidR="00AE0963" w:rsidRPr="005303F7">
              <w:rPr>
                <w:rFonts w:ascii="Times New Roman" w:hAnsi="Times New Roman"/>
                <w:sz w:val="20"/>
                <w:lang w:val="sr-Cyrl-CS"/>
              </w:rPr>
              <w:t xml:space="preserve"> </w:t>
            </w:r>
            <w:r w:rsidRPr="005303F7">
              <w:rPr>
                <w:rFonts w:ascii="Times New Roman" w:hAnsi="Times New Roman"/>
                <w:sz w:val="20"/>
                <w:lang w:val="sr-Cyrl-CS"/>
              </w:rPr>
              <w:t>је</w:t>
            </w:r>
            <w:r w:rsidR="00AE0963" w:rsidRPr="005303F7">
              <w:rPr>
                <w:rFonts w:ascii="Times New Roman" w:hAnsi="Times New Roman"/>
                <w:sz w:val="20"/>
                <w:lang w:val="sr-Cyrl-CS"/>
              </w:rPr>
              <w:t xml:space="preserve"> </w:t>
            </w:r>
            <w:r w:rsidRPr="005303F7">
              <w:rPr>
                <w:rFonts w:ascii="Times New Roman" w:hAnsi="Times New Roman"/>
                <w:sz w:val="20"/>
                <w:lang w:val="sr-Cyrl-CS"/>
              </w:rPr>
              <w:t>низ</w:t>
            </w:r>
            <w:r w:rsidR="00AE0963" w:rsidRPr="005303F7">
              <w:rPr>
                <w:rFonts w:ascii="Times New Roman" w:hAnsi="Times New Roman"/>
                <w:sz w:val="20"/>
                <w:lang w:val="sr-Cyrl-CS"/>
              </w:rPr>
              <w:t xml:space="preserve"> </w:t>
            </w:r>
            <w:r w:rsidRPr="005303F7">
              <w:rPr>
                <w:rFonts w:ascii="Times New Roman" w:hAnsi="Times New Roman"/>
                <w:sz w:val="20"/>
                <w:lang w:val="sr-Cyrl-CS"/>
              </w:rPr>
              <w:t>мера</w:t>
            </w:r>
            <w:r w:rsidR="00AE0963" w:rsidRPr="005303F7">
              <w:rPr>
                <w:rFonts w:ascii="Times New Roman" w:hAnsi="Times New Roman"/>
                <w:sz w:val="20"/>
                <w:lang w:val="sr-Cyrl-CS"/>
              </w:rPr>
              <w:t xml:space="preserve">, </w:t>
            </w:r>
            <w:r w:rsidRPr="005303F7">
              <w:rPr>
                <w:rFonts w:ascii="Times New Roman" w:hAnsi="Times New Roman"/>
                <w:sz w:val="20"/>
                <w:lang w:val="sr-Cyrl-CS"/>
              </w:rPr>
              <w:t>ук</w:t>
            </w:r>
            <w:r w:rsidR="00D553BE" w:rsidRPr="005303F7">
              <w:rPr>
                <w:rFonts w:ascii="Times New Roman" w:hAnsi="Times New Roman"/>
                <w:sz w:val="20"/>
                <w:lang w:val="sr-Cyrl-CS"/>
              </w:rPr>
              <w:t>љ</w:t>
            </w:r>
            <w:r w:rsidRPr="005303F7">
              <w:rPr>
                <w:rFonts w:ascii="Times New Roman" w:hAnsi="Times New Roman"/>
                <w:sz w:val="20"/>
                <w:lang w:val="sr-Cyrl-CS"/>
              </w:rPr>
              <w:t>учују</w:t>
            </w:r>
            <w:r w:rsidR="00016298" w:rsidRPr="005303F7">
              <w:rPr>
                <w:rFonts w:ascii="Times New Roman" w:hAnsi="Times New Roman"/>
                <w:sz w:val="20"/>
                <w:lang w:val="sr-Cyrl-CS"/>
              </w:rPr>
              <w:t>ћ</w:t>
            </w:r>
            <w:r w:rsidRPr="005303F7">
              <w:rPr>
                <w:rFonts w:ascii="Times New Roman" w:hAnsi="Times New Roman"/>
                <w:sz w:val="20"/>
                <w:lang w:val="sr-Cyrl-CS"/>
              </w:rPr>
              <w:t>и</w:t>
            </w:r>
            <w:r w:rsidR="00AE0963" w:rsidRPr="005303F7">
              <w:rPr>
                <w:rFonts w:ascii="Times New Roman" w:hAnsi="Times New Roman"/>
                <w:sz w:val="20"/>
                <w:lang w:val="sr-Cyrl-CS"/>
              </w:rPr>
              <w:t xml:space="preserve"> </w:t>
            </w:r>
            <w:r w:rsidRPr="005303F7">
              <w:rPr>
                <w:rFonts w:ascii="Times New Roman" w:hAnsi="Times New Roman"/>
                <w:sz w:val="20"/>
                <w:lang w:val="sr-Cyrl-CS"/>
              </w:rPr>
              <w:t>бо</w:t>
            </w:r>
            <w:r w:rsidR="00D553BE" w:rsidRPr="005303F7">
              <w:rPr>
                <w:rFonts w:ascii="Times New Roman" w:hAnsi="Times New Roman"/>
                <w:sz w:val="20"/>
                <w:lang w:val="sr-Cyrl-CS"/>
              </w:rPr>
              <w:t>љ</w:t>
            </w:r>
            <w:r w:rsidRPr="005303F7">
              <w:rPr>
                <w:rFonts w:ascii="Times New Roman" w:hAnsi="Times New Roman"/>
                <w:sz w:val="20"/>
                <w:lang w:val="sr-Cyrl-CS"/>
              </w:rPr>
              <w:t>е</w:t>
            </w:r>
            <w:r w:rsidR="00AE0963" w:rsidRPr="005303F7">
              <w:rPr>
                <w:rFonts w:ascii="Times New Roman" w:hAnsi="Times New Roman"/>
                <w:sz w:val="20"/>
                <w:lang w:val="sr-Cyrl-CS"/>
              </w:rPr>
              <w:t xml:space="preserve"> </w:t>
            </w:r>
            <w:r w:rsidRPr="005303F7">
              <w:rPr>
                <w:rFonts w:ascii="Times New Roman" w:hAnsi="Times New Roman"/>
                <w:sz w:val="20"/>
                <w:lang w:val="sr-Cyrl-CS"/>
              </w:rPr>
              <w:t>планирање</w:t>
            </w:r>
            <w:r w:rsidR="00AE0963" w:rsidRPr="005303F7">
              <w:rPr>
                <w:rFonts w:ascii="Times New Roman" w:hAnsi="Times New Roman"/>
                <w:sz w:val="20"/>
                <w:lang w:val="sr-Cyrl-CS"/>
              </w:rPr>
              <w:t xml:space="preserve">, </w:t>
            </w:r>
            <w:r w:rsidRPr="005303F7">
              <w:rPr>
                <w:rFonts w:ascii="Times New Roman" w:hAnsi="Times New Roman"/>
                <w:sz w:val="20"/>
                <w:lang w:val="sr-Cyrl-CS"/>
              </w:rPr>
              <w:t>улагања</w:t>
            </w:r>
            <w:r w:rsidR="00AE0963" w:rsidRPr="005303F7">
              <w:rPr>
                <w:rFonts w:ascii="Times New Roman" w:hAnsi="Times New Roman"/>
                <w:sz w:val="20"/>
                <w:lang w:val="sr-Cyrl-CS"/>
              </w:rPr>
              <w:t xml:space="preserve"> </w:t>
            </w:r>
            <w:r w:rsidRPr="005303F7">
              <w:rPr>
                <w:rFonts w:ascii="Times New Roman" w:hAnsi="Times New Roman"/>
                <w:sz w:val="20"/>
                <w:lang w:val="sr-Cyrl-CS"/>
              </w:rPr>
              <w:t>која</w:t>
            </w:r>
            <w:r w:rsidR="00AE0963" w:rsidRPr="005303F7">
              <w:rPr>
                <w:rFonts w:ascii="Times New Roman" w:hAnsi="Times New Roman"/>
                <w:sz w:val="20"/>
                <w:lang w:val="sr-Cyrl-CS"/>
              </w:rPr>
              <w:t xml:space="preserve"> </w:t>
            </w:r>
            <w:r w:rsidRPr="005303F7">
              <w:rPr>
                <w:rFonts w:ascii="Times New Roman" w:hAnsi="Times New Roman"/>
                <w:sz w:val="20"/>
                <w:lang w:val="sr-Cyrl-CS"/>
              </w:rPr>
              <w:t>омогу</w:t>
            </w:r>
            <w:r w:rsidR="00016298" w:rsidRPr="005303F7">
              <w:rPr>
                <w:rFonts w:ascii="Times New Roman" w:hAnsi="Times New Roman"/>
                <w:sz w:val="20"/>
                <w:lang w:val="sr-Cyrl-CS"/>
              </w:rPr>
              <w:t>ћ</w:t>
            </w:r>
            <w:r w:rsidRPr="005303F7">
              <w:rPr>
                <w:rFonts w:ascii="Times New Roman" w:hAnsi="Times New Roman"/>
                <w:sz w:val="20"/>
                <w:lang w:val="sr-Cyrl-CS"/>
              </w:rPr>
              <w:t>авају</w:t>
            </w:r>
            <w:r w:rsidR="00AE0963" w:rsidRPr="005303F7">
              <w:rPr>
                <w:rFonts w:ascii="Times New Roman" w:hAnsi="Times New Roman"/>
                <w:sz w:val="20"/>
                <w:lang w:val="sr-Cyrl-CS"/>
              </w:rPr>
              <w:t xml:space="preserve"> </w:t>
            </w:r>
            <w:r w:rsidRPr="005303F7">
              <w:rPr>
                <w:rFonts w:ascii="Times New Roman" w:hAnsi="Times New Roman"/>
                <w:sz w:val="20"/>
                <w:lang w:val="sr-Cyrl-CS"/>
              </w:rPr>
              <w:t>конкурентна</w:t>
            </w:r>
            <w:r w:rsidR="00AE0963" w:rsidRPr="005303F7">
              <w:rPr>
                <w:rFonts w:ascii="Times New Roman" w:hAnsi="Times New Roman"/>
                <w:sz w:val="20"/>
                <w:lang w:val="sr-Cyrl-CS"/>
              </w:rPr>
              <w:t xml:space="preserve"> </w:t>
            </w:r>
            <w:r w:rsidRPr="005303F7">
              <w:rPr>
                <w:rFonts w:ascii="Times New Roman" w:hAnsi="Times New Roman"/>
                <w:sz w:val="20"/>
                <w:lang w:val="sr-Cyrl-CS"/>
              </w:rPr>
              <w:t>различита</w:t>
            </w:r>
            <w:r w:rsidR="00AE0963" w:rsidRPr="005303F7">
              <w:rPr>
                <w:rFonts w:ascii="Times New Roman" w:hAnsi="Times New Roman"/>
                <w:sz w:val="20"/>
                <w:lang w:val="sr-Cyrl-CS"/>
              </w:rPr>
              <w:t xml:space="preserve"> </w:t>
            </w:r>
            <w:r w:rsidRPr="005303F7">
              <w:rPr>
                <w:rFonts w:ascii="Times New Roman" w:hAnsi="Times New Roman"/>
                <w:sz w:val="20"/>
                <w:lang w:val="sr-Cyrl-CS"/>
              </w:rPr>
              <w:t>превозна</w:t>
            </w:r>
            <w:r w:rsidR="00AE0963" w:rsidRPr="005303F7">
              <w:rPr>
                <w:rFonts w:ascii="Times New Roman" w:hAnsi="Times New Roman"/>
                <w:sz w:val="20"/>
                <w:lang w:val="sr-Cyrl-CS"/>
              </w:rPr>
              <w:t xml:space="preserve"> </w:t>
            </w:r>
            <w:r w:rsidRPr="005303F7">
              <w:rPr>
                <w:rFonts w:ascii="Times New Roman" w:hAnsi="Times New Roman"/>
                <w:sz w:val="20"/>
                <w:lang w:val="sr-Cyrl-CS"/>
              </w:rPr>
              <w:t>средства</w:t>
            </w:r>
            <w:r w:rsidR="00AE0963" w:rsidRPr="005303F7">
              <w:rPr>
                <w:rFonts w:ascii="Times New Roman" w:hAnsi="Times New Roman"/>
                <w:sz w:val="20"/>
                <w:lang w:val="sr-Cyrl-CS"/>
              </w:rPr>
              <w:t xml:space="preserve"> </w:t>
            </w:r>
            <w:r w:rsidRPr="005303F7">
              <w:rPr>
                <w:rFonts w:ascii="Times New Roman" w:hAnsi="Times New Roman"/>
                <w:sz w:val="20"/>
                <w:lang w:val="sr-Cyrl-CS"/>
              </w:rPr>
              <w:t>и</w:t>
            </w:r>
            <w:r w:rsidR="00AE0963" w:rsidRPr="005303F7">
              <w:rPr>
                <w:rFonts w:ascii="Times New Roman" w:hAnsi="Times New Roman"/>
                <w:sz w:val="20"/>
                <w:lang w:val="sr-Cyrl-CS"/>
              </w:rPr>
              <w:t xml:space="preserve"> </w:t>
            </w:r>
            <w:r w:rsidRPr="005303F7">
              <w:rPr>
                <w:rFonts w:ascii="Times New Roman" w:hAnsi="Times New Roman"/>
                <w:sz w:val="20"/>
                <w:lang w:val="sr-Cyrl-CS"/>
              </w:rPr>
              <w:t>промену</w:t>
            </w:r>
            <w:r w:rsidR="00AE0963" w:rsidRPr="005303F7">
              <w:rPr>
                <w:rFonts w:ascii="Times New Roman" w:hAnsi="Times New Roman"/>
                <w:sz w:val="20"/>
                <w:lang w:val="sr-Cyrl-CS"/>
              </w:rPr>
              <w:t xml:space="preserve"> </w:t>
            </w:r>
            <w:r w:rsidRPr="005303F7">
              <w:rPr>
                <w:rFonts w:ascii="Times New Roman" w:hAnsi="Times New Roman"/>
                <w:sz w:val="20"/>
                <w:lang w:val="sr-Cyrl-CS"/>
              </w:rPr>
              <w:t>навика</w:t>
            </w:r>
            <w:r w:rsidR="00AE0963" w:rsidRPr="005303F7">
              <w:rPr>
                <w:rFonts w:ascii="Times New Roman" w:hAnsi="Times New Roman"/>
                <w:sz w:val="20"/>
                <w:lang w:val="sr-Cyrl-CS"/>
              </w:rPr>
              <w:t xml:space="preserve"> </w:t>
            </w:r>
            <w:r w:rsidRPr="005303F7">
              <w:rPr>
                <w:rFonts w:ascii="Times New Roman" w:hAnsi="Times New Roman"/>
                <w:sz w:val="20"/>
                <w:lang w:val="sr-Cyrl-CS"/>
              </w:rPr>
              <w:t>на</w:t>
            </w:r>
            <w:r w:rsidR="00AE0963" w:rsidRPr="005303F7">
              <w:rPr>
                <w:rFonts w:ascii="Times New Roman" w:hAnsi="Times New Roman"/>
                <w:sz w:val="20"/>
                <w:lang w:val="sr-Cyrl-CS"/>
              </w:rPr>
              <w:t xml:space="preserve"> </w:t>
            </w:r>
            <w:r w:rsidRPr="005303F7">
              <w:rPr>
                <w:rFonts w:ascii="Times New Roman" w:hAnsi="Times New Roman"/>
                <w:sz w:val="20"/>
                <w:lang w:val="sr-Cyrl-CS"/>
              </w:rPr>
              <w:t>путу</w:t>
            </w:r>
            <w:r w:rsidR="00AE0963" w:rsidRPr="005303F7">
              <w:rPr>
                <w:rFonts w:ascii="Times New Roman" w:hAnsi="Times New Roman"/>
                <w:sz w:val="20"/>
                <w:lang w:val="sr-Cyrl-CS"/>
              </w:rPr>
              <w:t xml:space="preserve"> </w:t>
            </w:r>
            <w:r w:rsidRPr="005303F7">
              <w:rPr>
                <w:rFonts w:ascii="Times New Roman" w:hAnsi="Times New Roman"/>
                <w:sz w:val="20"/>
                <w:lang w:val="sr-Cyrl-CS"/>
              </w:rPr>
              <w:t>за</w:t>
            </w:r>
            <w:r w:rsidR="00AE0963" w:rsidRPr="005303F7">
              <w:rPr>
                <w:rFonts w:ascii="Times New Roman" w:hAnsi="Times New Roman"/>
                <w:sz w:val="20"/>
                <w:lang w:val="sr-Cyrl-CS"/>
              </w:rPr>
              <w:t xml:space="preserve"> </w:t>
            </w:r>
            <w:r w:rsidRPr="005303F7">
              <w:rPr>
                <w:rFonts w:ascii="Times New Roman" w:hAnsi="Times New Roman"/>
                <w:sz w:val="20"/>
                <w:lang w:val="sr-Cyrl-CS"/>
              </w:rPr>
              <w:t>посао</w:t>
            </w:r>
            <w:r w:rsidR="00AE0963" w:rsidRPr="005303F7">
              <w:rPr>
                <w:rFonts w:ascii="Times New Roman" w:hAnsi="Times New Roman"/>
                <w:sz w:val="20"/>
                <w:lang w:val="sr-Cyrl-CS"/>
              </w:rPr>
              <w:t xml:space="preserve">. </w:t>
            </w:r>
            <w:r w:rsidRPr="005303F7">
              <w:rPr>
                <w:rFonts w:ascii="Times New Roman" w:hAnsi="Times New Roman"/>
                <w:sz w:val="20"/>
                <w:lang w:val="sr-Cyrl-CS"/>
              </w:rPr>
              <w:t>Те</w:t>
            </w:r>
            <w:r w:rsidR="00AE0963" w:rsidRPr="005303F7">
              <w:rPr>
                <w:rFonts w:ascii="Times New Roman" w:hAnsi="Times New Roman"/>
                <w:sz w:val="20"/>
                <w:lang w:val="sr-Cyrl-CS"/>
              </w:rPr>
              <w:t xml:space="preserve"> </w:t>
            </w:r>
            <w:r w:rsidRPr="005303F7">
              <w:rPr>
                <w:rFonts w:ascii="Times New Roman" w:hAnsi="Times New Roman"/>
                <w:sz w:val="20"/>
                <w:lang w:val="sr-Cyrl-CS"/>
              </w:rPr>
              <w:t>мере</w:t>
            </w:r>
            <w:r w:rsidR="00AE0963" w:rsidRPr="005303F7">
              <w:rPr>
                <w:rFonts w:ascii="Times New Roman" w:hAnsi="Times New Roman"/>
                <w:sz w:val="20"/>
                <w:lang w:val="sr-Cyrl-CS"/>
              </w:rPr>
              <w:t xml:space="preserve"> </w:t>
            </w:r>
            <w:r w:rsidRPr="005303F7">
              <w:rPr>
                <w:rFonts w:ascii="Times New Roman" w:hAnsi="Times New Roman"/>
                <w:sz w:val="20"/>
                <w:lang w:val="sr-Cyrl-CS"/>
              </w:rPr>
              <w:t>требало</w:t>
            </w:r>
            <w:r w:rsidR="00AE0963" w:rsidRPr="005303F7">
              <w:rPr>
                <w:rFonts w:ascii="Times New Roman" w:hAnsi="Times New Roman"/>
                <w:sz w:val="20"/>
                <w:lang w:val="sr-Cyrl-CS"/>
              </w:rPr>
              <w:t xml:space="preserve"> </w:t>
            </w:r>
            <w:r w:rsidRPr="005303F7">
              <w:rPr>
                <w:rFonts w:ascii="Times New Roman" w:hAnsi="Times New Roman"/>
                <w:sz w:val="20"/>
                <w:lang w:val="sr-Cyrl-CS"/>
              </w:rPr>
              <w:t>би</w:t>
            </w:r>
            <w:r w:rsidR="00AE0963" w:rsidRPr="005303F7">
              <w:rPr>
                <w:rFonts w:ascii="Times New Roman" w:hAnsi="Times New Roman"/>
                <w:sz w:val="20"/>
                <w:lang w:val="sr-Cyrl-CS"/>
              </w:rPr>
              <w:t xml:space="preserve"> </w:t>
            </w:r>
            <w:r w:rsidRPr="005303F7">
              <w:rPr>
                <w:rFonts w:ascii="Times New Roman" w:hAnsi="Times New Roman"/>
                <w:sz w:val="20"/>
                <w:lang w:val="sr-Cyrl-CS"/>
              </w:rPr>
              <w:t>да</w:t>
            </w:r>
            <w:r w:rsidR="00AE0963" w:rsidRPr="005303F7">
              <w:rPr>
                <w:rFonts w:ascii="Times New Roman" w:hAnsi="Times New Roman"/>
                <w:sz w:val="20"/>
                <w:lang w:val="sr-Cyrl-CS"/>
              </w:rPr>
              <w:t xml:space="preserve"> </w:t>
            </w:r>
            <w:r w:rsidRPr="005303F7">
              <w:rPr>
                <w:rFonts w:ascii="Times New Roman" w:hAnsi="Times New Roman"/>
                <w:sz w:val="20"/>
                <w:lang w:val="sr-Cyrl-CS"/>
              </w:rPr>
              <w:t>се</w:t>
            </w:r>
            <w:r w:rsidR="00AE0963" w:rsidRPr="005303F7">
              <w:rPr>
                <w:rFonts w:ascii="Times New Roman" w:hAnsi="Times New Roman"/>
                <w:sz w:val="20"/>
                <w:lang w:val="sr-Cyrl-CS"/>
              </w:rPr>
              <w:t xml:space="preserve"> </w:t>
            </w:r>
            <w:r w:rsidRPr="005303F7">
              <w:rPr>
                <w:rFonts w:ascii="Times New Roman" w:hAnsi="Times New Roman"/>
                <w:sz w:val="20"/>
                <w:lang w:val="sr-Cyrl-CS"/>
              </w:rPr>
              <w:t>заснивају</w:t>
            </w:r>
            <w:r w:rsidR="00AE0963" w:rsidRPr="005303F7">
              <w:rPr>
                <w:rFonts w:ascii="Times New Roman" w:hAnsi="Times New Roman"/>
                <w:sz w:val="20"/>
                <w:lang w:val="sr-Cyrl-CS"/>
              </w:rPr>
              <w:t xml:space="preserve"> </w:t>
            </w:r>
            <w:r w:rsidRPr="005303F7">
              <w:rPr>
                <w:rFonts w:ascii="Times New Roman" w:hAnsi="Times New Roman"/>
                <w:sz w:val="20"/>
                <w:lang w:val="sr-Cyrl-CS"/>
              </w:rPr>
              <w:t>на</w:t>
            </w:r>
            <w:r w:rsidR="00AE0963" w:rsidRPr="005303F7">
              <w:rPr>
                <w:rFonts w:ascii="Times New Roman" w:hAnsi="Times New Roman"/>
                <w:sz w:val="20"/>
                <w:lang w:val="sr-Cyrl-CS"/>
              </w:rPr>
              <w:t xml:space="preserve"> </w:t>
            </w:r>
            <w:r w:rsidRPr="005303F7">
              <w:rPr>
                <w:rFonts w:ascii="Times New Roman" w:hAnsi="Times New Roman"/>
                <w:sz w:val="20"/>
                <w:lang w:val="sr-Cyrl-CS"/>
              </w:rPr>
              <w:t>ревидираној</w:t>
            </w:r>
            <w:r w:rsidR="00AE0963" w:rsidRPr="005303F7">
              <w:rPr>
                <w:rFonts w:ascii="Times New Roman" w:hAnsi="Times New Roman"/>
                <w:sz w:val="20"/>
                <w:lang w:val="sr-Cyrl-CS"/>
              </w:rPr>
              <w:t xml:space="preserve"> </w:t>
            </w:r>
            <w:r w:rsidRPr="005303F7">
              <w:rPr>
                <w:rFonts w:ascii="Times New Roman" w:hAnsi="Times New Roman"/>
                <w:sz w:val="20"/>
                <w:lang w:val="sr-Cyrl-CS"/>
              </w:rPr>
              <w:t>стратегији</w:t>
            </w:r>
            <w:r w:rsidR="0040531A" w:rsidRPr="005303F7">
              <w:rPr>
                <w:rFonts w:ascii="Times New Roman" w:hAnsi="Times New Roman"/>
                <w:sz w:val="20"/>
                <w:lang w:val="sr-Cyrl-CS"/>
              </w:rPr>
              <w:t xml:space="preserve"> </w:t>
            </w:r>
            <w:r w:rsidRPr="005303F7">
              <w:rPr>
                <w:rFonts w:ascii="Times New Roman" w:hAnsi="Times New Roman"/>
                <w:sz w:val="20"/>
                <w:lang w:val="sr-Cyrl-CS"/>
              </w:rPr>
              <w:t>саобраћаја</w:t>
            </w:r>
            <w:r w:rsidR="00AE0963" w:rsidRPr="005303F7">
              <w:rPr>
                <w:rFonts w:ascii="Times New Roman" w:hAnsi="Times New Roman"/>
                <w:sz w:val="20"/>
                <w:lang w:val="sr-Cyrl-CS"/>
              </w:rPr>
              <w:t xml:space="preserve"> </w:t>
            </w:r>
            <w:r w:rsidRPr="005303F7">
              <w:rPr>
                <w:rFonts w:ascii="Times New Roman" w:hAnsi="Times New Roman"/>
                <w:sz w:val="20"/>
                <w:lang w:val="sr-Cyrl-CS"/>
              </w:rPr>
              <w:t>која</w:t>
            </w:r>
            <w:r w:rsidR="00AE0963" w:rsidRPr="005303F7">
              <w:rPr>
                <w:rFonts w:ascii="Times New Roman" w:hAnsi="Times New Roman"/>
                <w:sz w:val="20"/>
                <w:lang w:val="sr-Cyrl-CS"/>
              </w:rPr>
              <w:t xml:space="preserve"> </w:t>
            </w:r>
            <w:r w:rsidRPr="005303F7">
              <w:rPr>
                <w:rFonts w:ascii="Times New Roman" w:hAnsi="Times New Roman"/>
                <w:sz w:val="20"/>
                <w:lang w:val="sr-Cyrl-CS"/>
              </w:rPr>
              <w:t>би</w:t>
            </w:r>
            <w:r w:rsidR="00AE0963" w:rsidRPr="005303F7">
              <w:rPr>
                <w:rFonts w:ascii="Times New Roman" w:hAnsi="Times New Roman"/>
                <w:sz w:val="20"/>
                <w:lang w:val="sr-Cyrl-CS"/>
              </w:rPr>
              <w:t xml:space="preserve"> </w:t>
            </w:r>
            <w:r w:rsidRPr="005303F7">
              <w:rPr>
                <w:rFonts w:ascii="Times New Roman" w:hAnsi="Times New Roman"/>
                <w:sz w:val="20"/>
                <w:lang w:val="sr-Cyrl-CS"/>
              </w:rPr>
              <w:t>требало</w:t>
            </w:r>
            <w:r w:rsidR="00AE0963" w:rsidRPr="005303F7">
              <w:rPr>
                <w:rFonts w:ascii="Times New Roman" w:hAnsi="Times New Roman"/>
                <w:sz w:val="20"/>
                <w:lang w:val="sr-Cyrl-CS"/>
              </w:rPr>
              <w:t xml:space="preserve"> </w:t>
            </w:r>
            <w:r w:rsidRPr="005303F7">
              <w:rPr>
                <w:rFonts w:ascii="Times New Roman" w:hAnsi="Times New Roman"/>
                <w:sz w:val="20"/>
                <w:lang w:val="sr-Cyrl-CS"/>
              </w:rPr>
              <w:t>да</w:t>
            </w:r>
            <w:r w:rsidR="00AE0963" w:rsidRPr="005303F7">
              <w:rPr>
                <w:rFonts w:ascii="Times New Roman" w:hAnsi="Times New Roman"/>
                <w:sz w:val="20"/>
                <w:lang w:val="sr-Cyrl-CS"/>
              </w:rPr>
              <w:t xml:space="preserve"> </w:t>
            </w:r>
            <w:r w:rsidRPr="005303F7">
              <w:rPr>
                <w:rFonts w:ascii="Times New Roman" w:hAnsi="Times New Roman"/>
                <w:sz w:val="20"/>
                <w:lang w:val="sr-Cyrl-CS"/>
              </w:rPr>
              <w:t>ук</w:t>
            </w:r>
            <w:r w:rsidR="00D553BE" w:rsidRPr="005303F7">
              <w:rPr>
                <w:rFonts w:ascii="Times New Roman" w:hAnsi="Times New Roman"/>
                <w:sz w:val="20"/>
                <w:lang w:val="sr-Cyrl-CS"/>
              </w:rPr>
              <w:t>љ</w:t>
            </w:r>
            <w:r w:rsidRPr="005303F7">
              <w:rPr>
                <w:rFonts w:ascii="Times New Roman" w:hAnsi="Times New Roman"/>
                <w:sz w:val="20"/>
                <w:lang w:val="sr-Cyrl-CS"/>
              </w:rPr>
              <w:t>учује</w:t>
            </w:r>
            <w:r w:rsidR="00AE0963" w:rsidRPr="005303F7">
              <w:rPr>
                <w:rFonts w:ascii="Times New Roman" w:hAnsi="Times New Roman"/>
                <w:sz w:val="20"/>
                <w:lang w:val="sr-Cyrl-CS"/>
              </w:rPr>
              <w:t xml:space="preserve"> </w:t>
            </w:r>
            <w:r w:rsidRPr="005303F7">
              <w:rPr>
                <w:rFonts w:ascii="Times New Roman" w:hAnsi="Times New Roman"/>
                <w:sz w:val="20"/>
                <w:lang w:val="sr-Cyrl-CS"/>
              </w:rPr>
              <w:t>аспекте</w:t>
            </w:r>
            <w:r w:rsidR="00AE0963" w:rsidRPr="005303F7">
              <w:rPr>
                <w:rFonts w:ascii="Times New Roman" w:hAnsi="Times New Roman"/>
                <w:sz w:val="20"/>
                <w:lang w:val="sr-Cyrl-CS"/>
              </w:rPr>
              <w:t xml:space="preserve"> </w:t>
            </w:r>
            <w:r w:rsidRPr="005303F7">
              <w:rPr>
                <w:rFonts w:ascii="Times New Roman" w:hAnsi="Times New Roman"/>
                <w:sz w:val="20"/>
                <w:lang w:val="sr-Cyrl-CS"/>
              </w:rPr>
              <w:t>климатских</w:t>
            </w:r>
            <w:r w:rsidR="0040531A" w:rsidRPr="005303F7">
              <w:rPr>
                <w:rFonts w:ascii="Times New Roman" w:hAnsi="Times New Roman"/>
                <w:sz w:val="20"/>
                <w:lang w:val="sr-Cyrl-CS"/>
              </w:rPr>
              <w:t xml:space="preserve"> </w:t>
            </w:r>
            <w:r w:rsidRPr="005303F7">
              <w:rPr>
                <w:rFonts w:ascii="Times New Roman" w:hAnsi="Times New Roman"/>
                <w:sz w:val="20"/>
                <w:lang w:val="sr-Cyrl-CS"/>
              </w:rPr>
              <w:t>промена</w:t>
            </w:r>
            <w:r w:rsidR="0040531A" w:rsidRPr="005303F7">
              <w:rPr>
                <w:rFonts w:ascii="Times New Roman" w:hAnsi="Times New Roman"/>
                <w:sz w:val="20"/>
                <w:lang w:val="sr-Cyrl-CS"/>
              </w:rPr>
              <w:t xml:space="preserve"> </w:t>
            </w:r>
            <w:r w:rsidRPr="005303F7">
              <w:rPr>
                <w:rFonts w:ascii="Times New Roman" w:hAnsi="Times New Roman"/>
                <w:sz w:val="20"/>
                <w:lang w:val="sr-Cyrl-CS"/>
              </w:rPr>
              <w:t>и</w:t>
            </w:r>
            <w:r w:rsidR="00AE0963" w:rsidRPr="005303F7">
              <w:rPr>
                <w:rFonts w:ascii="Times New Roman" w:hAnsi="Times New Roman"/>
                <w:sz w:val="20"/>
                <w:lang w:val="sr-Cyrl-CS"/>
              </w:rPr>
              <w:t xml:space="preserve"> </w:t>
            </w:r>
            <w:r w:rsidRPr="005303F7">
              <w:rPr>
                <w:rFonts w:ascii="Times New Roman" w:hAnsi="Times New Roman"/>
                <w:sz w:val="20"/>
                <w:lang w:val="sr-Cyrl-CS"/>
              </w:rPr>
              <w:t>промене</w:t>
            </w:r>
            <w:r w:rsidR="00AE0963" w:rsidRPr="005303F7">
              <w:rPr>
                <w:rFonts w:ascii="Times New Roman" w:hAnsi="Times New Roman"/>
                <w:sz w:val="20"/>
                <w:lang w:val="sr-Cyrl-CS"/>
              </w:rPr>
              <w:t xml:space="preserve"> </w:t>
            </w:r>
            <w:r w:rsidRPr="005303F7">
              <w:rPr>
                <w:rFonts w:ascii="Times New Roman" w:hAnsi="Times New Roman"/>
                <w:sz w:val="20"/>
                <w:lang w:val="sr-Cyrl-CS"/>
              </w:rPr>
              <w:t>у</w:t>
            </w:r>
            <w:r w:rsidR="00AE0963" w:rsidRPr="005303F7">
              <w:rPr>
                <w:rFonts w:ascii="Times New Roman" w:hAnsi="Times New Roman"/>
                <w:sz w:val="20"/>
                <w:lang w:val="sr-Cyrl-CS"/>
              </w:rPr>
              <w:t xml:space="preserve"> </w:t>
            </w:r>
            <w:r w:rsidRPr="005303F7">
              <w:rPr>
                <w:rFonts w:ascii="Times New Roman" w:hAnsi="Times New Roman"/>
                <w:sz w:val="20"/>
                <w:lang w:val="sr-Cyrl-CS"/>
              </w:rPr>
              <w:t>развоју</w:t>
            </w:r>
            <w:r w:rsidR="00AE0963" w:rsidRPr="005303F7">
              <w:rPr>
                <w:rFonts w:ascii="Times New Roman" w:hAnsi="Times New Roman"/>
                <w:sz w:val="20"/>
                <w:lang w:val="sr-Cyrl-CS"/>
              </w:rPr>
              <w:t xml:space="preserve"> </w:t>
            </w:r>
            <w:r w:rsidRPr="005303F7">
              <w:rPr>
                <w:rFonts w:ascii="Times New Roman" w:hAnsi="Times New Roman"/>
                <w:sz w:val="20"/>
                <w:lang w:val="sr-Cyrl-CS"/>
              </w:rPr>
              <w:t>и</w:t>
            </w:r>
            <w:r w:rsidR="00AE0963" w:rsidRPr="005303F7">
              <w:rPr>
                <w:rFonts w:ascii="Times New Roman" w:hAnsi="Times New Roman"/>
                <w:sz w:val="20"/>
                <w:lang w:val="sr-Cyrl-CS"/>
              </w:rPr>
              <w:t xml:space="preserve"> </w:t>
            </w:r>
            <w:r w:rsidRPr="005303F7">
              <w:rPr>
                <w:rFonts w:ascii="Times New Roman" w:hAnsi="Times New Roman"/>
                <w:sz w:val="20"/>
                <w:lang w:val="sr-Cyrl-CS"/>
              </w:rPr>
              <w:t>мобилности</w:t>
            </w:r>
            <w:r w:rsidR="00AE0963" w:rsidRPr="005303F7">
              <w:rPr>
                <w:rFonts w:ascii="Times New Roman" w:hAnsi="Times New Roman"/>
                <w:sz w:val="20"/>
                <w:lang w:val="sr-Cyrl-CS"/>
              </w:rPr>
              <w:t>.</w:t>
            </w:r>
            <w:r w:rsidR="00BD116A" w:rsidRPr="005303F7">
              <w:rPr>
                <w:rFonts w:ascii="Times New Roman" w:hAnsi="Times New Roman"/>
                <w:sz w:val="20"/>
                <w:lang w:val="sr-Cyrl-CS"/>
              </w:rPr>
              <w:t xml:space="preserve"> </w:t>
            </w:r>
            <w:r w:rsidRPr="005303F7">
              <w:rPr>
                <w:rFonts w:ascii="Times New Roman" w:hAnsi="Times New Roman"/>
                <w:sz w:val="20"/>
                <w:lang w:val="sr-Cyrl-CS"/>
              </w:rPr>
              <w:t>Нада</w:t>
            </w:r>
            <w:r w:rsidR="00D553BE" w:rsidRPr="005303F7">
              <w:rPr>
                <w:rFonts w:ascii="Times New Roman" w:hAnsi="Times New Roman"/>
                <w:sz w:val="20"/>
                <w:lang w:val="sr-Cyrl-CS"/>
              </w:rPr>
              <w:t>љ</w:t>
            </w:r>
            <w:r w:rsidRPr="005303F7">
              <w:rPr>
                <w:rFonts w:ascii="Times New Roman" w:hAnsi="Times New Roman"/>
                <w:sz w:val="20"/>
                <w:lang w:val="sr-Cyrl-CS"/>
              </w:rPr>
              <w:t>е</w:t>
            </w:r>
            <w:r w:rsidR="00AE0963" w:rsidRPr="005303F7">
              <w:rPr>
                <w:rFonts w:ascii="Times New Roman" w:hAnsi="Times New Roman"/>
                <w:sz w:val="20"/>
                <w:lang w:val="sr-Cyrl-CS"/>
              </w:rPr>
              <w:t xml:space="preserve">, </w:t>
            </w:r>
            <w:r w:rsidRPr="005303F7">
              <w:rPr>
                <w:rFonts w:ascii="Times New Roman" w:hAnsi="Times New Roman"/>
                <w:sz w:val="20"/>
                <w:lang w:val="sr-Cyrl-CS"/>
              </w:rPr>
              <w:t>треба</w:t>
            </w:r>
            <w:r w:rsidR="00AE0963" w:rsidRPr="005303F7">
              <w:rPr>
                <w:rFonts w:ascii="Times New Roman" w:hAnsi="Times New Roman"/>
                <w:sz w:val="20"/>
                <w:lang w:val="sr-Cyrl-CS"/>
              </w:rPr>
              <w:t xml:space="preserve"> </w:t>
            </w:r>
            <w:r w:rsidRPr="005303F7">
              <w:rPr>
                <w:rFonts w:ascii="Times New Roman" w:hAnsi="Times New Roman"/>
                <w:sz w:val="20"/>
                <w:lang w:val="sr-Cyrl-CS"/>
              </w:rPr>
              <w:t>развити</w:t>
            </w:r>
            <w:r w:rsidR="00AE0963" w:rsidRPr="005303F7">
              <w:rPr>
                <w:rFonts w:ascii="Times New Roman" w:hAnsi="Times New Roman"/>
                <w:sz w:val="20"/>
                <w:lang w:val="sr-Cyrl-CS"/>
              </w:rPr>
              <w:t xml:space="preserve"> </w:t>
            </w:r>
            <w:r w:rsidRPr="005303F7">
              <w:rPr>
                <w:rFonts w:ascii="Times New Roman" w:hAnsi="Times New Roman"/>
                <w:sz w:val="20"/>
                <w:lang w:val="sr-Cyrl-CS"/>
              </w:rPr>
              <w:t>регионалне</w:t>
            </w:r>
            <w:r w:rsidR="00AE0963" w:rsidRPr="005303F7">
              <w:rPr>
                <w:rFonts w:ascii="Times New Roman" w:hAnsi="Times New Roman"/>
                <w:sz w:val="20"/>
                <w:lang w:val="sr-Cyrl-CS"/>
              </w:rPr>
              <w:t>/</w:t>
            </w:r>
            <w:r w:rsidRPr="005303F7">
              <w:rPr>
                <w:rFonts w:ascii="Times New Roman" w:hAnsi="Times New Roman"/>
                <w:sz w:val="20"/>
                <w:lang w:val="sr-Cyrl-CS"/>
              </w:rPr>
              <w:t>локалне</w:t>
            </w:r>
            <w:r w:rsidR="00AE0963" w:rsidRPr="005303F7">
              <w:rPr>
                <w:rFonts w:ascii="Times New Roman" w:hAnsi="Times New Roman"/>
                <w:sz w:val="20"/>
                <w:lang w:val="sr-Cyrl-CS"/>
              </w:rPr>
              <w:t xml:space="preserve"> </w:t>
            </w:r>
            <w:r w:rsidRPr="005303F7">
              <w:rPr>
                <w:rFonts w:ascii="Times New Roman" w:hAnsi="Times New Roman"/>
                <w:sz w:val="20"/>
                <w:lang w:val="sr-Cyrl-CS"/>
              </w:rPr>
              <w:t>стратегије</w:t>
            </w:r>
            <w:r w:rsidR="00AE0963" w:rsidRPr="005303F7">
              <w:rPr>
                <w:rFonts w:ascii="Times New Roman" w:hAnsi="Times New Roman"/>
                <w:sz w:val="20"/>
                <w:lang w:val="sr-Cyrl-CS"/>
              </w:rPr>
              <w:t xml:space="preserve"> </w:t>
            </w:r>
            <w:r w:rsidRPr="005303F7">
              <w:rPr>
                <w:rFonts w:ascii="Times New Roman" w:hAnsi="Times New Roman"/>
                <w:sz w:val="20"/>
                <w:lang w:val="sr-Cyrl-CS"/>
              </w:rPr>
              <w:t>саобраћаја</w:t>
            </w:r>
            <w:r w:rsidR="00284471" w:rsidRPr="005303F7">
              <w:rPr>
                <w:rFonts w:ascii="Times New Roman" w:hAnsi="Times New Roman"/>
                <w:sz w:val="20"/>
                <w:lang w:val="sr-Cyrl-CS"/>
              </w:rPr>
              <w:t xml:space="preserve"> </w:t>
            </w:r>
            <w:r w:rsidRPr="005303F7">
              <w:rPr>
                <w:rFonts w:ascii="Times New Roman" w:hAnsi="Times New Roman"/>
                <w:sz w:val="20"/>
                <w:lang w:val="sr-Cyrl-CS"/>
              </w:rPr>
              <w:t>која</w:t>
            </w:r>
            <w:r w:rsidR="00616236" w:rsidRPr="005303F7">
              <w:rPr>
                <w:rFonts w:ascii="Times New Roman" w:hAnsi="Times New Roman"/>
                <w:sz w:val="20"/>
                <w:lang w:val="sr-Cyrl-CS"/>
              </w:rPr>
              <w:t xml:space="preserve"> </w:t>
            </w:r>
            <w:r w:rsidRPr="005303F7">
              <w:rPr>
                <w:rFonts w:ascii="Times New Roman" w:hAnsi="Times New Roman"/>
                <w:sz w:val="20"/>
                <w:lang w:val="sr-Cyrl-CS"/>
              </w:rPr>
              <w:t>подразумева</w:t>
            </w:r>
            <w:r w:rsidR="00616236" w:rsidRPr="005303F7">
              <w:rPr>
                <w:rFonts w:ascii="Times New Roman" w:hAnsi="Times New Roman"/>
                <w:sz w:val="20"/>
                <w:lang w:val="sr-Cyrl-CS"/>
              </w:rPr>
              <w:t xml:space="preserve"> </w:t>
            </w:r>
            <w:r w:rsidRPr="005303F7">
              <w:rPr>
                <w:rFonts w:ascii="Times New Roman" w:hAnsi="Times New Roman"/>
                <w:sz w:val="20"/>
                <w:lang w:val="sr-Cyrl-CS"/>
              </w:rPr>
              <w:t>низак</w:t>
            </w:r>
            <w:r w:rsidR="00616236" w:rsidRPr="005303F7">
              <w:rPr>
                <w:rFonts w:ascii="Times New Roman" w:hAnsi="Times New Roman"/>
                <w:sz w:val="20"/>
                <w:lang w:val="sr-Cyrl-CS"/>
              </w:rPr>
              <w:t xml:space="preserve"> </w:t>
            </w:r>
            <w:r w:rsidRPr="005303F7">
              <w:rPr>
                <w:rFonts w:ascii="Times New Roman" w:hAnsi="Times New Roman"/>
                <w:sz w:val="20"/>
                <w:lang w:val="sr-Cyrl-CS"/>
              </w:rPr>
              <w:t>ниво</w:t>
            </w:r>
            <w:r w:rsidR="00AE0963" w:rsidRPr="005303F7">
              <w:rPr>
                <w:rFonts w:ascii="Times New Roman" w:hAnsi="Times New Roman"/>
                <w:sz w:val="20"/>
                <w:lang w:val="sr-Cyrl-CS"/>
              </w:rPr>
              <w:t xml:space="preserve"> </w:t>
            </w:r>
            <w:r w:rsidRPr="005303F7">
              <w:rPr>
                <w:rFonts w:ascii="Times New Roman" w:hAnsi="Times New Roman"/>
                <w:sz w:val="20"/>
                <w:lang w:val="sr-Cyrl-CS"/>
              </w:rPr>
              <w:t>емисија</w:t>
            </w:r>
            <w:r w:rsidR="00AE0963" w:rsidRPr="005303F7">
              <w:rPr>
                <w:rFonts w:ascii="Times New Roman" w:hAnsi="Times New Roman"/>
                <w:sz w:val="20"/>
                <w:lang w:val="sr-Cyrl-CS"/>
              </w:rPr>
              <w:t xml:space="preserve"> </w:t>
            </w:r>
            <w:r w:rsidRPr="005303F7">
              <w:rPr>
                <w:rFonts w:ascii="Times New Roman" w:hAnsi="Times New Roman"/>
                <w:sz w:val="20"/>
                <w:lang w:val="sr-Cyrl-CS"/>
              </w:rPr>
              <w:t>и</w:t>
            </w:r>
            <w:r w:rsidR="00AE0963" w:rsidRPr="005303F7">
              <w:rPr>
                <w:rFonts w:ascii="Times New Roman" w:hAnsi="Times New Roman"/>
                <w:sz w:val="20"/>
                <w:lang w:val="sr-Cyrl-CS"/>
              </w:rPr>
              <w:t xml:space="preserve"> </w:t>
            </w:r>
            <w:r w:rsidRPr="005303F7">
              <w:rPr>
                <w:rFonts w:ascii="Times New Roman" w:hAnsi="Times New Roman"/>
                <w:sz w:val="20"/>
                <w:lang w:val="sr-Cyrl-CS"/>
              </w:rPr>
              <w:t>урбанистичке</w:t>
            </w:r>
            <w:r w:rsidR="00AE0963" w:rsidRPr="005303F7">
              <w:rPr>
                <w:rFonts w:ascii="Times New Roman" w:hAnsi="Times New Roman"/>
                <w:sz w:val="20"/>
                <w:lang w:val="sr-Cyrl-CS"/>
              </w:rPr>
              <w:t xml:space="preserve"> </w:t>
            </w:r>
            <w:r w:rsidRPr="005303F7">
              <w:rPr>
                <w:rFonts w:ascii="Times New Roman" w:hAnsi="Times New Roman"/>
                <w:sz w:val="20"/>
                <w:lang w:val="sr-Cyrl-CS"/>
              </w:rPr>
              <w:t>планове</w:t>
            </w:r>
            <w:r w:rsidR="00AE0963" w:rsidRPr="005303F7">
              <w:rPr>
                <w:rFonts w:ascii="Times New Roman" w:hAnsi="Times New Roman"/>
                <w:sz w:val="20"/>
                <w:lang w:val="sr-Cyrl-CS"/>
              </w:rPr>
              <w:t xml:space="preserve"> </w:t>
            </w:r>
            <w:r w:rsidRPr="005303F7">
              <w:rPr>
                <w:rFonts w:ascii="Times New Roman" w:hAnsi="Times New Roman"/>
                <w:sz w:val="20"/>
                <w:lang w:val="sr-Cyrl-CS"/>
              </w:rPr>
              <w:t>за</w:t>
            </w:r>
            <w:r w:rsidR="00AE0963" w:rsidRPr="005303F7">
              <w:rPr>
                <w:rFonts w:ascii="Times New Roman" w:hAnsi="Times New Roman"/>
                <w:sz w:val="20"/>
                <w:lang w:val="sr-Cyrl-CS"/>
              </w:rPr>
              <w:t xml:space="preserve"> </w:t>
            </w:r>
            <w:r w:rsidRPr="005303F7">
              <w:rPr>
                <w:rFonts w:ascii="Times New Roman" w:hAnsi="Times New Roman"/>
                <w:sz w:val="20"/>
                <w:lang w:val="sr-Cyrl-CS"/>
              </w:rPr>
              <w:t>одрживу</w:t>
            </w:r>
            <w:r w:rsidR="00AE0963" w:rsidRPr="005303F7">
              <w:rPr>
                <w:rFonts w:ascii="Times New Roman" w:hAnsi="Times New Roman"/>
                <w:sz w:val="20"/>
                <w:lang w:val="sr-Cyrl-CS"/>
              </w:rPr>
              <w:t xml:space="preserve"> </w:t>
            </w:r>
            <w:r w:rsidRPr="005303F7">
              <w:rPr>
                <w:rFonts w:ascii="Times New Roman" w:hAnsi="Times New Roman"/>
                <w:sz w:val="20"/>
                <w:lang w:val="sr-Cyrl-CS"/>
              </w:rPr>
              <w:t>мобилност</w:t>
            </w:r>
            <w:r w:rsidR="00AE0963" w:rsidRPr="005303F7">
              <w:rPr>
                <w:rFonts w:ascii="Times New Roman" w:hAnsi="Times New Roman"/>
                <w:sz w:val="20"/>
                <w:lang w:val="sr-Cyrl-CS"/>
              </w:rPr>
              <w:t xml:space="preserve"> </w:t>
            </w:r>
            <w:r w:rsidRPr="005303F7">
              <w:rPr>
                <w:rFonts w:ascii="Times New Roman" w:hAnsi="Times New Roman"/>
                <w:sz w:val="20"/>
                <w:lang w:val="sr-Cyrl-CS"/>
              </w:rPr>
              <w:t>са</w:t>
            </w:r>
            <w:r w:rsidR="00AE0963" w:rsidRPr="005303F7">
              <w:rPr>
                <w:rFonts w:ascii="Times New Roman" w:hAnsi="Times New Roman"/>
                <w:sz w:val="20"/>
                <w:lang w:val="sr-Cyrl-CS"/>
              </w:rPr>
              <w:t xml:space="preserve"> </w:t>
            </w:r>
            <w:r w:rsidRPr="005303F7">
              <w:rPr>
                <w:rFonts w:ascii="Times New Roman" w:hAnsi="Times New Roman"/>
                <w:sz w:val="20"/>
                <w:lang w:val="sr-Cyrl-CS"/>
              </w:rPr>
              <w:t>фокусом</w:t>
            </w:r>
            <w:r w:rsidR="00AE0963" w:rsidRPr="005303F7">
              <w:rPr>
                <w:rFonts w:ascii="Times New Roman" w:hAnsi="Times New Roman"/>
                <w:sz w:val="20"/>
                <w:lang w:val="sr-Cyrl-CS"/>
              </w:rPr>
              <w:t xml:space="preserve"> </w:t>
            </w:r>
            <w:r w:rsidRPr="005303F7">
              <w:rPr>
                <w:rFonts w:ascii="Times New Roman" w:hAnsi="Times New Roman"/>
                <w:sz w:val="20"/>
                <w:lang w:val="sr-Cyrl-CS"/>
              </w:rPr>
              <w:t>на</w:t>
            </w:r>
            <w:r w:rsidR="00AE0963" w:rsidRPr="005303F7">
              <w:rPr>
                <w:rFonts w:ascii="Times New Roman" w:hAnsi="Times New Roman"/>
                <w:sz w:val="20"/>
                <w:lang w:val="sr-Cyrl-CS"/>
              </w:rPr>
              <w:t xml:space="preserve"> </w:t>
            </w:r>
            <w:r w:rsidRPr="005303F7">
              <w:rPr>
                <w:rFonts w:ascii="Times New Roman" w:hAnsi="Times New Roman"/>
                <w:sz w:val="20"/>
                <w:lang w:val="sr-Cyrl-CS"/>
              </w:rPr>
              <w:t>побо</w:t>
            </w:r>
            <w:r w:rsidR="00D553BE" w:rsidRPr="005303F7">
              <w:rPr>
                <w:rFonts w:ascii="Times New Roman" w:hAnsi="Times New Roman"/>
                <w:sz w:val="20"/>
                <w:lang w:val="sr-Cyrl-CS"/>
              </w:rPr>
              <w:t>љ</w:t>
            </w:r>
            <w:r w:rsidRPr="005303F7">
              <w:rPr>
                <w:rFonts w:ascii="Times New Roman" w:hAnsi="Times New Roman"/>
                <w:sz w:val="20"/>
                <w:lang w:val="sr-Cyrl-CS"/>
              </w:rPr>
              <w:t>шање</w:t>
            </w:r>
            <w:r w:rsidR="00AE0963" w:rsidRPr="005303F7">
              <w:rPr>
                <w:rFonts w:ascii="Times New Roman" w:hAnsi="Times New Roman"/>
                <w:sz w:val="20"/>
                <w:lang w:val="sr-Cyrl-CS"/>
              </w:rPr>
              <w:t xml:space="preserve"> </w:t>
            </w:r>
            <w:r w:rsidRPr="005303F7">
              <w:rPr>
                <w:rFonts w:ascii="Times New Roman" w:hAnsi="Times New Roman"/>
                <w:sz w:val="20"/>
                <w:lang w:val="sr-Cyrl-CS"/>
              </w:rPr>
              <w:t>немоторизоване</w:t>
            </w:r>
            <w:r w:rsidR="00AE0963" w:rsidRPr="005303F7">
              <w:rPr>
                <w:rFonts w:ascii="Times New Roman" w:hAnsi="Times New Roman"/>
                <w:sz w:val="20"/>
                <w:lang w:val="sr-Cyrl-CS"/>
              </w:rPr>
              <w:t xml:space="preserve"> </w:t>
            </w:r>
            <w:r w:rsidRPr="005303F7">
              <w:rPr>
                <w:rFonts w:ascii="Times New Roman" w:hAnsi="Times New Roman"/>
                <w:sz w:val="20"/>
                <w:lang w:val="sr-Cyrl-CS"/>
              </w:rPr>
              <w:t>инфраструктуре</w:t>
            </w:r>
            <w:r w:rsidR="00AE0963" w:rsidRPr="005303F7">
              <w:rPr>
                <w:rFonts w:ascii="Times New Roman" w:hAnsi="Times New Roman"/>
                <w:sz w:val="20"/>
                <w:lang w:val="sr-Cyrl-CS"/>
              </w:rPr>
              <w:t xml:space="preserve">. </w:t>
            </w:r>
            <w:r w:rsidRPr="005303F7">
              <w:rPr>
                <w:rFonts w:ascii="Times New Roman" w:hAnsi="Times New Roman"/>
                <w:sz w:val="20"/>
                <w:lang w:val="sr-Cyrl-CS"/>
              </w:rPr>
              <w:t>Улагања</w:t>
            </w:r>
            <w:r w:rsidR="00AE0963" w:rsidRPr="005303F7">
              <w:rPr>
                <w:rFonts w:ascii="Times New Roman" w:hAnsi="Times New Roman"/>
                <w:sz w:val="20"/>
                <w:lang w:val="sr-Cyrl-CS"/>
              </w:rPr>
              <w:t xml:space="preserve"> </w:t>
            </w:r>
            <w:r w:rsidRPr="005303F7">
              <w:rPr>
                <w:rFonts w:ascii="Times New Roman" w:hAnsi="Times New Roman"/>
                <w:sz w:val="20"/>
                <w:lang w:val="sr-Cyrl-CS"/>
              </w:rPr>
              <w:t>у</w:t>
            </w:r>
            <w:r w:rsidR="00AE0963" w:rsidRPr="005303F7">
              <w:rPr>
                <w:rFonts w:ascii="Times New Roman" w:hAnsi="Times New Roman"/>
                <w:sz w:val="20"/>
                <w:lang w:val="sr-Cyrl-CS"/>
              </w:rPr>
              <w:t xml:space="preserve"> </w:t>
            </w:r>
            <w:r w:rsidRPr="005303F7">
              <w:rPr>
                <w:rFonts w:ascii="Times New Roman" w:hAnsi="Times New Roman"/>
                <w:sz w:val="20"/>
                <w:lang w:val="sr-Cyrl-CS"/>
              </w:rPr>
              <w:t>инфраструктуру</w:t>
            </w:r>
            <w:r w:rsidR="00AE0963" w:rsidRPr="005303F7">
              <w:rPr>
                <w:rFonts w:ascii="Times New Roman" w:hAnsi="Times New Roman"/>
                <w:sz w:val="20"/>
                <w:lang w:val="sr-Cyrl-CS"/>
              </w:rPr>
              <w:t xml:space="preserve"> (</w:t>
            </w:r>
            <w:r w:rsidRPr="005303F7">
              <w:rPr>
                <w:rFonts w:ascii="Times New Roman" w:hAnsi="Times New Roman"/>
                <w:sz w:val="20"/>
                <w:lang w:val="sr-Cyrl-CS"/>
              </w:rPr>
              <w:t>железница</w:t>
            </w:r>
            <w:r w:rsidR="00AE0963" w:rsidRPr="005303F7">
              <w:rPr>
                <w:rFonts w:ascii="Times New Roman" w:hAnsi="Times New Roman"/>
                <w:sz w:val="20"/>
                <w:lang w:val="sr-Cyrl-CS"/>
              </w:rPr>
              <w:t xml:space="preserve">) </w:t>
            </w:r>
            <w:r w:rsidRPr="005303F7">
              <w:rPr>
                <w:rFonts w:ascii="Times New Roman" w:hAnsi="Times New Roman"/>
                <w:sz w:val="20"/>
                <w:lang w:val="sr-Cyrl-CS"/>
              </w:rPr>
              <w:t>ве</w:t>
            </w:r>
            <w:r w:rsidR="00016298" w:rsidRPr="005303F7">
              <w:rPr>
                <w:rFonts w:ascii="Times New Roman" w:hAnsi="Times New Roman"/>
                <w:sz w:val="20"/>
                <w:lang w:val="sr-Cyrl-CS"/>
              </w:rPr>
              <w:t>ћ</w:t>
            </w:r>
            <w:r w:rsidR="00AE0963" w:rsidRPr="005303F7">
              <w:rPr>
                <w:rFonts w:ascii="Times New Roman" w:hAnsi="Times New Roman"/>
                <w:sz w:val="20"/>
                <w:lang w:val="sr-Cyrl-CS"/>
              </w:rPr>
              <w:t xml:space="preserve"> </w:t>
            </w:r>
            <w:r w:rsidRPr="005303F7">
              <w:rPr>
                <w:rFonts w:ascii="Times New Roman" w:hAnsi="Times New Roman"/>
                <w:sz w:val="20"/>
                <w:lang w:val="sr-Cyrl-CS"/>
              </w:rPr>
              <w:t>су</w:t>
            </w:r>
            <w:r w:rsidR="00AE0963" w:rsidRPr="005303F7">
              <w:rPr>
                <w:rFonts w:ascii="Times New Roman" w:hAnsi="Times New Roman"/>
                <w:sz w:val="20"/>
                <w:lang w:val="sr-Cyrl-CS"/>
              </w:rPr>
              <w:t xml:space="preserve"> </w:t>
            </w:r>
            <w:r w:rsidRPr="005303F7">
              <w:rPr>
                <w:rFonts w:ascii="Times New Roman" w:hAnsi="Times New Roman"/>
                <w:sz w:val="20"/>
                <w:lang w:val="sr-Cyrl-CS"/>
              </w:rPr>
              <w:t>започета</w:t>
            </w:r>
            <w:r w:rsidR="00AE0963" w:rsidRPr="005303F7">
              <w:rPr>
                <w:rFonts w:ascii="Times New Roman" w:hAnsi="Times New Roman"/>
                <w:sz w:val="20"/>
                <w:lang w:val="sr-Cyrl-CS"/>
              </w:rPr>
              <w:t xml:space="preserve"> </w:t>
            </w:r>
            <w:r w:rsidRPr="005303F7">
              <w:rPr>
                <w:rFonts w:ascii="Times New Roman" w:hAnsi="Times New Roman"/>
                <w:sz w:val="20"/>
                <w:lang w:val="sr-Cyrl-CS"/>
              </w:rPr>
              <w:t>и</w:t>
            </w:r>
            <w:r w:rsidR="00AE0963" w:rsidRPr="005303F7">
              <w:rPr>
                <w:rFonts w:ascii="Times New Roman" w:hAnsi="Times New Roman"/>
                <w:sz w:val="20"/>
                <w:lang w:val="sr-Cyrl-CS"/>
              </w:rPr>
              <w:t xml:space="preserve"> </w:t>
            </w:r>
            <w:r w:rsidRPr="005303F7">
              <w:rPr>
                <w:rFonts w:ascii="Times New Roman" w:hAnsi="Times New Roman"/>
                <w:sz w:val="20"/>
                <w:lang w:val="sr-Cyrl-CS"/>
              </w:rPr>
              <w:t>потребно</w:t>
            </w:r>
            <w:r w:rsidR="00AE0963" w:rsidRPr="005303F7">
              <w:rPr>
                <w:rFonts w:ascii="Times New Roman" w:hAnsi="Times New Roman"/>
                <w:sz w:val="20"/>
                <w:lang w:val="sr-Cyrl-CS"/>
              </w:rPr>
              <w:t xml:space="preserve"> </w:t>
            </w:r>
            <w:r w:rsidRPr="005303F7">
              <w:rPr>
                <w:rFonts w:ascii="Times New Roman" w:hAnsi="Times New Roman"/>
                <w:sz w:val="20"/>
                <w:lang w:val="sr-Cyrl-CS"/>
              </w:rPr>
              <w:t>их</w:t>
            </w:r>
            <w:r w:rsidR="00AE0963" w:rsidRPr="005303F7">
              <w:rPr>
                <w:rFonts w:ascii="Times New Roman" w:hAnsi="Times New Roman"/>
                <w:sz w:val="20"/>
                <w:lang w:val="sr-Cyrl-CS"/>
              </w:rPr>
              <w:t xml:space="preserve"> </w:t>
            </w:r>
            <w:r w:rsidRPr="005303F7">
              <w:rPr>
                <w:rFonts w:ascii="Times New Roman" w:hAnsi="Times New Roman"/>
                <w:sz w:val="20"/>
                <w:lang w:val="sr-Cyrl-CS"/>
              </w:rPr>
              <w:t>је</w:t>
            </w:r>
            <w:r w:rsidR="00AE0963" w:rsidRPr="005303F7">
              <w:rPr>
                <w:rFonts w:ascii="Times New Roman" w:hAnsi="Times New Roman"/>
                <w:sz w:val="20"/>
                <w:lang w:val="sr-Cyrl-CS"/>
              </w:rPr>
              <w:t xml:space="preserve"> </w:t>
            </w:r>
            <w:r w:rsidRPr="005303F7">
              <w:rPr>
                <w:rFonts w:ascii="Times New Roman" w:hAnsi="Times New Roman"/>
                <w:sz w:val="20"/>
                <w:lang w:val="sr-Cyrl-CS"/>
              </w:rPr>
              <w:t>наставити</w:t>
            </w:r>
            <w:r w:rsidR="00AE0963" w:rsidRPr="005303F7">
              <w:rPr>
                <w:rFonts w:ascii="Times New Roman" w:hAnsi="Times New Roman"/>
                <w:sz w:val="20"/>
                <w:lang w:val="sr-Cyrl-CS"/>
              </w:rPr>
              <w:t xml:space="preserve"> </w:t>
            </w:r>
            <w:r w:rsidRPr="005303F7">
              <w:rPr>
                <w:rFonts w:ascii="Times New Roman" w:hAnsi="Times New Roman"/>
                <w:sz w:val="20"/>
                <w:lang w:val="sr-Cyrl-CS"/>
              </w:rPr>
              <w:t>у</w:t>
            </w:r>
            <w:r w:rsidR="00AE0963" w:rsidRPr="005303F7">
              <w:rPr>
                <w:rFonts w:ascii="Times New Roman" w:hAnsi="Times New Roman"/>
                <w:sz w:val="20"/>
                <w:lang w:val="sr-Cyrl-CS"/>
              </w:rPr>
              <w:t xml:space="preserve"> </w:t>
            </w:r>
            <w:r w:rsidRPr="005303F7">
              <w:rPr>
                <w:rFonts w:ascii="Times New Roman" w:hAnsi="Times New Roman"/>
                <w:sz w:val="20"/>
                <w:lang w:val="sr-Cyrl-CS"/>
              </w:rPr>
              <w:t>складу</w:t>
            </w:r>
            <w:r w:rsidR="00AE0963" w:rsidRPr="005303F7">
              <w:rPr>
                <w:rFonts w:ascii="Times New Roman" w:hAnsi="Times New Roman"/>
                <w:sz w:val="20"/>
                <w:lang w:val="sr-Cyrl-CS"/>
              </w:rPr>
              <w:t xml:space="preserve"> </w:t>
            </w:r>
            <w:r w:rsidRPr="005303F7">
              <w:rPr>
                <w:rFonts w:ascii="Times New Roman" w:hAnsi="Times New Roman"/>
                <w:sz w:val="20"/>
                <w:lang w:val="sr-Cyrl-CS"/>
              </w:rPr>
              <w:t>са</w:t>
            </w:r>
            <w:r w:rsidR="00AE0963" w:rsidRPr="005303F7">
              <w:rPr>
                <w:rFonts w:ascii="Times New Roman" w:hAnsi="Times New Roman"/>
                <w:sz w:val="20"/>
                <w:lang w:val="sr-Cyrl-CS"/>
              </w:rPr>
              <w:t xml:space="preserve"> </w:t>
            </w:r>
            <w:r w:rsidRPr="005303F7">
              <w:rPr>
                <w:rFonts w:ascii="Times New Roman" w:hAnsi="Times New Roman"/>
                <w:sz w:val="20"/>
                <w:lang w:val="sr-Cyrl-CS"/>
              </w:rPr>
              <w:t>националним</w:t>
            </w:r>
            <w:r w:rsidR="00AE0963" w:rsidRPr="005303F7">
              <w:rPr>
                <w:rFonts w:ascii="Times New Roman" w:hAnsi="Times New Roman"/>
                <w:sz w:val="20"/>
                <w:lang w:val="sr-Cyrl-CS"/>
              </w:rPr>
              <w:t xml:space="preserve"> </w:t>
            </w:r>
            <w:r w:rsidRPr="005303F7">
              <w:rPr>
                <w:rFonts w:ascii="Times New Roman" w:hAnsi="Times New Roman"/>
                <w:sz w:val="20"/>
                <w:lang w:val="sr-Cyrl-CS"/>
              </w:rPr>
              <w:t>планом</w:t>
            </w:r>
            <w:r w:rsidR="00AE0963" w:rsidRPr="005303F7">
              <w:rPr>
                <w:rFonts w:ascii="Times New Roman" w:hAnsi="Times New Roman"/>
                <w:sz w:val="20"/>
                <w:lang w:val="sr-Cyrl-CS"/>
              </w:rPr>
              <w:t xml:space="preserve"> </w:t>
            </w:r>
            <w:r w:rsidRPr="005303F7">
              <w:rPr>
                <w:rFonts w:ascii="Times New Roman" w:hAnsi="Times New Roman"/>
                <w:sz w:val="20"/>
                <w:lang w:val="sr-Cyrl-CS"/>
              </w:rPr>
              <w:t>за</w:t>
            </w:r>
            <w:r w:rsidR="00AE0963" w:rsidRPr="005303F7">
              <w:rPr>
                <w:rFonts w:ascii="Times New Roman" w:hAnsi="Times New Roman"/>
                <w:sz w:val="20"/>
                <w:lang w:val="sr-Cyrl-CS"/>
              </w:rPr>
              <w:t xml:space="preserve"> </w:t>
            </w:r>
            <w:r w:rsidRPr="005303F7">
              <w:rPr>
                <w:rFonts w:ascii="Times New Roman" w:hAnsi="Times New Roman"/>
                <w:sz w:val="20"/>
                <w:lang w:val="sr-Cyrl-CS"/>
              </w:rPr>
              <w:t>јавну</w:t>
            </w:r>
            <w:r w:rsidR="00AE0963" w:rsidRPr="005303F7">
              <w:rPr>
                <w:rFonts w:ascii="Times New Roman" w:hAnsi="Times New Roman"/>
                <w:sz w:val="20"/>
                <w:lang w:val="sr-Cyrl-CS"/>
              </w:rPr>
              <w:t xml:space="preserve"> </w:t>
            </w:r>
            <w:r w:rsidRPr="005303F7">
              <w:rPr>
                <w:rFonts w:ascii="Times New Roman" w:hAnsi="Times New Roman"/>
                <w:sz w:val="20"/>
                <w:lang w:val="sr-Cyrl-CS"/>
              </w:rPr>
              <w:t>железничку</w:t>
            </w:r>
            <w:r w:rsidR="00AE0963" w:rsidRPr="005303F7">
              <w:rPr>
                <w:rFonts w:ascii="Times New Roman" w:hAnsi="Times New Roman"/>
                <w:sz w:val="20"/>
                <w:lang w:val="sr-Cyrl-CS"/>
              </w:rPr>
              <w:t xml:space="preserve"> </w:t>
            </w:r>
            <w:r w:rsidRPr="005303F7">
              <w:rPr>
                <w:rFonts w:ascii="Times New Roman" w:hAnsi="Times New Roman"/>
                <w:sz w:val="20"/>
                <w:lang w:val="sr-Cyrl-CS"/>
              </w:rPr>
              <w:t>инфраструктуру</w:t>
            </w:r>
            <w:r w:rsidR="00AE0963" w:rsidRPr="005303F7">
              <w:rPr>
                <w:rFonts w:ascii="Times New Roman" w:hAnsi="Times New Roman"/>
                <w:sz w:val="20"/>
                <w:lang w:val="sr-Cyrl-CS"/>
              </w:rPr>
              <w:t>.</w:t>
            </w:r>
          </w:p>
          <w:p w14:paraId="5BCC7BCD" w14:textId="04B2241B" w:rsidR="00BD116A" w:rsidRPr="005303F7" w:rsidRDefault="008D69AF" w:rsidP="00353B06">
            <w:pPr>
              <w:overflowPunct/>
              <w:jc w:val="left"/>
              <w:rPr>
                <w:rFonts w:ascii="Times New Roman" w:hAnsi="Times New Roman"/>
                <w:sz w:val="10"/>
                <w:szCs w:val="10"/>
                <w:lang w:val="sr-Cyrl-CS"/>
              </w:rPr>
            </w:pPr>
            <w:r w:rsidRPr="005303F7">
              <w:rPr>
                <w:rFonts w:ascii="Times New Roman" w:hAnsi="Times New Roman"/>
                <w:b/>
                <w:bCs/>
                <w:sz w:val="20"/>
                <w:szCs w:val="18"/>
                <w:u w:val="single"/>
                <w:lang w:val="sr-Cyrl-CS"/>
              </w:rPr>
              <w:t>Процес</w:t>
            </w:r>
            <w:r w:rsidR="00B97807"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преговора</w:t>
            </w:r>
            <w:r w:rsidR="00B97807"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о</w:t>
            </w:r>
            <w:r w:rsidR="00B97807"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приступању</w:t>
            </w:r>
            <w:r w:rsidR="00B97807"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ЕУ</w:t>
            </w:r>
            <w:r w:rsidR="00B97807"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Поглав</w:t>
            </w:r>
            <w:r w:rsidR="00D553BE" w:rsidRPr="005303F7">
              <w:rPr>
                <w:rFonts w:ascii="Times New Roman" w:hAnsi="Times New Roman"/>
                <w:b/>
                <w:bCs/>
                <w:sz w:val="20"/>
                <w:szCs w:val="18"/>
                <w:u w:val="single"/>
                <w:lang w:val="sr-Cyrl-CS"/>
              </w:rPr>
              <w:t>љ</w:t>
            </w:r>
            <w:r w:rsidRPr="005303F7">
              <w:rPr>
                <w:rFonts w:ascii="Times New Roman" w:hAnsi="Times New Roman"/>
                <w:b/>
                <w:bCs/>
                <w:sz w:val="20"/>
                <w:szCs w:val="18"/>
                <w:u w:val="single"/>
                <w:lang w:val="sr-Cyrl-CS"/>
              </w:rPr>
              <w:t>е</w:t>
            </w:r>
            <w:r w:rsidR="00B97807" w:rsidRPr="005303F7">
              <w:rPr>
                <w:rFonts w:ascii="Times New Roman" w:hAnsi="Times New Roman"/>
                <w:b/>
                <w:bCs/>
                <w:sz w:val="20"/>
                <w:szCs w:val="18"/>
                <w:u w:val="single"/>
                <w:lang w:val="sr-Cyrl-CS"/>
              </w:rPr>
              <w:t xml:space="preserve"> </w:t>
            </w:r>
            <w:r w:rsidR="00BD116A" w:rsidRPr="005303F7">
              <w:rPr>
                <w:rFonts w:ascii="Times New Roman" w:hAnsi="Times New Roman"/>
                <w:b/>
                <w:bCs/>
                <w:sz w:val="20"/>
                <w:szCs w:val="18"/>
                <w:u w:val="single"/>
                <w:lang w:val="sr-Cyrl-CS"/>
              </w:rPr>
              <w:t xml:space="preserve">14 – </w:t>
            </w:r>
            <w:r w:rsidRPr="005303F7">
              <w:rPr>
                <w:rFonts w:ascii="Times New Roman" w:hAnsi="Times New Roman"/>
                <w:b/>
                <w:bCs/>
                <w:sz w:val="20"/>
                <w:szCs w:val="18"/>
                <w:u w:val="single"/>
                <w:lang w:val="sr-Cyrl-CS"/>
              </w:rPr>
              <w:t>Транспортна</w:t>
            </w:r>
            <w:r w:rsidR="00B97807"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политика</w:t>
            </w:r>
          </w:p>
        </w:tc>
      </w:tr>
      <w:tr w:rsidR="00795689" w:rsidRPr="005303F7" w14:paraId="797B00E4" w14:textId="77777777" w:rsidTr="0029378D">
        <w:trPr>
          <w:trHeight w:val="442"/>
        </w:trPr>
        <w:tc>
          <w:tcPr>
            <w:tcW w:w="561" w:type="dxa"/>
            <w:gridSpan w:val="2"/>
            <w:vMerge/>
            <w:tcBorders>
              <w:top w:val="single" w:sz="4" w:space="0" w:color="auto"/>
              <w:left w:val="single" w:sz="4" w:space="0" w:color="auto"/>
              <w:bottom w:val="single" w:sz="4" w:space="0" w:color="auto"/>
              <w:right w:val="single" w:sz="4" w:space="0" w:color="auto"/>
            </w:tcBorders>
            <w:vAlign w:val="center"/>
            <w:hideMark/>
          </w:tcPr>
          <w:p w14:paraId="40986FE0" w14:textId="77777777" w:rsidR="00795689" w:rsidRPr="005303F7" w:rsidRDefault="00795689">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5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08A830" w14:textId="7D3006BB" w:rsidR="00795689" w:rsidRPr="005303F7" w:rsidRDefault="008D69AF">
            <w:pPr>
              <w:spacing w:after="0"/>
              <w:jc w:val="center"/>
              <w:rPr>
                <w:rFonts w:ascii="Times New Roman" w:hAnsi="Times New Roman"/>
                <w:b/>
                <w:bCs/>
                <w:sz w:val="20"/>
                <w:lang w:val="sr-Cyrl-CS"/>
              </w:rPr>
            </w:pPr>
            <w:r w:rsidRPr="005303F7">
              <w:rPr>
                <w:rFonts w:ascii="Times New Roman" w:hAnsi="Times New Roman"/>
                <w:b/>
                <w:bCs/>
                <w:sz w:val="20"/>
                <w:lang w:val="sr-Cyrl-CS"/>
              </w:rPr>
              <w:t>К</w:t>
            </w:r>
            <w:r w:rsidR="00D553BE" w:rsidRPr="005303F7">
              <w:rPr>
                <w:rFonts w:ascii="Times New Roman" w:hAnsi="Times New Roman"/>
                <w:b/>
                <w:bCs/>
                <w:sz w:val="20"/>
                <w:lang w:val="sr-Cyrl-CS"/>
              </w:rPr>
              <w:t>љ</w:t>
            </w:r>
            <w:r w:rsidRPr="005303F7">
              <w:rPr>
                <w:rFonts w:ascii="Times New Roman" w:hAnsi="Times New Roman"/>
                <w:b/>
                <w:bCs/>
                <w:sz w:val="20"/>
                <w:lang w:val="sr-Cyrl-CS"/>
              </w:rPr>
              <w:t>учни</w:t>
            </w:r>
            <w:r w:rsidR="00795689" w:rsidRPr="005303F7">
              <w:rPr>
                <w:rFonts w:ascii="Times New Roman" w:hAnsi="Times New Roman"/>
                <w:b/>
                <w:bCs/>
                <w:sz w:val="20"/>
                <w:lang w:val="sr-Cyrl-CS"/>
              </w:rPr>
              <w:t xml:space="preserve"> </w:t>
            </w:r>
            <w:r w:rsidRPr="005303F7">
              <w:rPr>
                <w:rFonts w:ascii="Times New Roman" w:hAnsi="Times New Roman"/>
                <w:b/>
                <w:bCs/>
                <w:sz w:val="20"/>
                <w:lang w:val="sr-Cyrl-CS"/>
              </w:rPr>
              <w:t>субјекат</w:t>
            </w:r>
            <w:r w:rsidR="00795689" w:rsidRPr="005303F7">
              <w:rPr>
                <w:rFonts w:ascii="Times New Roman" w:hAnsi="Times New Roman"/>
                <w:b/>
                <w:bCs/>
                <w:sz w:val="20"/>
                <w:lang w:val="sr-Cyrl-CS"/>
              </w:rPr>
              <w:t xml:space="preserve"> </w:t>
            </w:r>
            <w:r w:rsidRPr="005303F7">
              <w:rPr>
                <w:rFonts w:ascii="Times New Roman" w:hAnsi="Times New Roman"/>
                <w:b/>
                <w:bCs/>
                <w:sz w:val="20"/>
                <w:lang w:val="sr-Cyrl-CS"/>
              </w:rPr>
              <w:t>за</w:t>
            </w:r>
            <w:r w:rsidR="00795689" w:rsidRPr="005303F7">
              <w:rPr>
                <w:rFonts w:ascii="Times New Roman" w:hAnsi="Times New Roman"/>
                <w:b/>
                <w:bCs/>
                <w:sz w:val="20"/>
                <w:lang w:val="sr-Cyrl-CS"/>
              </w:rPr>
              <w:t xml:space="preserve"> </w:t>
            </w:r>
            <w:r w:rsidRPr="005303F7">
              <w:rPr>
                <w:rFonts w:ascii="Times New Roman" w:hAnsi="Times New Roman"/>
                <w:b/>
                <w:bCs/>
                <w:sz w:val="20"/>
                <w:lang w:val="sr-Cyrl-CS"/>
              </w:rPr>
              <w:t>спровођење</w:t>
            </w:r>
            <w:r w:rsidR="00795689"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p>
        </w:tc>
        <w:tc>
          <w:tcPr>
            <w:tcW w:w="623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28FBAC" w14:textId="2D115FD1" w:rsidR="00795689"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Партнери</w:t>
            </w:r>
          </w:p>
        </w:tc>
        <w:tc>
          <w:tcPr>
            <w:tcW w:w="12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4CF23" w14:textId="1AB138B2" w:rsidR="00795689"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 xml:space="preserve">ЕТS/ </w:t>
            </w:r>
            <w:r w:rsidR="004A35C7" w:rsidRPr="005303F7">
              <w:rPr>
                <w:rFonts w:ascii="Times New Roman" w:hAnsi="Times New Roman"/>
                <w:b/>
                <w:sz w:val="20"/>
                <w:lang w:val="sr-Cyrl-CS"/>
              </w:rPr>
              <w:t>не-ЕТS</w:t>
            </w:r>
          </w:p>
        </w:tc>
        <w:tc>
          <w:tcPr>
            <w:tcW w:w="14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AB43FD" w14:textId="46F84F3E" w:rsidR="00795689"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Главни</w:t>
            </w:r>
            <w:r w:rsidR="00795689" w:rsidRPr="005303F7">
              <w:rPr>
                <w:rFonts w:ascii="Times New Roman" w:hAnsi="Times New Roman"/>
                <w:b/>
                <w:bCs/>
                <w:sz w:val="20"/>
                <w:lang w:val="sr-Cyrl-CS"/>
              </w:rPr>
              <w:t xml:space="preserve"> </w:t>
            </w:r>
            <w:r w:rsidRPr="005303F7">
              <w:rPr>
                <w:rFonts w:ascii="Times New Roman" w:hAnsi="Times New Roman"/>
                <w:b/>
                <w:bCs/>
                <w:sz w:val="20"/>
                <w:lang w:val="sr-Cyrl-CS"/>
              </w:rPr>
              <w:t>гасови</w:t>
            </w:r>
          </w:p>
        </w:tc>
        <w:tc>
          <w:tcPr>
            <w:tcW w:w="29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63B675" w14:textId="69B439B4" w:rsidR="00D7102F" w:rsidRPr="005303F7" w:rsidRDefault="00284DF0"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 xml:space="preserve">Процењен утицај ублажавања </w:t>
            </w:r>
            <w:r w:rsidR="00D7102F" w:rsidRPr="005303F7">
              <w:rPr>
                <w:rFonts w:ascii="Times New Roman" w:hAnsi="Times New Roman"/>
                <w:b/>
                <w:bCs/>
                <w:sz w:val="20"/>
                <w:lang w:val="sr-Cyrl-CS"/>
              </w:rPr>
              <w:t xml:space="preserve">до 2030. </w:t>
            </w:r>
          </w:p>
          <w:p w14:paraId="1244EE6A" w14:textId="19DD63A2" w:rsidR="00795689"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BD116A" w:rsidRPr="005303F7" w14:paraId="454BCBD4" w14:textId="77777777" w:rsidTr="00FE004C">
        <w:trPr>
          <w:trHeight w:val="604"/>
        </w:trPr>
        <w:tc>
          <w:tcPr>
            <w:tcW w:w="561" w:type="dxa"/>
            <w:gridSpan w:val="2"/>
            <w:vMerge/>
            <w:tcBorders>
              <w:top w:val="single" w:sz="4" w:space="0" w:color="auto"/>
              <w:left w:val="single" w:sz="4" w:space="0" w:color="auto"/>
              <w:bottom w:val="single" w:sz="4" w:space="0" w:color="auto"/>
              <w:right w:val="single" w:sz="4" w:space="0" w:color="auto"/>
            </w:tcBorders>
            <w:vAlign w:val="center"/>
            <w:hideMark/>
          </w:tcPr>
          <w:p w14:paraId="7EDE275B" w14:textId="77777777" w:rsidR="00BD116A" w:rsidRPr="005303F7" w:rsidRDefault="00BD116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53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8C9EB" w14:textId="712023A8"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FD5A2D"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грађевинарства</w:t>
            </w:r>
            <w:r w:rsidR="00FD5A2D"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саобраћаја</w:t>
            </w:r>
            <w:r w:rsidR="00FD5A2D"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FD5A2D"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инфраструктуре</w:t>
            </w:r>
          </w:p>
        </w:tc>
        <w:tc>
          <w:tcPr>
            <w:tcW w:w="623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F86F997" w14:textId="223C94BD" w:rsidR="00BD116A" w:rsidRPr="005303F7" w:rsidRDefault="008D69AF" w:rsidP="00D179E4">
            <w:pPr>
              <w:overflowPunct/>
              <w:spacing w:after="0"/>
              <w:jc w:val="center"/>
              <w:rPr>
                <w:rFonts w:ascii="Times New Roman" w:hAnsi="Times New Roman"/>
                <w:bCs/>
                <w:color w:val="000000"/>
                <w:sz w:val="20"/>
                <w:lang w:val="sr-Cyrl-CS"/>
              </w:rPr>
            </w:pPr>
            <w:r w:rsidRPr="005303F7">
              <w:rPr>
                <w:rFonts w:ascii="Times New Roman" w:hAnsi="Times New Roman"/>
                <w:color w:val="000000"/>
                <w:sz w:val="20"/>
                <w:lang w:val="sr-Cyrl-CS"/>
              </w:rPr>
              <w:t>Општине</w:t>
            </w:r>
            <w:r w:rsidR="00BD116A"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локална</w:t>
            </w:r>
            <w:r w:rsidR="00FD5A2D"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самоуправа</w:t>
            </w:r>
            <w:r w:rsidR="00BD116A"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предузећа</w:t>
            </w:r>
            <w:r w:rsidR="00FD5A2D"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за</w:t>
            </w:r>
            <w:r w:rsidR="00FD5A2D"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јавни</w:t>
            </w:r>
            <w:r w:rsidR="00FD5A2D"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превоз</w:t>
            </w:r>
            <w:r w:rsidR="00BD116A"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државна</w:t>
            </w:r>
            <w:r w:rsidR="003C6D85"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железничка</w:t>
            </w:r>
            <w:r w:rsidR="003C6D85"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компанија</w:t>
            </w:r>
            <w:r w:rsidR="00D179E4"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Министарство</w:t>
            </w:r>
            <w:r w:rsidR="003C6D85"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заштите</w:t>
            </w:r>
            <w:r w:rsidR="003C6D85"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животне</w:t>
            </w:r>
            <w:r w:rsidR="003C6D85"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средине</w:t>
            </w:r>
          </w:p>
        </w:tc>
        <w:tc>
          <w:tcPr>
            <w:tcW w:w="126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21D8B2" w14:textId="664D9588" w:rsidR="00BD116A" w:rsidRPr="005303F7" w:rsidRDefault="004A35C7" w:rsidP="00F800B4">
            <w:pPr>
              <w:overflowPunct/>
              <w:spacing w:after="0"/>
              <w:rPr>
                <w:rFonts w:ascii="Times New Roman" w:hAnsi="Times New Roman"/>
                <w:bCs/>
                <w:sz w:val="20"/>
                <w:lang w:val="sr-Cyrl-CS"/>
              </w:rPr>
            </w:pPr>
            <w:r w:rsidRPr="005303F7">
              <w:rPr>
                <w:rFonts w:ascii="Times New Roman" w:hAnsi="Times New Roman"/>
                <w:bCs/>
                <w:sz w:val="20"/>
                <w:lang w:val="sr-Cyrl-CS"/>
              </w:rPr>
              <w:t>не-ЕТS</w:t>
            </w:r>
          </w:p>
        </w:tc>
        <w:tc>
          <w:tcPr>
            <w:tcW w:w="144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82D909" w14:textId="7AA71493" w:rsidR="00BD116A" w:rsidRPr="005303F7" w:rsidRDefault="00531F8A">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C</w:t>
            </w:r>
            <w:r w:rsidR="008D69AF" w:rsidRPr="005303F7">
              <w:rPr>
                <w:rFonts w:ascii="Times New Roman" w:hAnsi="Times New Roman"/>
                <w:bCs/>
                <w:color w:val="000000"/>
                <w:sz w:val="20"/>
                <w:lang w:val="sr-Cyrl-CS"/>
              </w:rPr>
              <w:t>О</w:t>
            </w:r>
            <w:r w:rsidR="00BD116A" w:rsidRPr="005303F7">
              <w:rPr>
                <w:rFonts w:ascii="Times New Roman" w:hAnsi="Times New Roman"/>
                <w:bCs/>
                <w:color w:val="000000"/>
                <w:sz w:val="20"/>
                <w:vertAlign w:val="subscript"/>
                <w:lang w:val="sr-Cyrl-CS"/>
              </w:rPr>
              <w:t>2</w:t>
            </w:r>
          </w:p>
        </w:tc>
        <w:tc>
          <w:tcPr>
            <w:tcW w:w="29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CD2D32" w14:textId="154E85F6" w:rsidR="00BD116A" w:rsidRPr="005303F7" w:rsidRDefault="008D69AF">
            <w:pPr>
              <w:overflowPunct/>
              <w:spacing w:after="0"/>
              <w:jc w:val="center"/>
              <w:rPr>
                <w:rFonts w:ascii="Times New Roman" w:hAnsi="Times New Roman"/>
                <w:bCs/>
                <w:color w:val="000000"/>
                <w:sz w:val="20"/>
                <w:highlight w:val="yellow"/>
                <w:lang w:val="sr-Cyrl-CS"/>
              </w:rPr>
            </w:pPr>
            <w:r w:rsidRPr="005303F7">
              <w:rPr>
                <w:rFonts w:ascii="Times New Roman" w:hAnsi="Times New Roman"/>
                <w:bCs/>
                <w:color w:val="000000"/>
                <w:sz w:val="20"/>
                <w:lang w:val="sr-Cyrl-CS"/>
              </w:rPr>
              <w:t>под</w:t>
            </w:r>
            <w:r w:rsidR="00CB0242" w:rsidRPr="005303F7">
              <w:rPr>
                <w:rFonts w:ascii="Times New Roman" w:hAnsi="Times New Roman"/>
                <w:bCs/>
                <w:color w:val="000000"/>
                <w:sz w:val="20"/>
                <w:lang w:val="sr-Cyrl-CS"/>
              </w:rPr>
              <w:t xml:space="preserve"> </w:t>
            </w:r>
            <w:r w:rsidR="00B20FDF" w:rsidRPr="005303F7">
              <w:rPr>
                <w:rFonts w:ascii="Times New Roman" w:hAnsi="Times New Roman"/>
                <w:bCs/>
                <w:color w:val="000000"/>
                <w:sz w:val="20"/>
                <w:lang w:val="sr-Cyrl-CS"/>
              </w:rPr>
              <w:t>б</w:t>
            </w:r>
            <w:r w:rsidRPr="005303F7">
              <w:rPr>
                <w:rFonts w:ascii="Times New Roman" w:hAnsi="Times New Roman"/>
                <w:bCs/>
                <w:color w:val="000000"/>
                <w:sz w:val="20"/>
                <w:lang w:val="sr-Cyrl-CS"/>
              </w:rPr>
              <w:t>р</w:t>
            </w:r>
            <w:r w:rsidR="00CB0242" w:rsidRPr="005303F7">
              <w:rPr>
                <w:rFonts w:ascii="Times New Roman" w:hAnsi="Times New Roman"/>
                <w:bCs/>
                <w:color w:val="000000"/>
                <w:sz w:val="20"/>
                <w:lang w:val="sr-Cyrl-CS"/>
              </w:rPr>
              <w:t>.11</w:t>
            </w:r>
            <w:r w:rsidR="00BD116A" w:rsidRPr="005303F7">
              <w:rPr>
                <w:rFonts w:ascii="Times New Roman" w:hAnsi="Times New Roman"/>
                <w:bCs/>
                <w:color w:val="000000"/>
                <w:sz w:val="20"/>
                <w:lang w:val="sr-Cyrl-CS"/>
              </w:rPr>
              <w:t>.</w:t>
            </w:r>
          </w:p>
        </w:tc>
      </w:tr>
      <w:tr w:rsidR="00BD116A" w:rsidRPr="005303F7" w14:paraId="24E4659E" w14:textId="77777777" w:rsidTr="0009461F">
        <w:trPr>
          <w:trHeight w:val="442"/>
        </w:trPr>
        <w:tc>
          <w:tcPr>
            <w:tcW w:w="561" w:type="dxa"/>
            <w:gridSpan w:val="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07D756BD" w14:textId="2E4984B9" w:rsidR="00BD116A" w:rsidRPr="005303F7" w:rsidRDefault="008D69AF" w:rsidP="00F23EDD">
            <w:pPr>
              <w:overflowPunct/>
              <w:spacing w:before="0" w:after="0"/>
              <w:rPr>
                <w:rFonts w:ascii="Times New Roman" w:hAnsi="Times New Roman"/>
                <w:sz w:val="20"/>
                <w:lang w:val="sr-Cyrl-CS"/>
              </w:rPr>
            </w:pPr>
            <w:r w:rsidRPr="005303F7">
              <w:rPr>
                <w:rFonts w:ascii="Times New Roman" w:hAnsi="Times New Roman"/>
                <w:sz w:val="20"/>
                <w:lang w:val="sr-Cyrl-CS"/>
              </w:rPr>
              <w:t>Бр</w:t>
            </w:r>
            <w:r w:rsidR="00BD116A" w:rsidRPr="005303F7">
              <w:rPr>
                <w:rFonts w:ascii="Times New Roman" w:hAnsi="Times New Roman"/>
                <w:sz w:val="20"/>
                <w:lang w:val="sr-Cyrl-CS"/>
              </w:rPr>
              <w:t>.</w:t>
            </w:r>
          </w:p>
        </w:tc>
        <w:tc>
          <w:tcPr>
            <w:tcW w:w="15429" w:type="dxa"/>
            <w:gridSpan w:val="3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6B275884" w14:textId="498E8DA1" w:rsidR="00BD116A" w:rsidRPr="005303F7" w:rsidRDefault="008D69AF" w:rsidP="00F23EDD">
            <w:pPr>
              <w:overflowPunct/>
              <w:spacing w:before="60" w:after="60"/>
              <w:jc w:val="left"/>
              <w:rPr>
                <w:rFonts w:ascii="Times New Roman" w:hAnsi="Times New Roman"/>
                <w:b/>
                <w:bCs/>
                <w:sz w:val="20"/>
                <w:lang w:val="sr-Cyrl-CS"/>
              </w:rPr>
            </w:pPr>
            <w:r w:rsidRPr="005303F7">
              <w:rPr>
                <w:rFonts w:ascii="Times New Roman" w:hAnsi="Times New Roman"/>
                <w:b/>
                <w:bCs/>
                <w:sz w:val="20"/>
                <w:lang w:val="sr-Cyrl-CS"/>
              </w:rPr>
              <w:t>Назив</w:t>
            </w:r>
            <w:r w:rsidR="00C60410"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r w:rsidR="00C60410" w:rsidRPr="005303F7">
              <w:rPr>
                <w:rFonts w:ascii="Times New Roman" w:hAnsi="Times New Roman"/>
                <w:b/>
                <w:bCs/>
                <w:sz w:val="20"/>
                <w:lang w:val="sr-Cyrl-CS"/>
              </w:rPr>
              <w:t xml:space="preserve">: </w:t>
            </w:r>
            <w:r w:rsidRPr="005303F7">
              <w:rPr>
                <w:rFonts w:ascii="Times New Roman" w:hAnsi="Times New Roman"/>
                <w:b/>
                <w:bCs/>
                <w:sz w:val="20"/>
                <w:lang w:val="sr-Cyrl-CS" w:eastAsia="pt-PT"/>
              </w:rPr>
              <w:t>Обнова</w:t>
            </w:r>
            <w:r w:rsidR="003C6D85"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возног</w:t>
            </w:r>
            <w:r w:rsidR="003C6D85"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парка</w:t>
            </w:r>
            <w:r w:rsidR="009B04F4"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за</w:t>
            </w:r>
            <w:r w:rsidR="009B04F4"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превоз</w:t>
            </w:r>
            <w:r w:rsidR="009B04F4"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путника</w:t>
            </w:r>
            <w:r w:rsidR="003C6D85"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и</w:t>
            </w:r>
            <w:r w:rsidR="003C6D85"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промоција</w:t>
            </w:r>
            <w:r w:rsidR="003C6D85"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одрживог</w:t>
            </w:r>
            <w:r w:rsidR="003C6D85"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путничког</w:t>
            </w:r>
            <w:r w:rsidR="003C6D85" w:rsidRPr="005303F7">
              <w:rPr>
                <w:rFonts w:ascii="Times New Roman" w:hAnsi="Times New Roman"/>
                <w:b/>
                <w:bCs/>
                <w:sz w:val="20"/>
                <w:lang w:val="sr-Cyrl-CS" w:eastAsia="pt-PT"/>
              </w:rPr>
              <w:t xml:space="preserve"> </w:t>
            </w:r>
            <w:r w:rsidRPr="005303F7">
              <w:rPr>
                <w:rFonts w:ascii="Times New Roman" w:hAnsi="Times New Roman"/>
                <w:b/>
                <w:bCs/>
                <w:sz w:val="20"/>
                <w:lang w:val="sr-Cyrl-CS" w:eastAsia="pt-PT"/>
              </w:rPr>
              <w:t>саобра</w:t>
            </w:r>
            <w:r w:rsidR="00016298" w:rsidRPr="005303F7">
              <w:rPr>
                <w:rFonts w:ascii="Times New Roman" w:hAnsi="Times New Roman"/>
                <w:b/>
                <w:bCs/>
                <w:sz w:val="20"/>
                <w:lang w:val="sr-Cyrl-CS" w:eastAsia="pt-PT"/>
              </w:rPr>
              <w:t>ћ</w:t>
            </w:r>
            <w:r w:rsidRPr="005303F7">
              <w:rPr>
                <w:rFonts w:ascii="Times New Roman" w:hAnsi="Times New Roman"/>
                <w:b/>
                <w:bCs/>
                <w:sz w:val="20"/>
                <w:lang w:val="sr-Cyrl-CS" w:eastAsia="pt-PT"/>
              </w:rPr>
              <w:t>аја</w:t>
            </w:r>
          </w:p>
          <w:p w14:paraId="5F7BA135" w14:textId="5D61A1DB" w:rsidR="00BD116A" w:rsidRPr="005303F7" w:rsidRDefault="008D69AF" w:rsidP="00F23EDD">
            <w:pPr>
              <w:overflowPunct/>
              <w:spacing w:before="60" w:after="60"/>
              <w:jc w:val="left"/>
              <w:rPr>
                <w:rFonts w:ascii="Times New Roman" w:hAnsi="Times New Roman"/>
                <w:b/>
                <w:bCs/>
                <w:sz w:val="20"/>
                <w:lang w:val="sr-Cyrl-CS"/>
              </w:rPr>
            </w:pPr>
            <w:r w:rsidRPr="005303F7">
              <w:rPr>
                <w:rFonts w:ascii="Times New Roman" w:hAnsi="Times New Roman"/>
                <w:b/>
                <w:bCs/>
                <w:sz w:val="20"/>
                <w:u w:val="single"/>
                <w:lang w:val="sr-Cyrl-CS"/>
              </w:rPr>
              <w:t>Промоција</w:t>
            </w:r>
            <w:r w:rsidR="003C6D85"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употребе</w:t>
            </w:r>
            <w:r w:rsidR="003C6D85"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алтернативних</w:t>
            </w:r>
            <w:r w:rsidR="003C6D85"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горива</w:t>
            </w:r>
            <w:r w:rsidR="003C6D85"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и</w:t>
            </w:r>
            <w:r w:rsidR="003C6D85"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биогорива</w:t>
            </w:r>
          </w:p>
        </w:tc>
      </w:tr>
      <w:tr w:rsidR="00BD116A" w:rsidRPr="005303F7" w14:paraId="35C207DD" w14:textId="77777777" w:rsidTr="0009461F">
        <w:trPr>
          <w:trHeight w:val="740"/>
        </w:trPr>
        <w:tc>
          <w:tcPr>
            <w:tcW w:w="56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1B1F6F" w14:textId="77777777" w:rsidR="00BD116A" w:rsidRPr="005303F7" w:rsidRDefault="00BD116A">
            <w:pPr>
              <w:rPr>
                <w:rFonts w:ascii="Times New Roman" w:hAnsi="Times New Roman"/>
                <w:b/>
                <w:lang w:val="sr-Cyrl-CS"/>
              </w:rPr>
            </w:pPr>
            <w:r w:rsidRPr="005303F7">
              <w:rPr>
                <w:rFonts w:ascii="Times New Roman" w:hAnsi="Times New Roman"/>
                <w:b/>
                <w:lang w:val="sr-Cyrl-CS"/>
              </w:rPr>
              <w:t>13</w:t>
            </w:r>
          </w:p>
        </w:tc>
        <w:tc>
          <w:tcPr>
            <w:tcW w:w="15429" w:type="dxa"/>
            <w:gridSpan w:val="32"/>
            <w:tcBorders>
              <w:top w:val="single" w:sz="4" w:space="0" w:color="auto"/>
              <w:left w:val="single" w:sz="4" w:space="0" w:color="auto"/>
              <w:bottom w:val="single" w:sz="4" w:space="0" w:color="auto"/>
              <w:right w:val="single" w:sz="4" w:space="0" w:color="auto"/>
            </w:tcBorders>
            <w:vAlign w:val="center"/>
            <w:hideMark/>
          </w:tcPr>
          <w:p w14:paraId="5091D8A3" w14:textId="1CD6A491" w:rsidR="00BD116A" w:rsidRPr="005303F7" w:rsidRDefault="008D69AF">
            <w:pPr>
              <w:overflowPunct/>
              <w:jc w:val="left"/>
              <w:rPr>
                <w:rFonts w:ascii="Times New Roman" w:hAnsi="Times New Roman"/>
                <w:b/>
                <w:sz w:val="20"/>
                <w:u w:val="single"/>
                <w:lang w:val="sr-Cyrl-CS"/>
              </w:rPr>
            </w:pPr>
            <w:r w:rsidRPr="005303F7">
              <w:rPr>
                <w:rFonts w:ascii="Times New Roman" w:hAnsi="Times New Roman"/>
                <w:b/>
                <w:sz w:val="20"/>
                <w:u w:val="single"/>
                <w:lang w:val="sr-Cyrl-CS"/>
              </w:rPr>
              <w:t>Врста</w:t>
            </w:r>
            <w:r w:rsidR="003C6D85"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мере</w:t>
            </w:r>
            <w:r w:rsidR="00BD116A" w:rsidRPr="005303F7">
              <w:rPr>
                <w:rFonts w:ascii="Times New Roman" w:hAnsi="Times New Roman"/>
                <w:b/>
                <w:sz w:val="20"/>
                <w:u w:val="single"/>
                <w:lang w:val="sr-Cyrl-CS"/>
              </w:rPr>
              <w:t>:</w:t>
            </w:r>
            <w:r w:rsidR="00BD116A" w:rsidRPr="005303F7">
              <w:rPr>
                <w:rFonts w:ascii="Times New Roman" w:hAnsi="Times New Roman"/>
                <w:b/>
                <w:sz w:val="20"/>
                <w:lang w:val="sr-Cyrl-CS"/>
              </w:rPr>
              <w:t xml:space="preserve"> </w:t>
            </w:r>
            <w:r w:rsidRPr="005303F7">
              <w:rPr>
                <w:rFonts w:ascii="Times New Roman" w:hAnsi="Times New Roman"/>
                <w:bCs/>
                <w:sz w:val="20"/>
                <w:lang w:val="sr-Cyrl-CS"/>
              </w:rPr>
              <w:t>Регулаторна</w:t>
            </w:r>
            <w:r w:rsidR="003C6D85" w:rsidRPr="005303F7">
              <w:rPr>
                <w:rFonts w:ascii="Times New Roman" w:hAnsi="Times New Roman"/>
                <w:bCs/>
                <w:sz w:val="20"/>
                <w:lang w:val="sr-Cyrl-CS"/>
              </w:rPr>
              <w:t xml:space="preserve">, </w:t>
            </w:r>
            <w:r w:rsidRPr="005303F7">
              <w:rPr>
                <w:rFonts w:ascii="Times New Roman" w:hAnsi="Times New Roman"/>
                <w:bCs/>
                <w:sz w:val="20"/>
                <w:lang w:val="sr-Cyrl-CS"/>
              </w:rPr>
              <w:t>подстицајна</w:t>
            </w:r>
          </w:p>
          <w:p w14:paraId="0630D3F6" w14:textId="2CE60B6A" w:rsidR="00BD116A" w:rsidRPr="005303F7" w:rsidRDefault="008D69AF">
            <w:pPr>
              <w:overflowPunct/>
              <w:spacing w:after="0"/>
              <w:jc w:val="left"/>
              <w:rPr>
                <w:rFonts w:ascii="Times New Roman" w:hAnsi="Times New Roman"/>
                <w:bCs/>
                <w:sz w:val="20"/>
                <w:lang w:val="sr-Cyrl-CS"/>
              </w:rPr>
            </w:pPr>
            <w:r w:rsidRPr="005303F7">
              <w:rPr>
                <w:rFonts w:ascii="Times New Roman" w:hAnsi="Times New Roman"/>
                <w:b/>
                <w:sz w:val="20"/>
                <w:u w:val="single"/>
                <w:lang w:val="sr-Cyrl-CS"/>
              </w:rPr>
              <w:t>Опис</w:t>
            </w:r>
            <w:r w:rsidR="003C6D85"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мере</w:t>
            </w:r>
            <w:r w:rsidR="00BD116A" w:rsidRPr="005303F7">
              <w:rPr>
                <w:rFonts w:ascii="Times New Roman" w:hAnsi="Times New Roman"/>
                <w:bCs/>
                <w:sz w:val="20"/>
                <w:lang w:val="sr-Cyrl-CS"/>
              </w:rPr>
              <w:t xml:space="preserve">: </w:t>
            </w:r>
            <w:r w:rsidRPr="005303F7">
              <w:rPr>
                <w:rFonts w:ascii="Times New Roman" w:hAnsi="Times New Roman"/>
                <w:bCs/>
                <w:sz w:val="20"/>
                <w:lang w:val="sr-Cyrl-CS"/>
              </w:rPr>
              <w:t>Директива</w:t>
            </w:r>
            <w:r w:rsidR="00BD116A" w:rsidRPr="005303F7">
              <w:rPr>
                <w:rFonts w:ascii="Times New Roman" w:hAnsi="Times New Roman"/>
                <w:bCs/>
                <w:sz w:val="20"/>
                <w:lang w:val="sr-Cyrl-CS"/>
              </w:rPr>
              <w:t xml:space="preserve"> 2009/28/</w:t>
            </w:r>
            <w:r w:rsidRPr="005303F7">
              <w:rPr>
                <w:rFonts w:ascii="Times New Roman" w:hAnsi="Times New Roman"/>
                <w:bCs/>
                <w:sz w:val="20"/>
                <w:lang w:val="sr-Cyrl-CS"/>
              </w:rPr>
              <w:t>ЕУ</w:t>
            </w:r>
            <w:r w:rsidR="00BD116A" w:rsidRPr="005303F7">
              <w:rPr>
                <w:rFonts w:ascii="Times New Roman" w:hAnsi="Times New Roman"/>
                <w:bCs/>
                <w:sz w:val="20"/>
                <w:lang w:val="sr-Cyrl-CS"/>
              </w:rPr>
              <w:t xml:space="preserve"> </w:t>
            </w:r>
            <w:r w:rsidRPr="005303F7">
              <w:rPr>
                <w:rFonts w:ascii="Times New Roman" w:hAnsi="Times New Roman"/>
                <w:bCs/>
                <w:sz w:val="20"/>
                <w:lang w:val="sr-Cyrl-CS"/>
              </w:rPr>
              <w:t>и</w:t>
            </w:r>
            <w:r w:rsidR="00BD116A" w:rsidRPr="005303F7">
              <w:rPr>
                <w:rFonts w:ascii="Times New Roman" w:hAnsi="Times New Roman"/>
                <w:bCs/>
                <w:sz w:val="20"/>
                <w:lang w:val="sr-Cyrl-CS"/>
              </w:rPr>
              <w:t xml:space="preserve"> 2015/1513/</w:t>
            </w:r>
            <w:r w:rsidRPr="005303F7">
              <w:rPr>
                <w:rFonts w:ascii="Times New Roman" w:hAnsi="Times New Roman"/>
                <w:bCs/>
                <w:sz w:val="20"/>
                <w:lang w:val="sr-Cyrl-CS"/>
              </w:rPr>
              <w:t>Е</w:t>
            </w:r>
            <w:r w:rsidR="00DA6F4B" w:rsidRPr="005303F7">
              <w:rPr>
                <w:rFonts w:ascii="Times New Roman" w:hAnsi="Times New Roman"/>
                <w:bCs/>
                <w:sz w:val="20"/>
                <w:lang w:val="sr-Cyrl-CS"/>
              </w:rPr>
              <w:t>К (преиначена Директивом 2018/2001/EУ)</w:t>
            </w:r>
            <w:r w:rsidR="00BD116A" w:rsidRPr="005303F7">
              <w:rPr>
                <w:rFonts w:ascii="Times New Roman" w:hAnsi="Times New Roman"/>
                <w:bCs/>
                <w:sz w:val="20"/>
                <w:lang w:val="sr-Cyrl-CS"/>
              </w:rPr>
              <w:t xml:space="preserve"> </w:t>
            </w:r>
            <w:r w:rsidRPr="005303F7">
              <w:rPr>
                <w:rFonts w:ascii="Times New Roman" w:hAnsi="Times New Roman"/>
                <w:bCs/>
                <w:sz w:val="20"/>
                <w:lang w:val="sr-Cyrl-CS"/>
              </w:rPr>
              <w:t>је</w:t>
            </w:r>
            <w:r w:rsidR="003C6D85" w:rsidRPr="005303F7">
              <w:rPr>
                <w:rFonts w:ascii="Times New Roman" w:hAnsi="Times New Roman"/>
                <w:bCs/>
                <w:sz w:val="20"/>
                <w:lang w:val="sr-Cyrl-CS"/>
              </w:rPr>
              <w:t xml:space="preserve"> </w:t>
            </w:r>
            <w:r w:rsidRPr="005303F7">
              <w:rPr>
                <w:rFonts w:ascii="Times New Roman" w:hAnsi="Times New Roman"/>
                <w:bCs/>
                <w:sz w:val="20"/>
                <w:lang w:val="sr-Cyrl-CS"/>
              </w:rPr>
              <w:t>делимично</w:t>
            </w:r>
            <w:r w:rsidR="003C6D85" w:rsidRPr="005303F7">
              <w:rPr>
                <w:rFonts w:ascii="Times New Roman" w:hAnsi="Times New Roman"/>
                <w:bCs/>
                <w:sz w:val="20"/>
                <w:lang w:val="sr-Cyrl-CS"/>
              </w:rPr>
              <w:t xml:space="preserve"> </w:t>
            </w:r>
            <w:r w:rsidRPr="005303F7">
              <w:rPr>
                <w:rFonts w:ascii="Times New Roman" w:hAnsi="Times New Roman"/>
                <w:bCs/>
                <w:sz w:val="20"/>
                <w:lang w:val="sr-Cyrl-CS"/>
              </w:rPr>
              <w:t>транспонована</w:t>
            </w:r>
            <w:r w:rsidR="003C6D85" w:rsidRPr="005303F7">
              <w:rPr>
                <w:rFonts w:ascii="Times New Roman" w:hAnsi="Times New Roman"/>
                <w:bCs/>
                <w:sz w:val="20"/>
                <w:lang w:val="sr-Cyrl-CS"/>
              </w:rPr>
              <w:t xml:space="preserve"> </w:t>
            </w:r>
            <w:r w:rsidRPr="005303F7">
              <w:rPr>
                <w:rFonts w:ascii="Times New Roman" w:hAnsi="Times New Roman"/>
                <w:bCs/>
                <w:sz w:val="20"/>
                <w:lang w:val="sr-Cyrl-CS"/>
              </w:rPr>
              <w:t>у</w:t>
            </w:r>
            <w:r w:rsidR="003C6D85" w:rsidRPr="005303F7">
              <w:rPr>
                <w:rFonts w:ascii="Times New Roman" w:hAnsi="Times New Roman"/>
                <w:bCs/>
                <w:sz w:val="20"/>
                <w:lang w:val="sr-Cyrl-CS"/>
              </w:rPr>
              <w:t xml:space="preserve"> </w:t>
            </w:r>
            <w:r w:rsidRPr="005303F7">
              <w:rPr>
                <w:rFonts w:ascii="Times New Roman" w:hAnsi="Times New Roman"/>
                <w:bCs/>
                <w:sz w:val="20"/>
                <w:lang w:val="sr-Cyrl-CS"/>
              </w:rPr>
              <w:t>Закон</w:t>
            </w:r>
            <w:r w:rsidR="003C6D85" w:rsidRPr="005303F7">
              <w:rPr>
                <w:rFonts w:ascii="Times New Roman" w:hAnsi="Times New Roman"/>
                <w:bCs/>
                <w:sz w:val="20"/>
                <w:lang w:val="sr-Cyrl-CS"/>
              </w:rPr>
              <w:t xml:space="preserve"> </w:t>
            </w:r>
            <w:r w:rsidRPr="005303F7">
              <w:rPr>
                <w:rFonts w:ascii="Times New Roman" w:hAnsi="Times New Roman"/>
                <w:bCs/>
                <w:sz w:val="20"/>
                <w:lang w:val="sr-Cyrl-CS"/>
              </w:rPr>
              <w:t>о</w:t>
            </w:r>
            <w:r w:rsidR="003C6D85" w:rsidRPr="005303F7">
              <w:rPr>
                <w:rFonts w:ascii="Times New Roman" w:hAnsi="Times New Roman"/>
                <w:bCs/>
                <w:sz w:val="20"/>
                <w:lang w:val="sr-Cyrl-CS"/>
              </w:rPr>
              <w:t xml:space="preserve"> </w:t>
            </w:r>
            <w:r w:rsidRPr="005303F7">
              <w:rPr>
                <w:rFonts w:ascii="Times New Roman" w:hAnsi="Times New Roman"/>
                <w:bCs/>
                <w:sz w:val="20"/>
                <w:lang w:val="sr-Cyrl-CS"/>
              </w:rPr>
              <w:t>енергетици</w:t>
            </w:r>
          </w:p>
          <w:p w14:paraId="1A4049AE" w14:textId="122C406F" w:rsidR="00BD116A" w:rsidRPr="005303F7" w:rsidRDefault="003957AE" w:rsidP="0029378D">
            <w:pPr>
              <w:tabs>
                <w:tab w:val="clear" w:pos="3825"/>
                <w:tab w:val="left" w:pos="326"/>
              </w:tabs>
              <w:overflowPunct/>
              <w:spacing w:after="0"/>
              <w:jc w:val="left"/>
              <w:rPr>
                <w:rFonts w:ascii="Times New Roman" w:hAnsi="Times New Roman"/>
                <w:bCs/>
                <w:sz w:val="20"/>
                <w:lang w:val="sr-Cyrl-CS"/>
              </w:rPr>
            </w:pPr>
            <w:r w:rsidRPr="005303F7">
              <w:rPr>
                <w:rFonts w:ascii="Times New Roman" w:hAnsi="Times New Roman"/>
                <w:bCs/>
                <w:sz w:val="20"/>
                <w:lang w:val="sr-Cyrl-CS"/>
              </w:rPr>
              <w:t xml:space="preserve">1)  </w:t>
            </w:r>
            <w:r w:rsidR="008A38FE" w:rsidRPr="005303F7">
              <w:rPr>
                <w:rFonts w:ascii="Times New Roman" w:hAnsi="Times New Roman"/>
                <w:bCs/>
                <w:sz w:val="20"/>
                <w:lang w:val="sr-Cyrl-CS"/>
              </w:rPr>
              <w:t>Правилник</w:t>
            </w:r>
            <w:r w:rsidR="003C6D85" w:rsidRPr="005303F7">
              <w:rPr>
                <w:rFonts w:ascii="Times New Roman" w:hAnsi="Times New Roman"/>
                <w:bCs/>
                <w:sz w:val="20"/>
                <w:lang w:val="sr-Cyrl-CS"/>
              </w:rPr>
              <w:t xml:space="preserve"> </w:t>
            </w:r>
            <w:r w:rsidR="008D69AF" w:rsidRPr="005303F7">
              <w:rPr>
                <w:rFonts w:ascii="Times New Roman" w:hAnsi="Times New Roman"/>
                <w:bCs/>
                <w:sz w:val="20"/>
                <w:lang w:val="sr-Cyrl-CS"/>
              </w:rPr>
              <w:t>о</w:t>
            </w:r>
            <w:r w:rsidR="003C6D85" w:rsidRPr="005303F7">
              <w:rPr>
                <w:rFonts w:ascii="Times New Roman" w:hAnsi="Times New Roman"/>
                <w:bCs/>
                <w:sz w:val="20"/>
                <w:lang w:val="sr-Cyrl-CS"/>
              </w:rPr>
              <w:t xml:space="preserve"> </w:t>
            </w:r>
            <w:r w:rsidR="008D69AF" w:rsidRPr="005303F7">
              <w:rPr>
                <w:rFonts w:ascii="Times New Roman" w:hAnsi="Times New Roman"/>
                <w:bCs/>
                <w:sz w:val="20"/>
                <w:lang w:val="sr-Cyrl-CS"/>
              </w:rPr>
              <w:t>техничким</w:t>
            </w:r>
            <w:r w:rsidR="003C6D85"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3C6D85" w:rsidRPr="005303F7">
              <w:rPr>
                <w:rFonts w:ascii="Times New Roman" w:hAnsi="Times New Roman"/>
                <w:bCs/>
                <w:sz w:val="20"/>
                <w:lang w:val="sr-Cyrl-CS"/>
              </w:rPr>
              <w:t xml:space="preserve"> </w:t>
            </w:r>
            <w:r w:rsidR="008D69AF" w:rsidRPr="005303F7">
              <w:rPr>
                <w:rFonts w:ascii="Times New Roman" w:hAnsi="Times New Roman"/>
                <w:bCs/>
                <w:sz w:val="20"/>
                <w:lang w:val="sr-Cyrl-CS"/>
              </w:rPr>
              <w:t>другим</w:t>
            </w:r>
            <w:r w:rsidR="003C6D85" w:rsidRPr="005303F7">
              <w:rPr>
                <w:rFonts w:ascii="Times New Roman" w:hAnsi="Times New Roman"/>
                <w:bCs/>
                <w:sz w:val="20"/>
                <w:lang w:val="sr-Cyrl-CS"/>
              </w:rPr>
              <w:t xml:space="preserve"> </w:t>
            </w:r>
            <w:r w:rsidR="008D69AF" w:rsidRPr="005303F7">
              <w:rPr>
                <w:rFonts w:ascii="Times New Roman" w:hAnsi="Times New Roman"/>
                <w:bCs/>
                <w:sz w:val="20"/>
                <w:lang w:val="sr-Cyrl-CS"/>
              </w:rPr>
              <w:t>захтевима</w:t>
            </w:r>
            <w:r w:rsidR="003C6D85" w:rsidRPr="005303F7">
              <w:rPr>
                <w:rFonts w:ascii="Times New Roman" w:hAnsi="Times New Roman"/>
                <w:bCs/>
                <w:sz w:val="20"/>
                <w:lang w:val="sr-Cyrl-CS"/>
              </w:rPr>
              <w:t xml:space="preserve"> </w:t>
            </w:r>
            <w:r w:rsidR="008D69AF" w:rsidRPr="005303F7">
              <w:rPr>
                <w:rFonts w:ascii="Times New Roman" w:hAnsi="Times New Roman"/>
                <w:bCs/>
                <w:sz w:val="20"/>
                <w:lang w:val="sr-Cyrl-CS"/>
              </w:rPr>
              <w:t>за</w:t>
            </w:r>
            <w:r w:rsidR="003C6D85" w:rsidRPr="005303F7">
              <w:rPr>
                <w:rFonts w:ascii="Times New Roman" w:hAnsi="Times New Roman"/>
                <w:bCs/>
                <w:sz w:val="20"/>
                <w:lang w:val="sr-Cyrl-CS"/>
              </w:rPr>
              <w:t xml:space="preserve"> </w:t>
            </w:r>
            <w:r w:rsidR="008A38FE" w:rsidRPr="005303F7">
              <w:rPr>
                <w:rFonts w:ascii="Times New Roman" w:hAnsi="Times New Roman"/>
                <w:bCs/>
                <w:sz w:val="20"/>
                <w:lang w:val="sr-Cyrl-CS"/>
              </w:rPr>
              <w:t>биогорива и биотечности</w:t>
            </w:r>
            <w:r w:rsidR="003C6D85" w:rsidRPr="005303F7">
              <w:rPr>
                <w:rFonts w:ascii="Times New Roman" w:hAnsi="Times New Roman"/>
                <w:bCs/>
                <w:sz w:val="20"/>
                <w:lang w:val="sr-Cyrl-CS"/>
              </w:rPr>
              <w:t xml:space="preserve"> </w:t>
            </w:r>
            <w:r w:rsidR="00BD116A" w:rsidRPr="005303F7">
              <w:rPr>
                <w:rFonts w:ascii="Times New Roman" w:hAnsi="Times New Roman"/>
                <w:bCs/>
                <w:sz w:val="20"/>
                <w:lang w:val="sr-Cyrl-CS"/>
              </w:rPr>
              <w:t>(</w:t>
            </w:r>
            <w:r w:rsidR="003C6D85" w:rsidRPr="005303F7">
              <w:rPr>
                <w:rFonts w:ascii="Times New Roman" w:hAnsi="Times New Roman"/>
                <w:bCs/>
                <w:sz w:val="20"/>
                <w:lang w:val="sr-Cyrl-CS"/>
              </w:rPr>
              <w:t>„</w:t>
            </w:r>
            <w:r w:rsidR="008D69AF" w:rsidRPr="005303F7">
              <w:rPr>
                <w:rFonts w:ascii="Times New Roman" w:hAnsi="Times New Roman"/>
                <w:bCs/>
                <w:sz w:val="20"/>
                <w:lang w:val="sr-Cyrl-CS"/>
              </w:rPr>
              <w:t>Службени</w:t>
            </w:r>
            <w:r w:rsidR="003C6D85" w:rsidRPr="005303F7">
              <w:rPr>
                <w:rFonts w:ascii="Times New Roman" w:hAnsi="Times New Roman"/>
                <w:bCs/>
                <w:sz w:val="20"/>
                <w:lang w:val="sr-Cyrl-CS"/>
              </w:rPr>
              <w:t xml:space="preserve"> </w:t>
            </w:r>
            <w:r w:rsidR="008D69AF" w:rsidRPr="005303F7">
              <w:rPr>
                <w:rFonts w:ascii="Times New Roman" w:hAnsi="Times New Roman"/>
                <w:bCs/>
                <w:sz w:val="20"/>
                <w:lang w:val="sr-Cyrl-CS"/>
              </w:rPr>
              <w:t>гласник</w:t>
            </w:r>
            <w:r w:rsidR="003C6D85" w:rsidRPr="005303F7">
              <w:rPr>
                <w:rFonts w:ascii="Times New Roman" w:hAnsi="Times New Roman"/>
                <w:sz w:val="20"/>
                <w:lang w:val="sr-Cyrl-CS"/>
              </w:rPr>
              <w:t xml:space="preserve"> </w:t>
            </w:r>
            <w:r w:rsidR="008D69AF" w:rsidRPr="005303F7">
              <w:rPr>
                <w:rFonts w:ascii="Times New Roman" w:hAnsi="Times New Roman"/>
                <w:bCs/>
                <w:sz w:val="20"/>
                <w:lang w:val="sr-Cyrl-CS"/>
              </w:rPr>
              <w:t>РС</w:t>
            </w:r>
            <w:r w:rsidR="0035174D" w:rsidRPr="005303F7">
              <w:rPr>
                <w:rFonts w:ascii="Times New Roman" w:hAnsi="Times New Roman"/>
                <w:bCs/>
                <w:sz w:val="20"/>
                <w:lang w:val="sr-Cyrl-CS"/>
              </w:rPr>
              <w:t>”</w:t>
            </w:r>
            <w:r w:rsidR="00BD116A" w:rsidRPr="005303F7">
              <w:rPr>
                <w:rFonts w:ascii="Times New Roman" w:hAnsi="Times New Roman"/>
                <w:bCs/>
                <w:sz w:val="20"/>
                <w:lang w:val="sr-Cyrl-CS"/>
              </w:rPr>
              <w:t xml:space="preserve">, </w:t>
            </w:r>
            <w:r w:rsidR="00D179E4" w:rsidRPr="005303F7">
              <w:rPr>
                <w:rFonts w:ascii="Times New Roman" w:hAnsi="Times New Roman"/>
                <w:bCs/>
                <w:sz w:val="20"/>
                <w:lang w:val="sr-Cyrl-CS"/>
              </w:rPr>
              <w:t xml:space="preserve">број </w:t>
            </w:r>
            <w:r w:rsidR="008A38FE" w:rsidRPr="005303F7">
              <w:rPr>
                <w:rFonts w:ascii="Times New Roman" w:hAnsi="Times New Roman"/>
                <w:bCs/>
                <w:sz w:val="20"/>
                <w:lang w:val="sr-Cyrl-CS"/>
              </w:rPr>
              <w:t>73/19)</w:t>
            </w:r>
          </w:p>
          <w:p w14:paraId="667D7D3F" w14:textId="795A8EA5" w:rsidR="00296E73" w:rsidRPr="005303F7" w:rsidRDefault="003957AE" w:rsidP="0029378D">
            <w:pPr>
              <w:tabs>
                <w:tab w:val="clear" w:pos="3825"/>
                <w:tab w:val="left" w:pos="326"/>
              </w:tabs>
              <w:overflowPunct/>
              <w:spacing w:after="0"/>
              <w:jc w:val="left"/>
              <w:rPr>
                <w:rFonts w:ascii="Times New Roman" w:hAnsi="Times New Roman"/>
                <w:bCs/>
                <w:sz w:val="20"/>
                <w:lang w:val="sr-Cyrl-CS"/>
              </w:rPr>
            </w:pPr>
            <w:r w:rsidRPr="005303F7">
              <w:rPr>
                <w:rFonts w:ascii="Times New Roman" w:hAnsi="Times New Roman"/>
                <w:bCs/>
                <w:sz w:val="20"/>
                <w:lang w:val="sr-Cyrl-CS"/>
              </w:rPr>
              <w:t xml:space="preserve">2)  </w:t>
            </w:r>
            <w:r w:rsidR="008D69AF" w:rsidRPr="005303F7">
              <w:rPr>
                <w:rFonts w:ascii="Times New Roman" w:hAnsi="Times New Roman"/>
                <w:bCs/>
                <w:sz w:val="20"/>
                <w:lang w:val="sr-Cyrl-CS"/>
              </w:rPr>
              <w:t>Уредба</w:t>
            </w:r>
            <w:r w:rsidR="003C6D85" w:rsidRPr="005303F7">
              <w:rPr>
                <w:rFonts w:ascii="Times New Roman" w:hAnsi="Times New Roman"/>
                <w:bCs/>
                <w:sz w:val="20"/>
                <w:lang w:val="sr-Cyrl-CS"/>
              </w:rPr>
              <w:t xml:space="preserve"> </w:t>
            </w:r>
            <w:r w:rsidR="008D69AF" w:rsidRPr="005303F7">
              <w:rPr>
                <w:rFonts w:ascii="Times New Roman" w:hAnsi="Times New Roman"/>
                <w:bCs/>
                <w:sz w:val="20"/>
                <w:lang w:val="sr-Cyrl-CS"/>
              </w:rPr>
              <w:t>о</w:t>
            </w:r>
            <w:r w:rsidR="003C6D85" w:rsidRPr="005303F7">
              <w:rPr>
                <w:rFonts w:ascii="Times New Roman" w:hAnsi="Times New Roman"/>
                <w:bCs/>
                <w:sz w:val="20"/>
                <w:lang w:val="sr-Cyrl-CS"/>
              </w:rPr>
              <w:t xml:space="preserve"> </w:t>
            </w:r>
            <w:r w:rsidR="008D69AF" w:rsidRPr="005303F7">
              <w:rPr>
                <w:rFonts w:ascii="Times New Roman" w:hAnsi="Times New Roman"/>
                <w:bCs/>
                <w:sz w:val="20"/>
                <w:lang w:val="sr-Cyrl-CS"/>
              </w:rPr>
              <w:t>гаранцији</w:t>
            </w:r>
            <w:r w:rsidR="003C6D85" w:rsidRPr="005303F7">
              <w:rPr>
                <w:rFonts w:ascii="Times New Roman" w:hAnsi="Times New Roman"/>
                <w:bCs/>
                <w:sz w:val="20"/>
                <w:lang w:val="sr-Cyrl-CS"/>
              </w:rPr>
              <w:t xml:space="preserve"> </w:t>
            </w:r>
            <w:r w:rsidR="008D69AF" w:rsidRPr="005303F7">
              <w:rPr>
                <w:rFonts w:ascii="Times New Roman" w:hAnsi="Times New Roman"/>
                <w:bCs/>
                <w:sz w:val="20"/>
                <w:lang w:val="sr-Cyrl-CS"/>
              </w:rPr>
              <w:t>порекла</w:t>
            </w:r>
            <w:r w:rsidR="003C6D85" w:rsidRPr="005303F7">
              <w:rPr>
                <w:rFonts w:ascii="Times New Roman" w:hAnsi="Times New Roman"/>
                <w:bCs/>
                <w:sz w:val="20"/>
                <w:lang w:val="sr-Cyrl-CS"/>
              </w:rPr>
              <w:t xml:space="preserve"> </w:t>
            </w:r>
            <w:r w:rsidR="00BD116A" w:rsidRPr="005303F7">
              <w:rPr>
                <w:rFonts w:ascii="Times New Roman" w:hAnsi="Times New Roman"/>
                <w:bCs/>
                <w:sz w:val="20"/>
                <w:lang w:val="sr-Cyrl-CS"/>
              </w:rPr>
              <w:t>(</w:t>
            </w:r>
            <w:r w:rsidR="003C6D85" w:rsidRPr="005303F7">
              <w:rPr>
                <w:rFonts w:ascii="Times New Roman" w:hAnsi="Times New Roman"/>
                <w:bCs/>
                <w:sz w:val="20"/>
                <w:lang w:val="sr-Cyrl-CS"/>
              </w:rPr>
              <w:t>„</w:t>
            </w:r>
            <w:r w:rsidR="008D69AF" w:rsidRPr="005303F7">
              <w:rPr>
                <w:rFonts w:ascii="Times New Roman" w:hAnsi="Times New Roman"/>
                <w:bCs/>
                <w:sz w:val="20"/>
                <w:lang w:val="sr-Cyrl-CS"/>
              </w:rPr>
              <w:t>Службени</w:t>
            </w:r>
            <w:r w:rsidR="003C6D85" w:rsidRPr="005303F7">
              <w:rPr>
                <w:rFonts w:ascii="Times New Roman" w:hAnsi="Times New Roman"/>
                <w:bCs/>
                <w:sz w:val="20"/>
                <w:lang w:val="sr-Cyrl-CS"/>
              </w:rPr>
              <w:t xml:space="preserve"> </w:t>
            </w:r>
            <w:r w:rsidR="008D69AF" w:rsidRPr="005303F7">
              <w:rPr>
                <w:rFonts w:ascii="Times New Roman" w:hAnsi="Times New Roman"/>
                <w:bCs/>
                <w:sz w:val="20"/>
                <w:lang w:val="sr-Cyrl-CS"/>
              </w:rPr>
              <w:t>гласник</w:t>
            </w:r>
            <w:r w:rsidR="003C6D85" w:rsidRPr="005303F7">
              <w:rPr>
                <w:rFonts w:ascii="Times New Roman" w:hAnsi="Times New Roman"/>
                <w:bCs/>
                <w:sz w:val="20"/>
                <w:lang w:val="sr-Cyrl-CS"/>
              </w:rPr>
              <w:t xml:space="preserve"> </w:t>
            </w:r>
            <w:r w:rsidR="008D69AF" w:rsidRPr="005303F7">
              <w:rPr>
                <w:rFonts w:ascii="Times New Roman" w:hAnsi="Times New Roman"/>
                <w:bCs/>
                <w:sz w:val="20"/>
                <w:lang w:val="sr-Cyrl-CS"/>
              </w:rPr>
              <w:t>РС</w:t>
            </w:r>
            <w:r w:rsidR="0035174D" w:rsidRPr="005303F7">
              <w:rPr>
                <w:rFonts w:ascii="Times New Roman" w:hAnsi="Times New Roman"/>
                <w:bCs/>
                <w:sz w:val="20"/>
                <w:lang w:val="sr-Cyrl-CS"/>
              </w:rPr>
              <w:t>”</w:t>
            </w:r>
            <w:r w:rsidR="00296E73" w:rsidRPr="005303F7">
              <w:rPr>
                <w:rFonts w:ascii="Times New Roman" w:hAnsi="Times New Roman"/>
                <w:bCs/>
                <w:sz w:val="20"/>
                <w:lang w:val="sr-Cyrl-CS"/>
              </w:rPr>
              <w:t>,</w:t>
            </w:r>
            <w:r w:rsidR="0032138F" w:rsidRPr="005303F7">
              <w:rPr>
                <w:rFonts w:ascii="Times New Roman" w:hAnsi="Times New Roman"/>
                <w:bCs/>
                <w:sz w:val="20"/>
                <w:lang w:val="sr-Cyrl-CS"/>
              </w:rPr>
              <w:t xml:space="preserve"> </w:t>
            </w:r>
            <w:r w:rsidR="007A6781" w:rsidRPr="005303F7">
              <w:rPr>
                <w:rFonts w:ascii="Times New Roman" w:hAnsi="Times New Roman"/>
                <w:bCs/>
                <w:sz w:val="20"/>
                <w:lang w:val="sr-Cyrl-CS"/>
              </w:rPr>
              <w:t xml:space="preserve">број </w:t>
            </w:r>
            <w:r w:rsidR="00296E73" w:rsidRPr="005303F7">
              <w:rPr>
                <w:rFonts w:ascii="Times New Roman" w:hAnsi="Times New Roman"/>
                <w:bCs/>
                <w:sz w:val="20"/>
                <w:lang w:val="sr-Cyrl-CS"/>
              </w:rPr>
              <w:t>82/17)</w:t>
            </w:r>
          </w:p>
          <w:p w14:paraId="7F239F76" w14:textId="221F4BCD" w:rsidR="00DA6F4B" w:rsidRPr="005303F7" w:rsidRDefault="003957AE" w:rsidP="00FE004C">
            <w:pPr>
              <w:tabs>
                <w:tab w:val="clear" w:pos="3825"/>
                <w:tab w:val="left" w:pos="326"/>
              </w:tabs>
              <w:overflowPunct/>
              <w:spacing w:after="0"/>
              <w:jc w:val="left"/>
              <w:rPr>
                <w:rFonts w:ascii="Times New Roman" w:hAnsi="Times New Roman"/>
                <w:bCs/>
                <w:sz w:val="20"/>
                <w:szCs w:val="18"/>
                <w:lang w:val="sr-Cyrl-CS"/>
              </w:rPr>
            </w:pPr>
            <w:r w:rsidRPr="005303F7">
              <w:rPr>
                <w:rFonts w:ascii="Times New Roman" w:hAnsi="Times New Roman"/>
                <w:bCs/>
                <w:sz w:val="20"/>
                <w:szCs w:val="18"/>
                <w:lang w:val="sr-Cyrl-CS"/>
              </w:rPr>
              <w:t xml:space="preserve">3)  </w:t>
            </w:r>
            <w:r w:rsidR="0032138F" w:rsidRPr="005303F7">
              <w:rPr>
                <w:rFonts w:ascii="Times New Roman" w:hAnsi="Times New Roman"/>
                <w:bCs/>
                <w:sz w:val="20"/>
                <w:szCs w:val="18"/>
                <w:lang w:val="sr-Cyrl-CS"/>
              </w:rPr>
              <w:t>Уредба о критеријумима одрживости биогорива („Службени гласник РС</w:t>
            </w:r>
            <w:r w:rsidR="0035174D" w:rsidRPr="005303F7">
              <w:rPr>
                <w:rFonts w:ascii="Times New Roman" w:hAnsi="Times New Roman"/>
                <w:bCs/>
                <w:sz w:val="20"/>
                <w:szCs w:val="18"/>
                <w:lang w:val="sr-Cyrl-CS"/>
              </w:rPr>
              <w:t>”</w:t>
            </w:r>
            <w:r w:rsidR="0032138F" w:rsidRPr="005303F7">
              <w:rPr>
                <w:rFonts w:ascii="Times New Roman" w:hAnsi="Times New Roman"/>
                <w:bCs/>
                <w:sz w:val="20"/>
                <w:szCs w:val="18"/>
                <w:lang w:val="sr-Cyrl-CS"/>
              </w:rPr>
              <w:t>,</w:t>
            </w:r>
            <w:r w:rsidR="007A6781" w:rsidRPr="005303F7">
              <w:rPr>
                <w:rFonts w:ascii="Times New Roman" w:hAnsi="Times New Roman"/>
                <w:bCs/>
                <w:sz w:val="20"/>
                <w:szCs w:val="18"/>
                <w:lang w:val="sr-Cyrl-CS"/>
              </w:rPr>
              <w:t xml:space="preserve"> број</w:t>
            </w:r>
            <w:r w:rsidR="0032138F" w:rsidRPr="005303F7">
              <w:rPr>
                <w:rFonts w:ascii="Times New Roman" w:hAnsi="Times New Roman"/>
                <w:bCs/>
                <w:sz w:val="20"/>
                <w:szCs w:val="18"/>
                <w:lang w:val="sr-Cyrl-CS"/>
              </w:rPr>
              <w:t xml:space="preserve"> 89/19)</w:t>
            </w:r>
          </w:p>
          <w:p w14:paraId="24947B25" w14:textId="7320A8D2" w:rsidR="00296E73" w:rsidRPr="005303F7" w:rsidRDefault="00CC6964" w:rsidP="00296E73">
            <w:pPr>
              <w:overflowPunct/>
              <w:spacing w:after="0"/>
              <w:jc w:val="left"/>
              <w:rPr>
                <w:rFonts w:ascii="Times New Roman" w:hAnsi="Times New Roman"/>
                <w:bCs/>
                <w:sz w:val="20"/>
                <w:lang w:val="sr-Cyrl-CS"/>
              </w:rPr>
            </w:pPr>
            <w:r w:rsidRPr="005303F7">
              <w:rPr>
                <w:rFonts w:ascii="Times New Roman" w:hAnsi="Times New Roman"/>
                <w:bCs/>
                <w:sz w:val="20"/>
                <w:lang w:val="sr-Cyrl-CS"/>
              </w:rPr>
              <w:t xml:space="preserve">        </w:t>
            </w:r>
            <w:r w:rsidR="008D69AF" w:rsidRPr="005303F7">
              <w:rPr>
                <w:rFonts w:ascii="Times New Roman" w:hAnsi="Times New Roman"/>
                <w:bCs/>
                <w:sz w:val="20"/>
                <w:lang w:val="sr-Cyrl-CS"/>
              </w:rPr>
              <w:t>Систем</w:t>
            </w:r>
            <w:r w:rsidR="000C7366" w:rsidRPr="005303F7">
              <w:rPr>
                <w:rFonts w:ascii="Times New Roman" w:hAnsi="Times New Roman"/>
                <w:bCs/>
                <w:sz w:val="20"/>
                <w:lang w:val="sr-Cyrl-CS"/>
              </w:rPr>
              <w:t xml:space="preserve"> </w:t>
            </w:r>
            <w:r w:rsidR="008D69AF" w:rsidRPr="005303F7">
              <w:rPr>
                <w:rFonts w:ascii="Times New Roman" w:hAnsi="Times New Roman"/>
                <w:bCs/>
                <w:sz w:val="20"/>
                <w:lang w:val="sr-Cyrl-CS"/>
              </w:rPr>
              <w:t>подршке</w:t>
            </w:r>
            <w:r w:rsidR="000C7366"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производњи</w:t>
            </w:r>
            <w:r w:rsidR="000C7366" w:rsidRPr="005303F7">
              <w:rPr>
                <w:rFonts w:ascii="Times New Roman" w:hAnsi="Times New Roman"/>
                <w:bCs/>
                <w:sz w:val="20"/>
                <w:lang w:val="sr-Cyrl-CS"/>
              </w:rPr>
              <w:t xml:space="preserve"> </w:t>
            </w:r>
            <w:r w:rsidR="008D69AF" w:rsidRPr="005303F7">
              <w:rPr>
                <w:rFonts w:ascii="Times New Roman" w:hAnsi="Times New Roman"/>
                <w:bCs/>
                <w:sz w:val="20"/>
                <w:lang w:val="sr-Cyrl-CS"/>
              </w:rPr>
              <w:t>биогорива</w:t>
            </w:r>
            <w:r w:rsidR="000C7366" w:rsidRPr="005303F7">
              <w:rPr>
                <w:rFonts w:ascii="Times New Roman" w:hAnsi="Times New Roman"/>
                <w:bCs/>
                <w:sz w:val="20"/>
                <w:lang w:val="sr-Cyrl-CS"/>
              </w:rPr>
              <w:t xml:space="preserve"> </w:t>
            </w:r>
            <w:r w:rsidR="008D69AF" w:rsidRPr="005303F7">
              <w:rPr>
                <w:rFonts w:ascii="Times New Roman" w:hAnsi="Times New Roman"/>
                <w:bCs/>
                <w:sz w:val="20"/>
                <w:lang w:val="sr-Cyrl-CS"/>
              </w:rPr>
              <w:t>из</w:t>
            </w:r>
            <w:r w:rsidR="000C7366" w:rsidRPr="005303F7">
              <w:rPr>
                <w:rFonts w:ascii="Times New Roman" w:hAnsi="Times New Roman"/>
                <w:bCs/>
                <w:sz w:val="20"/>
                <w:lang w:val="sr-Cyrl-CS"/>
              </w:rPr>
              <w:t xml:space="preserve"> </w:t>
            </w:r>
            <w:r w:rsidR="008D69AF" w:rsidRPr="005303F7">
              <w:rPr>
                <w:rFonts w:ascii="Times New Roman" w:hAnsi="Times New Roman"/>
                <w:bCs/>
                <w:sz w:val="20"/>
                <w:lang w:val="sr-Cyrl-CS"/>
              </w:rPr>
              <w:t>ОИЕ</w:t>
            </w:r>
            <w:r w:rsidR="000C7366" w:rsidRPr="005303F7">
              <w:rPr>
                <w:rFonts w:ascii="Times New Roman" w:hAnsi="Times New Roman"/>
                <w:bCs/>
                <w:sz w:val="20"/>
                <w:lang w:val="sr-Cyrl-CS"/>
              </w:rPr>
              <w:t xml:space="preserve"> </w:t>
            </w:r>
            <w:r w:rsidR="00296E73" w:rsidRPr="005303F7">
              <w:rPr>
                <w:rFonts w:ascii="Times New Roman" w:hAnsi="Times New Roman"/>
                <w:bCs/>
                <w:sz w:val="20"/>
                <w:lang w:val="sr-Cyrl-CS"/>
              </w:rPr>
              <w:t>(</w:t>
            </w:r>
            <w:r w:rsidR="008D69AF" w:rsidRPr="005303F7">
              <w:rPr>
                <w:rFonts w:ascii="Times New Roman" w:hAnsi="Times New Roman"/>
                <w:bCs/>
                <w:sz w:val="20"/>
                <w:lang w:val="sr-Cyrl-CS"/>
              </w:rPr>
              <w:t>из</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отпада</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остатака</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целулозних</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лигноцелулозног</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материјала</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не</w:t>
            </w:r>
            <w:r w:rsidR="00A40850" w:rsidRPr="005303F7">
              <w:rPr>
                <w:rFonts w:ascii="Times New Roman" w:hAnsi="Times New Roman"/>
                <w:bCs/>
                <w:sz w:val="20"/>
                <w:lang w:val="sr-Cyrl-CS"/>
              </w:rPr>
              <w:t xml:space="preserve"> </w:t>
            </w:r>
            <w:r w:rsidR="008D69AF" w:rsidRPr="005303F7">
              <w:rPr>
                <w:rFonts w:ascii="Times New Roman" w:hAnsi="Times New Roman"/>
                <w:bCs/>
                <w:sz w:val="20"/>
                <w:lang w:val="sr-Cyrl-CS"/>
              </w:rPr>
              <w:t>постоји</w:t>
            </w:r>
            <w:r w:rsidR="00A40850" w:rsidRPr="005303F7">
              <w:rPr>
                <w:rFonts w:ascii="Times New Roman" w:hAnsi="Times New Roman"/>
                <w:bCs/>
                <w:sz w:val="20"/>
                <w:lang w:val="sr-Cyrl-CS"/>
              </w:rPr>
              <w:t xml:space="preserve">, </w:t>
            </w:r>
            <w:r w:rsidR="008D69AF" w:rsidRPr="005303F7">
              <w:rPr>
                <w:rFonts w:ascii="Times New Roman" w:hAnsi="Times New Roman"/>
                <w:bCs/>
                <w:sz w:val="20"/>
                <w:lang w:val="sr-Cyrl-CS"/>
              </w:rPr>
              <w:t>тако</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да</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производње</w:t>
            </w:r>
            <w:r w:rsidR="00A40850"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практично</w:t>
            </w:r>
            <w:r w:rsidR="00A40850" w:rsidRPr="005303F7">
              <w:rPr>
                <w:rFonts w:ascii="Times New Roman" w:hAnsi="Times New Roman"/>
                <w:bCs/>
                <w:sz w:val="20"/>
                <w:lang w:val="sr-Cyrl-CS"/>
              </w:rPr>
              <w:t xml:space="preserve"> </w:t>
            </w:r>
            <w:r w:rsidR="008D69AF" w:rsidRPr="005303F7">
              <w:rPr>
                <w:rFonts w:ascii="Times New Roman" w:hAnsi="Times New Roman"/>
                <w:bCs/>
                <w:sz w:val="20"/>
                <w:lang w:val="sr-Cyrl-CS"/>
              </w:rPr>
              <w:t>нема</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Због</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тога</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је</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потребно</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припремити</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специфични</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план</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примене</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Директиве</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за</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пренос</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примену</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Директиве</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о</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квалитету</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горива</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применити</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ажурирану</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директиву</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о</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ОИЕ</w:t>
            </w:r>
            <w:r w:rsidR="000C7366" w:rsidRPr="005303F7">
              <w:rPr>
                <w:rFonts w:ascii="Times New Roman" w:hAnsi="Times New Roman"/>
                <w:bCs/>
                <w:sz w:val="20"/>
                <w:lang w:val="sr-Cyrl-CS"/>
              </w:rPr>
              <w:t>,</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како</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би</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се</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омогу</w:t>
            </w:r>
            <w:r w:rsidR="00016298" w:rsidRPr="005303F7">
              <w:rPr>
                <w:rFonts w:ascii="Times New Roman" w:hAnsi="Times New Roman"/>
                <w:bCs/>
                <w:sz w:val="20"/>
                <w:lang w:val="sr-Cyrl-CS"/>
              </w:rPr>
              <w:t>ћ</w:t>
            </w:r>
            <w:r w:rsidR="008D69AF" w:rsidRPr="005303F7">
              <w:rPr>
                <w:rFonts w:ascii="Times New Roman" w:hAnsi="Times New Roman"/>
                <w:bCs/>
                <w:sz w:val="20"/>
                <w:lang w:val="sr-Cyrl-CS"/>
              </w:rPr>
              <w:t>ило</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другој</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генерацији</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биогорива</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да</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продру</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на</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српско</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тржиште</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транспортних</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горива</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успоставити</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систем</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подршке</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за</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производњу</w:t>
            </w:r>
            <w:r w:rsidR="00296E73" w:rsidRPr="005303F7">
              <w:rPr>
                <w:rFonts w:ascii="Times New Roman" w:hAnsi="Times New Roman"/>
                <w:bCs/>
                <w:sz w:val="20"/>
                <w:lang w:val="sr-Cyrl-CS"/>
              </w:rPr>
              <w:t xml:space="preserve"> </w:t>
            </w:r>
            <w:r w:rsidR="008D69AF" w:rsidRPr="005303F7">
              <w:rPr>
                <w:rFonts w:ascii="Times New Roman" w:hAnsi="Times New Roman"/>
                <w:bCs/>
                <w:sz w:val="20"/>
                <w:lang w:val="sr-Cyrl-CS"/>
              </w:rPr>
              <w:t>биогорива</w:t>
            </w:r>
            <w:r w:rsidR="00296E73" w:rsidRPr="005303F7">
              <w:rPr>
                <w:rFonts w:ascii="Times New Roman" w:hAnsi="Times New Roman"/>
                <w:bCs/>
                <w:sz w:val="20"/>
                <w:lang w:val="sr-Cyrl-CS"/>
              </w:rPr>
              <w:t>.</w:t>
            </w:r>
          </w:p>
          <w:p w14:paraId="3D09A314" w14:textId="48B257E1" w:rsidR="00BD116A" w:rsidRPr="005303F7" w:rsidRDefault="008D69AF" w:rsidP="00353B06">
            <w:pPr>
              <w:overflowPunct/>
              <w:jc w:val="left"/>
              <w:rPr>
                <w:rFonts w:ascii="Times New Roman" w:hAnsi="Times New Roman"/>
                <w:bCs/>
                <w:sz w:val="20"/>
                <w:lang w:val="sr-Cyrl-CS"/>
              </w:rPr>
            </w:pPr>
            <w:r w:rsidRPr="005303F7">
              <w:rPr>
                <w:rFonts w:ascii="Times New Roman" w:hAnsi="Times New Roman"/>
                <w:b/>
                <w:bCs/>
                <w:sz w:val="20"/>
                <w:u w:val="single"/>
                <w:lang w:val="sr-Cyrl-CS"/>
              </w:rPr>
              <w:t>Процес</w:t>
            </w:r>
            <w:r w:rsidR="00296E73"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преговора</w:t>
            </w:r>
            <w:r w:rsidR="00296E73"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о</w:t>
            </w:r>
            <w:r w:rsidR="00296E73"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приступању</w:t>
            </w:r>
            <w:r w:rsidR="00296E73"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ЕУ</w:t>
            </w:r>
            <w:r w:rsidR="00296E73"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Поглав</w:t>
            </w:r>
            <w:r w:rsidR="00D553BE" w:rsidRPr="005303F7">
              <w:rPr>
                <w:rFonts w:ascii="Times New Roman" w:hAnsi="Times New Roman"/>
                <w:b/>
                <w:bCs/>
                <w:sz w:val="20"/>
                <w:u w:val="single"/>
                <w:lang w:val="sr-Cyrl-CS"/>
              </w:rPr>
              <w:t>љ</w:t>
            </w:r>
            <w:r w:rsidRPr="005303F7">
              <w:rPr>
                <w:rFonts w:ascii="Times New Roman" w:hAnsi="Times New Roman"/>
                <w:b/>
                <w:bCs/>
                <w:sz w:val="20"/>
                <w:u w:val="single"/>
                <w:lang w:val="sr-Cyrl-CS"/>
              </w:rPr>
              <w:t>е</w:t>
            </w:r>
            <w:r w:rsidR="00296E73" w:rsidRPr="005303F7">
              <w:rPr>
                <w:rFonts w:ascii="Times New Roman" w:hAnsi="Times New Roman"/>
                <w:b/>
                <w:bCs/>
                <w:sz w:val="20"/>
                <w:u w:val="single"/>
                <w:lang w:val="sr-Cyrl-CS"/>
              </w:rPr>
              <w:t xml:space="preserve"> 15 – </w:t>
            </w:r>
            <w:r w:rsidRPr="005303F7">
              <w:rPr>
                <w:rFonts w:ascii="Times New Roman" w:hAnsi="Times New Roman"/>
                <w:b/>
                <w:bCs/>
                <w:sz w:val="20"/>
                <w:u w:val="single"/>
                <w:lang w:val="sr-Cyrl-CS"/>
              </w:rPr>
              <w:t>Енергетика</w:t>
            </w:r>
          </w:p>
        </w:tc>
      </w:tr>
      <w:tr w:rsidR="004B02D0" w:rsidRPr="005303F7" w14:paraId="4AE260A0" w14:textId="77777777" w:rsidTr="0009461F">
        <w:trPr>
          <w:trHeight w:val="442"/>
        </w:trPr>
        <w:tc>
          <w:tcPr>
            <w:tcW w:w="561" w:type="dxa"/>
            <w:gridSpan w:val="2"/>
            <w:vMerge/>
            <w:tcBorders>
              <w:top w:val="single" w:sz="4" w:space="0" w:color="auto"/>
              <w:left w:val="single" w:sz="4" w:space="0" w:color="auto"/>
              <w:bottom w:val="single" w:sz="4" w:space="0" w:color="auto"/>
              <w:right w:val="single" w:sz="4" w:space="0" w:color="auto"/>
            </w:tcBorders>
            <w:vAlign w:val="center"/>
            <w:hideMark/>
          </w:tcPr>
          <w:p w14:paraId="6FB47BB4" w14:textId="77777777" w:rsidR="004B02D0" w:rsidRPr="005303F7" w:rsidRDefault="004B02D0">
            <w:pPr>
              <w:tabs>
                <w:tab w:val="clear" w:pos="3825"/>
              </w:tabs>
              <w:overflowPunct/>
              <w:autoSpaceDE/>
              <w:autoSpaceDN/>
              <w:adjustRightInd/>
              <w:spacing w:before="0" w:after="0"/>
              <w:jc w:val="left"/>
              <w:rPr>
                <w:rFonts w:ascii="Times New Roman" w:hAnsi="Times New Roman"/>
                <w:b/>
                <w:lang w:val="sr-Cyrl-CS"/>
              </w:rPr>
            </w:pPr>
          </w:p>
        </w:tc>
        <w:tc>
          <w:tcPr>
            <w:tcW w:w="411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FAA119" w14:textId="0B3122D0" w:rsidR="004B02D0" w:rsidRPr="005303F7" w:rsidRDefault="008D69AF">
            <w:pPr>
              <w:spacing w:after="0"/>
              <w:jc w:val="center"/>
              <w:rPr>
                <w:rFonts w:ascii="Times New Roman" w:hAnsi="Times New Roman"/>
                <w:b/>
                <w:bCs/>
                <w:sz w:val="20"/>
                <w:lang w:val="sr-Cyrl-CS"/>
              </w:rPr>
            </w:pPr>
            <w:r w:rsidRPr="005303F7">
              <w:rPr>
                <w:rFonts w:ascii="Times New Roman" w:hAnsi="Times New Roman"/>
                <w:b/>
                <w:bCs/>
                <w:sz w:val="20"/>
                <w:lang w:val="sr-Cyrl-CS"/>
              </w:rPr>
              <w:t>К</w:t>
            </w:r>
            <w:r w:rsidR="00D553BE" w:rsidRPr="005303F7">
              <w:rPr>
                <w:rFonts w:ascii="Times New Roman" w:hAnsi="Times New Roman"/>
                <w:b/>
                <w:bCs/>
                <w:sz w:val="20"/>
                <w:lang w:val="sr-Cyrl-CS"/>
              </w:rPr>
              <w:t>љ</w:t>
            </w:r>
            <w:r w:rsidRPr="005303F7">
              <w:rPr>
                <w:rFonts w:ascii="Times New Roman" w:hAnsi="Times New Roman"/>
                <w:b/>
                <w:bCs/>
                <w:sz w:val="20"/>
                <w:lang w:val="sr-Cyrl-CS"/>
              </w:rPr>
              <w:t>учни</w:t>
            </w:r>
            <w:r w:rsidR="004B02D0" w:rsidRPr="005303F7">
              <w:rPr>
                <w:rFonts w:ascii="Times New Roman" w:hAnsi="Times New Roman"/>
                <w:b/>
                <w:bCs/>
                <w:sz w:val="20"/>
                <w:lang w:val="sr-Cyrl-CS"/>
              </w:rPr>
              <w:t xml:space="preserve"> </w:t>
            </w:r>
            <w:r w:rsidRPr="005303F7">
              <w:rPr>
                <w:rFonts w:ascii="Times New Roman" w:hAnsi="Times New Roman"/>
                <w:b/>
                <w:bCs/>
                <w:sz w:val="20"/>
                <w:lang w:val="sr-Cyrl-CS"/>
              </w:rPr>
              <w:t>субјекат</w:t>
            </w:r>
            <w:r w:rsidR="004B02D0" w:rsidRPr="005303F7">
              <w:rPr>
                <w:rFonts w:ascii="Times New Roman" w:hAnsi="Times New Roman"/>
                <w:b/>
                <w:bCs/>
                <w:sz w:val="20"/>
                <w:lang w:val="sr-Cyrl-CS"/>
              </w:rPr>
              <w:t xml:space="preserve"> </w:t>
            </w:r>
            <w:r w:rsidRPr="005303F7">
              <w:rPr>
                <w:rFonts w:ascii="Times New Roman" w:hAnsi="Times New Roman"/>
                <w:b/>
                <w:bCs/>
                <w:sz w:val="20"/>
                <w:lang w:val="sr-Cyrl-CS"/>
              </w:rPr>
              <w:t>за</w:t>
            </w:r>
            <w:r w:rsidR="004B02D0" w:rsidRPr="005303F7">
              <w:rPr>
                <w:rFonts w:ascii="Times New Roman" w:hAnsi="Times New Roman"/>
                <w:b/>
                <w:bCs/>
                <w:sz w:val="20"/>
                <w:lang w:val="sr-Cyrl-CS"/>
              </w:rPr>
              <w:t xml:space="preserve"> </w:t>
            </w:r>
            <w:r w:rsidRPr="005303F7">
              <w:rPr>
                <w:rFonts w:ascii="Times New Roman" w:hAnsi="Times New Roman"/>
                <w:b/>
                <w:bCs/>
                <w:sz w:val="20"/>
                <w:lang w:val="sr-Cyrl-CS"/>
              </w:rPr>
              <w:t>спровођење</w:t>
            </w:r>
            <w:r w:rsidR="004B02D0"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p>
        </w:tc>
        <w:tc>
          <w:tcPr>
            <w:tcW w:w="571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032DE7" w14:textId="083A65D1" w:rsidR="004B02D0"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Партнери</w:t>
            </w:r>
          </w:p>
        </w:tc>
        <w:tc>
          <w:tcPr>
            <w:tcW w:w="125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8B3C0E" w14:textId="2A120BD8" w:rsidR="004B02D0"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 xml:space="preserve">ЕТS/ </w:t>
            </w:r>
            <w:r w:rsidR="004A35C7" w:rsidRPr="005303F7">
              <w:rPr>
                <w:rFonts w:ascii="Times New Roman" w:hAnsi="Times New Roman"/>
                <w:b/>
                <w:sz w:val="20"/>
                <w:lang w:val="sr-Cyrl-CS"/>
              </w:rPr>
              <w:t>не-ЕТS</w:t>
            </w:r>
          </w:p>
        </w:tc>
        <w:tc>
          <w:tcPr>
            <w:tcW w:w="143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BB3FD" w14:textId="317C66A9" w:rsidR="004B02D0"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Главни</w:t>
            </w:r>
            <w:r w:rsidR="004B02D0" w:rsidRPr="005303F7">
              <w:rPr>
                <w:rFonts w:ascii="Times New Roman" w:hAnsi="Times New Roman"/>
                <w:b/>
                <w:bCs/>
                <w:sz w:val="20"/>
                <w:lang w:val="sr-Cyrl-CS"/>
              </w:rPr>
              <w:t xml:space="preserve"> </w:t>
            </w:r>
            <w:r w:rsidRPr="005303F7">
              <w:rPr>
                <w:rFonts w:ascii="Times New Roman" w:hAnsi="Times New Roman"/>
                <w:b/>
                <w:bCs/>
                <w:sz w:val="20"/>
                <w:lang w:val="sr-Cyrl-CS"/>
              </w:rPr>
              <w:t>гасови</w:t>
            </w:r>
          </w:p>
        </w:tc>
        <w:tc>
          <w:tcPr>
            <w:tcW w:w="29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72E2EB" w14:textId="78690F17" w:rsidR="00D7102F" w:rsidRPr="005303F7" w:rsidRDefault="00284DF0"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 xml:space="preserve">Процењен утицај ублажавања </w:t>
            </w:r>
            <w:r w:rsidR="00D7102F" w:rsidRPr="005303F7">
              <w:rPr>
                <w:rFonts w:ascii="Times New Roman" w:hAnsi="Times New Roman"/>
                <w:b/>
                <w:bCs/>
                <w:sz w:val="20"/>
                <w:lang w:val="sr-Cyrl-CS"/>
              </w:rPr>
              <w:t xml:space="preserve">до 2030. </w:t>
            </w:r>
          </w:p>
          <w:p w14:paraId="302D09EC" w14:textId="756327B9" w:rsidR="004B02D0"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lastRenderedPageBreak/>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BD116A" w:rsidRPr="005303F7" w14:paraId="5EA2EA90" w14:textId="77777777" w:rsidTr="0009461F">
        <w:trPr>
          <w:trHeight w:val="740"/>
        </w:trPr>
        <w:tc>
          <w:tcPr>
            <w:tcW w:w="561" w:type="dxa"/>
            <w:gridSpan w:val="2"/>
            <w:vMerge/>
            <w:tcBorders>
              <w:top w:val="single" w:sz="4" w:space="0" w:color="auto"/>
              <w:left w:val="single" w:sz="4" w:space="0" w:color="auto"/>
              <w:bottom w:val="single" w:sz="4" w:space="0" w:color="auto"/>
              <w:right w:val="single" w:sz="4" w:space="0" w:color="auto"/>
            </w:tcBorders>
            <w:vAlign w:val="center"/>
            <w:hideMark/>
          </w:tcPr>
          <w:p w14:paraId="69A1B54F" w14:textId="77777777" w:rsidR="00BD116A" w:rsidRPr="005303F7" w:rsidRDefault="00BD116A">
            <w:pPr>
              <w:tabs>
                <w:tab w:val="clear" w:pos="3825"/>
              </w:tabs>
              <w:overflowPunct/>
              <w:autoSpaceDE/>
              <w:autoSpaceDN/>
              <w:adjustRightInd/>
              <w:spacing w:before="0" w:after="0"/>
              <w:jc w:val="left"/>
              <w:rPr>
                <w:rFonts w:ascii="Times New Roman" w:hAnsi="Times New Roman"/>
                <w:b/>
                <w:lang w:val="sr-Cyrl-CS"/>
              </w:rPr>
            </w:pPr>
          </w:p>
        </w:tc>
        <w:tc>
          <w:tcPr>
            <w:tcW w:w="411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B59A12" w14:textId="6CED0BBD"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606CE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рударства</w:t>
            </w:r>
            <w:r w:rsidR="00606CE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606CE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енергетике</w:t>
            </w:r>
          </w:p>
        </w:tc>
        <w:tc>
          <w:tcPr>
            <w:tcW w:w="5715"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E4A6D8" w14:textId="5894C443" w:rsidR="00BD116A" w:rsidRPr="005303F7" w:rsidRDefault="008D69AF" w:rsidP="00606CE1">
            <w:pPr>
              <w:overflowPunct/>
              <w:spacing w:after="0"/>
              <w:jc w:val="center"/>
              <w:rPr>
                <w:rFonts w:ascii="Times New Roman" w:hAnsi="Times New Roman"/>
                <w:bCs/>
                <w:sz w:val="20"/>
                <w:lang w:val="sr-Cyrl-CS"/>
              </w:rPr>
            </w:pPr>
            <w:r w:rsidRPr="005303F7">
              <w:rPr>
                <w:rFonts w:ascii="Times New Roman" w:hAnsi="Times New Roman"/>
                <w:bCs/>
                <w:sz w:val="20"/>
                <w:lang w:val="sr-Cyrl-CS"/>
              </w:rPr>
              <w:t>Министарство</w:t>
            </w:r>
            <w:r w:rsidR="00606CE1" w:rsidRPr="005303F7">
              <w:rPr>
                <w:rFonts w:ascii="Times New Roman" w:hAnsi="Times New Roman"/>
                <w:bCs/>
                <w:sz w:val="20"/>
                <w:lang w:val="sr-Cyrl-CS"/>
              </w:rPr>
              <w:t xml:space="preserve"> </w:t>
            </w:r>
            <w:r w:rsidRPr="005303F7">
              <w:rPr>
                <w:rFonts w:ascii="Times New Roman" w:hAnsi="Times New Roman"/>
                <w:bCs/>
                <w:sz w:val="20"/>
                <w:lang w:val="sr-Cyrl-CS"/>
              </w:rPr>
              <w:t>грађевинарства</w:t>
            </w:r>
            <w:r w:rsidR="00606CE1" w:rsidRPr="005303F7">
              <w:rPr>
                <w:rFonts w:ascii="Times New Roman" w:hAnsi="Times New Roman"/>
                <w:bCs/>
                <w:sz w:val="20"/>
                <w:lang w:val="sr-Cyrl-CS"/>
              </w:rPr>
              <w:t xml:space="preserve">, </w:t>
            </w:r>
            <w:r w:rsidRPr="005303F7">
              <w:rPr>
                <w:rFonts w:ascii="Times New Roman" w:hAnsi="Times New Roman"/>
                <w:bCs/>
                <w:sz w:val="20"/>
                <w:lang w:val="sr-Cyrl-CS"/>
              </w:rPr>
              <w:t>саобраћаја</w:t>
            </w:r>
            <w:r w:rsidR="00606CE1" w:rsidRPr="005303F7">
              <w:rPr>
                <w:rFonts w:ascii="Times New Roman" w:hAnsi="Times New Roman"/>
                <w:bCs/>
                <w:sz w:val="20"/>
                <w:lang w:val="sr-Cyrl-CS"/>
              </w:rPr>
              <w:t xml:space="preserve"> </w:t>
            </w:r>
            <w:r w:rsidRPr="005303F7">
              <w:rPr>
                <w:rFonts w:ascii="Times New Roman" w:hAnsi="Times New Roman"/>
                <w:bCs/>
                <w:sz w:val="20"/>
                <w:lang w:val="sr-Cyrl-CS"/>
              </w:rPr>
              <w:t>и</w:t>
            </w:r>
            <w:r w:rsidR="00606CE1" w:rsidRPr="005303F7">
              <w:rPr>
                <w:rFonts w:ascii="Times New Roman" w:hAnsi="Times New Roman"/>
                <w:bCs/>
                <w:sz w:val="20"/>
                <w:lang w:val="sr-Cyrl-CS"/>
              </w:rPr>
              <w:t xml:space="preserve"> </w:t>
            </w:r>
            <w:r w:rsidRPr="005303F7">
              <w:rPr>
                <w:rFonts w:ascii="Times New Roman" w:hAnsi="Times New Roman"/>
                <w:bCs/>
                <w:sz w:val="20"/>
                <w:lang w:val="sr-Cyrl-CS"/>
              </w:rPr>
              <w:t>инфраструктуре</w:t>
            </w:r>
            <w:r w:rsidR="00606CE1" w:rsidRPr="005303F7">
              <w:rPr>
                <w:rFonts w:ascii="Times New Roman" w:hAnsi="Times New Roman"/>
                <w:bCs/>
                <w:sz w:val="20"/>
                <w:lang w:val="sr-Cyrl-CS"/>
              </w:rPr>
              <w:t xml:space="preserve">, </w:t>
            </w:r>
            <w:r w:rsidRPr="005303F7">
              <w:rPr>
                <w:rFonts w:ascii="Times New Roman" w:hAnsi="Times New Roman"/>
                <w:bCs/>
                <w:sz w:val="20"/>
                <w:lang w:val="sr-Cyrl-CS"/>
              </w:rPr>
              <w:t>Министарство</w:t>
            </w:r>
            <w:r w:rsidR="00606CE1" w:rsidRPr="005303F7">
              <w:rPr>
                <w:rFonts w:ascii="Times New Roman" w:hAnsi="Times New Roman"/>
                <w:bCs/>
                <w:sz w:val="20"/>
                <w:lang w:val="sr-Cyrl-CS"/>
              </w:rPr>
              <w:t xml:space="preserve"> </w:t>
            </w:r>
            <w:r w:rsidRPr="005303F7">
              <w:rPr>
                <w:rFonts w:ascii="Times New Roman" w:hAnsi="Times New Roman"/>
                <w:bCs/>
                <w:sz w:val="20"/>
                <w:lang w:val="sr-Cyrl-CS"/>
              </w:rPr>
              <w:t>привреде</w:t>
            </w:r>
            <w:r w:rsidR="00606CE1" w:rsidRPr="005303F7">
              <w:rPr>
                <w:rFonts w:ascii="Times New Roman" w:hAnsi="Times New Roman"/>
                <w:bCs/>
                <w:sz w:val="20"/>
                <w:lang w:val="sr-Cyrl-CS"/>
              </w:rPr>
              <w:t xml:space="preserve">, </w:t>
            </w:r>
            <w:r w:rsidRPr="005303F7">
              <w:rPr>
                <w:rFonts w:ascii="Times New Roman" w:hAnsi="Times New Roman"/>
                <w:bCs/>
                <w:sz w:val="20"/>
                <w:lang w:val="sr-Cyrl-CS"/>
              </w:rPr>
              <w:t>Привредна</w:t>
            </w:r>
            <w:r w:rsidR="00606CE1" w:rsidRPr="005303F7">
              <w:rPr>
                <w:rFonts w:ascii="Times New Roman" w:hAnsi="Times New Roman"/>
                <w:bCs/>
                <w:sz w:val="20"/>
                <w:lang w:val="sr-Cyrl-CS"/>
              </w:rPr>
              <w:t xml:space="preserve"> </w:t>
            </w:r>
            <w:r w:rsidRPr="005303F7">
              <w:rPr>
                <w:rFonts w:ascii="Times New Roman" w:hAnsi="Times New Roman"/>
                <w:bCs/>
                <w:sz w:val="20"/>
                <w:lang w:val="sr-Cyrl-CS"/>
              </w:rPr>
              <w:t>комора</w:t>
            </w:r>
            <w:r w:rsidR="00606CE1" w:rsidRPr="005303F7">
              <w:rPr>
                <w:rFonts w:ascii="Times New Roman" w:hAnsi="Times New Roman"/>
                <w:bCs/>
                <w:sz w:val="20"/>
                <w:lang w:val="sr-Cyrl-CS"/>
              </w:rPr>
              <w:t xml:space="preserve"> </w:t>
            </w:r>
            <w:r w:rsidR="00D73AAB" w:rsidRPr="005303F7">
              <w:rPr>
                <w:rFonts w:ascii="Times New Roman" w:hAnsi="Times New Roman"/>
                <w:bCs/>
                <w:sz w:val="20"/>
                <w:lang w:val="sr-Cyrl-CS"/>
              </w:rPr>
              <w:t>Србије</w:t>
            </w:r>
          </w:p>
        </w:tc>
        <w:tc>
          <w:tcPr>
            <w:tcW w:w="125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E15B26" w14:textId="3E95D517" w:rsidR="00BD116A" w:rsidRPr="005303F7" w:rsidRDefault="004A35C7">
            <w:pPr>
              <w:overflowPunct/>
              <w:spacing w:after="0"/>
              <w:jc w:val="center"/>
              <w:rPr>
                <w:rFonts w:ascii="Times New Roman" w:hAnsi="Times New Roman"/>
                <w:bCs/>
                <w:sz w:val="20"/>
                <w:lang w:val="sr-Cyrl-CS"/>
              </w:rPr>
            </w:pPr>
            <w:r w:rsidRPr="005303F7">
              <w:rPr>
                <w:rFonts w:ascii="Times New Roman" w:hAnsi="Times New Roman"/>
                <w:bCs/>
                <w:sz w:val="20"/>
                <w:lang w:val="sr-Cyrl-CS"/>
              </w:rPr>
              <w:t>не-ЕТS</w:t>
            </w:r>
          </w:p>
        </w:tc>
        <w:tc>
          <w:tcPr>
            <w:tcW w:w="143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72A0DE" w14:textId="02BF1DFA" w:rsidR="00BD116A" w:rsidRPr="005303F7" w:rsidRDefault="00690489">
            <w:pPr>
              <w:overflowPunct/>
              <w:spacing w:after="0"/>
              <w:jc w:val="center"/>
              <w:rPr>
                <w:rFonts w:ascii="Times New Roman" w:hAnsi="Times New Roman"/>
                <w:bCs/>
                <w:sz w:val="20"/>
                <w:lang w:val="sr-Cyrl-CS"/>
              </w:rPr>
            </w:pPr>
            <w:r w:rsidRPr="005303F7">
              <w:rPr>
                <w:rFonts w:ascii="Times New Roman" w:hAnsi="Times New Roman"/>
                <w:bCs/>
                <w:sz w:val="20"/>
                <w:lang w:val="sr-Cyrl-CS"/>
              </w:rPr>
              <w:t>C</w:t>
            </w:r>
            <w:r w:rsidR="008D69AF" w:rsidRPr="005303F7">
              <w:rPr>
                <w:rFonts w:ascii="Times New Roman" w:hAnsi="Times New Roman"/>
                <w:bCs/>
                <w:sz w:val="20"/>
                <w:lang w:val="sr-Cyrl-CS"/>
              </w:rPr>
              <w:t>О</w:t>
            </w:r>
            <w:r w:rsidR="00BD116A" w:rsidRPr="005303F7">
              <w:rPr>
                <w:rFonts w:ascii="Times New Roman" w:hAnsi="Times New Roman"/>
                <w:bCs/>
                <w:sz w:val="20"/>
                <w:vertAlign w:val="subscript"/>
                <w:lang w:val="sr-Cyrl-CS"/>
              </w:rPr>
              <w:t>2</w:t>
            </w:r>
          </w:p>
        </w:tc>
        <w:tc>
          <w:tcPr>
            <w:tcW w:w="29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921E57" w14:textId="25ABB4B1"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под</w:t>
            </w:r>
            <w:r w:rsidR="00CB0242" w:rsidRPr="005303F7">
              <w:rPr>
                <w:rFonts w:ascii="Times New Roman" w:hAnsi="Times New Roman"/>
                <w:bCs/>
                <w:color w:val="000000"/>
                <w:sz w:val="20"/>
                <w:lang w:val="sr-Cyrl-CS"/>
              </w:rPr>
              <w:t xml:space="preserve"> </w:t>
            </w:r>
            <w:r w:rsidR="00B20FDF" w:rsidRPr="005303F7">
              <w:rPr>
                <w:rFonts w:ascii="Times New Roman" w:hAnsi="Times New Roman"/>
                <w:bCs/>
                <w:color w:val="000000"/>
                <w:sz w:val="20"/>
                <w:lang w:val="sr-Cyrl-CS"/>
              </w:rPr>
              <w:t>б</w:t>
            </w:r>
            <w:r w:rsidRPr="005303F7">
              <w:rPr>
                <w:rFonts w:ascii="Times New Roman" w:hAnsi="Times New Roman"/>
                <w:bCs/>
                <w:color w:val="000000"/>
                <w:sz w:val="20"/>
                <w:lang w:val="sr-Cyrl-CS"/>
              </w:rPr>
              <w:t>р</w:t>
            </w:r>
            <w:r w:rsidR="00CB0242" w:rsidRPr="005303F7">
              <w:rPr>
                <w:rFonts w:ascii="Times New Roman" w:hAnsi="Times New Roman"/>
                <w:bCs/>
                <w:color w:val="000000"/>
                <w:sz w:val="20"/>
                <w:lang w:val="sr-Cyrl-CS"/>
              </w:rPr>
              <w:t>.11</w:t>
            </w:r>
          </w:p>
        </w:tc>
      </w:tr>
      <w:tr w:rsidR="00BD116A" w:rsidRPr="005303F7" w14:paraId="5DBB1E57" w14:textId="77777777" w:rsidTr="0009461F">
        <w:trPr>
          <w:trHeight w:val="442"/>
        </w:trPr>
        <w:tc>
          <w:tcPr>
            <w:tcW w:w="561" w:type="dxa"/>
            <w:gridSpan w:val="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2B0D7300" w14:textId="6047E3AF" w:rsidR="00BD116A" w:rsidRPr="005303F7" w:rsidRDefault="008D69AF">
            <w:pPr>
              <w:overflowPunct/>
              <w:spacing w:after="0"/>
              <w:rPr>
                <w:rFonts w:ascii="Times New Roman" w:hAnsi="Times New Roman"/>
                <w:szCs w:val="22"/>
                <w:lang w:val="sr-Cyrl-CS"/>
              </w:rPr>
            </w:pPr>
            <w:r w:rsidRPr="005303F7">
              <w:rPr>
                <w:rFonts w:ascii="Times New Roman" w:hAnsi="Times New Roman"/>
                <w:szCs w:val="22"/>
                <w:lang w:val="sr-Cyrl-CS"/>
              </w:rPr>
              <w:t>Бр</w:t>
            </w:r>
            <w:r w:rsidR="00BD116A" w:rsidRPr="005303F7">
              <w:rPr>
                <w:rFonts w:ascii="Times New Roman" w:hAnsi="Times New Roman"/>
                <w:szCs w:val="22"/>
                <w:lang w:val="sr-Cyrl-CS"/>
              </w:rPr>
              <w:t>.</w:t>
            </w:r>
          </w:p>
        </w:tc>
        <w:tc>
          <w:tcPr>
            <w:tcW w:w="15429" w:type="dxa"/>
            <w:gridSpan w:val="3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3E0194ED" w14:textId="0321720C" w:rsidR="00BD116A" w:rsidRPr="005303F7" w:rsidRDefault="008D69AF" w:rsidP="00652668">
            <w:pPr>
              <w:overflowPunct/>
              <w:jc w:val="left"/>
              <w:rPr>
                <w:rFonts w:ascii="Times New Roman" w:hAnsi="Times New Roman"/>
                <w:b/>
                <w:bCs/>
                <w:szCs w:val="22"/>
                <w:u w:val="single"/>
                <w:lang w:val="sr-Cyrl-CS"/>
              </w:rPr>
            </w:pPr>
            <w:r w:rsidRPr="005303F7">
              <w:rPr>
                <w:rFonts w:ascii="Times New Roman" w:hAnsi="Times New Roman"/>
                <w:b/>
                <w:bCs/>
                <w:sz w:val="20"/>
                <w:lang w:val="sr-Cyrl-CS"/>
              </w:rPr>
              <w:t>Назив</w:t>
            </w:r>
            <w:r w:rsidR="004B248A"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r w:rsidR="00BD116A" w:rsidRPr="005303F7">
              <w:rPr>
                <w:rFonts w:ascii="Times New Roman" w:hAnsi="Times New Roman"/>
                <w:b/>
                <w:bCs/>
                <w:sz w:val="20"/>
                <w:lang w:val="sr-Cyrl-CS"/>
              </w:rPr>
              <w:t xml:space="preserve">: </w:t>
            </w:r>
            <w:r w:rsidRPr="005303F7">
              <w:rPr>
                <w:rFonts w:ascii="Times New Roman" w:hAnsi="Times New Roman"/>
                <w:b/>
                <w:bCs/>
                <w:sz w:val="20"/>
                <w:u w:val="single"/>
                <w:lang w:val="sr-Cyrl-CS"/>
              </w:rPr>
              <w:t>Обнова</w:t>
            </w:r>
            <w:r w:rsidR="004B248A"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возног</w:t>
            </w:r>
            <w:r w:rsidR="004B248A"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парка</w:t>
            </w:r>
            <w:r w:rsidR="004064C0"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за</w:t>
            </w:r>
            <w:r w:rsidR="004064C0"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теретни</w:t>
            </w:r>
            <w:r w:rsidR="004064C0"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саобраћај</w:t>
            </w:r>
            <w:r w:rsidR="00415473"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и</w:t>
            </w:r>
            <w:r w:rsidR="004B248A"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промоција</w:t>
            </w:r>
            <w:r w:rsidR="004B248A"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одрживог</w:t>
            </w:r>
            <w:r w:rsidR="004B248A"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теретног</w:t>
            </w:r>
            <w:r w:rsidR="004B248A"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саобра</w:t>
            </w:r>
            <w:r w:rsidR="00016298" w:rsidRPr="005303F7">
              <w:rPr>
                <w:rFonts w:ascii="Times New Roman" w:hAnsi="Times New Roman"/>
                <w:b/>
                <w:bCs/>
                <w:sz w:val="20"/>
                <w:u w:val="single"/>
                <w:lang w:val="sr-Cyrl-CS"/>
              </w:rPr>
              <w:t>ћ</w:t>
            </w:r>
            <w:r w:rsidRPr="005303F7">
              <w:rPr>
                <w:rFonts w:ascii="Times New Roman" w:hAnsi="Times New Roman"/>
                <w:b/>
                <w:bCs/>
                <w:sz w:val="20"/>
                <w:u w:val="single"/>
                <w:lang w:val="sr-Cyrl-CS"/>
              </w:rPr>
              <w:t>аја</w:t>
            </w:r>
          </w:p>
        </w:tc>
      </w:tr>
      <w:tr w:rsidR="00BD116A" w:rsidRPr="005303F7" w14:paraId="25737128" w14:textId="77777777" w:rsidTr="0009461F">
        <w:trPr>
          <w:trHeight w:val="781"/>
        </w:trPr>
        <w:tc>
          <w:tcPr>
            <w:tcW w:w="56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E87CC11" w14:textId="77777777" w:rsidR="00BD116A" w:rsidRPr="005303F7" w:rsidRDefault="00BD116A">
            <w:pPr>
              <w:overflowPunct/>
              <w:spacing w:after="0"/>
              <w:jc w:val="center"/>
              <w:rPr>
                <w:rFonts w:ascii="Times New Roman" w:hAnsi="Times New Roman"/>
                <w:b/>
                <w:color w:val="000000"/>
                <w:sz w:val="20"/>
                <w:lang w:val="sr-Cyrl-CS"/>
              </w:rPr>
            </w:pPr>
            <w:r w:rsidRPr="005303F7">
              <w:rPr>
                <w:rFonts w:ascii="Times New Roman" w:hAnsi="Times New Roman"/>
                <w:b/>
                <w:color w:val="000000"/>
                <w:sz w:val="20"/>
                <w:lang w:val="sr-Cyrl-CS"/>
              </w:rPr>
              <w:t>14</w:t>
            </w:r>
          </w:p>
        </w:tc>
        <w:tc>
          <w:tcPr>
            <w:tcW w:w="15429" w:type="dxa"/>
            <w:gridSpan w:val="32"/>
            <w:tcBorders>
              <w:top w:val="single" w:sz="4" w:space="0" w:color="auto"/>
              <w:left w:val="single" w:sz="4" w:space="0" w:color="auto"/>
              <w:bottom w:val="single" w:sz="4" w:space="0" w:color="auto"/>
              <w:right w:val="single" w:sz="4" w:space="0" w:color="auto"/>
            </w:tcBorders>
            <w:vAlign w:val="center"/>
            <w:hideMark/>
          </w:tcPr>
          <w:p w14:paraId="6AAC878F" w14:textId="6B6CBECD" w:rsidR="00BD116A" w:rsidRPr="005303F7" w:rsidRDefault="008D69AF">
            <w:pPr>
              <w:overflowPunct/>
              <w:rPr>
                <w:rFonts w:ascii="Times New Roman" w:hAnsi="Times New Roman"/>
                <w:b/>
                <w:sz w:val="20"/>
                <w:u w:val="single"/>
                <w:lang w:val="sr-Cyrl-CS"/>
              </w:rPr>
            </w:pPr>
            <w:r w:rsidRPr="005303F7">
              <w:rPr>
                <w:rFonts w:ascii="Times New Roman" w:hAnsi="Times New Roman"/>
                <w:b/>
                <w:sz w:val="20"/>
                <w:u w:val="single"/>
                <w:lang w:val="sr-Cyrl-CS"/>
              </w:rPr>
              <w:t>Врста</w:t>
            </w:r>
            <w:r w:rsidR="00434F17"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мере</w:t>
            </w:r>
            <w:r w:rsidR="00BD116A" w:rsidRPr="005303F7">
              <w:rPr>
                <w:rFonts w:ascii="Times New Roman" w:hAnsi="Times New Roman"/>
                <w:b/>
                <w:sz w:val="20"/>
                <w:u w:val="single"/>
                <w:lang w:val="sr-Cyrl-CS"/>
              </w:rPr>
              <w:t>:</w:t>
            </w:r>
            <w:r w:rsidR="00BD116A" w:rsidRPr="005303F7">
              <w:rPr>
                <w:rFonts w:ascii="Times New Roman" w:hAnsi="Times New Roman"/>
                <w:b/>
                <w:sz w:val="20"/>
                <w:lang w:val="sr-Cyrl-CS"/>
              </w:rPr>
              <w:t xml:space="preserve"> </w:t>
            </w:r>
            <w:r w:rsidRPr="005303F7">
              <w:rPr>
                <w:rFonts w:ascii="Times New Roman" w:hAnsi="Times New Roman"/>
                <w:bCs/>
                <w:sz w:val="20"/>
                <w:lang w:val="sr-Cyrl-CS"/>
              </w:rPr>
              <w:t>Регулаторна</w:t>
            </w:r>
            <w:r w:rsidR="00BD116A" w:rsidRPr="005303F7">
              <w:rPr>
                <w:rFonts w:ascii="Times New Roman" w:hAnsi="Times New Roman"/>
                <w:bCs/>
                <w:sz w:val="20"/>
                <w:lang w:val="sr-Cyrl-CS"/>
              </w:rPr>
              <w:t xml:space="preserve">, </w:t>
            </w:r>
            <w:r w:rsidRPr="005303F7">
              <w:rPr>
                <w:rFonts w:ascii="Times New Roman" w:hAnsi="Times New Roman"/>
                <w:bCs/>
                <w:sz w:val="20"/>
                <w:lang w:val="sr-Cyrl-CS"/>
              </w:rPr>
              <w:t>организационо</w:t>
            </w:r>
            <w:r w:rsidR="00434F17" w:rsidRPr="005303F7">
              <w:rPr>
                <w:rFonts w:ascii="Times New Roman" w:hAnsi="Times New Roman"/>
                <w:bCs/>
                <w:sz w:val="20"/>
                <w:lang w:val="sr-Cyrl-CS"/>
              </w:rPr>
              <w:t>-</w:t>
            </w:r>
            <w:r w:rsidRPr="005303F7">
              <w:rPr>
                <w:rFonts w:ascii="Times New Roman" w:hAnsi="Times New Roman"/>
                <w:bCs/>
                <w:sz w:val="20"/>
                <w:lang w:val="sr-Cyrl-CS"/>
              </w:rPr>
              <w:t>управ</w:t>
            </w:r>
            <w:r w:rsidR="00D553BE" w:rsidRPr="005303F7">
              <w:rPr>
                <w:rFonts w:ascii="Times New Roman" w:hAnsi="Times New Roman"/>
                <w:bCs/>
                <w:sz w:val="20"/>
                <w:lang w:val="sr-Cyrl-CS"/>
              </w:rPr>
              <w:t>љ</w:t>
            </w:r>
            <w:r w:rsidRPr="005303F7">
              <w:rPr>
                <w:rFonts w:ascii="Times New Roman" w:hAnsi="Times New Roman"/>
                <w:bCs/>
                <w:sz w:val="20"/>
                <w:lang w:val="sr-Cyrl-CS"/>
              </w:rPr>
              <w:t>ачка</w:t>
            </w:r>
            <w:r w:rsidR="00434F17" w:rsidRPr="005303F7">
              <w:rPr>
                <w:rFonts w:ascii="Times New Roman" w:hAnsi="Times New Roman"/>
                <w:bCs/>
                <w:sz w:val="20"/>
                <w:lang w:val="sr-Cyrl-CS"/>
              </w:rPr>
              <w:t>-</w:t>
            </w:r>
            <w:r w:rsidRPr="005303F7">
              <w:rPr>
                <w:rFonts w:ascii="Times New Roman" w:hAnsi="Times New Roman"/>
                <w:bCs/>
                <w:sz w:val="20"/>
                <w:lang w:val="sr-Cyrl-CS"/>
              </w:rPr>
              <w:t>институционална</w:t>
            </w:r>
          </w:p>
          <w:p w14:paraId="77D95BA0" w14:textId="3E4AC922" w:rsidR="00BD116A" w:rsidRPr="005303F7" w:rsidRDefault="008D69AF">
            <w:pPr>
              <w:overflowPunct/>
              <w:spacing w:after="0"/>
              <w:rPr>
                <w:rFonts w:ascii="Times New Roman" w:hAnsi="Times New Roman"/>
                <w:sz w:val="20"/>
                <w:lang w:val="sr-Cyrl-CS"/>
              </w:rPr>
            </w:pPr>
            <w:r w:rsidRPr="005303F7">
              <w:rPr>
                <w:rFonts w:ascii="Times New Roman" w:hAnsi="Times New Roman"/>
                <w:b/>
                <w:sz w:val="20"/>
                <w:u w:val="single"/>
                <w:lang w:val="sr-Cyrl-CS"/>
              </w:rPr>
              <w:t>Опис</w:t>
            </w:r>
            <w:r w:rsidR="00434F17"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мере</w:t>
            </w:r>
            <w:r w:rsidR="00BD116A" w:rsidRPr="005303F7">
              <w:rPr>
                <w:rFonts w:ascii="Times New Roman" w:hAnsi="Times New Roman"/>
                <w:bCs/>
                <w:sz w:val="20"/>
                <w:lang w:val="sr-Cyrl-CS"/>
              </w:rPr>
              <w:t>:</w:t>
            </w:r>
            <w:r w:rsidR="00BD116A" w:rsidRPr="005303F7">
              <w:rPr>
                <w:rFonts w:ascii="Times New Roman" w:hAnsi="Times New Roman"/>
                <w:sz w:val="20"/>
                <w:lang w:val="sr-Cyrl-CS"/>
              </w:rPr>
              <w:t xml:space="preserve"> </w:t>
            </w:r>
            <w:r w:rsidRPr="005303F7">
              <w:rPr>
                <w:rFonts w:ascii="Times New Roman" w:hAnsi="Times New Roman"/>
                <w:sz w:val="20"/>
                <w:lang w:val="sr-Cyrl-CS"/>
              </w:rPr>
              <w:t>Теретни</w:t>
            </w:r>
            <w:r w:rsidR="00BF51A2" w:rsidRPr="005303F7">
              <w:rPr>
                <w:rFonts w:ascii="Times New Roman" w:hAnsi="Times New Roman"/>
                <w:sz w:val="20"/>
                <w:lang w:val="sr-Cyrl-CS"/>
              </w:rPr>
              <w:t xml:space="preserve"> </w:t>
            </w:r>
            <w:r w:rsidRPr="005303F7">
              <w:rPr>
                <w:rFonts w:ascii="Times New Roman" w:hAnsi="Times New Roman"/>
                <w:sz w:val="20"/>
                <w:lang w:val="sr-Cyrl-CS"/>
              </w:rPr>
              <w:t>саобраћај</w:t>
            </w:r>
            <w:r w:rsidR="00BF51A2" w:rsidRPr="005303F7">
              <w:rPr>
                <w:rFonts w:ascii="Times New Roman" w:hAnsi="Times New Roman"/>
                <w:sz w:val="20"/>
                <w:lang w:val="sr-Cyrl-CS"/>
              </w:rPr>
              <w:t xml:space="preserve"> </w:t>
            </w:r>
            <w:r w:rsidRPr="005303F7">
              <w:rPr>
                <w:rFonts w:ascii="Times New Roman" w:hAnsi="Times New Roman"/>
                <w:sz w:val="20"/>
                <w:lang w:val="sr-Cyrl-CS"/>
              </w:rPr>
              <w:t>је</w:t>
            </w:r>
            <w:r w:rsidR="00BF51A2" w:rsidRPr="005303F7">
              <w:rPr>
                <w:rFonts w:ascii="Times New Roman" w:hAnsi="Times New Roman"/>
                <w:sz w:val="20"/>
                <w:lang w:val="sr-Cyrl-CS"/>
              </w:rPr>
              <w:t xml:space="preserve"> </w:t>
            </w:r>
            <w:r w:rsidRPr="005303F7">
              <w:rPr>
                <w:rFonts w:ascii="Times New Roman" w:hAnsi="Times New Roman"/>
                <w:sz w:val="20"/>
                <w:lang w:val="sr-Cyrl-CS"/>
              </w:rPr>
              <w:t>неопходан</w:t>
            </w:r>
            <w:r w:rsidR="00BF51A2" w:rsidRPr="005303F7">
              <w:rPr>
                <w:rFonts w:ascii="Times New Roman" w:hAnsi="Times New Roman"/>
                <w:sz w:val="20"/>
                <w:lang w:val="sr-Cyrl-CS"/>
              </w:rPr>
              <w:t xml:space="preserve"> </w:t>
            </w:r>
            <w:r w:rsidRPr="005303F7">
              <w:rPr>
                <w:rFonts w:ascii="Times New Roman" w:hAnsi="Times New Roman"/>
                <w:sz w:val="20"/>
                <w:lang w:val="sr-Cyrl-CS"/>
              </w:rPr>
              <w:t>за</w:t>
            </w:r>
            <w:r w:rsidR="00BF51A2" w:rsidRPr="005303F7">
              <w:rPr>
                <w:rFonts w:ascii="Times New Roman" w:hAnsi="Times New Roman"/>
                <w:sz w:val="20"/>
                <w:lang w:val="sr-Cyrl-CS"/>
              </w:rPr>
              <w:t xml:space="preserve"> </w:t>
            </w:r>
            <w:r w:rsidRPr="005303F7">
              <w:rPr>
                <w:rFonts w:ascii="Times New Roman" w:hAnsi="Times New Roman"/>
                <w:sz w:val="20"/>
                <w:lang w:val="sr-Cyrl-CS"/>
              </w:rPr>
              <w:t>економски</w:t>
            </w:r>
            <w:r w:rsidR="00BF51A2" w:rsidRPr="005303F7">
              <w:rPr>
                <w:rFonts w:ascii="Times New Roman" w:hAnsi="Times New Roman"/>
                <w:sz w:val="20"/>
                <w:lang w:val="sr-Cyrl-CS"/>
              </w:rPr>
              <w:t xml:space="preserve"> </w:t>
            </w:r>
            <w:r w:rsidRPr="005303F7">
              <w:rPr>
                <w:rFonts w:ascii="Times New Roman" w:hAnsi="Times New Roman"/>
                <w:sz w:val="20"/>
                <w:lang w:val="sr-Cyrl-CS"/>
              </w:rPr>
              <w:t>раст</w:t>
            </w:r>
            <w:r w:rsidR="00BF51A2" w:rsidRPr="005303F7">
              <w:rPr>
                <w:rFonts w:ascii="Times New Roman" w:hAnsi="Times New Roman"/>
                <w:sz w:val="20"/>
                <w:lang w:val="sr-Cyrl-CS"/>
              </w:rPr>
              <w:t xml:space="preserve"> </w:t>
            </w:r>
            <w:r w:rsidRPr="005303F7">
              <w:rPr>
                <w:rFonts w:ascii="Times New Roman" w:hAnsi="Times New Roman"/>
                <w:sz w:val="20"/>
                <w:lang w:val="sr-Cyrl-CS"/>
              </w:rPr>
              <w:t>и</w:t>
            </w:r>
            <w:r w:rsidR="00BF51A2" w:rsidRPr="005303F7">
              <w:rPr>
                <w:rFonts w:ascii="Times New Roman" w:hAnsi="Times New Roman"/>
                <w:sz w:val="20"/>
                <w:lang w:val="sr-Cyrl-CS"/>
              </w:rPr>
              <w:t xml:space="preserve"> </w:t>
            </w:r>
            <w:r w:rsidRPr="005303F7">
              <w:rPr>
                <w:rFonts w:ascii="Times New Roman" w:hAnsi="Times New Roman"/>
                <w:sz w:val="20"/>
                <w:lang w:val="sr-Cyrl-CS"/>
              </w:rPr>
              <w:t>обично</w:t>
            </w:r>
            <w:r w:rsidR="00BF51A2" w:rsidRPr="005303F7">
              <w:rPr>
                <w:rFonts w:ascii="Times New Roman" w:hAnsi="Times New Roman"/>
                <w:sz w:val="20"/>
                <w:lang w:val="sr-Cyrl-CS"/>
              </w:rPr>
              <w:t xml:space="preserve"> </w:t>
            </w:r>
            <w:r w:rsidRPr="005303F7">
              <w:rPr>
                <w:rFonts w:ascii="Times New Roman" w:hAnsi="Times New Roman"/>
                <w:sz w:val="20"/>
                <w:lang w:val="sr-Cyrl-CS"/>
              </w:rPr>
              <w:t>сведочи</w:t>
            </w:r>
            <w:r w:rsidR="00BF51A2" w:rsidRPr="005303F7">
              <w:rPr>
                <w:rFonts w:ascii="Times New Roman" w:hAnsi="Times New Roman"/>
                <w:sz w:val="20"/>
                <w:lang w:val="sr-Cyrl-CS"/>
              </w:rPr>
              <w:t xml:space="preserve"> </w:t>
            </w:r>
            <w:r w:rsidRPr="005303F7">
              <w:rPr>
                <w:rFonts w:ascii="Times New Roman" w:hAnsi="Times New Roman"/>
                <w:sz w:val="20"/>
                <w:lang w:val="sr-Cyrl-CS"/>
              </w:rPr>
              <w:t>вишим</w:t>
            </w:r>
            <w:r w:rsidR="00BF51A2" w:rsidRPr="005303F7">
              <w:rPr>
                <w:rFonts w:ascii="Times New Roman" w:hAnsi="Times New Roman"/>
                <w:sz w:val="20"/>
                <w:lang w:val="sr-Cyrl-CS"/>
              </w:rPr>
              <w:t xml:space="preserve"> </w:t>
            </w:r>
            <w:r w:rsidRPr="005303F7">
              <w:rPr>
                <w:rFonts w:ascii="Times New Roman" w:hAnsi="Times New Roman"/>
                <w:sz w:val="20"/>
                <w:lang w:val="sr-Cyrl-CS"/>
              </w:rPr>
              <w:t>стопама</w:t>
            </w:r>
            <w:r w:rsidR="00BF51A2" w:rsidRPr="005303F7">
              <w:rPr>
                <w:rFonts w:ascii="Times New Roman" w:hAnsi="Times New Roman"/>
                <w:sz w:val="20"/>
                <w:lang w:val="sr-Cyrl-CS"/>
              </w:rPr>
              <w:t xml:space="preserve"> </w:t>
            </w:r>
            <w:r w:rsidRPr="005303F7">
              <w:rPr>
                <w:rFonts w:ascii="Times New Roman" w:hAnsi="Times New Roman"/>
                <w:sz w:val="20"/>
                <w:lang w:val="sr-Cyrl-CS"/>
              </w:rPr>
              <w:t>раста</w:t>
            </w:r>
            <w:r w:rsidR="00BF51A2" w:rsidRPr="005303F7">
              <w:rPr>
                <w:rFonts w:ascii="Times New Roman" w:hAnsi="Times New Roman"/>
                <w:sz w:val="20"/>
                <w:lang w:val="sr-Cyrl-CS"/>
              </w:rPr>
              <w:t xml:space="preserve"> </w:t>
            </w:r>
            <w:r w:rsidRPr="005303F7">
              <w:rPr>
                <w:rFonts w:ascii="Times New Roman" w:hAnsi="Times New Roman"/>
                <w:sz w:val="20"/>
                <w:lang w:val="sr-Cyrl-CS"/>
              </w:rPr>
              <w:t>од</w:t>
            </w:r>
            <w:r w:rsidR="00BF51A2" w:rsidRPr="005303F7">
              <w:rPr>
                <w:rFonts w:ascii="Times New Roman" w:hAnsi="Times New Roman"/>
                <w:sz w:val="20"/>
                <w:lang w:val="sr-Cyrl-CS"/>
              </w:rPr>
              <w:t xml:space="preserve"> </w:t>
            </w:r>
            <w:r w:rsidRPr="005303F7">
              <w:rPr>
                <w:rFonts w:ascii="Times New Roman" w:hAnsi="Times New Roman"/>
                <w:sz w:val="20"/>
                <w:lang w:val="sr-Cyrl-CS"/>
              </w:rPr>
              <w:t>БДП</w:t>
            </w:r>
            <w:r w:rsidR="00BF51A2" w:rsidRPr="005303F7">
              <w:rPr>
                <w:rFonts w:ascii="Times New Roman" w:hAnsi="Times New Roman"/>
                <w:sz w:val="20"/>
                <w:lang w:val="sr-Cyrl-CS"/>
              </w:rPr>
              <w:t>-</w:t>
            </w:r>
            <w:r w:rsidRPr="005303F7">
              <w:rPr>
                <w:rFonts w:ascii="Times New Roman" w:hAnsi="Times New Roman"/>
                <w:sz w:val="20"/>
                <w:lang w:val="sr-Cyrl-CS"/>
              </w:rPr>
              <w:t>а</w:t>
            </w:r>
            <w:r w:rsidR="00BF51A2" w:rsidRPr="005303F7">
              <w:rPr>
                <w:rFonts w:ascii="Times New Roman" w:hAnsi="Times New Roman"/>
                <w:sz w:val="20"/>
                <w:lang w:val="sr-Cyrl-CS"/>
              </w:rPr>
              <w:t xml:space="preserve">. </w:t>
            </w:r>
            <w:r w:rsidRPr="005303F7">
              <w:rPr>
                <w:rFonts w:ascii="Times New Roman" w:hAnsi="Times New Roman"/>
                <w:sz w:val="20"/>
                <w:lang w:val="sr-Cyrl-CS"/>
              </w:rPr>
              <w:t>Као</w:t>
            </w:r>
            <w:r w:rsidR="00BF51A2" w:rsidRPr="005303F7">
              <w:rPr>
                <w:rFonts w:ascii="Times New Roman" w:hAnsi="Times New Roman"/>
                <w:sz w:val="20"/>
                <w:lang w:val="sr-Cyrl-CS"/>
              </w:rPr>
              <w:t xml:space="preserve"> </w:t>
            </w:r>
            <w:r w:rsidRPr="005303F7">
              <w:rPr>
                <w:rFonts w:ascii="Times New Roman" w:hAnsi="Times New Roman"/>
                <w:sz w:val="20"/>
                <w:lang w:val="sr-Cyrl-CS"/>
              </w:rPr>
              <w:t>такав</w:t>
            </w:r>
            <w:r w:rsidR="00BF51A2" w:rsidRPr="005303F7">
              <w:rPr>
                <w:rFonts w:ascii="Times New Roman" w:hAnsi="Times New Roman"/>
                <w:sz w:val="20"/>
                <w:lang w:val="sr-Cyrl-CS"/>
              </w:rPr>
              <w:t xml:space="preserve">, </w:t>
            </w:r>
            <w:r w:rsidRPr="005303F7">
              <w:rPr>
                <w:rFonts w:ascii="Times New Roman" w:hAnsi="Times New Roman"/>
                <w:sz w:val="20"/>
                <w:lang w:val="sr-Cyrl-CS"/>
              </w:rPr>
              <w:t>у</w:t>
            </w:r>
            <w:r w:rsidR="00BF51A2" w:rsidRPr="005303F7">
              <w:rPr>
                <w:rFonts w:ascii="Times New Roman" w:hAnsi="Times New Roman"/>
                <w:sz w:val="20"/>
                <w:lang w:val="sr-Cyrl-CS"/>
              </w:rPr>
              <w:t xml:space="preserve"> </w:t>
            </w:r>
            <w:r w:rsidRPr="005303F7">
              <w:rPr>
                <w:rFonts w:ascii="Times New Roman" w:hAnsi="Times New Roman"/>
                <w:sz w:val="20"/>
                <w:lang w:val="sr-Cyrl-CS"/>
              </w:rPr>
              <w:t>контексту</w:t>
            </w:r>
            <w:r w:rsidR="00BF51A2" w:rsidRPr="005303F7">
              <w:rPr>
                <w:rFonts w:ascii="Times New Roman" w:hAnsi="Times New Roman"/>
                <w:sz w:val="20"/>
                <w:lang w:val="sr-Cyrl-CS"/>
              </w:rPr>
              <w:t xml:space="preserve"> </w:t>
            </w:r>
            <w:r w:rsidRPr="005303F7">
              <w:rPr>
                <w:rFonts w:ascii="Times New Roman" w:hAnsi="Times New Roman"/>
                <w:sz w:val="20"/>
                <w:lang w:val="sr-Cyrl-CS"/>
              </w:rPr>
              <w:t>у</w:t>
            </w:r>
            <w:r w:rsidR="00BF51A2" w:rsidRPr="005303F7">
              <w:rPr>
                <w:rFonts w:ascii="Times New Roman" w:hAnsi="Times New Roman"/>
                <w:sz w:val="20"/>
                <w:lang w:val="sr-Cyrl-CS"/>
              </w:rPr>
              <w:t xml:space="preserve"> </w:t>
            </w:r>
            <w:r w:rsidRPr="005303F7">
              <w:rPr>
                <w:rFonts w:ascii="Times New Roman" w:hAnsi="Times New Roman"/>
                <w:sz w:val="20"/>
                <w:lang w:val="sr-Cyrl-CS"/>
              </w:rPr>
              <w:t>којем</w:t>
            </w:r>
            <w:r w:rsidR="00BF51A2" w:rsidRPr="005303F7">
              <w:rPr>
                <w:rFonts w:ascii="Times New Roman" w:hAnsi="Times New Roman"/>
                <w:sz w:val="20"/>
                <w:lang w:val="sr-Cyrl-CS"/>
              </w:rPr>
              <w:t xml:space="preserve"> </w:t>
            </w:r>
            <w:r w:rsidR="00016298" w:rsidRPr="005303F7">
              <w:rPr>
                <w:rFonts w:ascii="Times New Roman" w:hAnsi="Times New Roman"/>
                <w:sz w:val="20"/>
                <w:lang w:val="sr-Cyrl-CS"/>
              </w:rPr>
              <w:t>ћ</w:t>
            </w:r>
            <w:r w:rsidRPr="005303F7">
              <w:rPr>
                <w:rFonts w:ascii="Times New Roman" w:hAnsi="Times New Roman"/>
                <w:sz w:val="20"/>
                <w:lang w:val="sr-Cyrl-CS"/>
              </w:rPr>
              <w:t>е</w:t>
            </w:r>
            <w:r w:rsidR="00BF51A2" w:rsidRPr="005303F7">
              <w:rPr>
                <w:rFonts w:ascii="Times New Roman" w:hAnsi="Times New Roman"/>
                <w:sz w:val="20"/>
                <w:lang w:val="sr-Cyrl-CS"/>
              </w:rPr>
              <w:t xml:space="preserve"> </w:t>
            </w:r>
            <w:r w:rsidRPr="005303F7">
              <w:rPr>
                <w:rFonts w:ascii="Times New Roman" w:hAnsi="Times New Roman"/>
                <w:sz w:val="20"/>
                <w:lang w:val="sr-Cyrl-CS"/>
              </w:rPr>
              <w:t>српски</w:t>
            </w:r>
            <w:r w:rsidR="00BF51A2" w:rsidRPr="005303F7">
              <w:rPr>
                <w:rFonts w:ascii="Times New Roman" w:hAnsi="Times New Roman"/>
                <w:sz w:val="20"/>
                <w:lang w:val="sr-Cyrl-CS"/>
              </w:rPr>
              <w:t xml:space="preserve"> </w:t>
            </w:r>
            <w:r w:rsidRPr="005303F7">
              <w:rPr>
                <w:rFonts w:ascii="Times New Roman" w:hAnsi="Times New Roman"/>
                <w:sz w:val="20"/>
                <w:lang w:val="sr-Cyrl-CS"/>
              </w:rPr>
              <w:t>БДП</w:t>
            </w:r>
            <w:r w:rsidR="00BF51A2" w:rsidRPr="005303F7">
              <w:rPr>
                <w:rFonts w:ascii="Times New Roman" w:hAnsi="Times New Roman"/>
                <w:sz w:val="20"/>
                <w:lang w:val="sr-Cyrl-CS"/>
              </w:rPr>
              <w:t xml:space="preserve"> </w:t>
            </w:r>
            <w:r w:rsidRPr="005303F7">
              <w:rPr>
                <w:rFonts w:ascii="Times New Roman" w:hAnsi="Times New Roman"/>
                <w:sz w:val="20"/>
                <w:lang w:val="sr-Cyrl-CS"/>
              </w:rPr>
              <w:t>наставити</w:t>
            </w:r>
            <w:r w:rsidR="00C2780C" w:rsidRPr="005303F7">
              <w:rPr>
                <w:rFonts w:ascii="Times New Roman" w:hAnsi="Times New Roman"/>
                <w:sz w:val="20"/>
                <w:lang w:val="sr-Cyrl-CS"/>
              </w:rPr>
              <w:t xml:space="preserve"> </w:t>
            </w:r>
            <w:r w:rsidRPr="005303F7">
              <w:rPr>
                <w:rFonts w:ascii="Times New Roman" w:hAnsi="Times New Roman"/>
                <w:sz w:val="20"/>
                <w:lang w:val="sr-Cyrl-CS"/>
              </w:rPr>
              <w:t>да</w:t>
            </w:r>
            <w:r w:rsidR="00C2780C" w:rsidRPr="005303F7">
              <w:rPr>
                <w:rFonts w:ascii="Times New Roman" w:hAnsi="Times New Roman"/>
                <w:sz w:val="20"/>
                <w:lang w:val="sr-Cyrl-CS"/>
              </w:rPr>
              <w:t xml:space="preserve"> </w:t>
            </w:r>
            <w:r w:rsidRPr="005303F7">
              <w:rPr>
                <w:rFonts w:ascii="Times New Roman" w:hAnsi="Times New Roman"/>
                <w:sz w:val="20"/>
                <w:lang w:val="sr-Cyrl-CS"/>
              </w:rPr>
              <w:t>расте</w:t>
            </w:r>
            <w:r w:rsidR="00C2780C" w:rsidRPr="005303F7">
              <w:rPr>
                <w:rFonts w:ascii="Times New Roman" w:hAnsi="Times New Roman"/>
                <w:sz w:val="20"/>
                <w:lang w:val="sr-Cyrl-CS"/>
              </w:rPr>
              <w:t xml:space="preserve">, </w:t>
            </w:r>
            <w:r w:rsidRPr="005303F7">
              <w:rPr>
                <w:rFonts w:ascii="Times New Roman" w:hAnsi="Times New Roman"/>
                <w:sz w:val="20"/>
                <w:lang w:val="sr-Cyrl-CS"/>
              </w:rPr>
              <w:t>теретни</w:t>
            </w:r>
            <w:r w:rsidR="00C2780C" w:rsidRPr="005303F7">
              <w:rPr>
                <w:rFonts w:ascii="Times New Roman" w:hAnsi="Times New Roman"/>
                <w:sz w:val="20"/>
                <w:lang w:val="sr-Cyrl-CS"/>
              </w:rPr>
              <w:t xml:space="preserve"> </w:t>
            </w:r>
            <w:r w:rsidRPr="005303F7">
              <w:rPr>
                <w:rFonts w:ascii="Times New Roman" w:hAnsi="Times New Roman"/>
                <w:sz w:val="20"/>
                <w:lang w:val="sr-Cyrl-CS"/>
              </w:rPr>
              <w:t>саобраћај</w:t>
            </w:r>
            <w:r w:rsidR="00C2780C" w:rsidRPr="005303F7">
              <w:rPr>
                <w:rFonts w:ascii="Times New Roman" w:hAnsi="Times New Roman"/>
                <w:sz w:val="20"/>
                <w:lang w:val="sr-Cyrl-CS"/>
              </w:rPr>
              <w:t xml:space="preserve"> </w:t>
            </w:r>
            <w:r w:rsidRPr="005303F7">
              <w:rPr>
                <w:rFonts w:ascii="Times New Roman" w:hAnsi="Times New Roman"/>
                <w:sz w:val="20"/>
                <w:lang w:val="sr-Cyrl-CS"/>
              </w:rPr>
              <w:t>такође</w:t>
            </w:r>
            <w:r w:rsidR="00C2780C" w:rsidRPr="005303F7">
              <w:rPr>
                <w:rFonts w:ascii="Times New Roman" w:hAnsi="Times New Roman"/>
                <w:sz w:val="20"/>
                <w:lang w:val="sr-Cyrl-CS"/>
              </w:rPr>
              <w:t xml:space="preserve">, </w:t>
            </w:r>
            <w:r w:rsidRPr="005303F7">
              <w:rPr>
                <w:rFonts w:ascii="Times New Roman" w:hAnsi="Times New Roman"/>
                <w:sz w:val="20"/>
                <w:lang w:val="sr-Cyrl-CS"/>
              </w:rPr>
              <w:t>важно</w:t>
            </w:r>
            <w:r w:rsidR="00C2780C" w:rsidRPr="005303F7">
              <w:rPr>
                <w:rFonts w:ascii="Times New Roman" w:hAnsi="Times New Roman"/>
                <w:sz w:val="20"/>
                <w:lang w:val="sr-Cyrl-CS"/>
              </w:rPr>
              <w:t xml:space="preserve"> </w:t>
            </w:r>
            <w:r w:rsidRPr="005303F7">
              <w:rPr>
                <w:rFonts w:ascii="Times New Roman" w:hAnsi="Times New Roman"/>
                <w:sz w:val="20"/>
                <w:lang w:val="sr-Cyrl-CS"/>
              </w:rPr>
              <w:t>је</w:t>
            </w:r>
            <w:r w:rsidR="00C2780C" w:rsidRPr="005303F7">
              <w:rPr>
                <w:rFonts w:ascii="Times New Roman" w:hAnsi="Times New Roman"/>
                <w:sz w:val="20"/>
                <w:lang w:val="sr-Cyrl-CS"/>
              </w:rPr>
              <w:t xml:space="preserve"> </w:t>
            </w:r>
            <w:r w:rsidRPr="005303F7">
              <w:rPr>
                <w:rFonts w:ascii="Times New Roman" w:hAnsi="Times New Roman"/>
                <w:sz w:val="20"/>
                <w:lang w:val="sr-Cyrl-CS"/>
              </w:rPr>
              <w:t>наћи</w:t>
            </w:r>
            <w:r w:rsidR="00C2780C" w:rsidRPr="005303F7">
              <w:rPr>
                <w:rFonts w:ascii="Times New Roman" w:hAnsi="Times New Roman"/>
                <w:sz w:val="20"/>
                <w:lang w:val="sr-Cyrl-CS"/>
              </w:rPr>
              <w:t xml:space="preserve"> </w:t>
            </w:r>
            <w:r w:rsidRPr="005303F7">
              <w:rPr>
                <w:rFonts w:ascii="Times New Roman" w:hAnsi="Times New Roman"/>
                <w:sz w:val="20"/>
                <w:lang w:val="sr-Cyrl-CS"/>
              </w:rPr>
              <w:t>модалитете</w:t>
            </w:r>
            <w:r w:rsidR="00C2780C" w:rsidRPr="005303F7">
              <w:rPr>
                <w:rFonts w:ascii="Times New Roman" w:hAnsi="Times New Roman"/>
                <w:sz w:val="20"/>
                <w:lang w:val="sr-Cyrl-CS"/>
              </w:rPr>
              <w:t xml:space="preserve"> </w:t>
            </w:r>
            <w:r w:rsidRPr="005303F7">
              <w:rPr>
                <w:rFonts w:ascii="Times New Roman" w:hAnsi="Times New Roman"/>
                <w:sz w:val="20"/>
                <w:lang w:val="sr-Cyrl-CS"/>
              </w:rPr>
              <w:t>како</w:t>
            </w:r>
            <w:r w:rsidR="00C2780C" w:rsidRPr="005303F7">
              <w:rPr>
                <w:rFonts w:ascii="Times New Roman" w:hAnsi="Times New Roman"/>
                <w:sz w:val="20"/>
                <w:lang w:val="sr-Cyrl-CS"/>
              </w:rPr>
              <w:t xml:space="preserve"> </w:t>
            </w:r>
            <w:r w:rsidRPr="005303F7">
              <w:rPr>
                <w:rFonts w:ascii="Times New Roman" w:hAnsi="Times New Roman"/>
                <w:sz w:val="20"/>
                <w:lang w:val="sr-Cyrl-CS"/>
              </w:rPr>
              <w:t>би</w:t>
            </w:r>
            <w:r w:rsidR="00C2780C" w:rsidRPr="005303F7">
              <w:rPr>
                <w:rFonts w:ascii="Times New Roman" w:hAnsi="Times New Roman"/>
                <w:sz w:val="20"/>
                <w:lang w:val="sr-Cyrl-CS"/>
              </w:rPr>
              <w:t xml:space="preserve"> </w:t>
            </w:r>
            <w:r w:rsidRPr="005303F7">
              <w:rPr>
                <w:rFonts w:ascii="Times New Roman" w:hAnsi="Times New Roman"/>
                <w:sz w:val="20"/>
                <w:lang w:val="sr-Cyrl-CS"/>
              </w:rPr>
              <w:t>се</w:t>
            </w:r>
            <w:r w:rsidR="00BD116A" w:rsidRPr="005303F7">
              <w:rPr>
                <w:rFonts w:ascii="Times New Roman" w:hAnsi="Times New Roman"/>
                <w:sz w:val="20"/>
                <w:lang w:val="sr-Cyrl-CS"/>
              </w:rPr>
              <w:t xml:space="preserve"> </w:t>
            </w:r>
            <w:r w:rsidRPr="005303F7">
              <w:rPr>
                <w:rFonts w:ascii="Times New Roman" w:hAnsi="Times New Roman"/>
                <w:sz w:val="20"/>
                <w:lang w:val="sr-Cyrl-CS"/>
              </w:rPr>
              <w:t>ограничиле</w:t>
            </w:r>
            <w:r w:rsidR="00C2780C" w:rsidRPr="005303F7">
              <w:rPr>
                <w:rFonts w:ascii="Times New Roman" w:hAnsi="Times New Roman"/>
                <w:sz w:val="20"/>
                <w:lang w:val="sr-Cyrl-CS"/>
              </w:rPr>
              <w:t xml:space="preserve"> </w:t>
            </w:r>
            <w:r w:rsidRPr="005303F7">
              <w:rPr>
                <w:rFonts w:ascii="Times New Roman" w:hAnsi="Times New Roman"/>
                <w:sz w:val="20"/>
                <w:lang w:val="sr-Cyrl-CS"/>
              </w:rPr>
              <w:t>емисије</w:t>
            </w:r>
            <w:r w:rsidR="00C2780C" w:rsidRPr="005303F7">
              <w:rPr>
                <w:rFonts w:ascii="Times New Roman" w:hAnsi="Times New Roman"/>
                <w:sz w:val="20"/>
                <w:lang w:val="sr-Cyrl-CS"/>
              </w:rPr>
              <w:t xml:space="preserve"> </w:t>
            </w:r>
            <w:r w:rsidRPr="005303F7">
              <w:rPr>
                <w:rFonts w:ascii="Times New Roman" w:hAnsi="Times New Roman"/>
                <w:sz w:val="20"/>
                <w:lang w:val="sr-Cyrl-CS"/>
              </w:rPr>
              <w:t>из</w:t>
            </w:r>
            <w:r w:rsidR="00C2780C" w:rsidRPr="005303F7">
              <w:rPr>
                <w:rFonts w:ascii="Times New Roman" w:hAnsi="Times New Roman"/>
                <w:sz w:val="20"/>
                <w:lang w:val="sr-Cyrl-CS"/>
              </w:rPr>
              <w:t xml:space="preserve"> </w:t>
            </w:r>
            <w:r w:rsidRPr="005303F7">
              <w:rPr>
                <w:rFonts w:ascii="Times New Roman" w:hAnsi="Times New Roman"/>
                <w:sz w:val="20"/>
                <w:lang w:val="sr-Cyrl-CS"/>
              </w:rPr>
              <w:t>овог</w:t>
            </w:r>
            <w:r w:rsidR="00C2780C" w:rsidRPr="005303F7">
              <w:rPr>
                <w:rFonts w:ascii="Times New Roman" w:hAnsi="Times New Roman"/>
                <w:sz w:val="20"/>
                <w:lang w:val="sr-Cyrl-CS"/>
              </w:rPr>
              <w:t xml:space="preserve"> </w:t>
            </w:r>
            <w:r w:rsidRPr="005303F7">
              <w:rPr>
                <w:rFonts w:ascii="Times New Roman" w:hAnsi="Times New Roman"/>
                <w:sz w:val="20"/>
                <w:lang w:val="sr-Cyrl-CS"/>
              </w:rPr>
              <w:t>извора</w:t>
            </w:r>
            <w:r w:rsidR="00BD116A" w:rsidRPr="005303F7">
              <w:rPr>
                <w:rFonts w:ascii="Times New Roman" w:hAnsi="Times New Roman"/>
                <w:sz w:val="20"/>
                <w:lang w:val="sr-Cyrl-CS"/>
              </w:rPr>
              <w:t xml:space="preserve">, </w:t>
            </w:r>
            <w:r w:rsidRPr="005303F7">
              <w:rPr>
                <w:rFonts w:ascii="Times New Roman" w:hAnsi="Times New Roman"/>
                <w:sz w:val="20"/>
                <w:lang w:val="sr-Cyrl-CS"/>
              </w:rPr>
              <w:t>без</w:t>
            </w:r>
            <w:r w:rsidR="00C2780C" w:rsidRPr="005303F7">
              <w:rPr>
                <w:rFonts w:ascii="Times New Roman" w:hAnsi="Times New Roman"/>
                <w:sz w:val="20"/>
                <w:lang w:val="sr-Cyrl-CS"/>
              </w:rPr>
              <w:t xml:space="preserve"> </w:t>
            </w:r>
            <w:r w:rsidRPr="005303F7">
              <w:rPr>
                <w:rFonts w:ascii="Times New Roman" w:hAnsi="Times New Roman"/>
                <w:sz w:val="20"/>
                <w:lang w:val="sr-Cyrl-CS"/>
              </w:rPr>
              <w:t>нужног</w:t>
            </w:r>
            <w:r w:rsidR="00C2780C" w:rsidRPr="005303F7">
              <w:rPr>
                <w:rFonts w:ascii="Times New Roman" w:hAnsi="Times New Roman"/>
                <w:sz w:val="20"/>
                <w:lang w:val="sr-Cyrl-CS"/>
              </w:rPr>
              <w:t xml:space="preserve"> </w:t>
            </w:r>
            <w:r w:rsidRPr="005303F7">
              <w:rPr>
                <w:rFonts w:ascii="Times New Roman" w:hAnsi="Times New Roman"/>
                <w:sz w:val="20"/>
                <w:lang w:val="sr-Cyrl-CS"/>
              </w:rPr>
              <w:t>ограничавања</w:t>
            </w:r>
            <w:r w:rsidR="00C2780C" w:rsidRPr="005303F7">
              <w:rPr>
                <w:rFonts w:ascii="Times New Roman" w:hAnsi="Times New Roman"/>
                <w:sz w:val="20"/>
                <w:lang w:val="sr-Cyrl-CS"/>
              </w:rPr>
              <w:t xml:space="preserve"> </w:t>
            </w:r>
            <w:r w:rsidRPr="005303F7">
              <w:rPr>
                <w:rFonts w:ascii="Times New Roman" w:hAnsi="Times New Roman"/>
                <w:sz w:val="20"/>
                <w:lang w:val="sr-Cyrl-CS"/>
              </w:rPr>
              <w:t>раста</w:t>
            </w:r>
            <w:r w:rsidR="00C2780C" w:rsidRPr="005303F7">
              <w:rPr>
                <w:rFonts w:ascii="Times New Roman" w:hAnsi="Times New Roman"/>
                <w:sz w:val="20"/>
                <w:lang w:val="sr-Cyrl-CS"/>
              </w:rPr>
              <w:t xml:space="preserve"> </w:t>
            </w:r>
            <w:r w:rsidRPr="005303F7">
              <w:rPr>
                <w:rFonts w:ascii="Times New Roman" w:hAnsi="Times New Roman"/>
                <w:sz w:val="20"/>
                <w:lang w:val="sr-Cyrl-CS"/>
              </w:rPr>
              <w:t>теретног</w:t>
            </w:r>
            <w:r w:rsidR="00C2780C" w:rsidRPr="005303F7">
              <w:rPr>
                <w:rFonts w:ascii="Times New Roman" w:hAnsi="Times New Roman"/>
                <w:sz w:val="20"/>
                <w:lang w:val="sr-Cyrl-CS"/>
              </w:rPr>
              <w:t xml:space="preserve"> </w:t>
            </w:r>
            <w:r w:rsidRPr="005303F7">
              <w:rPr>
                <w:rFonts w:ascii="Times New Roman" w:hAnsi="Times New Roman"/>
                <w:sz w:val="20"/>
                <w:lang w:val="sr-Cyrl-CS"/>
              </w:rPr>
              <w:t>саобраћаја</w:t>
            </w:r>
            <w:r w:rsidR="00BD116A" w:rsidRPr="005303F7">
              <w:rPr>
                <w:rFonts w:ascii="Times New Roman" w:hAnsi="Times New Roman"/>
                <w:sz w:val="20"/>
                <w:lang w:val="sr-Cyrl-CS"/>
              </w:rPr>
              <w:t xml:space="preserve">. </w:t>
            </w:r>
            <w:r w:rsidR="00D73AAB" w:rsidRPr="005303F7">
              <w:rPr>
                <w:rFonts w:ascii="Times New Roman" w:hAnsi="Times New Roman"/>
                <w:sz w:val="20"/>
                <w:lang w:val="sr-Cyrl-CS"/>
              </w:rPr>
              <w:t>Република Србија</w:t>
            </w:r>
            <w:r w:rsidR="00C2780C" w:rsidRPr="005303F7">
              <w:rPr>
                <w:rFonts w:ascii="Times New Roman" w:hAnsi="Times New Roman"/>
                <w:sz w:val="20"/>
                <w:lang w:val="sr-Cyrl-CS"/>
              </w:rPr>
              <w:t xml:space="preserve"> </w:t>
            </w:r>
            <w:r w:rsidRPr="005303F7">
              <w:rPr>
                <w:rFonts w:ascii="Times New Roman" w:hAnsi="Times New Roman"/>
                <w:sz w:val="20"/>
                <w:lang w:val="sr-Cyrl-CS"/>
              </w:rPr>
              <w:t>се</w:t>
            </w:r>
            <w:r w:rsidR="00C2780C" w:rsidRPr="005303F7">
              <w:rPr>
                <w:rFonts w:ascii="Times New Roman" w:hAnsi="Times New Roman"/>
                <w:sz w:val="20"/>
                <w:lang w:val="sr-Cyrl-CS"/>
              </w:rPr>
              <w:t xml:space="preserve"> </w:t>
            </w:r>
            <w:r w:rsidRPr="005303F7">
              <w:rPr>
                <w:rFonts w:ascii="Times New Roman" w:hAnsi="Times New Roman"/>
                <w:sz w:val="20"/>
                <w:lang w:val="sr-Cyrl-CS"/>
              </w:rPr>
              <w:t>налази</w:t>
            </w:r>
            <w:r w:rsidR="00C2780C" w:rsidRPr="005303F7">
              <w:rPr>
                <w:rFonts w:ascii="Times New Roman" w:hAnsi="Times New Roman"/>
                <w:sz w:val="20"/>
                <w:lang w:val="sr-Cyrl-CS"/>
              </w:rPr>
              <w:t xml:space="preserve"> </w:t>
            </w:r>
            <w:r w:rsidRPr="005303F7">
              <w:rPr>
                <w:rFonts w:ascii="Times New Roman" w:hAnsi="Times New Roman"/>
                <w:sz w:val="20"/>
                <w:lang w:val="sr-Cyrl-CS"/>
              </w:rPr>
              <w:t>на</w:t>
            </w:r>
            <w:r w:rsidR="00C2780C" w:rsidRPr="005303F7">
              <w:rPr>
                <w:rFonts w:ascii="Times New Roman" w:hAnsi="Times New Roman"/>
                <w:sz w:val="20"/>
                <w:lang w:val="sr-Cyrl-CS"/>
              </w:rPr>
              <w:t xml:space="preserve"> </w:t>
            </w:r>
            <w:r w:rsidRPr="005303F7">
              <w:rPr>
                <w:rFonts w:ascii="Times New Roman" w:hAnsi="Times New Roman"/>
                <w:sz w:val="20"/>
                <w:lang w:val="sr-Cyrl-CS"/>
              </w:rPr>
              <w:t>коридорима</w:t>
            </w:r>
            <w:r w:rsidR="00C2780C" w:rsidRPr="005303F7">
              <w:rPr>
                <w:rFonts w:ascii="Times New Roman" w:hAnsi="Times New Roman"/>
                <w:sz w:val="20"/>
                <w:lang w:val="sr-Cyrl-CS"/>
              </w:rPr>
              <w:t xml:space="preserve"> X </w:t>
            </w:r>
            <w:r w:rsidRPr="005303F7">
              <w:rPr>
                <w:rFonts w:ascii="Times New Roman" w:hAnsi="Times New Roman"/>
                <w:sz w:val="20"/>
                <w:lang w:val="sr-Cyrl-CS"/>
              </w:rPr>
              <w:t>и</w:t>
            </w:r>
            <w:r w:rsidR="00BD116A" w:rsidRPr="005303F7">
              <w:rPr>
                <w:rFonts w:ascii="Times New Roman" w:hAnsi="Times New Roman"/>
                <w:sz w:val="20"/>
                <w:lang w:val="sr-Cyrl-CS"/>
              </w:rPr>
              <w:t xml:space="preserve"> X</w:t>
            </w:r>
            <w:r w:rsidR="005A0D30" w:rsidRPr="005303F7">
              <w:rPr>
                <w:rFonts w:ascii="Times New Roman" w:hAnsi="Times New Roman"/>
                <w:sz w:val="20"/>
                <w:lang w:val="sr-Cyrl-CS"/>
              </w:rPr>
              <w:t>I</w:t>
            </w:r>
            <w:r w:rsidR="00F56644" w:rsidRPr="005303F7">
              <w:rPr>
                <w:rFonts w:ascii="Times New Roman" w:hAnsi="Times New Roman"/>
                <w:sz w:val="20"/>
                <w:lang w:val="sr-Cyrl-CS"/>
              </w:rPr>
              <w:t xml:space="preserve"> </w:t>
            </w:r>
            <w:r w:rsidRPr="005303F7">
              <w:rPr>
                <w:rFonts w:ascii="Times New Roman" w:hAnsi="Times New Roman"/>
                <w:sz w:val="20"/>
                <w:lang w:val="sr-Cyrl-CS"/>
              </w:rPr>
              <w:t>са</w:t>
            </w:r>
            <w:r w:rsidR="00F56644" w:rsidRPr="005303F7">
              <w:rPr>
                <w:rFonts w:ascii="Times New Roman" w:hAnsi="Times New Roman"/>
                <w:sz w:val="20"/>
                <w:lang w:val="sr-Cyrl-CS"/>
              </w:rPr>
              <w:t xml:space="preserve"> </w:t>
            </w:r>
            <w:r w:rsidRPr="005303F7">
              <w:rPr>
                <w:rFonts w:ascii="Times New Roman" w:hAnsi="Times New Roman"/>
                <w:sz w:val="20"/>
                <w:lang w:val="sr-Cyrl-CS"/>
              </w:rPr>
              <w:t>великим</w:t>
            </w:r>
            <w:r w:rsidR="00F56644" w:rsidRPr="005303F7">
              <w:rPr>
                <w:rFonts w:ascii="Times New Roman" w:hAnsi="Times New Roman"/>
                <w:sz w:val="20"/>
                <w:lang w:val="sr-Cyrl-CS"/>
              </w:rPr>
              <w:t xml:space="preserve"> </w:t>
            </w:r>
            <w:r w:rsidRPr="005303F7">
              <w:rPr>
                <w:rFonts w:ascii="Times New Roman" w:hAnsi="Times New Roman"/>
                <w:sz w:val="20"/>
                <w:lang w:val="sr-Cyrl-CS"/>
              </w:rPr>
              <w:t>протоком</w:t>
            </w:r>
            <w:r w:rsidR="00F56644" w:rsidRPr="005303F7">
              <w:rPr>
                <w:rFonts w:ascii="Times New Roman" w:hAnsi="Times New Roman"/>
                <w:sz w:val="20"/>
                <w:lang w:val="sr-Cyrl-CS"/>
              </w:rPr>
              <w:t xml:space="preserve"> </w:t>
            </w:r>
            <w:r w:rsidRPr="005303F7">
              <w:rPr>
                <w:rFonts w:ascii="Times New Roman" w:hAnsi="Times New Roman"/>
                <w:sz w:val="20"/>
                <w:lang w:val="sr-Cyrl-CS"/>
              </w:rPr>
              <w:t>терета</w:t>
            </w:r>
            <w:r w:rsidR="00F56644" w:rsidRPr="005303F7">
              <w:rPr>
                <w:rFonts w:ascii="Times New Roman" w:hAnsi="Times New Roman"/>
                <w:sz w:val="20"/>
                <w:lang w:val="sr-Cyrl-CS"/>
              </w:rPr>
              <w:t xml:space="preserve"> </w:t>
            </w:r>
            <w:r w:rsidRPr="005303F7">
              <w:rPr>
                <w:rFonts w:ascii="Times New Roman" w:hAnsi="Times New Roman"/>
                <w:sz w:val="20"/>
                <w:lang w:val="sr-Cyrl-CS"/>
              </w:rPr>
              <w:t>из</w:t>
            </w:r>
            <w:r w:rsidR="00F56644" w:rsidRPr="005303F7">
              <w:rPr>
                <w:rFonts w:ascii="Times New Roman" w:hAnsi="Times New Roman"/>
                <w:sz w:val="20"/>
                <w:lang w:val="sr-Cyrl-CS"/>
              </w:rPr>
              <w:t xml:space="preserve"> </w:t>
            </w:r>
            <w:r w:rsidRPr="005303F7">
              <w:rPr>
                <w:rFonts w:ascii="Times New Roman" w:hAnsi="Times New Roman"/>
                <w:sz w:val="20"/>
                <w:lang w:val="sr-Cyrl-CS"/>
              </w:rPr>
              <w:t>иностранства</w:t>
            </w:r>
            <w:r w:rsidR="00F56644" w:rsidRPr="005303F7">
              <w:rPr>
                <w:rFonts w:ascii="Times New Roman" w:hAnsi="Times New Roman"/>
                <w:sz w:val="20"/>
                <w:lang w:val="sr-Cyrl-CS"/>
              </w:rPr>
              <w:t xml:space="preserve">, </w:t>
            </w:r>
            <w:r w:rsidRPr="005303F7">
              <w:rPr>
                <w:rFonts w:ascii="Times New Roman" w:hAnsi="Times New Roman"/>
                <w:sz w:val="20"/>
                <w:lang w:val="sr-Cyrl-CS"/>
              </w:rPr>
              <w:t>који</w:t>
            </w:r>
            <w:r w:rsidR="00F56644" w:rsidRPr="005303F7">
              <w:rPr>
                <w:rFonts w:ascii="Times New Roman" w:hAnsi="Times New Roman"/>
                <w:sz w:val="20"/>
                <w:lang w:val="sr-Cyrl-CS"/>
              </w:rPr>
              <w:t xml:space="preserve"> </w:t>
            </w:r>
            <w:r w:rsidR="00016298" w:rsidRPr="005303F7">
              <w:rPr>
                <w:rFonts w:ascii="Times New Roman" w:hAnsi="Times New Roman"/>
                <w:sz w:val="20"/>
                <w:lang w:val="sr-Cyrl-CS"/>
              </w:rPr>
              <w:t>ћ</w:t>
            </w:r>
            <w:r w:rsidRPr="005303F7">
              <w:rPr>
                <w:rFonts w:ascii="Times New Roman" w:hAnsi="Times New Roman"/>
                <w:sz w:val="20"/>
                <w:lang w:val="sr-Cyrl-CS"/>
              </w:rPr>
              <w:t>е</w:t>
            </w:r>
            <w:r w:rsidR="00F56644" w:rsidRPr="005303F7">
              <w:rPr>
                <w:rFonts w:ascii="Times New Roman" w:hAnsi="Times New Roman"/>
                <w:sz w:val="20"/>
                <w:lang w:val="sr-Cyrl-CS"/>
              </w:rPr>
              <w:t xml:space="preserve"> </w:t>
            </w:r>
            <w:r w:rsidRPr="005303F7">
              <w:rPr>
                <w:rFonts w:ascii="Times New Roman" w:hAnsi="Times New Roman"/>
                <w:sz w:val="20"/>
                <w:lang w:val="sr-Cyrl-CS"/>
              </w:rPr>
              <w:t>се</w:t>
            </w:r>
            <w:r w:rsidR="00F56644" w:rsidRPr="005303F7">
              <w:rPr>
                <w:rFonts w:ascii="Times New Roman" w:hAnsi="Times New Roman"/>
                <w:sz w:val="20"/>
                <w:lang w:val="sr-Cyrl-CS"/>
              </w:rPr>
              <w:t xml:space="preserve"> </w:t>
            </w:r>
            <w:r w:rsidRPr="005303F7">
              <w:rPr>
                <w:rFonts w:ascii="Times New Roman" w:hAnsi="Times New Roman"/>
                <w:sz w:val="20"/>
                <w:lang w:val="sr-Cyrl-CS"/>
              </w:rPr>
              <w:t>знатно</w:t>
            </w:r>
            <w:r w:rsidR="00F56644" w:rsidRPr="005303F7">
              <w:rPr>
                <w:rFonts w:ascii="Times New Roman" w:hAnsi="Times New Roman"/>
                <w:sz w:val="20"/>
                <w:lang w:val="sr-Cyrl-CS"/>
              </w:rPr>
              <w:t xml:space="preserve"> </w:t>
            </w:r>
            <w:r w:rsidRPr="005303F7">
              <w:rPr>
                <w:rFonts w:ascii="Times New Roman" w:hAnsi="Times New Roman"/>
                <w:sz w:val="20"/>
                <w:lang w:val="sr-Cyrl-CS"/>
              </w:rPr>
              <w:t>пове</w:t>
            </w:r>
            <w:r w:rsidR="00016298" w:rsidRPr="005303F7">
              <w:rPr>
                <w:rFonts w:ascii="Times New Roman" w:hAnsi="Times New Roman"/>
                <w:sz w:val="20"/>
                <w:lang w:val="sr-Cyrl-CS"/>
              </w:rPr>
              <w:t>ћ</w:t>
            </w:r>
            <w:r w:rsidRPr="005303F7">
              <w:rPr>
                <w:rFonts w:ascii="Times New Roman" w:hAnsi="Times New Roman"/>
                <w:sz w:val="20"/>
                <w:lang w:val="sr-Cyrl-CS"/>
              </w:rPr>
              <w:t>ати</w:t>
            </w:r>
            <w:r w:rsidR="00F56644" w:rsidRPr="005303F7">
              <w:rPr>
                <w:rFonts w:ascii="Times New Roman" w:hAnsi="Times New Roman"/>
                <w:sz w:val="20"/>
                <w:lang w:val="sr-Cyrl-CS"/>
              </w:rPr>
              <w:t xml:space="preserve"> </w:t>
            </w:r>
            <w:r w:rsidRPr="005303F7">
              <w:rPr>
                <w:rFonts w:ascii="Times New Roman" w:hAnsi="Times New Roman"/>
                <w:sz w:val="20"/>
                <w:lang w:val="sr-Cyrl-CS"/>
              </w:rPr>
              <w:t>када</w:t>
            </w:r>
            <w:r w:rsidR="00F56644" w:rsidRPr="005303F7">
              <w:rPr>
                <w:rFonts w:ascii="Times New Roman" w:hAnsi="Times New Roman"/>
                <w:sz w:val="20"/>
                <w:lang w:val="sr-Cyrl-CS"/>
              </w:rPr>
              <w:t xml:space="preserve"> </w:t>
            </w:r>
            <w:r w:rsidR="00D73AAB" w:rsidRPr="005303F7">
              <w:rPr>
                <w:rFonts w:ascii="Times New Roman" w:hAnsi="Times New Roman"/>
                <w:sz w:val="20"/>
                <w:lang w:val="sr-Cyrl-CS"/>
              </w:rPr>
              <w:t>Република Србија</w:t>
            </w:r>
            <w:r w:rsidR="00F56644" w:rsidRPr="005303F7">
              <w:rPr>
                <w:rFonts w:ascii="Times New Roman" w:hAnsi="Times New Roman"/>
                <w:sz w:val="20"/>
                <w:lang w:val="sr-Cyrl-CS"/>
              </w:rPr>
              <w:t xml:space="preserve"> </w:t>
            </w:r>
            <w:r w:rsidRPr="005303F7">
              <w:rPr>
                <w:rFonts w:ascii="Times New Roman" w:hAnsi="Times New Roman"/>
                <w:sz w:val="20"/>
                <w:lang w:val="sr-Cyrl-CS"/>
              </w:rPr>
              <w:t>уђе</w:t>
            </w:r>
            <w:r w:rsidR="00F56644" w:rsidRPr="005303F7">
              <w:rPr>
                <w:rFonts w:ascii="Times New Roman" w:hAnsi="Times New Roman"/>
                <w:sz w:val="20"/>
                <w:lang w:val="sr-Cyrl-CS"/>
              </w:rPr>
              <w:t xml:space="preserve"> </w:t>
            </w:r>
            <w:r w:rsidRPr="005303F7">
              <w:rPr>
                <w:rFonts w:ascii="Times New Roman" w:hAnsi="Times New Roman"/>
                <w:sz w:val="20"/>
                <w:lang w:val="sr-Cyrl-CS"/>
              </w:rPr>
              <w:t>у</w:t>
            </w:r>
            <w:r w:rsidR="00F56644" w:rsidRPr="005303F7">
              <w:rPr>
                <w:rFonts w:ascii="Times New Roman" w:hAnsi="Times New Roman"/>
                <w:sz w:val="20"/>
                <w:lang w:val="sr-Cyrl-CS"/>
              </w:rPr>
              <w:t xml:space="preserve"> </w:t>
            </w:r>
            <w:r w:rsidRPr="005303F7">
              <w:rPr>
                <w:rFonts w:ascii="Times New Roman" w:hAnsi="Times New Roman"/>
                <w:sz w:val="20"/>
                <w:lang w:val="sr-Cyrl-CS"/>
              </w:rPr>
              <w:t>ЕУ</w:t>
            </w:r>
            <w:r w:rsidR="00F56644" w:rsidRPr="005303F7">
              <w:rPr>
                <w:rFonts w:ascii="Times New Roman" w:hAnsi="Times New Roman"/>
                <w:sz w:val="20"/>
                <w:lang w:val="sr-Cyrl-CS"/>
              </w:rPr>
              <w:t xml:space="preserve">, </w:t>
            </w:r>
            <w:r w:rsidRPr="005303F7">
              <w:rPr>
                <w:rFonts w:ascii="Times New Roman" w:hAnsi="Times New Roman"/>
                <w:sz w:val="20"/>
                <w:lang w:val="sr-Cyrl-CS"/>
              </w:rPr>
              <w:t>што</w:t>
            </w:r>
            <w:r w:rsidR="00F56644" w:rsidRPr="005303F7">
              <w:rPr>
                <w:rFonts w:ascii="Times New Roman" w:hAnsi="Times New Roman"/>
                <w:sz w:val="20"/>
                <w:lang w:val="sr-Cyrl-CS"/>
              </w:rPr>
              <w:t xml:space="preserve"> </w:t>
            </w:r>
            <w:r w:rsidRPr="005303F7">
              <w:rPr>
                <w:rFonts w:ascii="Times New Roman" w:hAnsi="Times New Roman"/>
                <w:sz w:val="20"/>
                <w:lang w:val="sr-Cyrl-CS"/>
              </w:rPr>
              <w:t>су</w:t>
            </w:r>
            <w:r w:rsidR="00F56644" w:rsidRPr="005303F7">
              <w:rPr>
                <w:rFonts w:ascii="Times New Roman" w:hAnsi="Times New Roman"/>
                <w:sz w:val="20"/>
                <w:lang w:val="sr-Cyrl-CS"/>
              </w:rPr>
              <w:t xml:space="preserve"> </w:t>
            </w:r>
            <w:r w:rsidRPr="005303F7">
              <w:rPr>
                <w:rFonts w:ascii="Times New Roman" w:hAnsi="Times New Roman"/>
                <w:sz w:val="20"/>
                <w:lang w:val="sr-Cyrl-CS"/>
              </w:rPr>
              <w:t>искусиле</w:t>
            </w:r>
            <w:r w:rsidR="00F56644" w:rsidRPr="005303F7">
              <w:rPr>
                <w:rFonts w:ascii="Times New Roman" w:hAnsi="Times New Roman"/>
                <w:sz w:val="20"/>
                <w:lang w:val="sr-Cyrl-CS"/>
              </w:rPr>
              <w:t xml:space="preserve"> </w:t>
            </w:r>
            <w:r w:rsidRPr="005303F7">
              <w:rPr>
                <w:rFonts w:ascii="Times New Roman" w:hAnsi="Times New Roman"/>
                <w:sz w:val="20"/>
                <w:lang w:val="sr-Cyrl-CS"/>
              </w:rPr>
              <w:t>и</w:t>
            </w:r>
            <w:r w:rsidR="00F56644" w:rsidRPr="005303F7">
              <w:rPr>
                <w:rFonts w:ascii="Times New Roman" w:hAnsi="Times New Roman"/>
                <w:sz w:val="20"/>
                <w:lang w:val="sr-Cyrl-CS"/>
              </w:rPr>
              <w:t xml:space="preserve"> </w:t>
            </w:r>
            <w:r w:rsidRPr="005303F7">
              <w:rPr>
                <w:rFonts w:ascii="Times New Roman" w:hAnsi="Times New Roman"/>
                <w:sz w:val="20"/>
                <w:lang w:val="sr-Cyrl-CS"/>
              </w:rPr>
              <w:t>друге</w:t>
            </w:r>
            <w:r w:rsidR="00F56644" w:rsidRPr="005303F7">
              <w:rPr>
                <w:rFonts w:ascii="Times New Roman" w:hAnsi="Times New Roman"/>
                <w:sz w:val="20"/>
                <w:lang w:val="sr-Cyrl-CS"/>
              </w:rPr>
              <w:t xml:space="preserve"> </w:t>
            </w:r>
            <w:r w:rsidRPr="005303F7">
              <w:rPr>
                <w:rFonts w:ascii="Times New Roman" w:hAnsi="Times New Roman"/>
                <w:sz w:val="20"/>
                <w:lang w:val="sr-Cyrl-CS"/>
              </w:rPr>
              <w:t>зем</w:t>
            </w:r>
            <w:r w:rsidR="00D553BE" w:rsidRPr="005303F7">
              <w:rPr>
                <w:rFonts w:ascii="Times New Roman" w:hAnsi="Times New Roman"/>
                <w:sz w:val="20"/>
                <w:lang w:val="sr-Cyrl-CS"/>
              </w:rPr>
              <w:t>љ</w:t>
            </w:r>
            <w:r w:rsidRPr="005303F7">
              <w:rPr>
                <w:rFonts w:ascii="Times New Roman" w:hAnsi="Times New Roman"/>
                <w:sz w:val="20"/>
                <w:lang w:val="sr-Cyrl-CS"/>
              </w:rPr>
              <w:t>е</w:t>
            </w:r>
            <w:r w:rsidR="00F56644" w:rsidRPr="005303F7">
              <w:rPr>
                <w:rFonts w:ascii="Times New Roman" w:hAnsi="Times New Roman"/>
                <w:sz w:val="20"/>
                <w:lang w:val="sr-Cyrl-CS"/>
              </w:rPr>
              <w:t xml:space="preserve"> </w:t>
            </w:r>
            <w:r w:rsidR="00BB0AA2" w:rsidRPr="005303F7">
              <w:rPr>
                <w:rFonts w:ascii="Times New Roman" w:hAnsi="Times New Roman"/>
                <w:sz w:val="20"/>
                <w:lang w:val="sr-Cyrl-CS"/>
              </w:rPr>
              <w:t>после</w:t>
            </w:r>
            <w:r w:rsidR="002868E7" w:rsidRPr="005303F7">
              <w:rPr>
                <w:rFonts w:ascii="Times New Roman" w:hAnsi="Times New Roman"/>
                <w:sz w:val="20"/>
                <w:lang w:val="sr-Cyrl-CS"/>
              </w:rPr>
              <w:t xml:space="preserve"> </w:t>
            </w:r>
            <w:r w:rsidRPr="005303F7">
              <w:rPr>
                <w:rFonts w:ascii="Times New Roman" w:hAnsi="Times New Roman"/>
                <w:sz w:val="20"/>
                <w:lang w:val="sr-Cyrl-CS"/>
              </w:rPr>
              <w:t>придружења</w:t>
            </w:r>
            <w:r w:rsidR="00F56644" w:rsidRPr="005303F7">
              <w:rPr>
                <w:rFonts w:ascii="Times New Roman" w:hAnsi="Times New Roman"/>
                <w:sz w:val="20"/>
                <w:lang w:val="sr-Cyrl-CS"/>
              </w:rPr>
              <w:t xml:space="preserve">, </w:t>
            </w:r>
            <w:r w:rsidRPr="005303F7">
              <w:rPr>
                <w:rFonts w:ascii="Times New Roman" w:hAnsi="Times New Roman"/>
                <w:sz w:val="20"/>
                <w:lang w:val="sr-Cyrl-CS"/>
              </w:rPr>
              <w:t>због</w:t>
            </w:r>
            <w:r w:rsidR="00F56644" w:rsidRPr="005303F7">
              <w:rPr>
                <w:rFonts w:ascii="Times New Roman" w:hAnsi="Times New Roman"/>
                <w:sz w:val="20"/>
                <w:lang w:val="sr-Cyrl-CS"/>
              </w:rPr>
              <w:t xml:space="preserve"> </w:t>
            </w:r>
            <w:r w:rsidRPr="005303F7">
              <w:rPr>
                <w:rFonts w:ascii="Times New Roman" w:hAnsi="Times New Roman"/>
                <w:sz w:val="20"/>
                <w:lang w:val="sr-Cyrl-CS"/>
              </w:rPr>
              <w:t>слободне</w:t>
            </w:r>
            <w:r w:rsidR="00F56644" w:rsidRPr="005303F7">
              <w:rPr>
                <w:rFonts w:ascii="Times New Roman" w:hAnsi="Times New Roman"/>
                <w:sz w:val="20"/>
                <w:lang w:val="sr-Cyrl-CS"/>
              </w:rPr>
              <w:t xml:space="preserve"> </w:t>
            </w:r>
            <w:r w:rsidRPr="005303F7">
              <w:rPr>
                <w:rFonts w:ascii="Times New Roman" w:hAnsi="Times New Roman"/>
                <w:sz w:val="20"/>
                <w:lang w:val="sr-Cyrl-CS"/>
              </w:rPr>
              <w:t>трговине</w:t>
            </w:r>
            <w:r w:rsidR="00F56644" w:rsidRPr="005303F7">
              <w:rPr>
                <w:rFonts w:ascii="Times New Roman" w:hAnsi="Times New Roman"/>
                <w:sz w:val="20"/>
                <w:lang w:val="sr-Cyrl-CS"/>
              </w:rPr>
              <w:t xml:space="preserve"> </w:t>
            </w:r>
            <w:r w:rsidRPr="005303F7">
              <w:rPr>
                <w:rFonts w:ascii="Times New Roman" w:hAnsi="Times New Roman"/>
                <w:sz w:val="20"/>
                <w:lang w:val="sr-Cyrl-CS"/>
              </w:rPr>
              <w:t>и</w:t>
            </w:r>
            <w:r w:rsidR="00F56644" w:rsidRPr="005303F7">
              <w:rPr>
                <w:rFonts w:ascii="Times New Roman" w:hAnsi="Times New Roman"/>
                <w:sz w:val="20"/>
                <w:lang w:val="sr-Cyrl-CS"/>
              </w:rPr>
              <w:t xml:space="preserve"> </w:t>
            </w:r>
            <w:r w:rsidRPr="005303F7">
              <w:rPr>
                <w:rFonts w:ascii="Times New Roman" w:hAnsi="Times New Roman"/>
                <w:sz w:val="20"/>
                <w:lang w:val="sr-Cyrl-CS"/>
              </w:rPr>
              <w:t>кретања</w:t>
            </w:r>
            <w:r w:rsidR="00F56644" w:rsidRPr="005303F7">
              <w:rPr>
                <w:rFonts w:ascii="Times New Roman" w:hAnsi="Times New Roman"/>
                <w:sz w:val="20"/>
                <w:lang w:val="sr-Cyrl-CS"/>
              </w:rPr>
              <w:t xml:space="preserve"> </w:t>
            </w:r>
            <w:r w:rsidRPr="005303F7">
              <w:rPr>
                <w:rFonts w:ascii="Times New Roman" w:hAnsi="Times New Roman"/>
                <w:sz w:val="20"/>
                <w:lang w:val="sr-Cyrl-CS"/>
              </w:rPr>
              <w:t>робе</w:t>
            </w:r>
            <w:r w:rsidR="00F56644" w:rsidRPr="005303F7">
              <w:rPr>
                <w:rFonts w:ascii="Times New Roman" w:hAnsi="Times New Roman"/>
                <w:sz w:val="20"/>
                <w:lang w:val="sr-Cyrl-CS"/>
              </w:rPr>
              <w:t>.</w:t>
            </w:r>
            <w:r w:rsidR="00BD116A" w:rsidRPr="005303F7">
              <w:rPr>
                <w:rFonts w:ascii="Times New Roman" w:hAnsi="Times New Roman"/>
                <w:sz w:val="20"/>
                <w:lang w:val="sr-Cyrl-CS"/>
              </w:rPr>
              <w:t xml:space="preserve"> </w:t>
            </w:r>
          </w:p>
          <w:p w14:paraId="2170913D" w14:textId="70D00234" w:rsidR="00F56644" w:rsidRPr="005303F7" w:rsidRDefault="00CC6964" w:rsidP="00F56644">
            <w:pPr>
              <w:overflowPunct/>
              <w:spacing w:after="0"/>
              <w:rPr>
                <w:rFonts w:ascii="Times New Roman" w:hAnsi="Times New Roman"/>
                <w:sz w:val="20"/>
                <w:lang w:val="sr-Cyrl-CS"/>
              </w:rPr>
            </w:pPr>
            <w:r w:rsidRPr="005303F7">
              <w:rPr>
                <w:rFonts w:ascii="Times New Roman" w:hAnsi="Times New Roman"/>
                <w:sz w:val="20"/>
                <w:lang w:val="sr-Cyrl-CS"/>
              </w:rPr>
              <w:t xml:space="preserve">        </w:t>
            </w:r>
            <w:r w:rsidR="008D69AF" w:rsidRPr="005303F7">
              <w:rPr>
                <w:rFonts w:ascii="Times New Roman" w:hAnsi="Times New Roman"/>
                <w:sz w:val="20"/>
                <w:lang w:val="sr-Cyrl-CS"/>
              </w:rPr>
              <w:t>Због</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тога</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је</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за</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подршку</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промоцији</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одрживог</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теретног</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транспорта</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важно</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провести</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модулацију</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годишњих</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накнада</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за</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инфраструктуру</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тешких</w:t>
            </w:r>
            <w:r w:rsidR="00746EC4" w:rsidRPr="005303F7">
              <w:rPr>
                <w:rFonts w:ascii="Times New Roman" w:hAnsi="Times New Roman"/>
                <w:sz w:val="20"/>
                <w:lang w:val="sr-Cyrl-CS"/>
              </w:rPr>
              <w:t xml:space="preserve"> </w:t>
            </w:r>
            <w:r w:rsidR="008D69AF" w:rsidRPr="005303F7">
              <w:rPr>
                <w:rFonts w:ascii="Times New Roman" w:hAnsi="Times New Roman"/>
                <w:sz w:val="20"/>
                <w:lang w:val="sr-Cyrl-CS"/>
              </w:rPr>
              <w:t>моторних</w:t>
            </w:r>
            <w:r w:rsidR="00746EC4" w:rsidRPr="005303F7">
              <w:rPr>
                <w:rFonts w:ascii="Times New Roman" w:hAnsi="Times New Roman"/>
                <w:sz w:val="20"/>
                <w:lang w:val="sr-Cyrl-CS"/>
              </w:rPr>
              <w:t xml:space="preserve"> </w:t>
            </w:r>
            <w:r w:rsidR="008D69AF" w:rsidRPr="005303F7">
              <w:rPr>
                <w:rFonts w:ascii="Times New Roman" w:hAnsi="Times New Roman"/>
                <w:sz w:val="20"/>
                <w:lang w:val="sr-Cyrl-CS"/>
              </w:rPr>
              <w:t>возила</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према</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стандардима</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перформанси</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емисије</w:t>
            </w:r>
            <w:r w:rsidR="00F56644" w:rsidRPr="005303F7">
              <w:rPr>
                <w:rFonts w:ascii="Times New Roman" w:hAnsi="Times New Roman"/>
                <w:sz w:val="20"/>
                <w:lang w:val="sr-Cyrl-CS"/>
              </w:rPr>
              <w:t xml:space="preserve"> </w:t>
            </w:r>
            <w:r w:rsidR="005A0D30" w:rsidRPr="005303F7">
              <w:rPr>
                <w:rFonts w:ascii="Times New Roman" w:hAnsi="Times New Roman"/>
                <w:sz w:val="20"/>
                <w:lang w:val="sr-Cyrl-CS"/>
              </w:rPr>
              <w:t>C</w:t>
            </w:r>
            <w:r w:rsidR="008D69AF" w:rsidRPr="005303F7">
              <w:rPr>
                <w:rFonts w:ascii="Times New Roman" w:hAnsi="Times New Roman"/>
                <w:bCs/>
                <w:sz w:val="20"/>
                <w:lang w:val="sr-Cyrl-CS"/>
              </w:rPr>
              <w:t>О</w:t>
            </w:r>
            <w:r w:rsidR="003D26E9" w:rsidRPr="005303F7">
              <w:rPr>
                <w:rFonts w:ascii="Times New Roman" w:hAnsi="Times New Roman"/>
                <w:bCs/>
                <w:sz w:val="20"/>
                <w:vertAlign w:val="subscript"/>
                <w:lang w:val="sr-Cyrl-CS"/>
              </w:rPr>
              <w:t>2</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и</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имплементирати</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наплату</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путних</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теретних</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возила</w:t>
            </w:r>
            <w:r w:rsidR="00746EC4" w:rsidRPr="005303F7">
              <w:rPr>
                <w:rFonts w:ascii="Times New Roman" w:hAnsi="Times New Roman"/>
                <w:sz w:val="20"/>
                <w:lang w:val="sr-Cyrl-CS"/>
              </w:rPr>
              <w:t xml:space="preserve"> </w:t>
            </w:r>
            <w:r w:rsidR="008D69AF" w:rsidRPr="005303F7">
              <w:rPr>
                <w:rFonts w:ascii="Times New Roman" w:hAnsi="Times New Roman"/>
                <w:sz w:val="20"/>
                <w:lang w:val="sr-Cyrl-CS"/>
              </w:rPr>
              <w:t>за</w:t>
            </w:r>
            <w:r w:rsidR="00746EC4" w:rsidRPr="005303F7">
              <w:rPr>
                <w:rFonts w:ascii="Times New Roman" w:hAnsi="Times New Roman"/>
                <w:sz w:val="20"/>
                <w:lang w:val="sr-Cyrl-CS"/>
              </w:rPr>
              <w:t xml:space="preserve"> </w:t>
            </w:r>
            <w:r w:rsidR="008D69AF" w:rsidRPr="005303F7">
              <w:rPr>
                <w:rFonts w:ascii="Times New Roman" w:hAnsi="Times New Roman"/>
                <w:sz w:val="20"/>
                <w:lang w:val="sr-Cyrl-CS"/>
              </w:rPr>
              <w:t>кориш</w:t>
            </w:r>
            <w:r w:rsidR="001465C7" w:rsidRPr="005303F7">
              <w:rPr>
                <w:rFonts w:ascii="Times New Roman" w:hAnsi="Times New Roman"/>
                <w:sz w:val="20"/>
                <w:lang w:val="sr-Cyrl-CS"/>
              </w:rPr>
              <w:t>ћ</w:t>
            </w:r>
            <w:r w:rsidR="008D69AF" w:rsidRPr="005303F7">
              <w:rPr>
                <w:rFonts w:ascii="Times New Roman" w:hAnsi="Times New Roman"/>
                <w:sz w:val="20"/>
                <w:lang w:val="sr-Cyrl-CS"/>
              </w:rPr>
              <w:t>ење</w:t>
            </w:r>
            <w:r w:rsidR="00746EC4" w:rsidRPr="005303F7">
              <w:rPr>
                <w:rFonts w:ascii="Times New Roman" w:hAnsi="Times New Roman"/>
                <w:sz w:val="20"/>
                <w:lang w:val="sr-Cyrl-CS"/>
              </w:rPr>
              <w:t xml:space="preserve"> </w:t>
            </w:r>
            <w:r w:rsidR="008D69AF" w:rsidRPr="005303F7">
              <w:rPr>
                <w:rFonts w:ascii="Times New Roman" w:hAnsi="Times New Roman"/>
                <w:sz w:val="20"/>
                <w:lang w:val="sr-Cyrl-CS"/>
              </w:rPr>
              <w:t>инфраструктуре</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на</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основу</w:t>
            </w:r>
            <w:r w:rsidR="00F56644" w:rsidRPr="005303F7">
              <w:rPr>
                <w:rFonts w:ascii="Times New Roman" w:hAnsi="Times New Roman"/>
                <w:sz w:val="20"/>
                <w:lang w:val="sr-Cyrl-CS"/>
              </w:rPr>
              <w:t xml:space="preserve"> </w:t>
            </w:r>
            <w:r w:rsidR="001465C7" w:rsidRPr="005303F7">
              <w:rPr>
                <w:rFonts w:ascii="Times New Roman" w:hAnsi="Times New Roman"/>
                <w:sz w:val="20"/>
                <w:lang w:val="sr-Cyrl-CS"/>
              </w:rPr>
              <w:t>евро</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стандарда</w:t>
            </w:r>
            <w:r w:rsidR="00F56644" w:rsidRPr="005303F7">
              <w:rPr>
                <w:rFonts w:ascii="Times New Roman" w:hAnsi="Times New Roman"/>
                <w:sz w:val="20"/>
                <w:lang w:val="sr-Cyrl-CS"/>
              </w:rPr>
              <w:t>.</w:t>
            </w:r>
          </w:p>
          <w:p w14:paraId="3B78B25F" w14:textId="4FA59450" w:rsidR="00F56644" w:rsidRPr="005303F7" w:rsidRDefault="00CC6964" w:rsidP="00F56644">
            <w:pPr>
              <w:overflowPunct/>
              <w:jc w:val="left"/>
              <w:rPr>
                <w:rFonts w:ascii="Times New Roman" w:hAnsi="Times New Roman"/>
                <w:sz w:val="20"/>
                <w:lang w:val="sr-Cyrl-CS"/>
              </w:rPr>
            </w:pPr>
            <w:r w:rsidRPr="005303F7">
              <w:rPr>
                <w:rFonts w:ascii="Times New Roman" w:hAnsi="Times New Roman"/>
                <w:sz w:val="20"/>
                <w:lang w:val="sr-Cyrl-CS"/>
              </w:rPr>
              <w:t xml:space="preserve">        </w:t>
            </w:r>
            <w:r w:rsidR="008D69AF" w:rsidRPr="005303F7">
              <w:rPr>
                <w:rFonts w:ascii="Times New Roman" w:hAnsi="Times New Roman"/>
                <w:sz w:val="20"/>
                <w:lang w:val="sr-Cyrl-CS"/>
              </w:rPr>
              <w:t>Поред</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тога</w:t>
            </w:r>
            <w:r w:rsidR="00F56644" w:rsidRPr="005303F7">
              <w:rPr>
                <w:rFonts w:ascii="Times New Roman" w:hAnsi="Times New Roman"/>
                <w:sz w:val="20"/>
                <w:lang w:val="sr-Cyrl-CS"/>
              </w:rPr>
              <w:t xml:space="preserve">, </w:t>
            </w:r>
            <w:r w:rsidR="005B64FB" w:rsidRPr="005303F7">
              <w:rPr>
                <w:rFonts w:ascii="Times New Roman" w:hAnsi="Times New Roman"/>
                <w:sz w:val="20"/>
                <w:lang w:val="sr-Cyrl-CS"/>
              </w:rPr>
              <w:t>нова Национална стратегија развоја саобраћаја за период 2023-2030. година (у фази израде)</w:t>
            </w:r>
            <w:r w:rsidR="00C40980" w:rsidRPr="005303F7">
              <w:rPr>
                <w:rFonts w:ascii="Times New Roman" w:hAnsi="Times New Roman"/>
                <w:sz w:val="20"/>
                <w:lang w:val="sr-Cyrl-CS"/>
              </w:rPr>
              <w:t>,</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мор</w:t>
            </w:r>
            <w:r w:rsidR="005B64FB" w:rsidRPr="005303F7">
              <w:rPr>
                <w:rFonts w:ascii="Times New Roman" w:hAnsi="Times New Roman"/>
                <w:sz w:val="20"/>
                <w:lang w:val="sr-Cyrl-CS"/>
              </w:rPr>
              <w:t>а</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бити</w:t>
            </w:r>
            <w:r w:rsidR="00F56644" w:rsidRPr="005303F7">
              <w:rPr>
                <w:rFonts w:ascii="Times New Roman" w:hAnsi="Times New Roman"/>
                <w:sz w:val="20"/>
                <w:lang w:val="sr-Cyrl-CS"/>
              </w:rPr>
              <w:t xml:space="preserve"> </w:t>
            </w:r>
            <w:r w:rsidR="005B64FB" w:rsidRPr="005303F7">
              <w:rPr>
                <w:rFonts w:ascii="Times New Roman" w:hAnsi="Times New Roman"/>
                <w:sz w:val="20"/>
                <w:lang w:val="sr-Cyrl-CS"/>
              </w:rPr>
              <w:t>припремљена</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за</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процену</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различитих</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аспеката</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развоја</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саобра</w:t>
            </w:r>
            <w:r w:rsidR="00016298" w:rsidRPr="005303F7">
              <w:rPr>
                <w:rFonts w:ascii="Times New Roman" w:hAnsi="Times New Roman"/>
                <w:sz w:val="20"/>
                <w:lang w:val="sr-Cyrl-CS"/>
              </w:rPr>
              <w:t>ћ</w:t>
            </w:r>
            <w:r w:rsidR="008D69AF" w:rsidRPr="005303F7">
              <w:rPr>
                <w:rFonts w:ascii="Times New Roman" w:hAnsi="Times New Roman"/>
                <w:sz w:val="20"/>
                <w:lang w:val="sr-Cyrl-CS"/>
              </w:rPr>
              <w:t>аја</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и</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потреба</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и</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могу</w:t>
            </w:r>
            <w:r w:rsidR="00016298" w:rsidRPr="005303F7">
              <w:rPr>
                <w:rFonts w:ascii="Times New Roman" w:hAnsi="Times New Roman"/>
                <w:sz w:val="20"/>
                <w:lang w:val="sr-Cyrl-CS"/>
              </w:rPr>
              <w:t>ћ</w:t>
            </w:r>
            <w:r w:rsidR="008D69AF" w:rsidRPr="005303F7">
              <w:rPr>
                <w:rFonts w:ascii="Times New Roman" w:hAnsi="Times New Roman"/>
                <w:sz w:val="20"/>
                <w:lang w:val="sr-Cyrl-CS"/>
              </w:rPr>
              <w:t>ности</w:t>
            </w:r>
            <w:r w:rsidR="00F56644" w:rsidRPr="005303F7">
              <w:rPr>
                <w:rFonts w:ascii="Times New Roman" w:hAnsi="Times New Roman"/>
                <w:sz w:val="20"/>
                <w:lang w:val="sr-Cyrl-CS"/>
              </w:rPr>
              <w:t xml:space="preserve"> </w:t>
            </w:r>
            <w:r w:rsidR="00D73AAB" w:rsidRPr="005303F7">
              <w:rPr>
                <w:rFonts w:ascii="Times New Roman" w:hAnsi="Times New Roman"/>
                <w:sz w:val="20"/>
                <w:lang w:val="sr-Cyrl-CS"/>
              </w:rPr>
              <w:t>Републике Србије</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за</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дефинисање</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оптималног</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развоја</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инфраструктуре</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за</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буду</w:t>
            </w:r>
            <w:r w:rsidR="00016298" w:rsidRPr="005303F7">
              <w:rPr>
                <w:rFonts w:ascii="Times New Roman" w:hAnsi="Times New Roman"/>
                <w:sz w:val="20"/>
                <w:lang w:val="sr-Cyrl-CS"/>
              </w:rPr>
              <w:t>ћ</w:t>
            </w:r>
            <w:r w:rsidR="008D69AF" w:rsidRPr="005303F7">
              <w:rPr>
                <w:rFonts w:ascii="Times New Roman" w:hAnsi="Times New Roman"/>
                <w:sz w:val="20"/>
                <w:lang w:val="sr-Cyrl-CS"/>
              </w:rPr>
              <w:t>ност</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како</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би</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се</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ублажио</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буду</w:t>
            </w:r>
            <w:r w:rsidR="00016298" w:rsidRPr="005303F7">
              <w:rPr>
                <w:rFonts w:ascii="Times New Roman" w:hAnsi="Times New Roman"/>
                <w:sz w:val="20"/>
                <w:lang w:val="sr-Cyrl-CS"/>
              </w:rPr>
              <w:t>ћ</w:t>
            </w:r>
            <w:r w:rsidR="008D69AF" w:rsidRPr="005303F7">
              <w:rPr>
                <w:rFonts w:ascii="Times New Roman" w:hAnsi="Times New Roman"/>
                <w:sz w:val="20"/>
                <w:lang w:val="sr-Cyrl-CS"/>
              </w:rPr>
              <w:t>и</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притисак</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на</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путну</w:t>
            </w:r>
            <w:r w:rsidR="00F56644" w:rsidRPr="005303F7">
              <w:rPr>
                <w:rFonts w:ascii="Times New Roman" w:hAnsi="Times New Roman"/>
                <w:sz w:val="20"/>
                <w:lang w:val="sr-Cyrl-CS"/>
              </w:rPr>
              <w:t xml:space="preserve"> </w:t>
            </w:r>
            <w:r w:rsidR="008D69AF" w:rsidRPr="005303F7">
              <w:rPr>
                <w:rFonts w:ascii="Times New Roman" w:hAnsi="Times New Roman"/>
                <w:sz w:val="20"/>
                <w:lang w:val="sr-Cyrl-CS"/>
              </w:rPr>
              <w:t>инфраструктуру</w:t>
            </w:r>
            <w:r w:rsidR="00F56644" w:rsidRPr="005303F7">
              <w:rPr>
                <w:rFonts w:ascii="Times New Roman" w:hAnsi="Times New Roman"/>
                <w:sz w:val="20"/>
                <w:lang w:val="sr-Cyrl-CS"/>
              </w:rPr>
              <w:t>.</w:t>
            </w:r>
          </w:p>
          <w:p w14:paraId="2FC4A179" w14:textId="1621F623" w:rsidR="00BD116A" w:rsidRPr="005303F7" w:rsidRDefault="008D69AF" w:rsidP="00F56644">
            <w:pPr>
              <w:overflowPunct/>
              <w:jc w:val="left"/>
              <w:rPr>
                <w:rFonts w:ascii="Times New Roman" w:hAnsi="Times New Roman"/>
                <w:sz w:val="20"/>
                <w:lang w:val="sr-Cyrl-CS"/>
              </w:rPr>
            </w:pPr>
            <w:r w:rsidRPr="005303F7">
              <w:rPr>
                <w:rFonts w:ascii="Times New Roman" w:hAnsi="Times New Roman"/>
                <w:b/>
                <w:bCs/>
                <w:sz w:val="20"/>
                <w:szCs w:val="18"/>
                <w:u w:val="single"/>
                <w:lang w:val="sr-Cyrl-CS"/>
              </w:rPr>
              <w:t>Процес</w:t>
            </w:r>
            <w:r w:rsidR="007D13D9"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преговора</w:t>
            </w:r>
            <w:r w:rsidR="007D13D9"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о</w:t>
            </w:r>
            <w:r w:rsidR="007D13D9"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приступању</w:t>
            </w:r>
            <w:r w:rsidR="007D13D9"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ЕУ</w:t>
            </w:r>
            <w:r w:rsidR="007D13D9"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Поглав</w:t>
            </w:r>
            <w:r w:rsidR="00D553BE" w:rsidRPr="005303F7">
              <w:rPr>
                <w:rFonts w:ascii="Times New Roman" w:hAnsi="Times New Roman"/>
                <w:b/>
                <w:bCs/>
                <w:sz w:val="20"/>
                <w:szCs w:val="18"/>
                <w:u w:val="single"/>
                <w:lang w:val="sr-Cyrl-CS"/>
              </w:rPr>
              <w:t>љ</w:t>
            </w:r>
            <w:r w:rsidRPr="005303F7">
              <w:rPr>
                <w:rFonts w:ascii="Times New Roman" w:hAnsi="Times New Roman"/>
                <w:b/>
                <w:bCs/>
                <w:sz w:val="20"/>
                <w:szCs w:val="18"/>
                <w:u w:val="single"/>
                <w:lang w:val="sr-Cyrl-CS"/>
              </w:rPr>
              <w:t>е</w:t>
            </w:r>
            <w:r w:rsidR="007D13D9" w:rsidRPr="005303F7">
              <w:rPr>
                <w:rFonts w:ascii="Times New Roman" w:hAnsi="Times New Roman"/>
                <w:b/>
                <w:bCs/>
                <w:sz w:val="20"/>
                <w:szCs w:val="18"/>
                <w:u w:val="single"/>
                <w:lang w:val="sr-Cyrl-CS"/>
              </w:rPr>
              <w:t xml:space="preserve"> 14 – </w:t>
            </w:r>
            <w:r w:rsidRPr="005303F7">
              <w:rPr>
                <w:rFonts w:ascii="Times New Roman" w:hAnsi="Times New Roman"/>
                <w:b/>
                <w:bCs/>
                <w:sz w:val="20"/>
                <w:szCs w:val="18"/>
                <w:u w:val="single"/>
                <w:lang w:val="sr-Cyrl-CS"/>
              </w:rPr>
              <w:t>Транспортна</w:t>
            </w:r>
            <w:r w:rsidR="007D13D9"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политика</w:t>
            </w:r>
          </w:p>
        </w:tc>
      </w:tr>
      <w:tr w:rsidR="00606CE1" w:rsidRPr="005303F7" w14:paraId="7369F7CA" w14:textId="77777777" w:rsidTr="0009461F">
        <w:trPr>
          <w:trHeight w:val="442"/>
        </w:trPr>
        <w:tc>
          <w:tcPr>
            <w:tcW w:w="561" w:type="dxa"/>
            <w:gridSpan w:val="2"/>
            <w:vMerge/>
            <w:tcBorders>
              <w:top w:val="single" w:sz="4" w:space="0" w:color="auto"/>
              <w:left w:val="single" w:sz="4" w:space="0" w:color="auto"/>
              <w:bottom w:val="single" w:sz="4" w:space="0" w:color="auto"/>
              <w:right w:val="single" w:sz="4" w:space="0" w:color="auto"/>
            </w:tcBorders>
            <w:vAlign w:val="center"/>
            <w:hideMark/>
          </w:tcPr>
          <w:p w14:paraId="58C8C8F9" w14:textId="77777777" w:rsidR="00606CE1" w:rsidRPr="005303F7" w:rsidRDefault="00606CE1">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5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D2D033" w14:textId="1B34324A" w:rsidR="00606CE1" w:rsidRPr="005303F7" w:rsidRDefault="008D69AF">
            <w:pPr>
              <w:spacing w:after="0"/>
              <w:jc w:val="center"/>
              <w:rPr>
                <w:rFonts w:ascii="Times New Roman" w:hAnsi="Times New Roman"/>
                <w:b/>
                <w:bCs/>
                <w:sz w:val="20"/>
                <w:lang w:val="sr-Cyrl-CS"/>
              </w:rPr>
            </w:pPr>
            <w:r w:rsidRPr="005303F7">
              <w:rPr>
                <w:rFonts w:ascii="Times New Roman" w:hAnsi="Times New Roman"/>
                <w:b/>
                <w:bCs/>
                <w:sz w:val="20"/>
                <w:lang w:val="sr-Cyrl-CS"/>
              </w:rPr>
              <w:t>К</w:t>
            </w:r>
            <w:r w:rsidR="00D553BE" w:rsidRPr="005303F7">
              <w:rPr>
                <w:rFonts w:ascii="Times New Roman" w:hAnsi="Times New Roman"/>
                <w:b/>
                <w:bCs/>
                <w:sz w:val="20"/>
                <w:lang w:val="sr-Cyrl-CS"/>
              </w:rPr>
              <w:t>љ</w:t>
            </w:r>
            <w:r w:rsidRPr="005303F7">
              <w:rPr>
                <w:rFonts w:ascii="Times New Roman" w:hAnsi="Times New Roman"/>
                <w:b/>
                <w:bCs/>
                <w:sz w:val="20"/>
                <w:lang w:val="sr-Cyrl-CS"/>
              </w:rPr>
              <w:t>учни</w:t>
            </w:r>
            <w:r w:rsidR="00606CE1" w:rsidRPr="005303F7">
              <w:rPr>
                <w:rFonts w:ascii="Times New Roman" w:hAnsi="Times New Roman"/>
                <w:b/>
                <w:bCs/>
                <w:sz w:val="20"/>
                <w:lang w:val="sr-Cyrl-CS"/>
              </w:rPr>
              <w:t xml:space="preserve"> </w:t>
            </w:r>
            <w:r w:rsidRPr="005303F7">
              <w:rPr>
                <w:rFonts w:ascii="Times New Roman" w:hAnsi="Times New Roman"/>
                <w:b/>
                <w:bCs/>
                <w:sz w:val="20"/>
                <w:lang w:val="sr-Cyrl-CS"/>
              </w:rPr>
              <w:t>субјекат</w:t>
            </w:r>
            <w:r w:rsidR="00606CE1" w:rsidRPr="005303F7">
              <w:rPr>
                <w:rFonts w:ascii="Times New Roman" w:hAnsi="Times New Roman"/>
                <w:b/>
                <w:bCs/>
                <w:sz w:val="20"/>
                <w:lang w:val="sr-Cyrl-CS"/>
              </w:rPr>
              <w:t xml:space="preserve"> </w:t>
            </w:r>
            <w:r w:rsidRPr="005303F7">
              <w:rPr>
                <w:rFonts w:ascii="Times New Roman" w:hAnsi="Times New Roman"/>
                <w:b/>
                <w:bCs/>
                <w:sz w:val="20"/>
                <w:lang w:val="sr-Cyrl-CS"/>
              </w:rPr>
              <w:t>за</w:t>
            </w:r>
            <w:r w:rsidR="00606CE1" w:rsidRPr="005303F7">
              <w:rPr>
                <w:rFonts w:ascii="Times New Roman" w:hAnsi="Times New Roman"/>
                <w:b/>
                <w:bCs/>
                <w:sz w:val="20"/>
                <w:lang w:val="sr-Cyrl-CS"/>
              </w:rPr>
              <w:t xml:space="preserve"> </w:t>
            </w:r>
            <w:r w:rsidRPr="005303F7">
              <w:rPr>
                <w:rFonts w:ascii="Times New Roman" w:hAnsi="Times New Roman"/>
                <w:b/>
                <w:bCs/>
                <w:sz w:val="20"/>
                <w:lang w:val="sr-Cyrl-CS"/>
              </w:rPr>
              <w:t>спровођење</w:t>
            </w:r>
            <w:r w:rsidR="00606CE1"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p>
        </w:tc>
        <w:tc>
          <w:tcPr>
            <w:tcW w:w="623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A02E8" w14:textId="1296B5A3" w:rsidR="00606CE1"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Партнери</w:t>
            </w:r>
          </w:p>
        </w:tc>
        <w:tc>
          <w:tcPr>
            <w:tcW w:w="12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E1F168" w14:textId="067B1C5E" w:rsidR="00606CE1"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 xml:space="preserve">ЕТS/ </w:t>
            </w:r>
            <w:r w:rsidR="004A35C7" w:rsidRPr="005303F7">
              <w:rPr>
                <w:rFonts w:ascii="Times New Roman" w:hAnsi="Times New Roman"/>
                <w:b/>
                <w:sz w:val="20"/>
                <w:lang w:val="sr-Cyrl-CS"/>
              </w:rPr>
              <w:t>не-ЕТS</w:t>
            </w:r>
          </w:p>
        </w:tc>
        <w:tc>
          <w:tcPr>
            <w:tcW w:w="157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F70469" w14:textId="672E638B" w:rsidR="00606CE1"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Главни</w:t>
            </w:r>
            <w:r w:rsidR="00606CE1" w:rsidRPr="005303F7">
              <w:rPr>
                <w:rFonts w:ascii="Times New Roman" w:hAnsi="Times New Roman"/>
                <w:b/>
                <w:bCs/>
                <w:sz w:val="20"/>
                <w:lang w:val="sr-Cyrl-CS"/>
              </w:rPr>
              <w:t xml:space="preserve"> </w:t>
            </w:r>
            <w:r w:rsidRPr="005303F7">
              <w:rPr>
                <w:rFonts w:ascii="Times New Roman" w:hAnsi="Times New Roman"/>
                <w:b/>
                <w:bCs/>
                <w:sz w:val="20"/>
                <w:lang w:val="sr-Cyrl-CS"/>
              </w:rPr>
              <w:t>гасови</w:t>
            </w:r>
          </w:p>
        </w:tc>
        <w:tc>
          <w:tcPr>
            <w:tcW w:w="2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08C186" w14:textId="7174DB71" w:rsidR="00D7102F" w:rsidRPr="005303F7" w:rsidRDefault="00284DF0"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 xml:space="preserve">Процењен утицај ублажавања </w:t>
            </w:r>
            <w:r w:rsidR="00D7102F" w:rsidRPr="005303F7">
              <w:rPr>
                <w:rFonts w:ascii="Times New Roman" w:hAnsi="Times New Roman"/>
                <w:b/>
                <w:bCs/>
                <w:sz w:val="20"/>
                <w:lang w:val="sr-Cyrl-CS"/>
              </w:rPr>
              <w:t xml:space="preserve">до 2030. </w:t>
            </w:r>
          </w:p>
          <w:p w14:paraId="677E4D57" w14:textId="7689EE17" w:rsidR="00606CE1"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BD116A" w:rsidRPr="005303F7" w14:paraId="7ECBDC59" w14:textId="77777777" w:rsidTr="002F2A9A">
        <w:trPr>
          <w:trHeight w:val="453"/>
        </w:trPr>
        <w:tc>
          <w:tcPr>
            <w:tcW w:w="561" w:type="dxa"/>
            <w:gridSpan w:val="2"/>
            <w:vMerge/>
            <w:tcBorders>
              <w:top w:val="single" w:sz="4" w:space="0" w:color="auto"/>
              <w:left w:val="single" w:sz="4" w:space="0" w:color="auto"/>
              <w:bottom w:val="single" w:sz="4" w:space="0" w:color="auto"/>
              <w:right w:val="single" w:sz="4" w:space="0" w:color="auto"/>
            </w:tcBorders>
            <w:vAlign w:val="center"/>
            <w:hideMark/>
          </w:tcPr>
          <w:p w14:paraId="435403E2" w14:textId="77777777" w:rsidR="00BD116A" w:rsidRPr="005303F7" w:rsidRDefault="00BD116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53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25C68D" w14:textId="14C5D883"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9B383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грађевинарства</w:t>
            </w:r>
            <w:r w:rsidR="009B383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саобраћаја</w:t>
            </w:r>
            <w:r w:rsidR="009B383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9B383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инфраструктуре</w:t>
            </w:r>
          </w:p>
        </w:tc>
        <w:tc>
          <w:tcPr>
            <w:tcW w:w="6231"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3ED3B6" w14:textId="28B3B812"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9B383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финансија</w:t>
            </w:r>
            <w:r w:rsidR="00BD116A" w:rsidRPr="005303F7">
              <w:rPr>
                <w:rFonts w:ascii="Times New Roman" w:hAnsi="Times New Roman"/>
                <w:bCs/>
                <w:color w:val="000000"/>
                <w:sz w:val="20"/>
                <w:lang w:val="sr-Cyrl-CS"/>
              </w:rPr>
              <w:t xml:space="preserve">, </w:t>
            </w:r>
            <w:r w:rsidR="007A6781" w:rsidRPr="005303F7">
              <w:rPr>
                <w:rFonts w:ascii="Times New Roman" w:hAnsi="Times New Roman"/>
                <w:bCs/>
                <w:color w:val="000000"/>
                <w:sz w:val="20"/>
                <w:lang w:val="sr-Cyrl-CS"/>
              </w:rPr>
              <w:t>ЈП „</w:t>
            </w:r>
            <w:r w:rsidRPr="005303F7">
              <w:rPr>
                <w:rFonts w:ascii="Times New Roman" w:hAnsi="Times New Roman"/>
                <w:bCs/>
                <w:color w:val="000000"/>
                <w:sz w:val="20"/>
                <w:lang w:val="sr-Cyrl-CS"/>
              </w:rPr>
              <w:t>Путеви</w:t>
            </w:r>
            <w:r w:rsidR="00BD116A" w:rsidRPr="005303F7">
              <w:rPr>
                <w:rFonts w:ascii="Times New Roman" w:hAnsi="Times New Roman"/>
                <w:bCs/>
                <w:color w:val="000000"/>
                <w:sz w:val="20"/>
                <w:lang w:val="sr-Cyrl-CS"/>
              </w:rPr>
              <w:t xml:space="preserve"> </w:t>
            </w:r>
            <w:r w:rsidR="00D73AAB" w:rsidRPr="005303F7">
              <w:rPr>
                <w:rFonts w:ascii="Times New Roman" w:hAnsi="Times New Roman"/>
                <w:bCs/>
                <w:color w:val="000000"/>
                <w:sz w:val="20"/>
                <w:lang w:val="sr-Cyrl-CS"/>
              </w:rPr>
              <w:t>Србије</w:t>
            </w:r>
            <w:r w:rsidR="0035174D" w:rsidRPr="005303F7">
              <w:rPr>
                <w:rFonts w:ascii="Times New Roman" w:hAnsi="Times New Roman"/>
                <w:bCs/>
                <w:color w:val="000000"/>
                <w:sz w:val="20"/>
                <w:lang w:val="sr-Cyrl-CS"/>
              </w:rPr>
              <w:t>”</w:t>
            </w:r>
            <w:r w:rsidR="00BD116A" w:rsidRPr="005303F7">
              <w:rPr>
                <w:rFonts w:ascii="Times New Roman" w:hAnsi="Times New Roman"/>
                <w:bCs/>
                <w:color w:val="000000"/>
                <w:sz w:val="20"/>
                <w:lang w:val="sr-Cyrl-CS"/>
              </w:rPr>
              <w:t xml:space="preserve">, </w:t>
            </w:r>
          </w:p>
          <w:p w14:paraId="4A4CA158" w14:textId="7E78F06F"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9B383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заштите</w:t>
            </w:r>
            <w:r w:rsidR="009B383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животне</w:t>
            </w:r>
            <w:r w:rsidR="009B383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средине</w:t>
            </w:r>
          </w:p>
        </w:tc>
        <w:tc>
          <w:tcPr>
            <w:tcW w:w="126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D67798" w14:textId="4D3E5EF5" w:rsidR="00BD116A" w:rsidRPr="005303F7" w:rsidRDefault="004A35C7">
            <w:pPr>
              <w:overflowPunct/>
              <w:spacing w:after="0"/>
              <w:jc w:val="center"/>
              <w:rPr>
                <w:rFonts w:ascii="Times New Roman" w:hAnsi="Times New Roman"/>
                <w:bCs/>
                <w:sz w:val="20"/>
                <w:lang w:val="sr-Cyrl-CS"/>
              </w:rPr>
            </w:pPr>
            <w:r w:rsidRPr="005303F7">
              <w:rPr>
                <w:rFonts w:ascii="Times New Roman" w:hAnsi="Times New Roman"/>
                <w:bCs/>
                <w:sz w:val="20"/>
                <w:lang w:val="sr-Cyrl-CS"/>
              </w:rPr>
              <w:t>не-ЕТS</w:t>
            </w:r>
          </w:p>
        </w:tc>
        <w:tc>
          <w:tcPr>
            <w:tcW w:w="1579"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B6FF20" w14:textId="6BF15E2C" w:rsidR="00BD116A" w:rsidRPr="005303F7" w:rsidRDefault="00690489">
            <w:pPr>
              <w:overflowPunct/>
              <w:spacing w:after="0"/>
              <w:jc w:val="center"/>
              <w:rPr>
                <w:rFonts w:ascii="Times New Roman" w:hAnsi="Times New Roman"/>
                <w:bCs/>
                <w:color w:val="000000"/>
                <w:sz w:val="20"/>
                <w:highlight w:val="yellow"/>
                <w:lang w:val="sr-Cyrl-CS"/>
              </w:rPr>
            </w:pPr>
            <w:r w:rsidRPr="005303F7">
              <w:rPr>
                <w:rFonts w:ascii="Times New Roman" w:hAnsi="Times New Roman"/>
                <w:bCs/>
                <w:color w:val="000000"/>
                <w:sz w:val="20"/>
                <w:lang w:val="sr-Cyrl-CS"/>
              </w:rPr>
              <w:t>C</w:t>
            </w:r>
            <w:r w:rsidR="008D69AF" w:rsidRPr="005303F7">
              <w:rPr>
                <w:rFonts w:ascii="Times New Roman" w:hAnsi="Times New Roman"/>
                <w:bCs/>
                <w:color w:val="000000"/>
                <w:sz w:val="20"/>
                <w:lang w:val="sr-Cyrl-CS"/>
              </w:rPr>
              <w:t>О</w:t>
            </w:r>
            <w:r w:rsidR="00BD116A" w:rsidRPr="005303F7">
              <w:rPr>
                <w:rFonts w:ascii="Times New Roman" w:hAnsi="Times New Roman"/>
                <w:bCs/>
                <w:color w:val="000000"/>
                <w:sz w:val="20"/>
                <w:vertAlign w:val="subscript"/>
                <w:lang w:val="sr-Cyrl-CS"/>
              </w:rPr>
              <w:t>2</w:t>
            </w:r>
          </w:p>
        </w:tc>
        <w:tc>
          <w:tcPr>
            <w:tcW w:w="2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6640AC" w14:textId="77777777" w:rsidR="00BD116A" w:rsidRPr="005303F7" w:rsidRDefault="00BD116A">
            <w:pPr>
              <w:overflowPunct/>
              <w:spacing w:after="0"/>
              <w:jc w:val="center"/>
              <w:rPr>
                <w:rFonts w:ascii="Times New Roman" w:hAnsi="Times New Roman"/>
                <w:bCs/>
                <w:color w:val="000000"/>
                <w:sz w:val="20"/>
                <w:highlight w:val="yellow"/>
                <w:lang w:val="sr-Cyrl-CS"/>
              </w:rPr>
            </w:pPr>
            <w:r w:rsidRPr="005303F7">
              <w:rPr>
                <w:rFonts w:ascii="Times New Roman" w:hAnsi="Times New Roman"/>
                <w:bCs/>
                <w:color w:val="000000"/>
                <w:sz w:val="20"/>
                <w:lang w:val="sr-Cyrl-CS"/>
              </w:rPr>
              <w:t>156</w:t>
            </w:r>
          </w:p>
        </w:tc>
      </w:tr>
      <w:tr w:rsidR="00BD116A" w:rsidRPr="005303F7" w14:paraId="10DE08EA" w14:textId="77777777" w:rsidTr="00BD116A">
        <w:trPr>
          <w:trHeight w:val="247"/>
        </w:trPr>
        <w:tc>
          <w:tcPr>
            <w:tcW w:w="15990" w:type="dxa"/>
            <w:gridSpan w:val="34"/>
            <w:tcBorders>
              <w:top w:val="single" w:sz="4" w:space="0" w:color="auto"/>
              <w:left w:val="single" w:sz="4" w:space="0" w:color="auto"/>
              <w:bottom w:val="single" w:sz="4" w:space="0" w:color="auto"/>
              <w:right w:val="single" w:sz="4" w:space="0" w:color="auto"/>
            </w:tcBorders>
            <w:shd w:val="clear" w:color="auto" w:fill="BBDAFD" w:themeFill="accent6" w:themeFillTint="33"/>
            <w:vAlign w:val="center"/>
            <w:hideMark/>
          </w:tcPr>
          <w:p w14:paraId="6DD148AD" w14:textId="302701FF" w:rsidR="00BD116A" w:rsidRPr="005303F7" w:rsidRDefault="008D69AF" w:rsidP="00353B06">
            <w:pPr>
              <w:rPr>
                <w:rFonts w:ascii="Times New Roman" w:hAnsi="Times New Roman"/>
                <w:b/>
                <w:bCs/>
                <w:color w:val="000000"/>
                <w:sz w:val="18"/>
                <w:szCs w:val="18"/>
                <w:lang w:val="sr-Cyrl-CS" w:eastAsia="en-US"/>
              </w:rPr>
            </w:pPr>
            <w:bookmarkStart w:id="403" w:name="_Hlk23343202"/>
            <w:r w:rsidRPr="005303F7">
              <w:rPr>
                <w:rFonts w:ascii="Times New Roman" w:hAnsi="Times New Roman"/>
                <w:b/>
                <w:bCs/>
                <w:color w:val="000000"/>
                <w:sz w:val="18"/>
                <w:szCs w:val="18"/>
                <w:lang w:val="sr-Cyrl-CS"/>
              </w:rPr>
              <w:t>Секторски</w:t>
            </w:r>
            <w:r w:rsidR="0041390F"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ци</w:t>
            </w:r>
            <w:r w:rsidR="00D553BE" w:rsidRPr="005303F7">
              <w:rPr>
                <w:rFonts w:ascii="Times New Roman" w:hAnsi="Times New Roman"/>
                <w:b/>
                <w:bCs/>
                <w:sz w:val="18"/>
                <w:szCs w:val="18"/>
                <w:lang w:val="sr-Cyrl-CS"/>
              </w:rPr>
              <w:t>љ</w:t>
            </w:r>
            <w:r w:rsidR="0041390F"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Ограничење</w:t>
            </w:r>
            <w:r w:rsidR="0041390F"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раста</w:t>
            </w:r>
            <w:r w:rsidR="0041390F"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емисија</w:t>
            </w:r>
            <w:r w:rsidR="0041390F" w:rsidRPr="005303F7">
              <w:rPr>
                <w:rFonts w:ascii="Times New Roman" w:hAnsi="Times New Roman"/>
                <w:b/>
                <w:bCs/>
                <w:color w:val="000000"/>
                <w:sz w:val="18"/>
                <w:szCs w:val="18"/>
                <w:lang w:val="sr-Cyrl-CS"/>
              </w:rPr>
              <w:t xml:space="preserve"> </w:t>
            </w:r>
            <w:r w:rsidR="00690489" w:rsidRPr="005303F7">
              <w:rPr>
                <w:rFonts w:ascii="Times New Roman" w:hAnsi="Times New Roman"/>
                <w:b/>
                <w:bCs/>
                <w:color w:val="000000" w:themeColor="text1"/>
                <w:sz w:val="18"/>
                <w:szCs w:val="18"/>
                <w:lang w:val="sr-Cyrl-CS"/>
              </w:rPr>
              <w:t>GHG</w:t>
            </w:r>
            <w:r w:rsidR="0041390F"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у</w:t>
            </w:r>
            <w:r w:rsidR="0041390F"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индустријским</w:t>
            </w:r>
            <w:r w:rsidR="0041390F"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процесима</w:t>
            </w:r>
            <w:r w:rsidR="0041390F"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и</w:t>
            </w:r>
            <w:r w:rsidR="0041390F"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употреби</w:t>
            </w:r>
            <w:r w:rsidR="0041390F"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производа</w:t>
            </w:r>
            <w:r w:rsidR="0041390F"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на</w:t>
            </w:r>
            <w:r w:rsidR="0041390F" w:rsidRPr="005303F7">
              <w:rPr>
                <w:rFonts w:ascii="Times New Roman" w:hAnsi="Times New Roman"/>
                <w:b/>
                <w:bCs/>
                <w:color w:val="000000"/>
                <w:sz w:val="18"/>
                <w:szCs w:val="18"/>
                <w:lang w:val="sr-Cyrl-CS"/>
              </w:rPr>
              <w:t xml:space="preserve"> 7% </w:t>
            </w:r>
            <w:r w:rsidRPr="005303F7">
              <w:rPr>
                <w:rFonts w:ascii="Times New Roman" w:hAnsi="Times New Roman"/>
                <w:b/>
                <w:bCs/>
                <w:color w:val="000000"/>
                <w:sz w:val="18"/>
                <w:szCs w:val="18"/>
                <w:lang w:val="sr-Cyrl-CS"/>
              </w:rPr>
              <w:t>до</w:t>
            </w:r>
            <w:r w:rsidR="0041390F" w:rsidRPr="005303F7">
              <w:rPr>
                <w:rFonts w:ascii="Times New Roman" w:hAnsi="Times New Roman"/>
                <w:b/>
                <w:bCs/>
                <w:color w:val="000000"/>
                <w:sz w:val="18"/>
                <w:szCs w:val="18"/>
                <w:lang w:val="sr-Cyrl-CS"/>
              </w:rPr>
              <w:t xml:space="preserve"> 2030. </w:t>
            </w:r>
            <w:r w:rsidRPr="005303F7">
              <w:rPr>
                <w:rFonts w:ascii="Times New Roman" w:hAnsi="Times New Roman"/>
                <w:b/>
                <w:bCs/>
                <w:color w:val="000000"/>
                <w:sz w:val="18"/>
                <w:szCs w:val="18"/>
                <w:lang w:val="sr-Cyrl-CS"/>
              </w:rPr>
              <w:t>у</w:t>
            </w:r>
            <w:r w:rsidR="0041390F"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поређењу</w:t>
            </w:r>
            <w:r w:rsidR="0041390F"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са</w:t>
            </w:r>
            <w:r w:rsidR="0041390F" w:rsidRPr="005303F7">
              <w:rPr>
                <w:rFonts w:ascii="Times New Roman" w:hAnsi="Times New Roman"/>
                <w:b/>
                <w:bCs/>
                <w:color w:val="000000"/>
                <w:sz w:val="18"/>
                <w:szCs w:val="18"/>
                <w:lang w:val="sr-Cyrl-CS"/>
              </w:rPr>
              <w:t xml:space="preserve"> 2010. </w:t>
            </w:r>
            <w:r w:rsidRPr="005303F7">
              <w:rPr>
                <w:rFonts w:ascii="Times New Roman" w:hAnsi="Times New Roman"/>
                <w:b/>
                <w:bCs/>
                <w:color w:val="000000"/>
                <w:sz w:val="18"/>
                <w:szCs w:val="18"/>
                <w:lang w:val="sr-Cyrl-CS"/>
              </w:rPr>
              <w:t>годином</w:t>
            </w:r>
            <w:r w:rsidR="000B1356" w:rsidRPr="005303F7">
              <w:rPr>
                <w:rFonts w:ascii="Times New Roman" w:hAnsi="Times New Roman"/>
                <w:b/>
                <w:bCs/>
                <w:color w:val="000000"/>
                <w:sz w:val="18"/>
                <w:szCs w:val="18"/>
                <w:lang w:val="sr-Cyrl-CS" w:eastAsia="en-US"/>
              </w:rPr>
              <w:t>.</w:t>
            </w:r>
          </w:p>
        </w:tc>
      </w:tr>
      <w:tr w:rsidR="00BD116A" w:rsidRPr="005303F7" w14:paraId="78A875E5" w14:textId="77777777" w:rsidTr="0009461F">
        <w:trPr>
          <w:trHeight w:val="442"/>
        </w:trPr>
        <w:tc>
          <w:tcPr>
            <w:tcW w:w="695" w:type="dxa"/>
            <w:gridSpan w:val="4"/>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3108BA6C" w14:textId="060D3339" w:rsidR="00BD116A" w:rsidRPr="005303F7" w:rsidRDefault="008D69AF">
            <w:pPr>
              <w:overflowPunct/>
              <w:spacing w:after="0"/>
              <w:rPr>
                <w:rFonts w:ascii="Times New Roman" w:hAnsi="Times New Roman"/>
                <w:szCs w:val="22"/>
                <w:lang w:val="sr-Cyrl-CS"/>
              </w:rPr>
            </w:pPr>
            <w:r w:rsidRPr="005303F7">
              <w:rPr>
                <w:rFonts w:ascii="Times New Roman" w:hAnsi="Times New Roman"/>
                <w:szCs w:val="22"/>
                <w:lang w:val="sr-Cyrl-CS"/>
              </w:rPr>
              <w:t>Бр</w:t>
            </w:r>
            <w:r w:rsidR="00BD116A" w:rsidRPr="005303F7">
              <w:rPr>
                <w:rFonts w:ascii="Times New Roman" w:hAnsi="Times New Roman"/>
                <w:szCs w:val="22"/>
                <w:lang w:val="sr-Cyrl-CS"/>
              </w:rPr>
              <w:t>.</w:t>
            </w:r>
          </w:p>
        </w:tc>
        <w:tc>
          <w:tcPr>
            <w:tcW w:w="15295" w:type="dxa"/>
            <w:gridSpan w:val="30"/>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36E48AAA" w14:textId="1E37A611" w:rsidR="00BD116A" w:rsidRPr="005303F7" w:rsidRDefault="008D69AF" w:rsidP="00652668">
            <w:pPr>
              <w:overflowPunct/>
              <w:jc w:val="left"/>
              <w:rPr>
                <w:rFonts w:ascii="Times New Roman" w:hAnsi="Times New Roman"/>
                <w:b/>
                <w:sz w:val="20"/>
                <w:u w:val="single"/>
                <w:lang w:val="sr-Cyrl-CS"/>
              </w:rPr>
            </w:pPr>
            <w:r w:rsidRPr="005303F7">
              <w:rPr>
                <w:rFonts w:ascii="Times New Roman" w:hAnsi="Times New Roman"/>
                <w:b/>
                <w:bCs/>
                <w:color w:val="FFFFFF" w:themeColor="background1"/>
                <w:sz w:val="20"/>
                <w:lang w:val="sr-Cyrl-CS"/>
              </w:rPr>
              <w:t>Назив</w:t>
            </w:r>
            <w:r w:rsidR="007A4EFC" w:rsidRPr="005303F7">
              <w:rPr>
                <w:rFonts w:ascii="Times New Roman" w:hAnsi="Times New Roman"/>
                <w:b/>
                <w:bCs/>
                <w:color w:val="FFFFFF" w:themeColor="background1"/>
                <w:sz w:val="20"/>
                <w:lang w:val="sr-Cyrl-CS"/>
              </w:rPr>
              <w:t xml:space="preserve"> </w:t>
            </w:r>
            <w:r w:rsidRPr="005303F7">
              <w:rPr>
                <w:rFonts w:ascii="Times New Roman" w:hAnsi="Times New Roman"/>
                <w:b/>
                <w:bCs/>
                <w:color w:val="FFFFFF" w:themeColor="background1"/>
                <w:sz w:val="20"/>
                <w:lang w:val="sr-Cyrl-CS"/>
              </w:rPr>
              <w:t>мере</w:t>
            </w:r>
            <w:r w:rsidR="00BD116A" w:rsidRPr="005303F7">
              <w:rPr>
                <w:rFonts w:ascii="Times New Roman" w:hAnsi="Times New Roman"/>
                <w:b/>
                <w:bCs/>
                <w:color w:val="FFFFFF" w:themeColor="background1"/>
                <w:sz w:val="20"/>
                <w:lang w:val="sr-Cyrl-CS"/>
              </w:rPr>
              <w:t>:</w:t>
            </w:r>
            <w:r w:rsidR="00BD116A" w:rsidRPr="005303F7">
              <w:rPr>
                <w:rFonts w:ascii="Times New Roman" w:hAnsi="Times New Roman"/>
                <w:b/>
                <w:color w:val="FFFFFF" w:themeColor="background1"/>
                <w:sz w:val="20"/>
                <w:lang w:val="sr-Cyrl-CS"/>
              </w:rPr>
              <w:t xml:space="preserve"> </w:t>
            </w:r>
            <w:r w:rsidRPr="005303F7">
              <w:rPr>
                <w:rFonts w:ascii="Times New Roman" w:hAnsi="Times New Roman"/>
                <w:b/>
                <w:color w:val="FFFFFF" w:themeColor="background1"/>
                <w:sz w:val="20"/>
                <w:u w:val="single"/>
                <w:lang w:val="sr-Cyrl-CS"/>
              </w:rPr>
              <w:t>Примена</w:t>
            </w:r>
            <w:r w:rsidR="00945561"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уредбе</w:t>
            </w:r>
            <w:r w:rsidR="009A3081"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о</w:t>
            </w:r>
            <w:r w:rsidR="009A3081" w:rsidRPr="005303F7">
              <w:rPr>
                <w:rFonts w:ascii="Times New Roman" w:hAnsi="Times New Roman"/>
                <w:b/>
                <w:color w:val="FFFFFF" w:themeColor="background1"/>
                <w:sz w:val="20"/>
                <w:u w:val="single"/>
                <w:lang w:val="sr-Cyrl-CS"/>
              </w:rPr>
              <w:t xml:space="preserve"> </w:t>
            </w:r>
            <w:r w:rsidR="00B20FDF" w:rsidRPr="005303F7">
              <w:rPr>
                <w:rFonts w:ascii="Times New Roman" w:hAnsi="Times New Roman"/>
                <w:b/>
                <w:color w:val="FFFFFF" w:themeColor="background1"/>
                <w:sz w:val="20"/>
                <w:u w:val="single"/>
                <w:lang w:val="sr-Cyrl-CS"/>
              </w:rPr>
              <w:t>F</w:t>
            </w:r>
            <w:r w:rsidR="009A3081"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гасовима</w:t>
            </w:r>
            <w:r w:rsidR="007A4EFC"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и</w:t>
            </w:r>
            <w:r w:rsidR="007A4EFC"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директиве</w:t>
            </w:r>
            <w:r w:rsidR="00690489" w:rsidRPr="005303F7">
              <w:rPr>
                <w:rFonts w:ascii="Times New Roman" w:hAnsi="Times New Roman"/>
                <w:b/>
                <w:color w:val="FFFFFF" w:themeColor="background1"/>
                <w:sz w:val="20"/>
                <w:u w:val="single"/>
                <w:lang w:val="sr-Cyrl-CS"/>
              </w:rPr>
              <w:t xml:space="preserve"> MACs</w:t>
            </w:r>
          </w:p>
        </w:tc>
      </w:tr>
      <w:tr w:rsidR="00BD116A" w:rsidRPr="005303F7" w14:paraId="2F69C888" w14:textId="77777777" w:rsidTr="00F23EDD">
        <w:trPr>
          <w:trHeight w:val="7057"/>
        </w:trPr>
        <w:tc>
          <w:tcPr>
            <w:tcW w:w="695"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1BFBFBC" w14:textId="77777777" w:rsidR="00BD116A" w:rsidRPr="005303F7" w:rsidRDefault="00BD116A">
            <w:pPr>
              <w:overflowPunct/>
              <w:spacing w:after="0"/>
              <w:jc w:val="center"/>
              <w:rPr>
                <w:rFonts w:ascii="Times New Roman" w:hAnsi="Times New Roman"/>
                <w:b/>
                <w:color w:val="000000"/>
                <w:sz w:val="20"/>
                <w:lang w:val="sr-Cyrl-CS"/>
              </w:rPr>
            </w:pPr>
            <w:r w:rsidRPr="005303F7">
              <w:rPr>
                <w:rFonts w:ascii="Times New Roman" w:hAnsi="Times New Roman"/>
                <w:b/>
                <w:color w:val="000000"/>
                <w:sz w:val="20"/>
                <w:lang w:val="sr-Cyrl-CS"/>
              </w:rPr>
              <w:lastRenderedPageBreak/>
              <w:t>15</w:t>
            </w:r>
          </w:p>
        </w:tc>
        <w:tc>
          <w:tcPr>
            <w:tcW w:w="15295" w:type="dxa"/>
            <w:gridSpan w:val="30"/>
            <w:tcBorders>
              <w:top w:val="single" w:sz="4" w:space="0" w:color="auto"/>
              <w:left w:val="single" w:sz="4" w:space="0" w:color="auto"/>
              <w:bottom w:val="single" w:sz="4" w:space="0" w:color="auto"/>
              <w:right w:val="single" w:sz="4" w:space="0" w:color="auto"/>
            </w:tcBorders>
            <w:vAlign w:val="center"/>
          </w:tcPr>
          <w:p w14:paraId="642B7E90" w14:textId="2A599579" w:rsidR="00BD116A" w:rsidRPr="005303F7" w:rsidRDefault="008D69AF">
            <w:pPr>
              <w:overflowPunct/>
              <w:jc w:val="left"/>
              <w:rPr>
                <w:rFonts w:ascii="Times New Roman" w:hAnsi="Times New Roman"/>
                <w:b/>
                <w:sz w:val="20"/>
                <w:u w:val="single"/>
                <w:lang w:val="sr-Cyrl-CS"/>
              </w:rPr>
            </w:pPr>
            <w:r w:rsidRPr="005303F7">
              <w:rPr>
                <w:rFonts w:ascii="Times New Roman" w:hAnsi="Times New Roman"/>
                <w:b/>
                <w:sz w:val="20"/>
                <w:u w:val="single"/>
                <w:lang w:val="sr-Cyrl-CS"/>
              </w:rPr>
              <w:t>Врста</w:t>
            </w:r>
            <w:r w:rsidR="00015933"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мере</w:t>
            </w:r>
            <w:r w:rsidR="00BD116A" w:rsidRPr="005303F7">
              <w:rPr>
                <w:rFonts w:ascii="Times New Roman" w:hAnsi="Times New Roman"/>
                <w:b/>
                <w:sz w:val="20"/>
                <w:lang w:val="sr-Cyrl-CS"/>
              </w:rPr>
              <w:t xml:space="preserve">: </w:t>
            </w:r>
            <w:r w:rsidRPr="005303F7">
              <w:rPr>
                <w:rFonts w:ascii="Times New Roman" w:hAnsi="Times New Roman"/>
                <w:bCs/>
                <w:sz w:val="20"/>
                <w:lang w:val="sr-Cyrl-CS"/>
              </w:rPr>
              <w:t>Регулаторна</w:t>
            </w:r>
            <w:r w:rsidR="00015933" w:rsidRPr="005303F7">
              <w:rPr>
                <w:rFonts w:ascii="Times New Roman" w:hAnsi="Times New Roman"/>
                <w:bCs/>
                <w:sz w:val="20"/>
                <w:lang w:val="sr-Cyrl-CS"/>
              </w:rPr>
              <w:t xml:space="preserve">, </w:t>
            </w:r>
            <w:r w:rsidRPr="005303F7">
              <w:rPr>
                <w:rFonts w:ascii="Times New Roman" w:hAnsi="Times New Roman"/>
                <w:bCs/>
                <w:sz w:val="20"/>
                <w:lang w:val="sr-Cyrl-CS"/>
              </w:rPr>
              <w:t>информативно</w:t>
            </w:r>
            <w:r w:rsidR="00015933" w:rsidRPr="005303F7">
              <w:rPr>
                <w:rFonts w:ascii="Times New Roman" w:hAnsi="Times New Roman"/>
                <w:bCs/>
                <w:sz w:val="20"/>
                <w:lang w:val="sr-Cyrl-CS"/>
              </w:rPr>
              <w:t>-</w:t>
            </w:r>
            <w:r w:rsidRPr="005303F7">
              <w:rPr>
                <w:rFonts w:ascii="Times New Roman" w:hAnsi="Times New Roman"/>
                <w:bCs/>
                <w:sz w:val="20"/>
                <w:lang w:val="sr-Cyrl-CS"/>
              </w:rPr>
              <w:t>едукативна</w:t>
            </w:r>
          </w:p>
          <w:p w14:paraId="73A35079" w14:textId="57EAAE52" w:rsidR="00BD116A" w:rsidRPr="005303F7" w:rsidRDefault="008D69AF">
            <w:pPr>
              <w:overflowPunct/>
              <w:spacing w:after="0"/>
              <w:rPr>
                <w:rFonts w:ascii="Times New Roman" w:hAnsi="Times New Roman"/>
                <w:bCs/>
                <w:sz w:val="20"/>
                <w:lang w:val="sr-Cyrl-CS"/>
              </w:rPr>
            </w:pPr>
            <w:r w:rsidRPr="005303F7">
              <w:rPr>
                <w:rFonts w:ascii="Times New Roman" w:hAnsi="Times New Roman"/>
                <w:b/>
                <w:sz w:val="20"/>
                <w:u w:val="single"/>
                <w:lang w:val="sr-Cyrl-CS"/>
              </w:rPr>
              <w:t>Опис</w:t>
            </w:r>
            <w:r w:rsidR="00015933"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мере</w:t>
            </w:r>
            <w:r w:rsidR="00BD116A" w:rsidRPr="005303F7">
              <w:rPr>
                <w:rFonts w:ascii="Times New Roman" w:hAnsi="Times New Roman"/>
                <w:bCs/>
                <w:sz w:val="20"/>
                <w:lang w:val="sr-Cyrl-CS"/>
              </w:rPr>
              <w:t xml:space="preserve">: </w:t>
            </w:r>
            <w:r w:rsidRPr="005303F7">
              <w:rPr>
                <w:rFonts w:ascii="Times New Roman" w:hAnsi="Times New Roman"/>
                <w:bCs/>
                <w:sz w:val="20"/>
                <w:lang w:val="sr-Cyrl-CS"/>
              </w:rPr>
              <w:t>Европска</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унија</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је</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усвојила</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ревидирану</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Уредбу</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о</w:t>
            </w:r>
            <w:r w:rsidR="00577EB0" w:rsidRPr="005303F7">
              <w:rPr>
                <w:rFonts w:ascii="Times New Roman" w:hAnsi="Times New Roman"/>
                <w:bCs/>
                <w:sz w:val="20"/>
                <w:lang w:val="sr-Cyrl-CS"/>
              </w:rPr>
              <w:t xml:space="preserve"> </w:t>
            </w:r>
            <w:r w:rsidR="005A0D30" w:rsidRPr="005303F7">
              <w:rPr>
                <w:rFonts w:ascii="Times New Roman" w:hAnsi="Times New Roman"/>
                <w:bCs/>
                <w:sz w:val="20"/>
                <w:lang w:val="sr-Cyrl-CS"/>
              </w:rPr>
              <w:t>F</w:t>
            </w:r>
            <w:r w:rsidR="00577EB0" w:rsidRPr="005303F7">
              <w:rPr>
                <w:rFonts w:ascii="Times New Roman" w:hAnsi="Times New Roman"/>
                <w:bCs/>
                <w:sz w:val="20"/>
                <w:lang w:val="sr-Cyrl-CS"/>
              </w:rPr>
              <w:t>-</w:t>
            </w:r>
            <w:r w:rsidRPr="005303F7">
              <w:rPr>
                <w:rFonts w:ascii="Times New Roman" w:hAnsi="Times New Roman"/>
                <w:bCs/>
                <w:sz w:val="20"/>
                <w:lang w:val="sr-Cyrl-CS"/>
              </w:rPr>
              <w:t>гасовима</w:t>
            </w:r>
            <w:r w:rsidR="00577EB0" w:rsidRPr="005303F7">
              <w:rPr>
                <w:rFonts w:ascii="Times New Roman" w:hAnsi="Times New Roman"/>
                <w:bCs/>
                <w:sz w:val="20"/>
                <w:lang w:val="sr-Cyrl-CS"/>
              </w:rPr>
              <w:t xml:space="preserve"> (517/2014), </w:t>
            </w:r>
            <w:r w:rsidRPr="005303F7">
              <w:rPr>
                <w:rFonts w:ascii="Times New Roman" w:hAnsi="Times New Roman"/>
                <w:bCs/>
                <w:sz w:val="20"/>
                <w:lang w:val="sr-Cyrl-CS"/>
              </w:rPr>
              <w:t>која</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замењује</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претходну</w:t>
            </w:r>
            <w:r w:rsidR="00577EB0" w:rsidRPr="005303F7">
              <w:rPr>
                <w:rFonts w:ascii="Times New Roman" w:hAnsi="Times New Roman"/>
                <w:bCs/>
                <w:sz w:val="20"/>
                <w:lang w:val="sr-Cyrl-CS"/>
              </w:rPr>
              <w:t xml:space="preserve"> (842/2006) </w:t>
            </w:r>
            <w:r w:rsidRPr="005303F7">
              <w:rPr>
                <w:rFonts w:ascii="Times New Roman" w:hAnsi="Times New Roman"/>
                <w:bCs/>
                <w:sz w:val="20"/>
                <w:lang w:val="sr-Cyrl-CS"/>
              </w:rPr>
              <w:t>и</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која</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је</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ступила</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на</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снагу</w:t>
            </w:r>
            <w:r w:rsidR="00577EB0" w:rsidRPr="005303F7">
              <w:rPr>
                <w:rFonts w:ascii="Times New Roman" w:hAnsi="Times New Roman"/>
                <w:bCs/>
                <w:sz w:val="20"/>
                <w:lang w:val="sr-Cyrl-CS"/>
              </w:rPr>
              <w:t xml:space="preserve"> 1. </w:t>
            </w:r>
            <w:r w:rsidRPr="005303F7">
              <w:rPr>
                <w:rFonts w:ascii="Times New Roman" w:hAnsi="Times New Roman"/>
                <w:bCs/>
                <w:sz w:val="20"/>
                <w:lang w:val="sr-Cyrl-CS"/>
              </w:rPr>
              <w:t>јануара</w:t>
            </w:r>
            <w:r w:rsidR="00577EB0" w:rsidRPr="005303F7">
              <w:rPr>
                <w:rFonts w:ascii="Times New Roman" w:hAnsi="Times New Roman"/>
                <w:bCs/>
                <w:sz w:val="20"/>
                <w:lang w:val="sr-Cyrl-CS"/>
              </w:rPr>
              <w:t xml:space="preserve"> 2015. </w:t>
            </w:r>
            <w:r w:rsidR="00B20FDF" w:rsidRPr="005303F7">
              <w:rPr>
                <w:rFonts w:ascii="Times New Roman" w:hAnsi="Times New Roman"/>
                <w:bCs/>
                <w:sz w:val="20"/>
                <w:lang w:val="sr-Cyrl-CS"/>
              </w:rPr>
              <w:t>године</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Уредба</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је</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конципирана</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да</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смањи</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емисију</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флуорованих</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гасов</w:t>
            </w:r>
            <w:r w:rsidR="001465C7" w:rsidRPr="005303F7">
              <w:rPr>
                <w:rFonts w:ascii="Times New Roman" w:hAnsi="Times New Roman"/>
                <w:bCs/>
                <w:sz w:val="20"/>
                <w:lang w:val="sr-Cyrl-CS"/>
              </w:rPr>
              <w:t>а</w:t>
            </w:r>
            <w:r w:rsidR="00577EB0" w:rsidRPr="005303F7">
              <w:rPr>
                <w:rFonts w:ascii="Times New Roman" w:hAnsi="Times New Roman"/>
                <w:bCs/>
                <w:sz w:val="20"/>
                <w:lang w:val="sr-Cyrl-CS"/>
              </w:rPr>
              <w:t xml:space="preserve"> (</w:t>
            </w:r>
            <w:r w:rsidR="00690489" w:rsidRPr="005303F7">
              <w:rPr>
                <w:rFonts w:ascii="Times New Roman" w:hAnsi="Times New Roman"/>
                <w:bCs/>
                <w:sz w:val="20"/>
                <w:lang w:val="sr-Cyrl-CS"/>
              </w:rPr>
              <w:t>F</w:t>
            </w:r>
            <w:r w:rsidR="00577EB0" w:rsidRPr="005303F7">
              <w:rPr>
                <w:rFonts w:ascii="Times New Roman" w:hAnsi="Times New Roman"/>
                <w:bCs/>
                <w:sz w:val="20"/>
                <w:lang w:val="sr-Cyrl-CS"/>
              </w:rPr>
              <w:t>-</w:t>
            </w:r>
            <w:r w:rsidRPr="005303F7">
              <w:rPr>
                <w:rFonts w:ascii="Times New Roman" w:hAnsi="Times New Roman"/>
                <w:bCs/>
                <w:sz w:val="20"/>
                <w:lang w:val="sr-Cyrl-CS"/>
              </w:rPr>
              <w:t>гасови</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за</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две</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тре</w:t>
            </w:r>
            <w:r w:rsidR="00016298" w:rsidRPr="005303F7">
              <w:rPr>
                <w:rFonts w:ascii="Times New Roman" w:hAnsi="Times New Roman"/>
                <w:bCs/>
                <w:sz w:val="20"/>
                <w:lang w:val="sr-Cyrl-CS"/>
              </w:rPr>
              <w:t>ћ</w:t>
            </w:r>
            <w:r w:rsidRPr="005303F7">
              <w:rPr>
                <w:rFonts w:ascii="Times New Roman" w:hAnsi="Times New Roman"/>
                <w:bCs/>
                <w:sz w:val="20"/>
                <w:lang w:val="sr-Cyrl-CS"/>
              </w:rPr>
              <w:t>ине</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у</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односу</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на</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ниво</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из</w:t>
            </w:r>
            <w:r w:rsidR="00577EB0" w:rsidRPr="005303F7">
              <w:rPr>
                <w:rFonts w:ascii="Times New Roman" w:hAnsi="Times New Roman"/>
                <w:bCs/>
                <w:sz w:val="20"/>
                <w:lang w:val="sr-Cyrl-CS"/>
              </w:rPr>
              <w:t xml:space="preserve"> 2017. </w:t>
            </w:r>
            <w:r w:rsidRPr="005303F7">
              <w:rPr>
                <w:rFonts w:ascii="Times New Roman" w:hAnsi="Times New Roman"/>
                <w:bCs/>
                <w:sz w:val="20"/>
                <w:lang w:val="sr-Cyrl-CS"/>
              </w:rPr>
              <w:t>године</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до</w:t>
            </w:r>
            <w:r w:rsidR="00577EB0" w:rsidRPr="005303F7">
              <w:rPr>
                <w:rFonts w:ascii="Times New Roman" w:hAnsi="Times New Roman"/>
                <w:bCs/>
                <w:sz w:val="20"/>
                <w:lang w:val="sr-Cyrl-CS"/>
              </w:rPr>
              <w:t xml:space="preserve"> 2030. </w:t>
            </w:r>
            <w:r w:rsidRPr="005303F7">
              <w:rPr>
                <w:rFonts w:ascii="Times New Roman" w:hAnsi="Times New Roman"/>
                <w:bCs/>
                <w:sz w:val="20"/>
                <w:lang w:val="sr-Cyrl-CS"/>
              </w:rPr>
              <w:t>Уредба</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задржава</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многе</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важне</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и</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успешне</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карактеристике</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претходне</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Уредбе</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о</w:t>
            </w:r>
            <w:r w:rsidR="00577EB0" w:rsidRPr="005303F7">
              <w:rPr>
                <w:rFonts w:ascii="Times New Roman" w:hAnsi="Times New Roman"/>
                <w:bCs/>
                <w:sz w:val="20"/>
                <w:lang w:val="sr-Cyrl-CS"/>
              </w:rPr>
              <w:t xml:space="preserve"> </w:t>
            </w:r>
            <w:r w:rsidR="005A0D30" w:rsidRPr="005303F7">
              <w:rPr>
                <w:rFonts w:ascii="Times New Roman" w:hAnsi="Times New Roman"/>
                <w:bCs/>
                <w:sz w:val="20"/>
                <w:lang w:val="sr-Cyrl-CS"/>
              </w:rPr>
              <w:t>F</w:t>
            </w:r>
            <w:r w:rsidR="00284471" w:rsidRPr="005303F7">
              <w:rPr>
                <w:rFonts w:ascii="Times New Roman" w:hAnsi="Times New Roman"/>
                <w:bCs/>
                <w:sz w:val="20"/>
                <w:lang w:val="sr-Cyrl-CS"/>
              </w:rPr>
              <w:t>-</w:t>
            </w:r>
            <w:r w:rsidRPr="005303F7">
              <w:rPr>
                <w:rFonts w:ascii="Times New Roman" w:hAnsi="Times New Roman"/>
                <w:bCs/>
                <w:sz w:val="20"/>
                <w:lang w:val="sr-Cyrl-CS"/>
              </w:rPr>
              <w:t>гасовима</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у</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погледу</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спречавања</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цурења</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обнав</w:t>
            </w:r>
            <w:r w:rsidR="00D553BE" w:rsidRPr="005303F7">
              <w:rPr>
                <w:rFonts w:ascii="Times New Roman" w:hAnsi="Times New Roman"/>
                <w:bCs/>
                <w:sz w:val="20"/>
                <w:lang w:val="sr-Cyrl-CS"/>
              </w:rPr>
              <w:t>љ</w:t>
            </w:r>
            <w:r w:rsidRPr="005303F7">
              <w:rPr>
                <w:rFonts w:ascii="Times New Roman" w:hAnsi="Times New Roman"/>
                <w:bCs/>
                <w:sz w:val="20"/>
                <w:lang w:val="sr-Cyrl-CS"/>
              </w:rPr>
              <w:t>ања</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гасова</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и</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техничке</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обуке</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К</w:t>
            </w:r>
            <w:r w:rsidR="00D553BE" w:rsidRPr="005303F7">
              <w:rPr>
                <w:rFonts w:ascii="Times New Roman" w:hAnsi="Times New Roman"/>
                <w:bCs/>
                <w:sz w:val="20"/>
                <w:lang w:val="sr-Cyrl-CS"/>
              </w:rPr>
              <w:t>љ</w:t>
            </w:r>
            <w:r w:rsidRPr="005303F7">
              <w:rPr>
                <w:rFonts w:ascii="Times New Roman" w:hAnsi="Times New Roman"/>
                <w:bCs/>
                <w:sz w:val="20"/>
                <w:lang w:val="sr-Cyrl-CS"/>
              </w:rPr>
              <w:t>учни</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додатни</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инструменти</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који</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морају</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бити</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транспоновани</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и</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примењени</w:t>
            </w:r>
            <w:r w:rsidR="00577EB0" w:rsidRPr="005303F7">
              <w:rPr>
                <w:rFonts w:ascii="Times New Roman" w:hAnsi="Times New Roman"/>
                <w:bCs/>
                <w:sz w:val="20"/>
                <w:lang w:val="sr-Cyrl-CS"/>
              </w:rPr>
              <w:t xml:space="preserve"> </w:t>
            </w:r>
            <w:r w:rsidRPr="005303F7">
              <w:rPr>
                <w:rFonts w:ascii="Times New Roman" w:hAnsi="Times New Roman"/>
                <w:bCs/>
                <w:sz w:val="20"/>
                <w:lang w:val="sr-Cyrl-CS"/>
              </w:rPr>
              <w:t>су</w:t>
            </w:r>
            <w:r w:rsidR="00BD116A" w:rsidRPr="005303F7">
              <w:rPr>
                <w:rFonts w:ascii="Times New Roman" w:hAnsi="Times New Roman"/>
                <w:bCs/>
                <w:sz w:val="20"/>
                <w:lang w:val="sr-Cyrl-CS"/>
              </w:rPr>
              <w:t>:</w:t>
            </w:r>
          </w:p>
          <w:p w14:paraId="5B531CF4" w14:textId="760CFC5E" w:rsidR="00BD116A" w:rsidRPr="005303F7" w:rsidRDefault="00B834E0" w:rsidP="00D179E4">
            <w:pPr>
              <w:numPr>
                <w:ilvl w:val="0"/>
                <w:numId w:val="55"/>
              </w:numPr>
              <w:tabs>
                <w:tab w:val="left" w:pos="708"/>
              </w:tabs>
              <w:overflowPunct/>
              <w:spacing w:before="0" w:after="0"/>
              <w:ind w:left="46" w:firstLine="314"/>
              <w:textAlignment w:val="auto"/>
              <w:rPr>
                <w:rFonts w:ascii="Times New Roman" w:hAnsi="Times New Roman"/>
                <w:bCs/>
                <w:sz w:val="20"/>
                <w:lang w:val="sr-Cyrl-CS"/>
              </w:rPr>
            </w:pPr>
            <w:r w:rsidRPr="005303F7">
              <w:rPr>
                <w:rFonts w:ascii="Times New Roman" w:hAnsi="Times New Roman"/>
                <w:bCs/>
                <w:sz w:val="20"/>
                <w:lang w:val="sr-Cyrl-CS"/>
              </w:rPr>
              <w:t>з</w:t>
            </w:r>
            <w:r w:rsidR="008D69AF" w:rsidRPr="005303F7">
              <w:rPr>
                <w:rFonts w:ascii="Times New Roman" w:hAnsi="Times New Roman"/>
                <w:bCs/>
                <w:sz w:val="20"/>
                <w:lang w:val="sr-Cyrl-CS"/>
              </w:rPr>
              <w:t>абрана</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производа</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опреме</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ограничења</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став</w:t>
            </w:r>
            <w:r w:rsidR="00D553BE" w:rsidRPr="005303F7">
              <w:rPr>
                <w:rFonts w:ascii="Times New Roman" w:hAnsi="Times New Roman"/>
                <w:bCs/>
                <w:sz w:val="20"/>
                <w:lang w:val="sr-Cyrl-CS"/>
              </w:rPr>
              <w:t>љ</w:t>
            </w:r>
            <w:r w:rsidR="008D69AF" w:rsidRPr="005303F7">
              <w:rPr>
                <w:rFonts w:ascii="Times New Roman" w:hAnsi="Times New Roman"/>
                <w:bCs/>
                <w:sz w:val="20"/>
                <w:lang w:val="sr-Cyrl-CS"/>
              </w:rPr>
              <w:t>ања</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на</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тржиште</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забране</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одређене</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опреме</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за</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хлађење</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климатизацију</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пена</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погонског</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горива</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која</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користе</w:t>
            </w:r>
            <w:r w:rsidR="00577EB0" w:rsidRPr="005303F7">
              <w:rPr>
                <w:rFonts w:ascii="Times New Roman" w:hAnsi="Times New Roman"/>
                <w:bCs/>
                <w:sz w:val="20"/>
                <w:lang w:val="sr-Cyrl-CS"/>
              </w:rPr>
              <w:t xml:space="preserve"> </w:t>
            </w:r>
            <w:r w:rsidR="00690489" w:rsidRPr="005303F7">
              <w:rPr>
                <w:rFonts w:ascii="Times New Roman" w:hAnsi="Times New Roman"/>
                <w:bCs/>
                <w:sz w:val="20"/>
                <w:lang w:val="sr-Cyrl-CS"/>
              </w:rPr>
              <w:t>F</w:t>
            </w:r>
            <w:r w:rsidR="00577EB0" w:rsidRPr="005303F7">
              <w:rPr>
                <w:rFonts w:ascii="Times New Roman" w:hAnsi="Times New Roman"/>
                <w:bCs/>
                <w:sz w:val="20"/>
                <w:lang w:val="sr-Cyrl-CS"/>
              </w:rPr>
              <w:t>-</w:t>
            </w:r>
            <w:r w:rsidR="008D69AF" w:rsidRPr="005303F7">
              <w:rPr>
                <w:rFonts w:ascii="Times New Roman" w:hAnsi="Times New Roman"/>
                <w:bCs/>
                <w:sz w:val="20"/>
                <w:lang w:val="sr-Cyrl-CS"/>
              </w:rPr>
              <w:t>гасове</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577EB0" w:rsidRPr="005303F7">
              <w:rPr>
                <w:rFonts w:ascii="Times New Roman" w:hAnsi="Times New Roman"/>
                <w:bCs/>
                <w:sz w:val="20"/>
                <w:lang w:val="sr-Cyrl-CS"/>
              </w:rPr>
              <w:t xml:space="preserve"> </w:t>
            </w:r>
            <w:r w:rsidR="005A0D30" w:rsidRPr="005303F7">
              <w:rPr>
                <w:rFonts w:ascii="Times New Roman" w:hAnsi="Times New Roman"/>
                <w:bCs/>
                <w:sz w:val="20"/>
                <w:lang w:val="sr-Cyrl-CS"/>
              </w:rPr>
              <w:t>SF</w:t>
            </w:r>
            <w:r w:rsidR="00577EB0" w:rsidRPr="005303F7">
              <w:rPr>
                <w:rFonts w:ascii="Times New Roman" w:hAnsi="Times New Roman"/>
                <w:bCs/>
                <w:sz w:val="20"/>
                <w:lang w:val="sr-Cyrl-CS"/>
              </w:rPr>
              <w:t>₆</w:t>
            </w:r>
            <w:r w:rsidR="00D179E4" w:rsidRPr="005303F7">
              <w:rPr>
                <w:rFonts w:ascii="Times New Roman" w:hAnsi="Times New Roman"/>
                <w:bCs/>
                <w:sz w:val="20"/>
                <w:lang w:val="sr-Cyrl-CS"/>
              </w:rPr>
              <w:t>;</w:t>
            </w:r>
          </w:p>
          <w:p w14:paraId="4A4E0CD9" w14:textId="7C283B37" w:rsidR="00630B28" w:rsidRPr="005303F7" w:rsidRDefault="00B834E0" w:rsidP="00D179E4">
            <w:pPr>
              <w:numPr>
                <w:ilvl w:val="0"/>
                <w:numId w:val="55"/>
              </w:numPr>
              <w:tabs>
                <w:tab w:val="clear" w:pos="3825"/>
                <w:tab w:val="left" w:pos="755"/>
              </w:tabs>
              <w:overflowPunct/>
              <w:spacing w:before="0" w:after="0"/>
              <w:ind w:left="46" w:firstLine="314"/>
              <w:textAlignment w:val="auto"/>
              <w:rPr>
                <w:rFonts w:ascii="Times New Roman" w:hAnsi="Times New Roman"/>
                <w:bCs/>
                <w:sz w:val="20"/>
                <w:lang w:val="sr-Cyrl-CS"/>
              </w:rPr>
            </w:pPr>
            <w:r w:rsidRPr="005303F7">
              <w:rPr>
                <w:rFonts w:ascii="Times New Roman" w:hAnsi="Times New Roman"/>
                <w:bCs/>
                <w:sz w:val="20"/>
                <w:lang w:val="sr-Cyrl-CS"/>
              </w:rPr>
              <w:t>з</w:t>
            </w:r>
            <w:r w:rsidR="008D69AF" w:rsidRPr="005303F7">
              <w:rPr>
                <w:rFonts w:ascii="Times New Roman" w:hAnsi="Times New Roman"/>
                <w:bCs/>
                <w:sz w:val="20"/>
                <w:lang w:val="sr-Cyrl-CS"/>
              </w:rPr>
              <w:t>абране</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сервисирања</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одржавања</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ограничење</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употребе</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гасова</w:t>
            </w:r>
            <w:r w:rsidR="00785EAA" w:rsidRPr="005303F7">
              <w:rPr>
                <w:rFonts w:ascii="Times New Roman" w:hAnsi="Times New Roman"/>
                <w:bCs/>
                <w:sz w:val="20"/>
                <w:lang w:val="sr-Cyrl-CS"/>
              </w:rPr>
              <w:t xml:space="preserve"> </w:t>
            </w:r>
            <w:r w:rsidR="008D69AF" w:rsidRPr="005303F7">
              <w:rPr>
                <w:rFonts w:ascii="Times New Roman" w:hAnsi="Times New Roman"/>
                <w:bCs/>
                <w:sz w:val="20"/>
                <w:lang w:val="sr-Cyrl-CS"/>
              </w:rPr>
              <w:t>са</w:t>
            </w:r>
            <w:r w:rsidR="00785EAA" w:rsidRPr="005303F7">
              <w:rPr>
                <w:rFonts w:ascii="Times New Roman" w:hAnsi="Times New Roman"/>
                <w:bCs/>
                <w:sz w:val="20"/>
                <w:lang w:val="sr-Cyrl-CS"/>
              </w:rPr>
              <w:t xml:space="preserve"> </w:t>
            </w:r>
            <w:r w:rsidR="008D69AF" w:rsidRPr="005303F7">
              <w:rPr>
                <w:rFonts w:ascii="Times New Roman" w:hAnsi="Times New Roman"/>
                <w:bCs/>
                <w:sz w:val="20"/>
                <w:lang w:val="sr-Cyrl-CS"/>
              </w:rPr>
              <w:t>високим</w:t>
            </w:r>
            <w:r w:rsidR="00785EAA" w:rsidRPr="005303F7">
              <w:rPr>
                <w:rFonts w:ascii="Times New Roman" w:hAnsi="Times New Roman"/>
                <w:bCs/>
                <w:sz w:val="20"/>
                <w:lang w:val="sr-Cyrl-CS"/>
              </w:rPr>
              <w:t xml:space="preserve"> </w:t>
            </w:r>
            <w:r w:rsidR="008D69AF" w:rsidRPr="005303F7">
              <w:rPr>
                <w:rFonts w:ascii="Times New Roman" w:hAnsi="Times New Roman"/>
                <w:bCs/>
                <w:sz w:val="20"/>
                <w:lang w:val="sr-Cyrl-CS"/>
              </w:rPr>
              <w:t>потенцијалом</w:t>
            </w:r>
            <w:r w:rsidR="00785EAA" w:rsidRPr="005303F7">
              <w:rPr>
                <w:rFonts w:ascii="Times New Roman" w:hAnsi="Times New Roman"/>
                <w:bCs/>
                <w:sz w:val="20"/>
                <w:lang w:val="sr-Cyrl-CS"/>
              </w:rPr>
              <w:t xml:space="preserve"> </w:t>
            </w:r>
            <w:r w:rsidR="008D69AF" w:rsidRPr="005303F7">
              <w:rPr>
                <w:rFonts w:ascii="Times New Roman" w:hAnsi="Times New Roman"/>
                <w:bCs/>
                <w:sz w:val="20"/>
                <w:lang w:val="sr-Cyrl-CS"/>
              </w:rPr>
              <w:t>глобалног</w:t>
            </w:r>
            <w:r w:rsidR="00785EAA" w:rsidRPr="005303F7">
              <w:rPr>
                <w:rFonts w:ascii="Times New Roman" w:hAnsi="Times New Roman"/>
                <w:bCs/>
                <w:sz w:val="20"/>
                <w:lang w:val="sr-Cyrl-CS"/>
              </w:rPr>
              <w:t xml:space="preserve"> </w:t>
            </w:r>
            <w:r w:rsidR="008D69AF" w:rsidRPr="005303F7">
              <w:rPr>
                <w:rFonts w:ascii="Times New Roman" w:hAnsi="Times New Roman"/>
                <w:bCs/>
                <w:sz w:val="20"/>
                <w:lang w:val="sr-Cyrl-CS"/>
              </w:rPr>
              <w:t>загрејавања</w:t>
            </w:r>
            <w:r w:rsidR="00785EAA" w:rsidRPr="005303F7">
              <w:rPr>
                <w:rFonts w:ascii="Times New Roman" w:hAnsi="Times New Roman"/>
                <w:bCs/>
                <w:sz w:val="20"/>
                <w:lang w:val="sr-Cyrl-CS"/>
              </w:rPr>
              <w:t xml:space="preserve"> (</w:t>
            </w:r>
            <w:r w:rsidR="008D69AF" w:rsidRPr="005303F7">
              <w:rPr>
                <w:rFonts w:ascii="Times New Roman" w:hAnsi="Times New Roman"/>
                <w:bCs/>
                <w:sz w:val="20"/>
                <w:lang w:val="sr-Cyrl-CS"/>
              </w:rPr>
              <w:t>енгл</w:t>
            </w:r>
            <w:r w:rsidR="00E7719D" w:rsidRPr="005303F7">
              <w:rPr>
                <w:rFonts w:ascii="Times New Roman" w:hAnsi="Times New Roman"/>
                <w:bCs/>
                <w:sz w:val="20"/>
                <w:lang w:val="sr-Cyrl-CS"/>
              </w:rPr>
              <w:t xml:space="preserve"> </w:t>
            </w:r>
            <w:r w:rsidR="005A0D30" w:rsidRPr="005303F7">
              <w:rPr>
                <w:rFonts w:ascii="Times New Roman" w:hAnsi="Times New Roman"/>
                <w:bCs/>
                <w:sz w:val="20"/>
                <w:lang w:val="sr-Cyrl-CS"/>
              </w:rPr>
              <w:t>Global Warming Potential</w:t>
            </w:r>
            <w:r w:rsidR="002D1F70" w:rsidRPr="005303F7">
              <w:rPr>
                <w:rFonts w:ascii="Times New Roman" w:hAnsi="Times New Roman"/>
                <w:bCs/>
                <w:sz w:val="20"/>
                <w:lang w:val="sr-Cyrl-CS"/>
              </w:rPr>
              <w:t xml:space="preserve"> - </w:t>
            </w:r>
            <w:r w:rsidR="005A0D30" w:rsidRPr="005303F7">
              <w:rPr>
                <w:rFonts w:ascii="Times New Roman" w:hAnsi="Times New Roman"/>
                <w:bCs/>
                <w:sz w:val="20"/>
                <w:lang w:val="sr-Cyrl-CS"/>
              </w:rPr>
              <w:t>GWP</w:t>
            </w:r>
            <w:r w:rsidR="00785EAA" w:rsidRPr="005303F7">
              <w:rPr>
                <w:rFonts w:ascii="Times New Roman" w:hAnsi="Times New Roman"/>
                <w:bCs/>
                <w:sz w:val="20"/>
                <w:lang w:val="sr-Cyrl-CS"/>
              </w:rPr>
              <w:t>)</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попут</w:t>
            </w:r>
            <w:r w:rsidR="00577EB0" w:rsidRPr="005303F7">
              <w:rPr>
                <w:rFonts w:ascii="Times New Roman" w:hAnsi="Times New Roman"/>
                <w:bCs/>
                <w:sz w:val="20"/>
                <w:lang w:val="sr-Cyrl-CS"/>
              </w:rPr>
              <w:t xml:space="preserve"> </w:t>
            </w:r>
            <w:r w:rsidR="005A0D30" w:rsidRPr="005303F7">
              <w:rPr>
                <w:rFonts w:ascii="Times New Roman" w:hAnsi="Times New Roman"/>
                <w:bCs/>
                <w:sz w:val="20"/>
                <w:lang w:val="sr-Cyrl-CS"/>
              </w:rPr>
              <w:t>R</w:t>
            </w:r>
            <w:r w:rsidR="00577EB0" w:rsidRPr="005303F7">
              <w:rPr>
                <w:rFonts w:ascii="Times New Roman" w:hAnsi="Times New Roman"/>
                <w:bCs/>
                <w:sz w:val="20"/>
                <w:lang w:val="sr-Cyrl-CS"/>
              </w:rPr>
              <w:t>404</w:t>
            </w:r>
            <w:r w:rsidR="008D69AF" w:rsidRPr="005303F7">
              <w:rPr>
                <w:rFonts w:ascii="Times New Roman" w:hAnsi="Times New Roman"/>
                <w:bCs/>
                <w:sz w:val="20"/>
                <w:lang w:val="sr-Cyrl-CS"/>
              </w:rPr>
              <w:t>А</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577EB0" w:rsidRPr="005303F7">
              <w:rPr>
                <w:rFonts w:ascii="Times New Roman" w:hAnsi="Times New Roman"/>
                <w:bCs/>
                <w:sz w:val="20"/>
                <w:lang w:val="sr-Cyrl-CS"/>
              </w:rPr>
              <w:t xml:space="preserve"> </w:t>
            </w:r>
            <w:r w:rsidR="005A0D30" w:rsidRPr="005303F7">
              <w:rPr>
                <w:rFonts w:ascii="Times New Roman" w:hAnsi="Times New Roman"/>
                <w:bCs/>
                <w:sz w:val="20"/>
                <w:lang w:val="sr-Cyrl-CS"/>
              </w:rPr>
              <w:t>R</w:t>
            </w:r>
            <w:r w:rsidR="00577EB0" w:rsidRPr="005303F7">
              <w:rPr>
                <w:rFonts w:ascii="Times New Roman" w:hAnsi="Times New Roman"/>
                <w:bCs/>
                <w:sz w:val="20"/>
                <w:lang w:val="sr-Cyrl-CS"/>
              </w:rPr>
              <w:t>507</w:t>
            </w:r>
            <w:r w:rsidR="008D69AF" w:rsidRPr="005303F7">
              <w:rPr>
                <w:rFonts w:ascii="Times New Roman" w:hAnsi="Times New Roman"/>
                <w:bCs/>
                <w:sz w:val="20"/>
                <w:lang w:val="sr-Cyrl-CS"/>
              </w:rPr>
              <w:t>А</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у</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постоје</w:t>
            </w:r>
            <w:r w:rsidR="00016298" w:rsidRPr="005303F7">
              <w:rPr>
                <w:rFonts w:ascii="Times New Roman" w:hAnsi="Times New Roman"/>
                <w:bCs/>
                <w:sz w:val="20"/>
                <w:lang w:val="sr-Cyrl-CS"/>
              </w:rPr>
              <w:t>ћ</w:t>
            </w:r>
            <w:r w:rsidR="008D69AF" w:rsidRPr="005303F7">
              <w:rPr>
                <w:rFonts w:ascii="Times New Roman" w:hAnsi="Times New Roman"/>
                <w:bCs/>
                <w:sz w:val="20"/>
                <w:lang w:val="sr-Cyrl-CS"/>
              </w:rPr>
              <w:t>ој</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расхладној</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опреми</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од</w:t>
            </w:r>
            <w:r w:rsidR="00577EB0" w:rsidRPr="005303F7">
              <w:rPr>
                <w:rFonts w:ascii="Times New Roman" w:hAnsi="Times New Roman"/>
                <w:bCs/>
                <w:sz w:val="20"/>
                <w:lang w:val="sr-Cyrl-CS"/>
              </w:rPr>
              <w:t xml:space="preserve"> 202</w:t>
            </w:r>
            <w:r w:rsidR="00630B28" w:rsidRPr="005303F7">
              <w:rPr>
                <w:rFonts w:ascii="Times New Roman" w:hAnsi="Times New Roman"/>
                <w:bCs/>
                <w:sz w:val="20"/>
                <w:lang w:val="sr-Cyrl-CS"/>
              </w:rPr>
              <w:t>3</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године</w:t>
            </w:r>
            <w:r w:rsidRPr="005303F7">
              <w:rPr>
                <w:rFonts w:ascii="Times New Roman" w:hAnsi="Times New Roman"/>
                <w:bCs/>
                <w:sz w:val="20"/>
                <w:lang w:val="sr-Cyrl-CS"/>
              </w:rPr>
              <w:t>;</w:t>
            </w:r>
            <w:r w:rsidR="00AA4DAA" w:rsidRPr="005303F7">
              <w:rPr>
                <w:rFonts w:ascii="Times New Roman" w:hAnsi="Times New Roman"/>
                <w:bCs/>
                <w:sz w:val="20"/>
                <w:lang w:val="sr-Cyrl-CS"/>
              </w:rPr>
              <w:t xml:space="preserve"> </w:t>
            </w:r>
          </w:p>
          <w:p w14:paraId="47EF2502" w14:textId="7431284E" w:rsidR="00BD116A" w:rsidRPr="005303F7" w:rsidRDefault="00B834E0" w:rsidP="00D93231">
            <w:pPr>
              <w:numPr>
                <w:ilvl w:val="0"/>
                <w:numId w:val="55"/>
              </w:numPr>
              <w:tabs>
                <w:tab w:val="left" w:pos="708"/>
              </w:tabs>
              <w:overflowPunct/>
              <w:spacing w:before="0" w:after="0"/>
              <w:textAlignment w:val="auto"/>
              <w:rPr>
                <w:rFonts w:ascii="Times New Roman" w:hAnsi="Times New Roman"/>
                <w:bCs/>
                <w:sz w:val="20"/>
                <w:lang w:val="sr-Cyrl-CS"/>
              </w:rPr>
            </w:pPr>
            <w:r w:rsidRPr="005303F7">
              <w:rPr>
                <w:rFonts w:ascii="Times New Roman" w:hAnsi="Times New Roman"/>
                <w:bCs/>
                <w:sz w:val="20"/>
                <w:lang w:val="sr-Cyrl-CS"/>
              </w:rPr>
              <w:t>о</w:t>
            </w:r>
            <w:r w:rsidR="008D69AF" w:rsidRPr="005303F7">
              <w:rPr>
                <w:rFonts w:ascii="Times New Roman" w:hAnsi="Times New Roman"/>
                <w:bCs/>
                <w:sz w:val="20"/>
                <w:lang w:val="sr-Cyrl-CS"/>
              </w:rPr>
              <w:t>граничавање</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снижавање</w:t>
            </w:r>
            <w:r w:rsidR="00BD116A" w:rsidRPr="005303F7">
              <w:rPr>
                <w:rFonts w:ascii="Times New Roman" w:hAnsi="Times New Roman"/>
                <w:bCs/>
                <w:sz w:val="20"/>
                <w:lang w:val="sr-Cyrl-CS"/>
              </w:rPr>
              <w:t xml:space="preserve">: </w:t>
            </w:r>
            <w:r w:rsidR="008D69AF" w:rsidRPr="005303F7">
              <w:rPr>
                <w:rFonts w:ascii="Times New Roman" w:hAnsi="Times New Roman"/>
                <w:bCs/>
                <w:sz w:val="20"/>
                <w:lang w:val="sr-Cyrl-CS"/>
              </w:rPr>
              <w:t>смањење</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пласирања</w:t>
            </w:r>
            <w:r w:rsidR="00577EB0" w:rsidRPr="005303F7">
              <w:rPr>
                <w:rFonts w:ascii="Times New Roman" w:hAnsi="Times New Roman"/>
                <w:bCs/>
                <w:sz w:val="20"/>
                <w:lang w:val="sr-Cyrl-CS"/>
              </w:rPr>
              <w:t xml:space="preserve"> </w:t>
            </w:r>
            <w:r w:rsidR="00B20FDF" w:rsidRPr="005303F7">
              <w:rPr>
                <w:rFonts w:ascii="Times New Roman" w:hAnsi="Times New Roman"/>
                <w:bCs/>
                <w:sz w:val="20"/>
                <w:lang w:val="sr-Cyrl-CS"/>
              </w:rPr>
              <w:t>F</w:t>
            </w:r>
            <w:r w:rsidR="00577EB0" w:rsidRPr="005303F7">
              <w:rPr>
                <w:rFonts w:ascii="Times New Roman" w:hAnsi="Times New Roman"/>
                <w:bCs/>
                <w:sz w:val="20"/>
                <w:lang w:val="sr-Cyrl-CS"/>
              </w:rPr>
              <w:t>-</w:t>
            </w:r>
            <w:r w:rsidR="008D69AF" w:rsidRPr="005303F7">
              <w:rPr>
                <w:rFonts w:ascii="Times New Roman" w:hAnsi="Times New Roman"/>
                <w:bCs/>
                <w:sz w:val="20"/>
                <w:lang w:val="sr-Cyrl-CS"/>
              </w:rPr>
              <w:t>гасова</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на</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тржиште</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путем</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ограничења</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смањивања</w:t>
            </w:r>
            <w:r w:rsidR="00577EB0" w:rsidRPr="005303F7">
              <w:rPr>
                <w:rFonts w:ascii="Times New Roman" w:hAnsi="Times New Roman"/>
                <w:bCs/>
                <w:sz w:val="20"/>
                <w:lang w:val="sr-Cyrl-CS"/>
              </w:rPr>
              <w:t xml:space="preserve"> </w:t>
            </w:r>
            <w:r w:rsidR="008D69AF" w:rsidRPr="005303F7">
              <w:rPr>
                <w:rFonts w:ascii="Times New Roman" w:hAnsi="Times New Roman"/>
                <w:bCs/>
                <w:sz w:val="20"/>
                <w:lang w:val="sr-Cyrl-CS"/>
              </w:rPr>
              <w:t>испоруке</w:t>
            </w:r>
            <w:r w:rsidR="00577EB0" w:rsidRPr="005303F7">
              <w:rPr>
                <w:rFonts w:ascii="Times New Roman" w:hAnsi="Times New Roman"/>
                <w:bCs/>
                <w:sz w:val="20"/>
                <w:lang w:val="sr-Cyrl-CS"/>
              </w:rPr>
              <w:t xml:space="preserve"> </w:t>
            </w:r>
            <w:r w:rsidR="005A0D30" w:rsidRPr="005303F7">
              <w:rPr>
                <w:rFonts w:ascii="Times New Roman" w:hAnsi="Times New Roman"/>
                <w:bCs/>
                <w:sz w:val="20"/>
                <w:lang w:val="sr-Cyrl-CS"/>
              </w:rPr>
              <w:t>VOC</w:t>
            </w:r>
            <w:r w:rsidR="00577EB0" w:rsidRPr="005303F7">
              <w:rPr>
                <w:rFonts w:ascii="Times New Roman" w:hAnsi="Times New Roman"/>
                <w:bCs/>
                <w:sz w:val="20"/>
                <w:lang w:val="sr-Cyrl-CS"/>
              </w:rPr>
              <w:t>-</w:t>
            </w:r>
            <w:r w:rsidR="008D69AF" w:rsidRPr="005303F7">
              <w:rPr>
                <w:rFonts w:ascii="Times New Roman" w:hAnsi="Times New Roman"/>
                <w:bCs/>
                <w:sz w:val="20"/>
                <w:lang w:val="sr-Cyrl-CS"/>
              </w:rPr>
              <w:t>а</w:t>
            </w:r>
            <w:r w:rsidR="00BD116A" w:rsidRPr="005303F7">
              <w:rPr>
                <w:rFonts w:ascii="Times New Roman" w:hAnsi="Times New Roman"/>
                <w:bCs/>
                <w:sz w:val="20"/>
                <w:lang w:val="sr-Cyrl-CS"/>
              </w:rPr>
              <w:t>.</w:t>
            </w:r>
          </w:p>
          <w:p w14:paraId="0640ABC0" w14:textId="3B2D044F" w:rsidR="00BD116A" w:rsidRPr="005303F7" w:rsidRDefault="00CC6964">
            <w:pPr>
              <w:overflowPunct/>
              <w:spacing w:after="0"/>
              <w:rPr>
                <w:rFonts w:ascii="Times New Roman" w:hAnsi="Times New Roman"/>
                <w:bCs/>
                <w:sz w:val="20"/>
                <w:lang w:val="sr-Cyrl-CS"/>
              </w:rPr>
            </w:pPr>
            <w:r w:rsidRPr="005303F7">
              <w:rPr>
                <w:rFonts w:ascii="Times New Roman" w:hAnsi="Times New Roman"/>
                <w:bCs/>
                <w:sz w:val="20"/>
                <w:lang w:val="sr-Cyrl-CS"/>
              </w:rPr>
              <w:t xml:space="preserve">        </w:t>
            </w:r>
            <w:r w:rsidR="008D69AF" w:rsidRPr="005303F7">
              <w:rPr>
                <w:rFonts w:ascii="Times New Roman" w:hAnsi="Times New Roman"/>
                <w:bCs/>
                <w:sz w:val="20"/>
                <w:lang w:val="sr-Cyrl-CS"/>
              </w:rPr>
              <w:t>На</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основу</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Закона</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о</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заштити</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ваздуха</w:t>
            </w:r>
            <w:r w:rsidR="001F180C" w:rsidRPr="005303F7">
              <w:rPr>
                <w:rFonts w:ascii="Times New Roman" w:hAnsi="Times New Roman"/>
                <w:bCs/>
                <w:sz w:val="20"/>
                <w:lang w:val="sr-Cyrl-CS"/>
              </w:rPr>
              <w:t xml:space="preserve"> (</w:t>
            </w:r>
            <w:r w:rsidR="007A6781" w:rsidRPr="005303F7">
              <w:rPr>
                <w:rFonts w:ascii="Times New Roman" w:hAnsi="Times New Roman"/>
                <w:bCs/>
                <w:sz w:val="20"/>
                <w:lang w:val="sr-Cyrl-CS"/>
              </w:rPr>
              <w:t>„</w:t>
            </w:r>
            <w:r w:rsidR="00C42133" w:rsidRPr="005303F7">
              <w:rPr>
                <w:rFonts w:ascii="Times New Roman" w:hAnsi="Times New Roman"/>
                <w:bCs/>
                <w:sz w:val="20"/>
                <w:lang w:val="sr-Cyrl-CS"/>
              </w:rPr>
              <w:t>Службени</w:t>
            </w:r>
            <w:r w:rsidR="001F180C" w:rsidRPr="005303F7">
              <w:rPr>
                <w:rFonts w:ascii="Times New Roman" w:hAnsi="Times New Roman"/>
                <w:bCs/>
                <w:sz w:val="20"/>
                <w:lang w:val="sr-Cyrl-CS"/>
              </w:rPr>
              <w:t xml:space="preserve"> </w:t>
            </w:r>
            <w:r w:rsidR="00EE03E2" w:rsidRPr="005303F7">
              <w:rPr>
                <w:rFonts w:ascii="Times New Roman" w:hAnsi="Times New Roman"/>
                <w:bCs/>
                <w:sz w:val="20"/>
                <w:lang w:val="sr-Cyrl-CS"/>
              </w:rPr>
              <w:t>г</w:t>
            </w:r>
            <w:r w:rsidR="008D69AF" w:rsidRPr="005303F7">
              <w:rPr>
                <w:rFonts w:ascii="Times New Roman" w:hAnsi="Times New Roman"/>
                <w:bCs/>
                <w:sz w:val="20"/>
                <w:lang w:val="sr-Cyrl-CS"/>
              </w:rPr>
              <w:t>ласник</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РС</w:t>
            </w:r>
            <w:r w:rsidR="00C42133" w:rsidRPr="005303F7">
              <w:rPr>
                <w:rFonts w:ascii="Times New Roman" w:hAnsi="Times New Roman"/>
                <w:bCs/>
                <w:sz w:val="20"/>
                <w:lang w:val="sr-Cyrl-CS"/>
              </w:rPr>
              <w:t>ˮ</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бр</w:t>
            </w:r>
            <w:r w:rsidR="001F180C" w:rsidRPr="005303F7">
              <w:rPr>
                <w:rFonts w:ascii="Times New Roman" w:hAnsi="Times New Roman"/>
                <w:bCs/>
                <w:sz w:val="20"/>
                <w:lang w:val="sr-Cyrl-CS"/>
              </w:rPr>
              <w:t>. 36/09</w:t>
            </w:r>
            <w:r w:rsidR="007A6781" w:rsidRPr="005303F7">
              <w:rPr>
                <w:rFonts w:ascii="Times New Roman" w:hAnsi="Times New Roman"/>
                <w:bCs/>
                <w:sz w:val="20"/>
                <w:lang w:val="sr-Cyrl-CS"/>
              </w:rPr>
              <w:t>,</w:t>
            </w:r>
            <w:r w:rsidR="001F180C" w:rsidRPr="005303F7">
              <w:rPr>
                <w:rFonts w:ascii="Times New Roman" w:hAnsi="Times New Roman"/>
                <w:bCs/>
                <w:sz w:val="20"/>
                <w:lang w:val="sr-Cyrl-CS"/>
              </w:rPr>
              <w:t xml:space="preserve"> 10/13</w:t>
            </w:r>
            <w:r w:rsidR="007A6781" w:rsidRPr="005303F7">
              <w:rPr>
                <w:rFonts w:ascii="Times New Roman" w:hAnsi="Times New Roman"/>
                <w:bCs/>
                <w:sz w:val="20"/>
                <w:lang w:val="sr-Cyrl-CS"/>
              </w:rPr>
              <w:t xml:space="preserve"> и 26/21 – др. закон</w:t>
            </w:r>
            <w:r w:rsidR="001F180C" w:rsidRPr="005303F7">
              <w:rPr>
                <w:rFonts w:ascii="Times New Roman" w:hAnsi="Times New Roman"/>
                <w:bCs/>
                <w:sz w:val="20"/>
                <w:lang w:val="sr-Cyrl-CS"/>
              </w:rPr>
              <w:t xml:space="preserve">), 2013. </w:t>
            </w:r>
            <w:r w:rsidR="008D69AF" w:rsidRPr="005303F7">
              <w:rPr>
                <w:rFonts w:ascii="Times New Roman" w:hAnsi="Times New Roman"/>
                <w:bCs/>
                <w:sz w:val="20"/>
                <w:lang w:val="sr-Cyrl-CS"/>
              </w:rPr>
              <w:t>године</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је</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донесена</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национална</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Уредба</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о</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управ</w:t>
            </w:r>
            <w:r w:rsidR="00D553BE" w:rsidRPr="005303F7">
              <w:rPr>
                <w:rFonts w:ascii="Times New Roman" w:hAnsi="Times New Roman"/>
                <w:bCs/>
                <w:sz w:val="20"/>
                <w:lang w:val="sr-Cyrl-CS"/>
              </w:rPr>
              <w:t>љ</w:t>
            </w:r>
            <w:r w:rsidR="008D69AF" w:rsidRPr="005303F7">
              <w:rPr>
                <w:rFonts w:ascii="Times New Roman" w:hAnsi="Times New Roman"/>
                <w:bCs/>
                <w:sz w:val="20"/>
                <w:lang w:val="sr-Cyrl-CS"/>
              </w:rPr>
              <w:t>ању</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флуорованим</w:t>
            </w:r>
            <w:r w:rsidR="001F180C" w:rsidRPr="005303F7">
              <w:rPr>
                <w:rFonts w:ascii="Times New Roman" w:hAnsi="Times New Roman"/>
                <w:bCs/>
                <w:sz w:val="20"/>
                <w:lang w:val="sr-Cyrl-CS"/>
              </w:rPr>
              <w:t xml:space="preserve"> </w:t>
            </w:r>
            <w:r w:rsidR="005A0D30" w:rsidRPr="005303F7">
              <w:rPr>
                <w:rFonts w:ascii="Times New Roman" w:hAnsi="Times New Roman"/>
                <w:bCs/>
                <w:sz w:val="20"/>
                <w:lang w:val="sr-Cyrl-CS"/>
              </w:rPr>
              <w:t>GHG</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као</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о</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условима</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издавања</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дозвола</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за</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увоз</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извоз</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таквих</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гасова</w:t>
            </w:r>
            <w:r w:rsidR="001F180C" w:rsidRPr="005303F7">
              <w:rPr>
                <w:rFonts w:ascii="Times New Roman" w:hAnsi="Times New Roman"/>
                <w:bCs/>
                <w:sz w:val="20"/>
                <w:lang w:val="sr-Cyrl-CS"/>
              </w:rPr>
              <w:t xml:space="preserve"> (</w:t>
            </w:r>
            <w:r w:rsidR="007A6781" w:rsidRPr="005303F7">
              <w:rPr>
                <w:rFonts w:ascii="Times New Roman" w:hAnsi="Times New Roman"/>
                <w:bCs/>
                <w:sz w:val="20"/>
                <w:lang w:val="sr-Cyrl-CS"/>
              </w:rPr>
              <w:t>„</w:t>
            </w:r>
            <w:r w:rsidR="008D69AF" w:rsidRPr="005303F7">
              <w:rPr>
                <w:rFonts w:ascii="Times New Roman" w:hAnsi="Times New Roman"/>
                <w:bCs/>
                <w:sz w:val="20"/>
                <w:lang w:val="sr-Cyrl-CS"/>
              </w:rPr>
              <w:t>Службени</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гласник</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РС</w:t>
            </w:r>
            <w:r w:rsidR="0035174D" w:rsidRPr="005303F7">
              <w:rPr>
                <w:rFonts w:ascii="Times New Roman" w:hAnsi="Times New Roman"/>
                <w:bCs/>
                <w:sz w:val="20"/>
                <w:lang w:val="sr-Cyrl-CS"/>
              </w:rPr>
              <w:t>”</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бр</w:t>
            </w:r>
            <w:r w:rsidR="001F180C" w:rsidRPr="005303F7">
              <w:rPr>
                <w:rFonts w:ascii="Times New Roman" w:hAnsi="Times New Roman"/>
                <w:bCs/>
                <w:sz w:val="20"/>
                <w:lang w:val="sr-Cyrl-CS"/>
              </w:rPr>
              <w:t xml:space="preserve">. 120/13). </w:t>
            </w:r>
            <w:r w:rsidR="008D69AF" w:rsidRPr="005303F7">
              <w:rPr>
                <w:rFonts w:ascii="Times New Roman" w:hAnsi="Times New Roman"/>
                <w:bCs/>
                <w:sz w:val="20"/>
                <w:lang w:val="sr-Cyrl-CS"/>
              </w:rPr>
              <w:t>Овим</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подзаконским</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актом</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су</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у</w:t>
            </w:r>
            <w:r w:rsidR="005D2512" w:rsidRPr="005303F7">
              <w:rPr>
                <w:rFonts w:ascii="Times New Roman" w:hAnsi="Times New Roman"/>
                <w:bCs/>
                <w:sz w:val="20"/>
                <w:lang w:val="sr-Cyrl-CS"/>
              </w:rPr>
              <w:t xml:space="preserve"> </w:t>
            </w:r>
            <w:r w:rsidR="008D69AF" w:rsidRPr="005303F7">
              <w:rPr>
                <w:rFonts w:ascii="Times New Roman" w:hAnsi="Times New Roman"/>
                <w:bCs/>
                <w:sz w:val="20"/>
                <w:lang w:val="sr-Cyrl-CS"/>
              </w:rPr>
              <w:t>национално</w:t>
            </w:r>
            <w:r w:rsidR="0055423D" w:rsidRPr="005303F7">
              <w:rPr>
                <w:rFonts w:ascii="Times New Roman" w:hAnsi="Times New Roman"/>
                <w:bCs/>
                <w:sz w:val="20"/>
                <w:lang w:val="sr-Cyrl-CS"/>
              </w:rPr>
              <w:t xml:space="preserve"> </w:t>
            </w:r>
            <w:r w:rsidR="008D69AF" w:rsidRPr="005303F7">
              <w:rPr>
                <w:rFonts w:ascii="Times New Roman" w:hAnsi="Times New Roman"/>
                <w:bCs/>
                <w:sz w:val="20"/>
                <w:lang w:val="sr-Cyrl-CS"/>
              </w:rPr>
              <w:t>законодавство</w:t>
            </w:r>
            <w:r w:rsidR="005D2512" w:rsidRPr="005303F7">
              <w:rPr>
                <w:rFonts w:ascii="Times New Roman" w:hAnsi="Times New Roman"/>
                <w:bCs/>
                <w:sz w:val="20"/>
                <w:lang w:val="sr-Cyrl-CS"/>
              </w:rPr>
              <w:t xml:space="preserve"> </w:t>
            </w:r>
            <w:r w:rsidR="00D73AAB" w:rsidRPr="005303F7">
              <w:rPr>
                <w:rFonts w:ascii="Times New Roman" w:hAnsi="Times New Roman"/>
                <w:bCs/>
                <w:sz w:val="20"/>
                <w:lang w:val="sr-Cyrl-CS"/>
              </w:rPr>
              <w:t>Републике Србије</w:t>
            </w:r>
            <w:r w:rsidR="005D2512" w:rsidRPr="005303F7">
              <w:rPr>
                <w:rFonts w:ascii="Times New Roman" w:hAnsi="Times New Roman"/>
                <w:bCs/>
                <w:sz w:val="20"/>
                <w:lang w:val="sr-Cyrl-CS"/>
              </w:rPr>
              <w:t xml:space="preserve"> </w:t>
            </w:r>
            <w:r w:rsidR="008D69AF" w:rsidRPr="005303F7">
              <w:rPr>
                <w:rFonts w:ascii="Times New Roman" w:hAnsi="Times New Roman"/>
                <w:bCs/>
                <w:sz w:val="20"/>
                <w:lang w:val="sr-Cyrl-CS"/>
              </w:rPr>
              <w:t>транспоноване</w:t>
            </w:r>
            <w:r w:rsidR="005D2512" w:rsidRPr="005303F7">
              <w:rPr>
                <w:rFonts w:ascii="Times New Roman" w:hAnsi="Times New Roman"/>
                <w:bCs/>
                <w:sz w:val="20"/>
                <w:lang w:val="sr-Cyrl-CS"/>
              </w:rPr>
              <w:t xml:space="preserve"> </w:t>
            </w:r>
            <w:r w:rsidR="008D69AF" w:rsidRPr="005303F7">
              <w:rPr>
                <w:rFonts w:ascii="Times New Roman" w:hAnsi="Times New Roman"/>
                <w:bCs/>
                <w:sz w:val="20"/>
                <w:lang w:val="sr-Cyrl-CS"/>
              </w:rPr>
              <w:t>неке</w:t>
            </w:r>
            <w:r w:rsidR="005D2512" w:rsidRPr="005303F7">
              <w:rPr>
                <w:rFonts w:ascii="Times New Roman" w:hAnsi="Times New Roman"/>
                <w:bCs/>
                <w:sz w:val="20"/>
                <w:lang w:val="sr-Cyrl-CS"/>
              </w:rPr>
              <w:t xml:space="preserve"> </w:t>
            </w:r>
            <w:r w:rsidR="008D69AF" w:rsidRPr="005303F7">
              <w:rPr>
                <w:rFonts w:ascii="Times New Roman" w:hAnsi="Times New Roman"/>
                <w:bCs/>
                <w:sz w:val="20"/>
                <w:lang w:val="sr-Cyrl-CS"/>
              </w:rPr>
              <w:t>одредбе</w:t>
            </w:r>
            <w:r w:rsidR="005D2512"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прописа</w:t>
            </w:r>
            <w:r w:rsidR="005D2512" w:rsidRPr="005303F7">
              <w:rPr>
                <w:rFonts w:ascii="Times New Roman" w:hAnsi="Times New Roman"/>
                <w:bCs/>
                <w:sz w:val="20"/>
                <w:lang w:val="sr-Cyrl-CS"/>
              </w:rPr>
              <w:t xml:space="preserve"> </w:t>
            </w:r>
            <w:r w:rsidR="008D69AF" w:rsidRPr="005303F7">
              <w:rPr>
                <w:rFonts w:ascii="Times New Roman" w:hAnsi="Times New Roman"/>
                <w:bCs/>
                <w:sz w:val="20"/>
                <w:lang w:val="sr-Cyrl-CS"/>
              </w:rPr>
              <w:t>ЕУ</w:t>
            </w:r>
            <w:r w:rsidR="005D2512" w:rsidRPr="005303F7">
              <w:rPr>
                <w:rFonts w:ascii="Times New Roman" w:hAnsi="Times New Roman"/>
                <w:bCs/>
                <w:sz w:val="20"/>
                <w:lang w:val="sr-Cyrl-CS"/>
              </w:rPr>
              <w:t xml:space="preserve">, </w:t>
            </w:r>
            <w:r w:rsidR="008D69AF" w:rsidRPr="005303F7">
              <w:rPr>
                <w:rFonts w:ascii="Times New Roman" w:hAnsi="Times New Roman"/>
                <w:bCs/>
                <w:sz w:val="20"/>
                <w:lang w:val="sr-Cyrl-CS"/>
              </w:rPr>
              <w:t>попут</w:t>
            </w:r>
            <w:r w:rsidR="001F180C" w:rsidRPr="005303F7">
              <w:rPr>
                <w:rFonts w:ascii="Times New Roman" w:hAnsi="Times New Roman"/>
                <w:bCs/>
                <w:sz w:val="20"/>
                <w:lang w:val="sr-Cyrl-CS"/>
              </w:rPr>
              <w:t xml:space="preserve"> 842/2006 / </w:t>
            </w:r>
            <w:r w:rsidR="008D69AF" w:rsidRPr="005303F7">
              <w:rPr>
                <w:rFonts w:ascii="Times New Roman" w:hAnsi="Times New Roman"/>
                <w:bCs/>
                <w:sz w:val="20"/>
                <w:lang w:val="sr-Cyrl-CS"/>
              </w:rPr>
              <w:t>ЕК</w:t>
            </w:r>
            <w:r w:rsidR="001F180C" w:rsidRPr="005303F7">
              <w:rPr>
                <w:rFonts w:ascii="Times New Roman" w:hAnsi="Times New Roman"/>
                <w:bCs/>
                <w:sz w:val="20"/>
                <w:lang w:val="sr-Cyrl-CS"/>
              </w:rPr>
              <w:t xml:space="preserve">, 1493/2007 / </w:t>
            </w:r>
            <w:r w:rsidR="008D69AF" w:rsidRPr="005303F7">
              <w:rPr>
                <w:rFonts w:ascii="Times New Roman" w:hAnsi="Times New Roman"/>
                <w:bCs/>
                <w:sz w:val="20"/>
                <w:lang w:val="sr-Cyrl-CS"/>
              </w:rPr>
              <w:t>ЕК</w:t>
            </w:r>
            <w:r w:rsidR="001F180C" w:rsidRPr="005303F7">
              <w:rPr>
                <w:rFonts w:ascii="Times New Roman" w:hAnsi="Times New Roman"/>
                <w:bCs/>
                <w:sz w:val="20"/>
                <w:lang w:val="sr-Cyrl-CS"/>
              </w:rPr>
              <w:t xml:space="preserve">, 1494/2007 / </w:t>
            </w:r>
            <w:r w:rsidR="008D69AF" w:rsidRPr="005303F7">
              <w:rPr>
                <w:rFonts w:ascii="Times New Roman" w:hAnsi="Times New Roman"/>
                <w:bCs/>
                <w:sz w:val="20"/>
                <w:lang w:val="sr-Cyrl-CS"/>
              </w:rPr>
              <w:t>ЕК</w:t>
            </w:r>
            <w:r w:rsidR="001F180C" w:rsidRPr="005303F7">
              <w:rPr>
                <w:rFonts w:ascii="Times New Roman" w:hAnsi="Times New Roman"/>
                <w:bCs/>
                <w:sz w:val="20"/>
                <w:lang w:val="sr-Cyrl-CS"/>
              </w:rPr>
              <w:t xml:space="preserve">, 1497/2007 / </w:t>
            </w:r>
            <w:r w:rsidR="008D69AF" w:rsidRPr="005303F7">
              <w:rPr>
                <w:rFonts w:ascii="Times New Roman" w:hAnsi="Times New Roman"/>
                <w:bCs/>
                <w:sz w:val="20"/>
                <w:lang w:val="sr-Cyrl-CS"/>
              </w:rPr>
              <w:t>ЕК</w:t>
            </w:r>
            <w:r w:rsidR="001F180C" w:rsidRPr="005303F7">
              <w:rPr>
                <w:rFonts w:ascii="Times New Roman" w:hAnsi="Times New Roman"/>
                <w:bCs/>
                <w:sz w:val="20"/>
                <w:lang w:val="sr-Cyrl-CS"/>
              </w:rPr>
              <w:t>, 1516/2007/</w:t>
            </w:r>
            <w:r w:rsidR="008D69AF" w:rsidRPr="005303F7">
              <w:rPr>
                <w:rFonts w:ascii="Times New Roman" w:hAnsi="Times New Roman"/>
                <w:bCs/>
                <w:sz w:val="20"/>
                <w:lang w:val="sr-Cyrl-CS"/>
              </w:rPr>
              <w:t>ЕК</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Директиве</w:t>
            </w:r>
            <w:r w:rsidR="001F180C" w:rsidRPr="005303F7">
              <w:rPr>
                <w:rFonts w:ascii="Times New Roman" w:hAnsi="Times New Roman"/>
                <w:bCs/>
                <w:sz w:val="20"/>
                <w:lang w:val="sr-Cyrl-CS"/>
              </w:rPr>
              <w:t xml:space="preserve"> 2006/40/</w:t>
            </w:r>
            <w:r w:rsidR="008D69AF" w:rsidRPr="005303F7">
              <w:rPr>
                <w:rFonts w:ascii="Times New Roman" w:hAnsi="Times New Roman"/>
                <w:bCs/>
                <w:sz w:val="20"/>
                <w:lang w:val="sr-Cyrl-CS"/>
              </w:rPr>
              <w:t>ЕК</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Међутим</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преношење</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прописа</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ЕУ</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у</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национално</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законодавство</w:t>
            </w:r>
            <w:r w:rsidR="001F180C" w:rsidRPr="005303F7">
              <w:rPr>
                <w:rFonts w:ascii="Times New Roman" w:hAnsi="Times New Roman"/>
                <w:bCs/>
                <w:sz w:val="20"/>
                <w:lang w:val="sr-Cyrl-CS"/>
              </w:rPr>
              <w:t xml:space="preserve"> </w:t>
            </w:r>
            <w:r w:rsidR="00D73AAB" w:rsidRPr="005303F7">
              <w:rPr>
                <w:rFonts w:ascii="Times New Roman" w:hAnsi="Times New Roman"/>
                <w:bCs/>
                <w:sz w:val="20"/>
                <w:lang w:val="sr-Cyrl-CS"/>
              </w:rPr>
              <w:t>Републике Србије</w:t>
            </w:r>
            <w:r w:rsidR="00E65AD1" w:rsidRPr="005303F7">
              <w:rPr>
                <w:rFonts w:ascii="Times New Roman" w:hAnsi="Times New Roman"/>
                <w:bCs/>
                <w:sz w:val="20"/>
                <w:lang w:val="sr-Cyrl-CS"/>
              </w:rPr>
              <w:t xml:space="preserve"> </w:t>
            </w:r>
            <w:r w:rsidR="008D69AF" w:rsidRPr="005303F7">
              <w:rPr>
                <w:rFonts w:ascii="Times New Roman" w:hAnsi="Times New Roman"/>
                <w:bCs/>
                <w:sz w:val="20"/>
                <w:lang w:val="sr-Cyrl-CS"/>
              </w:rPr>
              <w:t>је</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у</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почетној</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фази</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Национална</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уредба</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још</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није</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у</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потпуности</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усклађена</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са</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одредбама</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које</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се</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односе</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на</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обуку</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сертификацију</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техничких</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лица</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контролу</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употребе</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флуорованих</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гасова</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успостав</w:t>
            </w:r>
            <w:r w:rsidR="00D553BE" w:rsidRPr="005303F7">
              <w:rPr>
                <w:rFonts w:ascii="Times New Roman" w:hAnsi="Times New Roman"/>
                <w:bCs/>
                <w:sz w:val="20"/>
                <w:lang w:val="sr-Cyrl-CS"/>
              </w:rPr>
              <w:t>љ</w:t>
            </w:r>
            <w:r w:rsidR="008D69AF" w:rsidRPr="005303F7">
              <w:rPr>
                <w:rFonts w:ascii="Times New Roman" w:hAnsi="Times New Roman"/>
                <w:bCs/>
                <w:sz w:val="20"/>
                <w:lang w:val="sr-Cyrl-CS"/>
              </w:rPr>
              <w:t>ање</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доделу</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квота</w:t>
            </w:r>
            <w:r w:rsidR="00D52984" w:rsidRPr="005303F7">
              <w:rPr>
                <w:rFonts w:ascii="Times New Roman" w:hAnsi="Times New Roman"/>
                <w:bCs/>
                <w:sz w:val="20"/>
                <w:lang w:val="sr-Cyrl-CS"/>
              </w:rPr>
              <w:t xml:space="preserve"> </w:t>
            </w:r>
            <w:r w:rsidR="008D69AF" w:rsidRPr="005303F7">
              <w:rPr>
                <w:rFonts w:ascii="Times New Roman" w:hAnsi="Times New Roman"/>
                <w:bCs/>
                <w:sz w:val="20"/>
                <w:lang w:val="sr-Cyrl-CS"/>
              </w:rPr>
              <w:t>за</w:t>
            </w:r>
            <w:r w:rsidR="00D52984" w:rsidRPr="005303F7">
              <w:rPr>
                <w:rFonts w:ascii="Times New Roman" w:hAnsi="Times New Roman"/>
                <w:bCs/>
                <w:sz w:val="20"/>
                <w:lang w:val="sr-Cyrl-CS"/>
              </w:rPr>
              <w:t xml:space="preserve"> </w:t>
            </w:r>
            <w:r w:rsidR="008D69AF" w:rsidRPr="005303F7">
              <w:rPr>
                <w:rFonts w:ascii="Times New Roman" w:hAnsi="Times New Roman"/>
                <w:bCs/>
                <w:sz w:val="20"/>
                <w:lang w:val="sr-Cyrl-CS"/>
              </w:rPr>
              <w:t>пласирање</w:t>
            </w:r>
            <w:r w:rsidR="00D52984" w:rsidRPr="005303F7">
              <w:rPr>
                <w:rFonts w:ascii="Times New Roman" w:hAnsi="Times New Roman"/>
                <w:bCs/>
                <w:sz w:val="20"/>
                <w:lang w:val="sr-Cyrl-CS"/>
              </w:rPr>
              <w:t xml:space="preserve"> </w:t>
            </w:r>
            <w:r w:rsidR="008D69AF" w:rsidRPr="005303F7">
              <w:rPr>
                <w:rFonts w:ascii="Times New Roman" w:hAnsi="Times New Roman"/>
                <w:bCs/>
                <w:sz w:val="20"/>
                <w:lang w:val="sr-Cyrl-CS"/>
              </w:rPr>
              <w:t>флуорованих</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гасова</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на</w:t>
            </w:r>
            <w:r w:rsidR="001F180C" w:rsidRPr="005303F7">
              <w:rPr>
                <w:rFonts w:ascii="Times New Roman" w:hAnsi="Times New Roman"/>
                <w:bCs/>
                <w:sz w:val="20"/>
                <w:lang w:val="sr-Cyrl-CS"/>
              </w:rPr>
              <w:t xml:space="preserve"> </w:t>
            </w:r>
            <w:r w:rsidR="008D69AF" w:rsidRPr="005303F7">
              <w:rPr>
                <w:rFonts w:ascii="Times New Roman" w:hAnsi="Times New Roman"/>
                <w:bCs/>
                <w:sz w:val="20"/>
                <w:lang w:val="sr-Cyrl-CS"/>
              </w:rPr>
              <w:t>тржиште</w:t>
            </w:r>
            <w:r w:rsidR="00785EAA" w:rsidRPr="005303F7">
              <w:rPr>
                <w:rFonts w:ascii="Times New Roman" w:hAnsi="Times New Roman"/>
                <w:bCs/>
                <w:sz w:val="20"/>
                <w:lang w:val="sr-Cyrl-CS"/>
              </w:rPr>
              <w:t>.</w:t>
            </w:r>
          </w:p>
          <w:p w14:paraId="6CB5BCE3" w14:textId="7DD11345" w:rsidR="00420F89" w:rsidRPr="005303F7" w:rsidRDefault="00CC6964">
            <w:pPr>
              <w:overflowPunct/>
              <w:spacing w:after="0"/>
              <w:rPr>
                <w:rFonts w:ascii="Times New Roman" w:hAnsi="Times New Roman"/>
                <w:bCs/>
                <w:sz w:val="20"/>
                <w:lang w:val="sr-Cyrl-CS"/>
              </w:rPr>
            </w:pPr>
            <w:r w:rsidRPr="005303F7">
              <w:rPr>
                <w:rFonts w:ascii="Times New Roman" w:hAnsi="Times New Roman"/>
                <w:bCs/>
                <w:sz w:val="20"/>
                <w:lang w:val="sr-Cyrl-CS"/>
              </w:rPr>
              <w:t xml:space="preserve">        </w:t>
            </w:r>
            <w:r w:rsidR="00D73AAB" w:rsidRPr="005303F7">
              <w:rPr>
                <w:rFonts w:ascii="Times New Roman" w:hAnsi="Times New Roman"/>
                <w:bCs/>
                <w:sz w:val="20"/>
                <w:lang w:val="sr-Cyrl-CS"/>
              </w:rPr>
              <w:t>Република Србија</w:t>
            </w:r>
            <w:r w:rsidR="00420F89" w:rsidRPr="005303F7">
              <w:rPr>
                <w:rFonts w:ascii="Times New Roman" w:hAnsi="Times New Roman"/>
                <w:bCs/>
                <w:sz w:val="20"/>
                <w:lang w:val="sr-Cyrl-CS"/>
              </w:rPr>
              <w:t xml:space="preserve"> </w:t>
            </w:r>
            <w:r w:rsidR="00B06D62" w:rsidRPr="005303F7">
              <w:rPr>
                <w:rFonts w:ascii="Times New Roman" w:hAnsi="Times New Roman"/>
                <w:bCs/>
                <w:sz w:val="20"/>
                <w:lang w:val="sr-Cyrl-CS"/>
              </w:rPr>
              <w:t>ћ</w:t>
            </w:r>
            <w:r w:rsidR="008D69AF" w:rsidRPr="005303F7">
              <w:rPr>
                <w:rFonts w:ascii="Times New Roman" w:hAnsi="Times New Roman"/>
                <w:bCs/>
                <w:sz w:val="20"/>
                <w:lang w:val="sr-Cyrl-CS"/>
              </w:rPr>
              <w:t>е</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транспонирати</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6252D2" w:rsidRPr="005303F7">
              <w:rPr>
                <w:rFonts w:ascii="Times New Roman" w:hAnsi="Times New Roman"/>
                <w:bCs/>
                <w:sz w:val="20"/>
                <w:lang w:val="sr-Cyrl-CS"/>
              </w:rPr>
              <w:t xml:space="preserve"> </w:t>
            </w:r>
            <w:r w:rsidR="008D69AF" w:rsidRPr="005303F7">
              <w:rPr>
                <w:rFonts w:ascii="Times New Roman" w:hAnsi="Times New Roman"/>
                <w:bCs/>
                <w:sz w:val="20"/>
                <w:lang w:val="sr-Cyrl-CS"/>
              </w:rPr>
              <w:t>имплементирати</w:t>
            </w:r>
            <w:r w:rsidR="006252D2" w:rsidRPr="005303F7">
              <w:rPr>
                <w:rFonts w:ascii="Times New Roman" w:hAnsi="Times New Roman"/>
                <w:bCs/>
                <w:sz w:val="20"/>
                <w:lang w:val="sr-Cyrl-CS"/>
              </w:rPr>
              <w:t xml:space="preserve"> </w:t>
            </w:r>
            <w:r w:rsidR="008D69AF" w:rsidRPr="005303F7">
              <w:rPr>
                <w:rFonts w:ascii="Times New Roman" w:hAnsi="Times New Roman"/>
                <w:bCs/>
                <w:sz w:val="20"/>
                <w:lang w:val="sr-Cyrl-CS"/>
              </w:rPr>
              <w:t>уредбу</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о</w:t>
            </w:r>
            <w:r w:rsidR="00420F89" w:rsidRPr="005303F7">
              <w:rPr>
                <w:rFonts w:ascii="Times New Roman" w:hAnsi="Times New Roman"/>
                <w:bCs/>
                <w:sz w:val="20"/>
                <w:lang w:val="sr-Cyrl-CS"/>
              </w:rPr>
              <w:t xml:space="preserve"> </w:t>
            </w:r>
            <w:r w:rsidR="00690489" w:rsidRPr="005303F7">
              <w:rPr>
                <w:rFonts w:ascii="Times New Roman" w:hAnsi="Times New Roman"/>
                <w:bCs/>
                <w:sz w:val="20"/>
                <w:lang w:val="sr-Cyrl-CS"/>
              </w:rPr>
              <w:t>F</w:t>
            </w:r>
            <w:r w:rsidR="00420F89" w:rsidRPr="005303F7">
              <w:rPr>
                <w:rFonts w:ascii="Times New Roman" w:hAnsi="Times New Roman"/>
                <w:bCs/>
                <w:sz w:val="20"/>
                <w:lang w:val="sr-Cyrl-CS"/>
              </w:rPr>
              <w:t>-</w:t>
            </w:r>
            <w:r w:rsidR="008D69AF" w:rsidRPr="005303F7">
              <w:rPr>
                <w:rFonts w:ascii="Times New Roman" w:hAnsi="Times New Roman"/>
                <w:bCs/>
                <w:sz w:val="20"/>
                <w:lang w:val="sr-Cyrl-CS"/>
              </w:rPr>
              <w:t>гасовима</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са</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следећим</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дерогацијама</w:t>
            </w:r>
            <w:r w:rsidR="00B20FDF" w:rsidRPr="005303F7">
              <w:rPr>
                <w:rFonts w:ascii="Times New Roman" w:hAnsi="Times New Roman"/>
                <w:bCs/>
                <w:sz w:val="20"/>
                <w:lang w:val="sr-Cyrl-CS"/>
              </w:rPr>
              <w:t>:</w:t>
            </w:r>
          </w:p>
          <w:p w14:paraId="4BF85E59" w14:textId="0EB20337" w:rsidR="00420F89" w:rsidRPr="005303F7" w:rsidRDefault="00B60FA0" w:rsidP="00CA2A46">
            <w:pPr>
              <w:numPr>
                <w:ilvl w:val="0"/>
                <w:numId w:val="56"/>
              </w:numPr>
              <w:tabs>
                <w:tab w:val="left" w:pos="708"/>
              </w:tabs>
              <w:overflowPunct/>
              <w:spacing w:before="0" w:after="0"/>
              <w:ind w:left="46" w:firstLine="314"/>
              <w:textAlignment w:val="auto"/>
              <w:rPr>
                <w:rFonts w:ascii="Times New Roman" w:hAnsi="Times New Roman"/>
                <w:sz w:val="20"/>
                <w:lang w:val="sr-Cyrl-CS"/>
              </w:rPr>
            </w:pPr>
            <w:r w:rsidRPr="005303F7">
              <w:rPr>
                <w:rFonts w:ascii="Times New Roman" w:hAnsi="Times New Roman"/>
                <w:bCs/>
                <w:sz w:val="20"/>
                <w:lang w:val="sr-Cyrl-CS"/>
              </w:rPr>
              <w:t>з</w:t>
            </w:r>
            <w:r w:rsidR="008D69AF" w:rsidRPr="005303F7">
              <w:rPr>
                <w:rFonts w:ascii="Times New Roman" w:hAnsi="Times New Roman"/>
                <w:bCs/>
                <w:sz w:val="20"/>
                <w:lang w:val="sr-Cyrl-CS"/>
              </w:rPr>
              <w:t>абране</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сервисирања</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одржавања</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ограничење</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употребе</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гасова</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са</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високим</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потенцијалом</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глобалног</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загрејавања</w:t>
            </w:r>
            <w:r w:rsidR="00420F89" w:rsidRPr="005303F7">
              <w:rPr>
                <w:rFonts w:ascii="Times New Roman" w:hAnsi="Times New Roman"/>
                <w:bCs/>
                <w:sz w:val="20"/>
                <w:lang w:val="sr-Cyrl-CS"/>
              </w:rPr>
              <w:t xml:space="preserve"> (</w:t>
            </w:r>
            <w:r w:rsidR="007A6781" w:rsidRPr="005303F7">
              <w:rPr>
                <w:rFonts w:ascii="Times New Roman" w:hAnsi="Times New Roman"/>
                <w:bCs/>
                <w:sz w:val="20"/>
                <w:lang w:val="sr-Cyrl-CS"/>
              </w:rPr>
              <w:t xml:space="preserve">енлг. </w:t>
            </w:r>
            <w:r w:rsidR="005A0D30" w:rsidRPr="005303F7">
              <w:rPr>
                <w:rFonts w:ascii="Times New Roman" w:hAnsi="Times New Roman"/>
                <w:bCs/>
                <w:sz w:val="20"/>
                <w:lang w:val="sr-Cyrl-CS"/>
              </w:rPr>
              <w:t>GWP</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попут</w:t>
            </w:r>
            <w:r w:rsidR="00420F89" w:rsidRPr="005303F7">
              <w:rPr>
                <w:rFonts w:ascii="Times New Roman" w:hAnsi="Times New Roman"/>
                <w:bCs/>
                <w:sz w:val="20"/>
                <w:lang w:val="sr-Cyrl-CS"/>
              </w:rPr>
              <w:t xml:space="preserve"> </w:t>
            </w:r>
            <w:r w:rsidR="005A0D30" w:rsidRPr="005303F7">
              <w:rPr>
                <w:rFonts w:ascii="Times New Roman" w:hAnsi="Times New Roman"/>
                <w:bCs/>
                <w:sz w:val="20"/>
                <w:lang w:val="sr-Cyrl-CS"/>
              </w:rPr>
              <w:t>R</w:t>
            </w:r>
            <w:r w:rsidR="00420F89" w:rsidRPr="005303F7">
              <w:rPr>
                <w:rFonts w:ascii="Times New Roman" w:hAnsi="Times New Roman"/>
                <w:bCs/>
                <w:sz w:val="20"/>
                <w:lang w:val="sr-Cyrl-CS"/>
              </w:rPr>
              <w:t>404</w:t>
            </w:r>
            <w:r w:rsidR="008D69AF" w:rsidRPr="005303F7">
              <w:rPr>
                <w:rFonts w:ascii="Times New Roman" w:hAnsi="Times New Roman"/>
                <w:bCs/>
                <w:sz w:val="20"/>
                <w:lang w:val="sr-Cyrl-CS"/>
              </w:rPr>
              <w:t>А</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420F89" w:rsidRPr="005303F7">
              <w:rPr>
                <w:rFonts w:ascii="Times New Roman" w:hAnsi="Times New Roman"/>
                <w:bCs/>
                <w:sz w:val="20"/>
                <w:lang w:val="sr-Cyrl-CS"/>
              </w:rPr>
              <w:t xml:space="preserve"> </w:t>
            </w:r>
            <w:r w:rsidR="005A0D30" w:rsidRPr="005303F7">
              <w:rPr>
                <w:rFonts w:ascii="Times New Roman" w:hAnsi="Times New Roman"/>
                <w:bCs/>
                <w:sz w:val="20"/>
                <w:lang w:val="sr-Cyrl-CS"/>
              </w:rPr>
              <w:t>R</w:t>
            </w:r>
            <w:r w:rsidR="00420F89" w:rsidRPr="005303F7">
              <w:rPr>
                <w:rFonts w:ascii="Times New Roman" w:hAnsi="Times New Roman"/>
                <w:bCs/>
                <w:sz w:val="20"/>
                <w:lang w:val="sr-Cyrl-CS"/>
              </w:rPr>
              <w:t>507</w:t>
            </w:r>
            <w:r w:rsidR="008D69AF" w:rsidRPr="005303F7">
              <w:rPr>
                <w:rFonts w:ascii="Times New Roman" w:hAnsi="Times New Roman"/>
                <w:bCs/>
                <w:sz w:val="20"/>
                <w:lang w:val="sr-Cyrl-CS"/>
              </w:rPr>
              <w:t>А</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у</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постоје</w:t>
            </w:r>
            <w:r w:rsidR="00016298" w:rsidRPr="005303F7">
              <w:rPr>
                <w:rFonts w:ascii="Times New Roman" w:hAnsi="Times New Roman"/>
                <w:bCs/>
                <w:sz w:val="20"/>
                <w:lang w:val="sr-Cyrl-CS"/>
              </w:rPr>
              <w:t>ћ</w:t>
            </w:r>
            <w:r w:rsidR="008D69AF" w:rsidRPr="005303F7">
              <w:rPr>
                <w:rFonts w:ascii="Times New Roman" w:hAnsi="Times New Roman"/>
                <w:bCs/>
                <w:sz w:val="20"/>
                <w:lang w:val="sr-Cyrl-CS"/>
              </w:rPr>
              <w:t>ој</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расхладној</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опреми</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где</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су</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пуњења</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већа</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од</w:t>
            </w:r>
            <w:r w:rsidR="00420F89" w:rsidRPr="005303F7">
              <w:rPr>
                <w:rFonts w:ascii="Times New Roman" w:hAnsi="Times New Roman"/>
                <w:bCs/>
                <w:sz w:val="20"/>
                <w:lang w:val="sr-Cyrl-CS"/>
              </w:rPr>
              <w:t xml:space="preserve"> 40 </w:t>
            </w:r>
            <w:r w:rsidR="008D69AF" w:rsidRPr="005303F7">
              <w:rPr>
                <w:rFonts w:ascii="Times New Roman" w:hAnsi="Times New Roman"/>
                <w:bCs/>
                <w:sz w:val="20"/>
                <w:lang w:val="sr-Cyrl-CS"/>
              </w:rPr>
              <w:t>тона</w:t>
            </w:r>
            <w:r w:rsidR="00420F89" w:rsidRPr="005303F7">
              <w:rPr>
                <w:rFonts w:ascii="Times New Roman" w:hAnsi="Times New Roman"/>
                <w:bCs/>
                <w:sz w:val="20"/>
                <w:lang w:val="sr-Cyrl-CS"/>
              </w:rPr>
              <w:t xml:space="preserve"> </w:t>
            </w:r>
            <w:r w:rsidR="005A0D30" w:rsidRPr="005303F7">
              <w:rPr>
                <w:rFonts w:ascii="Times New Roman" w:hAnsi="Times New Roman"/>
                <w:bCs/>
                <w:sz w:val="20"/>
                <w:lang w:val="sr-Cyrl-CS"/>
              </w:rPr>
              <w:t>C</w:t>
            </w:r>
            <w:r w:rsidR="008D69AF" w:rsidRPr="005303F7">
              <w:rPr>
                <w:rFonts w:ascii="Times New Roman" w:hAnsi="Times New Roman"/>
                <w:bCs/>
                <w:sz w:val="20"/>
                <w:lang w:val="sr-Cyrl-CS"/>
              </w:rPr>
              <w:t>О</w:t>
            </w:r>
            <w:r w:rsidR="00420F89" w:rsidRPr="005303F7">
              <w:rPr>
                <w:rFonts w:ascii="Times New Roman" w:hAnsi="Times New Roman"/>
                <w:bCs/>
                <w:sz w:val="20"/>
                <w:vertAlign w:val="subscript"/>
                <w:lang w:val="sr-Cyrl-CS"/>
              </w:rPr>
              <w:t>2</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еквивалента</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око</w:t>
            </w:r>
            <w:r w:rsidR="00420F89" w:rsidRPr="005303F7">
              <w:rPr>
                <w:rFonts w:ascii="Times New Roman" w:hAnsi="Times New Roman"/>
                <w:bCs/>
                <w:sz w:val="20"/>
                <w:lang w:val="sr-Cyrl-CS"/>
              </w:rPr>
              <w:t xml:space="preserve"> 10 </w:t>
            </w:r>
            <w:r w:rsidR="008D69AF" w:rsidRPr="005303F7">
              <w:rPr>
                <w:rFonts w:ascii="Times New Roman" w:hAnsi="Times New Roman"/>
                <w:bCs/>
                <w:sz w:val="20"/>
                <w:lang w:val="sr-Cyrl-CS"/>
              </w:rPr>
              <w:t>килограма</w:t>
            </w:r>
            <w:r w:rsidR="00420F89" w:rsidRPr="005303F7">
              <w:rPr>
                <w:rFonts w:ascii="Times New Roman" w:hAnsi="Times New Roman"/>
                <w:bCs/>
                <w:sz w:val="20"/>
                <w:lang w:val="sr-Cyrl-CS"/>
              </w:rPr>
              <w:t>)</w:t>
            </w:r>
            <w:r w:rsidR="00CE6B4A" w:rsidRPr="005303F7">
              <w:rPr>
                <w:rFonts w:ascii="Times New Roman" w:hAnsi="Times New Roman"/>
                <w:bCs/>
                <w:sz w:val="20"/>
                <w:lang w:val="sr-Cyrl-CS"/>
              </w:rPr>
              <w:t xml:space="preserve"> биће размотрено</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од</w:t>
            </w:r>
            <w:r w:rsidR="00420F89" w:rsidRPr="005303F7">
              <w:rPr>
                <w:rFonts w:ascii="Times New Roman" w:hAnsi="Times New Roman"/>
                <w:bCs/>
                <w:sz w:val="20"/>
                <w:lang w:val="sr-Cyrl-CS"/>
              </w:rPr>
              <w:t xml:space="preserve"> 202</w:t>
            </w:r>
            <w:r w:rsidR="00630B28" w:rsidRPr="005303F7">
              <w:rPr>
                <w:rFonts w:ascii="Times New Roman" w:hAnsi="Times New Roman"/>
                <w:bCs/>
                <w:sz w:val="20"/>
                <w:lang w:val="sr-Cyrl-CS"/>
              </w:rPr>
              <w:t>3</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године</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Ако</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је</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систем</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са</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мањим</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од</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овог</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пуњења</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може</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се</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наставити</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коришћење</w:t>
            </w:r>
            <w:r w:rsidR="00420F89" w:rsidRPr="005303F7">
              <w:rPr>
                <w:rFonts w:ascii="Times New Roman" w:hAnsi="Times New Roman"/>
                <w:bCs/>
                <w:sz w:val="20"/>
                <w:lang w:val="sr-Cyrl-CS"/>
              </w:rPr>
              <w:t xml:space="preserve"> </w:t>
            </w:r>
            <w:r w:rsidR="005A0D30" w:rsidRPr="005303F7">
              <w:rPr>
                <w:rFonts w:ascii="Times New Roman" w:hAnsi="Times New Roman"/>
                <w:bCs/>
                <w:sz w:val="20"/>
                <w:lang w:val="sr-Cyrl-CS"/>
              </w:rPr>
              <w:t>R</w:t>
            </w:r>
            <w:r w:rsidR="00420F89" w:rsidRPr="005303F7">
              <w:rPr>
                <w:rFonts w:ascii="Times New Roman" w:hAnsi="Times New Roman"/>
                <w:bCs/>
                <w:sz w:val="20"/>
                <w:lang w:val="sr-Cyrl-CS"/>
              </w:rPr>
              <w:t>404</w:t>
            </w:r>
            <w:r w:rsidR="008D69AF" w:rsidRPr="005303F7">
              <w:rPr>
                <w:rFonts w:ascii="Times New Roman" w:hAnsi="Times New Roman"/>
                <w:bCs/>
                <w:sz w:val="20"/>
                <w:lang w:val="sr-Cyrl-CS"/>
              </w:rPr>
              <w:t>А</w:t>
            </w:r>
            <w:r w:rsidR="00763A35" w:rsidRPr="005303F7">
              <w:rPr>
                <w:rFonts w:ascii="Times New Roman" w:hAnsi="Times New Roman"/>
                <w:bCs/>
                <w:sz w:val="20"/>
                <w:lang w:val="sr-Cyrl-CS"/>
              </w:rPr>
              <w:t>;</w:t>
            </w:r>
            <w:r w:rsidR="00420F89" w:rsidRPr="005303F7">
              <w:rPr>
                <w:rFonts w:ascii="Times New Roman" w:hAnsi="Times New Roman"/>
                <w:bCs/>
                <w:sz w:val="20"/>
                <w:lang w:val="sr-Cyrl-CS"/>
              </w:rPr>
              <w:t xml:space="preserve"> </w:t>
            </w:r>
          </w:p>
          <w:p w14:paraId="124863D0" w14:textId="03C6BCC2" w:rsidR="00420F89" w:rsidRPr="005303F7" w:rsidRDefault="00B60FA0" w:rsidP="00CA2A46">
            <w:pPr>
              <w:numPr>
                <w:ilvl w:val="0"/>
                <w:numId w:val="56"/>
              </w:numPr>
              <w:tabs>
                <w:tab w:val="clear" w:pos="3825"/>
                <w:tab w:val="left" w:pos="360"/>
                <w:tab w:val="left" w:pos="613"/>
              </w:tabs>
              <w:overflowPunct/>
              <w:spacing w:before="0" w:after="0"/>
              <w:ind w:left="46" w:firstLine="314"/>
              <w:textAlignment w:val="auto"/>
              <w:rPr>
                <w:rFonts w:ascii="Times New Roman" w:hAnsi="Times New Roman"/>
                <w:bCs/>
                <w:sz w:val="20"/>
                <w:lang w:val="sr-Cyrl-CS"/>
              </w:rPr>
            </w:pPr>
            <w:r w:rsidRPr="005303F7">
              <w:rPr>
                <w:rFonts w:ascii="Times New Roman" w:hAnsi="Times New Roman"/>
                <w:bCs/>
                <w:sz w:val="20"/>
                <w:lang w:val="sr-Cyrl-CS"/>
              </w:rPr>
              <w:t>а</w:t>
            </w:r>
            <w:r w:rsidR="008D69AF" w:rsidRPr="005303F7">
              <w:rPr>
                <w:rFonts w:ascii="Times New Roman" w:hAnsi="Times New Roman"/>
                <w:bCs/>
                <w:sz w:val="20"/>
                <w:lang w:val="sr-Cyrl-CS"/>
              </w:rPr>
              <w:t>ко</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је</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пуњење</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система</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веће</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од</w:t>
            </w:r>
            <w:r w:rsidR="00420F89" w:rsidRPr="005303F7">
              <w:rPr>
                <w:rFonts w:ascii="Times New Roman" w:hAnsi="Times New Roman"/>
                <w:bCs/>
                <w:sz w:val="20"/>
                <w:lang w:val="sr-Cyrl-CS"/>
              </w:rPr>
              <w:t xml:space="preserve"> 40 </w:t>
            </w:r>
            <w:r w:rsidR="008D69AF" w:rsidRPr="005303F7">
              <w:rPr>
                <w:rFonts w:ascii="Times New Roman" w:hAnsi="Times New Roman"/>
                <w:bCs/>
                <w:sz w:val="20"/>
                <w:lang w:val="sr-Cyrl-CS"/>
              </w:rPr>
              <w:t>тона</w:t>
            </w:r>
            <w:r w:rsidR="00420F89" w:rsidRPr="005303F7">
              <w:rPr>
                <w:rFonts w:ascii="Times New Roman" w:hAnsi="Times New Roman"/>
                <w:bCs/>
                <w:sz w:val="20"/>
                <w:lang w:val="sr-Cyrl-CS"/>
              </w:rPr>
              <w:t xml:space="preserve"> </w:t>
            </w:r>
            <w:r w:rsidR="005A0D30" w:rsidRPr="005303F7">
              <w:rPr>
                <w:rFonts w:ascii="Times New Roman" w:hAnsi="Times New Roman"/>
                <w:bCs/>
                <w:sz w:val="20"/>
                <w:lang w:val="sr-Cyrl-CS"/>
              </w:rPr>
              <w:t>C</w:t>
            </w:r>
            <w:r w:rsidR="008D69AF" w:rsidRPr="005303F7">
              <w:rPr>
                <w:rFonts w:ascii="Times New Roman" w:hAnsi="Times New Roman"/>
                <w:bCs/>
                <w:sz w:val="20"/>
                <w:lang w:val="sr-Cyrl-CS"/>
              </w:rPr>
              <w:t>О</w:t>
            </w:r>
            <w:r w:rsidR="00420F89" w:rsidRPr="005303F7">
              <w:rPr>
                <w:rFonts w:ascii="Times New Roman" w:hAnsi="Times New Roman"/>
                <w:bCs/>
                <w:sz w:val="20"/>
                <w:vertAlign w:val="subscript"/>
                <w:lang w:val="sr-Cyrl-CS"/>
              </w:rPr>
              <w:t>2</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еквивалента</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око</w:t>
            </w:r>
            <w:r w:rsidR="00420F89" w:rsidRPr="005303F7">
              <w:rPr>
                <w:rFonts w:ascii="Times New Roman" w:hAnsi="Times New Roman"/>
                <w:bCs/>
                <w:sz w:val="20"/>
                <w:lang w:val="sr-Cyrl-CS"/>
              </w:rPr>
              <w:t xml:space="preserve"> 10 </w:t>
            </w:r>
            <w:r w:rsidR="008D69AF" w:rsidRPr="005303F7">
              <w:rPr>
                <w:rFonts w:ascii="Times New Roman" w:hAnsi="Times New Roman"/>
                <w:bCs/>
                <w:sz w:val="20"/>
                <w:lang w:val="sr-Cyrl-CS"/>
              </w:rPr>
              <w:t>килограма</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може</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се</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користити</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обнов</w:t>
            </w:r>
            <w:r w:rsidR="00D553BE" w:rsidRPr="005303F7">
              <w:rPr>
                <w:rFonts w:ascii="Times New Roman" w:hAnsi="Times New Roman"/>
                <w:bCs/>
                <w:sz w:val="20"/>
                <w:lang w:val="sr-Cyrl-CS"/>
              </w:rPr>
              <w:t>љ</w:t>
            </w:r>
            <w:r w:rsidR="008D69AF" w:rsidRPr="005303F7">
              <w:rPr>
                <w:rFonts w:ascii="Times New Roman" w:hAnsi="Times New Roman"/>
                <w:bCs/>
                <w:sz w:val="20"/>
                <w:lang w:val="sr-Cyrl-CS"/>
              </w:rPr>
              <w:t>ени</w:t>
            </w:r>
            <w:r w:rsidR="00420F89" w:rsidRPr="005303F7">
              <w:rPr>
                <w:rFonts w:ascii="Times New Roman" w:hAnsi="Times New Roman"/>
                <w:bCs/>
                <w:sz w:val="20"/>
                <w:lang w:val="sr-Cyrl-CS"/>
              </w:rPr>
              <w:t xml:space="preserve"> </w:t>
            </w:r>
            <w:r w:rsidR="005A0D30" w:rsidRPr="005303F7">
              <w:rPr>
                <w:rFonts w:ascii="Times New Roman" w:hAnsi="Times New Roman"/>
                <w:bCs/>
                <w:sz w:val="20"/>
                <w:lang w:val="sr-Cyrl-CS"/>
              </w:rPr>
              <w:t>R</w:t>
            </w:r>
            <w:r w:rsidR="00420F89" w:rsidRPr="005303F7">
              <w:rPr>
                <w:rFonts w:ascii="Times New Roman" w:hAnsi="Times New Roman"/>
                <w:bCs/>
                <w:sz w:val="20"/>
                <w:lang w:val="sr-Cyrl-CS"/>
              </w:rPr>
              <w:t>404</w:t>
            </w:r>
            <w:r w:rsidR="008D69AF" w:rsidRPr="005303F7">
              <w:rPr>
                <w:rFonts w:ascii="Times New Roman" w:hAnsi="Times New Roman"/>
                <w:bCs/>
                <w:sz w:val="20"/>
                <w:lang w:val="sr-Cyrl-CS"/>
              </w:rPr>
              <w:t>А</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до</w:t>
            </w:r>
            <w:r w:rsidR="00420F89" w:rsidRPr="005303F7">
              <w:rPr>
                <w:rFonts w:ascii="Times New Roman" w:hAnsi="Times New Roman"/>
                <w:bCs/>
                <w:sz w:val="20"/>
                <w:lang w:val="sr-Cyrl-CS"/>
              </w:rPr>
              <w:t xml:space="preserve"> 2030 </w:t>
            </w:r>
            <w:r w:rsidR="008D69AF" w:rsidRPr="005303F7">
              <w:rPr>
                <w:rFonts w:ascii="Times New Roman" w:hAnsi="Times New Roman"/>
                <w:bCs/>
                <w:sz w:val="20"/>
                <w:lang w:val="sr-Cyrl-CS"/>
              </w:rPr>
              <w:t>године</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Може</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се</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урадити</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ретрофит</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на</w:t>
            </w:r>
            <w:r w:rsidR="00420F89" w:rsidRPr="005303F7">
              <w:rPr>
                <w:rFonts w:ascii="Times New Roman" w:hAnsi="Times New Roman"/>
                <w:bCs/>
                <w:sz w:val="20"/>
                <w:lang w:val="sr-Cyrl-CS"/>
              </w:rPr>
              <w:t xml:space="preserve"> </w:t>
            </w:r>
            <w:r w:rsidR="005A0D30" w:rsidRPr="005303F7">
              <w:rPr>
                <w:rFonts w:ascii="Times New Roman" w:hAnsi="Times New Roman"/>
                <w:bCs/>
                <w:sz w:val="20"/>
                <w:lang w:val="sr-Cyrl-CS"/>
              </w:rPr>
              <w:t>R</w:t>
            </w:r>
            <w:r w:rsidR="00420F89" w:rsidRPr="005303F7">
              <w:rPr>
                <w:rFonts w:ascii="Times New Roman" w:hAnsi="Times New Roman"/>
                <w:bCs/>
                <w:sz w:val="20"/>
                <w:lang w:val="sr-Cyrl-CS"/>
              </w:rPr>
              <w:t>448</w:t>
            </w:r>
            <w:r w:rsidR="008D69AF" w:rsidRPr="005303F7">
              <w:rPr>
                <w:rFonts w:ascii="Times New Roman" w:hAnsi="Times New Roman"/>
                <w:bCs/>
                <w:sz w:val="20"/>
                <w:lang w:val="sr-Cyrl-CS"/>
              </w:rPr>
              <w:t>А</w:t>
            </w:r>
            <w:r w:rsidR="00420F89" w:rsidRPr="005303F7">
              <w:rPr>
                <w:rFonts w:ascii="Times New Roman" w:hAnsi="Times New Roman"/>
                <w:bCs/>
                <w:sz w:val="20"/>
                <w:lang w:val="sr-Cyrl-CS"/>
              </w:rPr>
              <w:t xml:space="preserve">, </w:t>
            </w:r>
            <w:r w:rsidR="005A0D30" w:rsidRPr="005303F7">
              <w:rPr>
                <w:rFonts w:ascii="Times New Roman" w:hAnsi="Times New Roman"/>
                <w:bCs/>
                <w:sz w:val="20"/>
                <w:lang w:val="sr-Cyrl-CS"/>
              </w:rPr>
              <w:t>R</w:t>
            </w:r>
            <w:r w:rsidR="00420F89" w:rsidRPr="005303F7">
              <w:rPr>
                <w:rFonts w:ascii="Times New Roman" w:hAnsi="Times New Roman"/>
                <w:bCs/>
                <w:sz w:val="20"/>
                <w:lang w:val="sr-Cyrl-CS"/>
              </w:rPr>
              <w:t>449</w:t>
            </w:r>
            <w:r w:rsidR="008D69AF" w:rsidRPr="005303F7">
              <w:rPr>
                <w:rFonts w:ascii="Times New Roman" w:hAnsi="Times New Roman"/>
                <w:bCs/>
                <w:sz w:val="20"/>
                <w:lang w:val="sr-Cyrl-CS"/>
              </w:rPr>
              <w:t>А</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420F89" w:rsidRPr="005303F7">
              <w:rPr>
                <w:rFonts w:ascii="Times New Roman" w:hAnsi="Times New Roman"/>
                <w:bCs/>
                <w:sz w:val="20"/>
                <w:lang w:val="sr-Cyrl-CS"/>
              </w:rPr>
              <w:t xml:space="preserve"> </w:t>
            </w:r>
            <w:r w:rsidR="005A0D30" w:rsidRPr="005303F7">
              <w:rPr>
                <w:rFonts w:ascii="Times New Roman" w:hAnsi="Times New Roman"/>
                <w:bCs/>
                <w:sz w:val="20"/>
                <w:lang w:val="sr-Cyrl-CS"/>
              </w:rPr>
              <w:t>R</w:t>
            </w:r>
            <w:r w:rsidR="00420F89" w:rsidRPr="005303F7">
              <w:rPr>
                <w:rFonts w:ascii="Times New Roman" w:hAnsi="Times New Roman"/>
                <w:bCs/>
                <w:sz w:val="20"/>
                <w:lang w:val="sr-Cyrl-CS"/>
              </w:rPr>
              <w:t>452</w:t>
            </w:r>
            <w:r w:rsidR="008D69AF" w:rsidRPr="005303F7">
              <w:rPr>
                <w:rFonts w:ascii="Times New Roman" w:hAnsi="Times New Roman"/>
                <w:bCs/>
                <w:sz w:val="20"/>
                <w:lang w:val="sr-Cyrl-CS"/>
              </w:rPr>
              <w:t>А</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при</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томе</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се</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морају</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узети</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у</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обзир</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да</w:t>
            </w:r>
            <w:r w:rsidR="00D553BE" w:rsidRPr="005303F7">
              <w:rPr>
                <w:rFonts w:ascii="Times New Roman" w:hAnsi="Times New Roman"/>
                <w:bCs/>
                <w:sz w:val="20"/>
                <w:lang w:val="sr-Cyrl-CS"/>
              </w:rPr>
              <w:t>љ</w:t>
            </w:r>
            <w:r w:rsidR="008D69AF" w:rsidRPr="005303F7">
              <w:rPr>
                <w:rFonts w:ascii="Times New Roman" w:hAnsi="Times New Roman"/>
                <w:bCs/>
                <w:sz w:val="20"/>
                <w:lang w:val="sr-Cyrl-CS"/>
              </w:rPr>
              <w:t>а</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ограничења</w:t>
            </w:r>
            <w:r w:rsidR="00420F89" w:rsidRPr="005303F7">
              <w:rPr>
                <w:rFonts w:ascii="Times New Roman" w:hAnsi="Times New Roman"/>
                <w:bCs/>
                <w:sz w:val="20"/>
                <w:lang w:val="sr-Cyrl-CS"/>
              </w:rPr>
              <w:t xml:space="preserve"> </w:t>
            </w:r>
            <w:r w:rsidR="00B20FDF" w:rsidRPr="005303F7">
              <w:rPr>
                <w:rFonts w:ascii="Times New Roman" w:hAnsi="Times New Roman"/>
                <w:bCs/>
                <w:sz w:val="20"/>
                <w:lang w:val="sr-Cyrl-CS"/>
              </w:rPr>
              <w:t>F</w:t>
            </w:r>
            <w:r w:rsidR="00420F89" w:rsidRPr="005303F7">
              <w:rPr>
                <w:rFonts w:ascii="Times New Roman" w:hAnsi="Times New Roman"/>
                <w:bCs/>
                <w:sz w:val="20"/>
                <w:lang w:val="sr-Cyrl-CS"/>
              </w:rPr>
              <w:t>-</w:t>
            </w:r>
            <w:r w:rsidR="008D69AF" w:rsidRPr="005303F7">
              <w:rPr>
                <w:rFonts w:ascii="Times New Roman" w:hAnsi="Times New Roman"/>
                <w:bCs/>
                <w:sz w:val="20"/>
                <w:lang w:val="sr-Cyrl-CS"/>
              </w:rPr>
              <w:t>гас</w:t>
            </w:r>
            <w:r w:rsidR="00420F89" w:rsidRPr="005303F7">
              <w:rPr>
                <w:rFonts w:ascii="Times New Roman" w:hAnsi="Times New Roman"/>
                <w:bCs/>
                <w:sz w:val="20"/>
                <w:lang w:val="sr-Cyrl-CS"/>
              </w:rPr>
              <w:t xml:space="preserve"> </w:t>
            </w:r>
            <w:r w:rsidR="008D69AF" w:rsidRPr="005303F7">
              <w:rPr>
                <w:rFonts w:ascii="Times New Roman" w:hAnsi="Times New Roman"/>
                <w:bCs/>
                <w:sz w:val="20"/>
                <w:lang w:val="sr-Cyrl-CS"/>
              </w:rPr>
              <w:t>регулативе</w:t>
            </w:r>
            <w:r w:rsidR="00420F89" w:rsidRPr="005303F7">
              <w:rPr>
                <w:rFonts w:ascii="Times New Roman" w:hAnsi="Times New Roman"/>
                <w:bCs/>
                <w:sz w:val="20"/>
                <w:lang w:val="sr-Cyrl-CS"/>
              </w:rPr>
              <w:t xml:space="preserve">. </w:t>
            </w:r>
          </w:p>
          <w:p w14:paraId="13CE84BF" w14:textId="12D47F17" w:rsidR="005471E1" w:rsidRPr="005303F7" w:rsidRDefault="00CC6964" w:rsidP="0072756F">
            <w:pPr>
              <w:overflowPunct/>
              <w:rPr>
                <w:rFonts w:ascii="Times New Roman" w:hAnsi="Times New Roman"/>
                <w:bCs/>
                <w:sz w:val="20"/>
                <w:lang w:val="sr-Cyrl-CS"/>
              </w:rPr>
            </w:pPr>
            <w:r w:rsidRPr="005303F7">
              <w:rPr>
                <w:rFonts w:ascii="Times New Roman" w:hAnsi="Times New Roman"/>
                <w:bCs/>
                <w:sz w:val="20"/>
                <w:lang w:val="sr-Cyrl-CS"/>
              </w:rPr>
              <w:t xml:space="preserve">          </w:t>
            </w:r>
            <w:r w:rsidR="008D69AF" w:rsidRPr="005303F7">
              <w:rPr>
                <w:rFonts w:ascii="Times New Roman" w:hAnsi="Times New Roman"/>
                <w:bCs/>
                <w:sz w:val="20"/>
                <w:lang w:val="sr-Cyrl-CS"/>
              </w:rPr>
              <w:t>Осим</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тога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емисије</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гасова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из</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клима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уређаја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у</w:t>
            </w:r>
            <w:r w:rsidR="004E2F5C" w:rsidRPr="005303F7">
              <w:rPr>
                <w:rFonts w:ascii="Times New Roman" w:hAnsi="Times New Roman"/>
                <w:bCs/>
                <w:sz w:val="20"/>
                <w:lang w:val="sr-Cyrl-CS"/>
              </w:rPr>
              <w:t xml:space="preserve"> </w:t>
            </w:r>
            <w:r w:rsidR="008D69AF" w:rsidRPr="005303F7">
              <w:rPr>
                <w:rFonts w:ascii="Times New Roman" w:hAnsi="Times New Roman"/>
                <w:bCs/>
                <w:sz w:val="20"/>
                <w:lang w:val="sr-Cyrl-CS"/>
              </w:rPr>
              <w:t>моторним</w:t>
            </w:r>
            <w:r w:rsidR="004E2F5C" w:rsidRPr="005303F7">
              <w:rPr>
                <w:rFonts w:ascii="Times New Roman" w:hAnsi="Times New Roman"/>
                <w:bCs/>
                <w:sz w:val="20"/>
                <w:lang w:val="sr-Cyrl-CS"/>
              </w:rPr>
              <w:t xml:space="preserve"> </w:t>
            </w:r>
            <w:r w:rsidR="008D69AF" w:rsidRPr="005303F7">
              <w:rPr>
                <w:rFonts w:ascii="Times New Roman" w:hAnsi="Times New Roman"/>
                <w:bCs/>
                <w:sz w:val="20"/>
                <w:lang w:val="sr-Cyrl-CS"/>
              </w:rPr>
              <w:t>возилима</w:t>
            </w:r>
            <w:r w:rsidR="004E2F5C" w:rsidRPr="005303F7">
              <w:rPr>
                <w:rFonts w:ascii="Times New Roman" w:hAnsi="Times New Roman"/>
                <w:bCs/>
                <w:sz w:val="20"/>
                <w:lang w:val="sr-Cyrl-CS"/>
              </w:rPr>
              <w:t xml:space="preserve"> </w:t>
            </w:r>
            <w:r w:rsidR="005471E1" w:rsidRPr="005303F7">
              <w:rPr>
                <w:rFonts w:ascii="Times New Roman" w:hAnsi="Times New Roman"/>
                <w:bCs/>
                <w:sz w:val="20"/>
                <w:lang w:val="sr-Cyrl-CS"/>
              </w:rPr>
              <w:t>(</w:t>
            </w:r>
            <w:r w:rsidR="008D69AF" w:rsidRPr="005303F7">
              <w:rPr>
                <w:rFonts w:ascii="Times New Roman" w:hAnsi="Times New Roman"/>
                <w:bCs/>
                <w:sz w:val="20"/>
                <w:lang w:val="sr-Cyrl-CS"/>
              </w:rPr>
              <w:t>МА</w:t>
            </w:r>
            <w:r w:rsidR="005A0D30" w:rsidRPr="005303F7">
              <w:rPr>
                <w:rFonts w:ascii="Times New Roman" w:hAnsi="Times New Roman"/>
                <w:bCs/>
                <w:sz w:val="20"/>
                <w:lang w:val="sr-Cyrl-CS"/>
              </w:rPr>
              <w:t>Cs</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у</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ЕУ</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су</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регулисане</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Директивом</w:t>
            </w:r>
            <w:r w:rsidR="005471E1" w:rsidRPr="005303F7">
              <w:rPr>
                <w:rFonts w:ascii="Times New Roman" w:hAnsi="Times New Roman"/>
                <w:bCs/>
                <w:sz w:val="20"/>
                <w:lang w:val="sr-Cyrl-CS"/>
              </w:rPr>
              <w:t xml:space="preserve"> 2006/40 /</w:t>
            </w:r>
            <w:r w:rsidR="008D69AF" w:rsidRPr="005303F7">
              <w:rPr>
                <w:rFonts w:ascii="Times New Roman" w:hAnsi="Times New Roman"/>
                <w:bCs/>
                <w:sz w:val="20"/>
                <w:lang w:val="sr-Cyrl-CS"/>
              </w:rPr>
              <w:t>Е</w:t>
            </w:r>
            <w:r w:rsidR="008D69AF" w:rsidRPr="005303F7">
              <w:rPr>
                <w:rFonts w:ascii="Times New Roman" w:hAnsi="Times New Roman"/>
                <w:sz w:val="20"/>
                <w:lang w:val="sr-Cyrl-CS"/>
              </w:rPr>
              <w:t>Ц</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о</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мобилним</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клима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уређајима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Примењује</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се</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у</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три</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фазе</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почевши</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од</w:t>
            </w:r>
            <w:r w:rsidR="005471E1" w:rsidRPr="005303F7">
              <w:rPr>
                <w:rFonts w:ascii="Times New Roman" w:hAnsi="Times New Roman"/>
                <w:bCs/>
                <w:sz w:val="20"/>
                <w:lang w:val="sr-Cyrl-CS"/>
              </w:rPr>
              <w:t xml:space="preserve"> 2008. </w:t>
            </w:r>
            <w:r w:rsidR="008D69AF" w:rsidRPr="005303F7">
              <w:rPr>
                <w:rFonts w:ascii="Times New Roman" w:hAnsi="Times New Roman"/>
                <w:bCs/>
                <w:sz w:val="20"/>
                <w:lang w:val="sr-Cyrl-CS"/>
              </w:rPr>
              <w:t>године</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Друга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фаза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је</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била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да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се</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климатизациони</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системи</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у</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новим</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типовима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возила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морају</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напунити</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гасовима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чији</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је</w:t>
            </w:r>
            <w:r w:rsidR="005471E1" w:rsidRPr="005303F7">
              <w:rPr>
                <w:rFonts w:ascii="Times New Roman" w:hAnsi="Times New Roman"/>
                <w:bCs/>
                <w:sz w:val="20"/>
                <w:lang w:val="sr-Cyrl-CS"/>
              </w:rPr>
              <w:t xml:space="preserve"> </w:t>
            </w:r>
            <w:r w:rsidR="005A0D30" w:rsidRPr="005303F7">
              <w:rPr>
                <w:rFonts w:ascii="Times New Roman" w:hAnsi="Times New Roman"/>
                <w:bCs/>
                <w:sz w:val="20"/>
                <w:lang w:val="sr-Cyrl-CS"/>
              </w:rPr>
              <w:t>GWP</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мањи</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од</w:t>
            </w:r>
            <w:r w:rsidR="005471E1" w:rsidRPr="005303F7">
              <w:rPr>
                <w:rFonts w:ascii="Times New Roman" w:hAnsi="Times New Roman"/>
                <w:bCs/>
                <w:sz w:val="20"/>
                <w:lang w:val="sr-Cyrl-CS"/>
              </w:rPr>
              <w:t xml:space="preserve"> 150. </w:t>
            </w:r>
            <w:r w:rsidR="008D69AF" w:rsidRPr="005303F7">
              <w:rPr>
                <w:rFonts w:ascii="Times New Roman" w:hAnsi="Times New Roman"/>
                <w:bCs/>
                <w:sz w:val="20"/>
                <w:lang w:val="sr-Cyrl-CS"/>
              </w:rPr>
              <w:t>Од</w:t>
            </w:r>
            <w:r w:rsidR="005471E1" w:rsidRPr="005303F7">
              <w:rPr>
                <w:rFonts w:ascii="Times New Roman" w:hAnsi="Times New Roman"/>
                <w:bCs/>
                <w:sz w:val="20"/>
                <w:lang w:val="sr-Cyrl-CS"/>
              </w:rPr>
              <w:t xml:space="preserve"> 2017. </w:t>
            </w:r>
            <w:r w:rsidR="008D69AF" w:rsidRPr="005303F7">
              <w:rPr>
                <w:rFonts w:ascii="Times New Roman" w:hAnsi="Times New Roman"/>
                <w:bCs/>
                <w:sz w:val="20"/>
                <w:lang w:val="sr-Cyrl-CS"/>
              </w:rPr>
              <w:t>године</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то</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се</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односи</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на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сва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нова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климатизована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возила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на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тржишту</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ЕУ</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Упркос</w:t>
            </w:r>
            <w:r w:rsidR="00B33B85" w:rsidRPr="005303F7">
              <w:rPr>
                <w:rFonts w:ascii="Times New Roman" w:hAnsi="Times New Roman"/>
                <w:bCs/>
                <w:sz w:val="20"/>
                <w:lang w:val="sr-Cyrl-CS"/>
              </w:rPr>
              <w:t xml:space="preserve"> </w:t>
            </w:r>
            <w:r w:rsidR="008D69AF" w:rsidRPr="005303F7">
              <w:rPr>
                <w:rFonts w:ascii="Times New Roman" w:hAnsi="Times New Roman"/>
                <w:bCs/>
                <w:sz w:val="20"/>
                <w:lang w:val="sr-Cyrl-CS"/>
              </w:rPr>
              <w:t>чињеници</w:t>
            </w:r>
            <w:r w:rsidR="00B33B85" w:rsidRPr="005303F7">
              <w:rPr>
                <w:rFonts w:ascii="Times New Roman" w:hAnsi="Times New Roman"/>
                <w:bCs/>
                <w:sz w:val="20"/>
                <w:lang w:val="sr-Cyrl-CS"/>
              </w:rPr>
              <w:t xml:space="preserve"> </w:t>
            </w:r>
            <w:r w:rsidR="008D69AF" w:rsidRPr="005303F7">
              <w:rPr>
                <w:rFonts w:ascii="Times New Roman" w:hAnsi="Times New Roman"/>
                <w:bCs/>
                <w:sz w:val="20"/>
                <w:lang w:val="sr-Cyrl-CS"/>
              </w:rPr>
              <w:t>да</w:t>
            </w:r>
            <w:r w:rsidR="00B33B85" w:rsidRPr="005303F7">
              <w:rPr>
                <w:rFonts w:ascii="Times New Roman" w:hAnsi="Times New Roman"/>
                <w:bCs/>
                <w:sz w:val="20"/>
                <w:lang w:val="sr-Cyrl-CS"/>
              </w:rPr>
              <w:t xml:space="preserve"> </w:t>
            </w:r>
            <w:r w:rsidR="005A0D30" w:rsidRPr="005303F7">
              <w:rPr>
                <w:rFonts w:ascii="Times New Roman" w:hAnsi="Times New Roman"/>
                <w:bCs/>
                <w:sz w:val="20"/>
                <w:lang w:val="sr-Cyrl-CS"/>
              </w:rPr>
              <w:t>MACs</w:t>
            </w:r>
            <w:r w:rsidR="00284471" w:rsidRPr="005303F7">
              <w:rPr>
                <w:rFonts w:ascii="Times New Roman" w:hAnsi="Times New Roman"/>
                <w:bCs/>
                <w:sz w:val="20"/>
                <w:lang w:val="sr-Cyrl-CS"/>
              </w:rPr>
              <w:t xml:space="preserve"> </w:t>
            </w:r>
            <w:r w:rsidR="008D69AF" w:rsidRPr="005303F7">
              <w:rPr>
                <w:rFonts w:ascii="Times New Roman" w:hAnsi="Times New Roman"/>
                <w:bCs/>
                <w:sz w:val="20"/>
                <w:lang w:val="sr-Cyrl-CS"/>
              </w:rPr>
              <w:t>Директива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још</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није</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пренета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у</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српско</w:t>
            </w:r>
            <w:r w:rsidR="00B33B85" w:rsidRPr="005303F7">
              <w:rPr>
                <w:rFonts w:ascii="Times New Roman" w:hAnsi="Times New Roman"/>
                <w:bCs/>
                <w:sz w:val="20"/>
                <w:lang w:val="sr-Cyrl-CS"/>
              </w:rPr>
              <w:t xml:space="preserve"> </w:t>
            </w:r>
            <w:r w:rsidR="008D69AF" w:rsidRPr="005303F7">
              <w:rPr>
                <w:rFonts w:ascii="Times New Roman" w:hAnsi="Times New Roman"/>
                <w:bCs/>
                <w:sz w:val="20"/>
                <w:lang w:val="sr-Cyrl-CS"/>
              </w:rPr>
              <w:t>законодавство</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она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је</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у</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пракси</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примењена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од</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стране</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аутомобилске</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индустрије</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ЕУ</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која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послује</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у</w:t>
            </w:r>
            <w:r w:rsidR="005471E1" w:rsidRPr="005303F7">
              <w:rPr>
                <w:rFonts w:ascii="Times New Roman" w:hAnsi="Times New Roman"/>
                <w:bCs/>
                <w:sz w:val="20"/>
                <w:lang w:val="sr-Cyrl-CS"/>
              </w:rPr>
              <w:t xml:space="preserve"> </w:t>
            </w:r>
            <w:r w:rsidR="00D73AAB" w:rsidRPr="005303F7">
              <w:rPr>
                <w:rFonts w:ascii="Times New Roman" w:hAnsi="Times New Roman"/>
                <w:bCs/>
                <w:sz w:val="20"/>
                <w:lang w:val="sr-Cyrl-CS"/>
              </w:rPr>
              <w:t>Републици Србији</w:t>
            </w:r>
            <w:r w:rsidR="00B20FDF" w:rsidRPr="005303F7">
              <w:rPr>
                <w:rFonts w:ascii="Times New Roman" w:hAnsi="Times New Roman"/>
                <w:bCs/>
                <w:sz w:val="20"/>
                <w:lang w:val="sr-Cyrl-CS"/>
              </w:rPr>
              <w:t xml:space="preserve">, </w:t>
            </w:r>
            <w:r w:rsidR="008D69AF" w:rsidRPr="005303F7">
              <w:rPr>
                <w:rFonts w:ascii="Times New Roman" w:hAnsi="Times New Roman"/>
                <w:bCs/>
                <w:sz w:val="20"/>
                <w:lang w:val="sr-Cyrl-CS"/>
              </w:rPr>
              <w:t>да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би</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обезбедила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усклађеност</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својих</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производа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са</w:t>
            </w:r>
            <w:r w:rsidR="005471E1" w:rsidRPr="005303F7">
              <w:rPr>
                <w:rFonts w:ascii="Times New Roman" w:hAnsi="Times New Roman"/>
                <w:bCs/>
                <w:sz w:val="20"/>
                <w:lang w:val="sr-Cyrl-CS"/>
              </w:rPr>
              <w:t xml:space="preserve"> </w:t>
            </w:r>
            <w:r w:rsidR="008D69AF" w:rsidRPr="005303F7">
              <w:rPr>
                <w:rFonts w:ascii="Times New Roman" w:hAnsi="Times New Roman"/>
                <w:bCs/>
                <w:sz w:val="20"/>
                <w:lang w:val="sr-Cyrl-CS"/>
              </w:rPr>
              <w:t>стандардима</w:t>
            </w:r>
            <w:r w:rsidR="00B33B85" w:rsidRPr="005303F7">
              <w:rPr>
                <w:rFonts w:ascii="Times New Roman" w:hAnsi="Times New Roman"/>
                <w:bCs/>
                <w:sz w:val="20"/>
                <w:lang w:val="sr-Cyrl-CS"/>
              </w:rPr>
              <w:t xml:space="preserve"> </w:t>
            </w:r>
            <w:r w:rsidR="008D69AF" w:rsidRPr="005303F7">
              <w:rPr>
                <w:rFonts w:ascii="Times New Roman" w:hAnsi="Times New Roman"/>
                <w:bCs/>
                <w:sz w:val="20"/>
                <w:lang w:val="sr-Cyrl-CS"/>
              </w:rPr>
              <w:t>ЕУ</w:t>
            </w:r>
            <w:r w:rsidR="005471E1" w:rsidRPr="005303F7">
              <w:rPr>
                <w:rFonts w:ascii="Times New Roman" w:hAnsi="Times New Roman"/>
                <w:bCs/>
                <w:sz w:val="20"/>
                <w:lang w:val="sr-Cyrl-CS"/>
              </w:rPr>
              <w:t>.</w:t>
            </w:r>
          </w:p>
          <w:p w14:paraId="5B10D289" w14:textId="303A535E" w:rsidR="00BD116A" w:rsidRPr="005303F7" w:rsidRDefault="008D69AF">
            <w:pPr>
              <w:overflowPunct/>
              <w:jc w:val="left"/>
              <w:rPr>
                <w:rFonts w:ascii="Times New Roman" w:hAnsi="Times New Roman"/>
                <w:b/>
                <w:i/>
                <w:u w:val="single"/>
                <w:lang w:val="sr-Cyrl-CS"/>
              </w:rPr>
            </w:pPr>
            <w:r w:rsidRPr="005303F7">
              <w:rPr>
                <w:rFonts w:ascii="Times New Roman" w:hAnsi="Times New Roman"/>
                <w:b/>
                <w:bCs/>
                <w:sz w:val="20"/>
                <w:szCs w:val="18"/>
                <w:u w:val="single"/>
                <w:lang w:val="sr-Cyrl-CS"/>
              </w:rPr>
              <w:t>Процес</w:t>
            </w:r>
            <w:r w:rsidR="00015933"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преговора</w:t>
            </w:r>
            <w:r w:rsidR="00015933"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о</w:t>
            </w:r>
            <w:r w:rsidR="00015933"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приступању</w:t>
            </w:r>
            <w:r w:rsidR="00015933"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ЕУ</w:t>
            </w:r>
            <w:r w:rsidR="00015933"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Поглав</w:t>
            </w:r>
            <w:r w:rsidR="00D553BE" w:rsidRPr="005303F7">
              <w:rPr>
                <w:rFonts w:ascii="Times New Roman" w:hAnsi="Times New Roman"/>
                <w:b/>
                <w:bCs/>
                <w:sz w:val="20"/>
                <w:szCs w:val="18"/>
                <w:u w:val="single"/>
                <w:lang w:val="sr-Cyrl-CS"/>
              </w:rPr>
              <w:t>љ</w:t>
            </w:r>
            <w:r w:rsidRPr="005303F7">
              <w:rPr>
                <w:rFonts w:ascii="Times New Roman" w:hAnsi="Times New Roman"/>
                <w:b/>
                <w:bCs/>
                <w:sz w:val="20"/>
                <w:szCs w:val="18"/>
                <w:u w:val="single"/>
                <w:lang w:val="sr-Cyrl-CS"/>
              </w:rPr>
              <w:t>е</w:t>
            </w:r>
            <w:r w:rsidR="00015933" w:rsidRPr="005303F7">
              <w:rPr>
                <w:rFonts w:ascii="Times New Roman" w:hAnsi="Times New Roman"/>
                <w:b/>
                <w:bCs/>
                <w:sz w:val="20"/>
                <w:szCs w:val="18"/>
                <w:u w:val="single"/>
                <w:lang w:val="sr-Cyrl-CS"/>
              </w:rPr>
              <w:t xml:space="preserve"> 27 – </w:t>
            </w:r>
            <w:r w:rsidRPr="005303F7">
              <w:rPr>
                <w:rFonts w:ascii="Times New Roman" w:hAnsi="Times New Roman"/>
                <w:b/>
                <w:bCs/>
                <w:sz w:val="20"/>
                <w:szCs w:val="18"/>
                <w:u w:val="single"/>
                <w:lang w:val="sr-Cyrl-CS"/>
              </w:rPr>
              <w:t>Животна</w:t>
            </w:r>
            <w:r w:rsidR="00015933"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средина</w:t>
            </w:r>
          </w:p>
        </w:tc>
      </w:tr>
      <w:tr w:rsidR="0009461F" w:rsidRPr="005303F7" w14:paraId="74BA0F5A" w14:textId="77777777" w:rsidTr="0009461F">
        <w:trPr>
          <w:trHeight w:val="442"/>
        </w:trPr>
        <w:tc>
          <w:tcPr>
            <w:tcW w:w="695" w:type="dxa"/>
            <w:gridSpan w:val="4"/>
            <w:vMerge/>
            <w:tcBorders>
              <w:top w:val="single" w:sz="4" w:space="0" w:color="auto"/>
              <w:left w:val="single" w:sz="4" w:space="0" w:color="auto"/>
              <w:bottom w:val="single" w:sz="4" w:space="0" w:color="auto"/>
              <w:right w:val="single" w:sz="4" w:space="0" w:color="auto"/>
            </w:tcBorders>
            <w:vAlign w:val="center"/>
            <w:hideMark/>
          </w:tcPr>
          <w:p w14:paraId="083EDF6D" w14:textId="77777777" w:rsidR="0009461F" w:rsidRPr="005303F7" w:rsidRDefault="0009461F">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423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0E2027" w14:textId="4DB00628" w:rsidR="0009461F" w:rsidRPr="005303F7" w:rsidRDefault="008D69AF">
            <w:pPr>
              <w:spacing w:after="0"/>
              <w:jc w:val="center"/>
              <w:rPr>
                <w:rFonts w:ascii="Times New Roman" w:hAnsi="Times New Roman"/>
                <w:b/>
                <w:bCs/>
                <w:sz w:val="20"/>
                <w:lang w:val="sr-Cyrl-CS"/>
              </w:rPr>
            </w:pPr>
            <w:r w:rsidRPr="005303F7">
              <w:rPr>
                <w:rFonts w:ascii="Times New Roman" w:hAnsi="Times New Roman"/>
                <w:b/>
                <w:bCs/>
                <w:sz w:val="20"/>
                <w:lang w:val="sr-Cyrl-CS"/>
              </w:rPr>
              <w:t>К</w:t>
            </w:r>
            <w:r w:rsidR="00D553BE" w:rsidRPr="005303F7">
              <w:rPr>
                <w:rFonts w:ascii="Times New Roman" w:hAnsi="Times New Roman"/>
                <w:b/>
                <w:bCs/>
                <w:sz w:val="20"/>
                <w:lang w:val="sr-Cyrl-CS"/>
              </w:rPr>
              <w:t>љ</w:t>
            </w:r>
            <w:r w:rsidRPr="005303F7">
              <w:rPr>
                <w:rFonts w:ascii="Times New Roman" w:hAnsi="Times New Roman"/>
                <w:b/>
                <w:bCs/>
                <w:sz w:val="20"/>
                <w:lang w:val="sr-Cyrl-CS"/>
              </w:rPr>
              <w:t>учни</w:t>
            </w:r>
            <w:r w:rsidR="0009461F" w:rsidRPr="005303F7">
              <w:rPr>
                <w:rFonts w:ascii="Times New Roman" w:hAnsi="Times New Roman"/>
                <w:b/>
                <w:bCs/>
                <w:sz w:val="20"/>
                <w:lang w:val="sr-Cyrl-CS"/>
              </w:rPr>
              <w:t xml:space="preserve"> </w:t>
            </w:r>
            <w:r w:rsidRPr="005303F7">
              <w:rPr>
                <w:rFonts w:ascii="Times New Roman" w:hAnsi="Times New Roman"/>
                <w:b/>
                <w:bCs/>
                <w:sz w:val="20"/>
                <w:lang w:val="sr-Cyrl-CS"/>
              </w:rPr>
              <w:t>субјекат</w:t>
            </w:r>
            <w:r w:rsidR="0009461F" w:rsidRPr="005303F7">
              <w:rPr>
                <w:rFonts w:ascii="Times New Roman" w:hAnsi="Times New Roman"/>
                <w:b/>
                <w:bCs/>
                <w:sz w:val="20"/>
                <w:lang w:val="sr-Cyrl-CS"/>
              </w:rPr>
              <w:t xml:space="preserve"> </w:t>
            </w:r>
            <w:r w:rsidRPr="005303F7">
              <w:rPr>
                <w:rFonts w:ascii="Times New Roman" w:hAnsi="Times New Roman"/>
                <w:b/>
                <w:bCs/>
                <w:sz w:val="20"/>
                <w:lang w:val="sr-Cyrl-CS"/>
              </w:rPr>
              <w:t>за</w:t>
            </w:r>
            <w:r w:rsidR="0009461F" w:rsidRPr="005303F7">
              <w:rPr>
                <w:rFonts w:ascii="Times New Roman" w:hAnsi="Times New Roman"/>
                <w:b/>
                <w:bCs/>
                <w:sz w:val="20"/>
                <w:lang w:val="sr-Cyrl-CS"/>
              </w:rPr>
              <w:t xml:space="preserve"> </w:t>
            </w:r>
            <w:r w:rsidRPr="005303F7">
              <w:rPr>
                <w:rFonts w:ascii="Times New Roman" w:hAnsi="Times New Roman"/>
                <w:b/>
                <w:bCs/>
                <w:sz w:val="20"/>
                <w:lang w:val="sr-Cyrl-CS"/>
              </w:rPr>
              <w:t>спровођење</w:t>
            </w:r>
            <w:r w:rsidR="0009461F"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p>
        </w:tc>
        <w:tc>
          <w:tcPr>
            <w:tcW w:w="48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F463EB" w14:textId="256840AE" w:rsidR="0009461F" w:rsidRPr="005303F7" w:rsidRDefault="008D69AF">
            <w:pPr>
              <w:overflowPunct/>
              <w:spacing w:after="0"/>
              <w:jc w:val="center"/>
              <w:rPr>
                <w:rFonts w:ascii="Times New Roman" w:hAnsi="Times New Roman"/>
                <w:b/>
                <w:bCs/>
                <w:sz w:val="20"/>
                <w:lang w:val="sr-Cyrl-CS"/>
              </w:rPr>
            </w:pPr>
            <w:r w:rsidRPr="005303F7">
              <w:rPr>
                <w:rFonts w:ascii="Times New Roman" w:hAnsi="Times New Roman"/>
                <w:b/>
                <w:bCs/>
                <w:sz w:val="20"/>
                <w:lang w:val="sr-Cyrl-CS"/>
              </w:rPr>
              <w:t>Партнери</w:t>
            </w:r>
          </w:p>
        </w:tc>
        <w:tc>
          <w:tcPr>
            <w:tcW w:w="186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6F4650" w14:textId="2DC38D6C" w:rsidR="0009461F"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 xml:space="preserve">ЕТS/ </w:t>
            </w:r>
            <w:r w:rsidR="004A35C7" w:rsidRPr="005303F7">
              <w:rPr>
                <w:rFonts w:ascii="Times New Roman" w:hAnsi="Times New Roman"/>
                <w:b/>
                <w:sz w:val="20"/>
                <w:lang w:val="sr-Cyrl-CS"/>
              </w:rPr>
              <w:t>не-ЕТS</w:t>
            </w:r>
          </w:p>
        </w:tc>
        <w:tc>
          <w:tcPr>
            <w:tcW w:w="13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E9461A" w14:textId="7BE50816" w:rsidR="0009461F"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Главни</w:t>
            </w:r>
            <w:r w:rsidR="0009461F" w:rsidRPr="005303F7">
              <w:rPr>
                <w:rFonts w:ascii="Times New Roman" w:hAnsi="Times New Roman"/>
                <w:b/>
                <w:bCs/>
                <w:sz w:val="20"/>
                <w:lang w:val="sr-Cyrl-CS"/>
              </w:rPr>
              <w:t xml:space="preserve"> </w:t>
            </w:r>
            <w:r w:rsidRPr="005303F7">
              <w:rPr>
                <w:rFonts w:ascii="Times New Roman" w:hAnsi="Times New Roman"/>
                <w:b/>
                <w:bCs/>
                <w:sz w:val="20"/>
                <w:lang w:val="sr-Cyrl-CS"/>
              </w:rPr>
              <w:t>гасови</w:t>
            </w:r>
          </w:p>
        </w:tc>
        <w:tc>
          <w:tcPr>
            <w:tcW w:w="301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14A17A" w14:textId="21A685FD" w:rsidR="00D7102F" w:rsidRPr="005303F7" w:rsidRDefault="00C52A7D"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 xml:space="preserve">Процењен утицај ублажавања </w:t>
            </w:r>
            <w:r w:rsidR="00D7102F" w:rsidRPr="005303F7">
              <w:rPr>
                <w:rFonts w:ascii="Times New Roman" w:hAnsi="Times New Roman"/>
                <w:b/>
                <w:bCs/>
                <w:sz w:val="20"/>
                <w:lang w:val="sr-Cyrl-CS"/>
              </w:rPr>
              <w:t xml:space="preserve">до 2030. </w:t>
            </w:r>
          </w:p>
          <w:p w14:paraId="3199CF7F" w14:textId="5E7B5B61" w:rsidR="0009461F"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BD116A" w:rsidRPr="005303F7" w14:paraId="2B7BA597" w14:textId="77777777" w:rsidTr="00D27999">
        <w:trPr>
          <w:trHeight w:val="955"/>
        </w:trPr>
        <w:tc>
          <w:tcPr>
            <w:tcW w:w="695" w:type="dxa"/>
            <w:gridSpan w:val="4"/>
            <w:vMerge/>
            <w:tcBorders>
              <w:top w:val="single" w:sz="4" w:space="0" w:color="auto"/>
              <w:left w:val="single" w:sz="4" w:space="0" w:color="auto"/>
              <w:bottom w:val="single" w:sz="4" w:space="0" w:color="auto"/>
              <w:right w:val="single" w:sz="4" w:space="0" w:color="auto"/>
            </w:tcBorders>
            <w:vAlign w:val="center"/>
            <w:hideMark/>
          </w:tcPr>
          <w:p w14:paraId="20EBF632" w14:textId="77777777" w:rsidR="00BD116A" w:rsidRPr="005303F7" w:rsidRDefault="00BD116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423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509171" w14:textId="2184F831"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1E5A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заштите</w:t>
            </w:r>
            <w:r w:rsidR="001E5A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животне</w:t>
            </w:r>
            <w:r w:rsidR="001E5A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средине</w:t>
            </w:r>
          </w:p>
        </w:tc>
        <w:tc>
          <w:tcPr>
            <w:tcW w:w="48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E85526" w14:textId="05EF7D08"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1E5A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привреде</w:t>
            </w:r>
            <w:r w:rsidR="001E5A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Привредна</w:t>
            </w:r>
            <w:r w:rsidR="001E5A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комора</w:t>
            </w:r>
            <w:r w:rsidR="001E5A73" w:rsidRPr="005303F7">
              <w:rPr>
                <w:rFonts w:ascii="Times New Roman" w:hAnsi="Times New Roman"/>
                <w:bCs/>
                <w:color w:val="000000"/>
                <w:sz w:val="20"/>
                <w:lang w:val="sr-Cyrl-CS"/>
              </w:rPr>
              <w:t xml:space="preserve"> </w:t>
            </w:r>
            <w:r w:rsidR="00D73AAB" w:rsidRPr="005303F7">
              <w:rPr>
                <w:rFonts w:ascii="Times New Roman" w:hAnsi="Times New Roman"/>
                <w:bCs/>
                <w:color w:val="000000"/>
                <w:sz w:val="20"/>
                <w:lang w:val="sr-Cyrl-CS"/>
              </w:rPr>
              <w:t>Србије</w:t>
            </w:r>
          </w:p>
        </w:tc>
        <w:tc>
          <w:tcPr>
            <w:tcW w:w="1860"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175604" w14:textId="4380B0FD" w:rsidR="00BD116A" w:rsidRPr="005303F7" w:rsidRDefault="004A35C7">
            <w:pPr>
              <w:overflowPunct/>
              <w:spacing w:after="0"/>
              <w:jc w:val="center"/>
              <w:rPr>
                <w:rFonts w:ascii="Times New Roman" w:hAnsi="Times New Roman"/>
                <w:bCs/>
                <w:sz w:val="20"/>
                <w:lang w:val="sr-Cyrl-CS"/>
              </w:rPr>
            </w:pPr>
            <w:r w:rsidRPr="005303F7">
              <w:rPr>
                <w:rFonts w:ascii="Times New Roman" w:hAnsi="Times New Roman"/>
                <w:bCs/>
                <w:sz w:val="20"/>
                <w:lang w:val="sr-Cyrl-CS"/>
              </w:rPr>
              <w:t>не-ЕТS</w:t>
            </w:r>
          </w:p>
        </w:tc>
        <w:tc>
          <w:tcPr>
            <w:tcW w:w="138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4BAEAC" w14:textId="6291CB60" w:rsidR="00BD116A" w:rsidRPr="005303F7" w:rsidRDefault="00CE33C4" w:rsidP="00C70572">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HFC, SF</w:t>
            </w:r>
            <w:r w:rsidR="00BD116A" w:rsidRPr="005303F7">
              <w:rPr>
                <w:rFonts w:ascii="Times New Roman" w:hAnsi="Times New Roman"/>
                <w:bCs/>
                <w:color w:val="000000"/>
                <w:sz w:val="20"/>
                <w:lang w:val="sr-Cyrl-CS"/>
              </w:rPr>
              <w:t>₆</w:t>
            </w:r>
          </w:p>
        </w:tc>
        <w:tc>
          <w:tcPr>
            <w:tcW w:w="301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78C071" w14:textId="77777777" w:rsidR="00BD116A" w:rsidRPr="005303F7" w:rsidRDefault="00BD116A">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114</w:t>
            </w:r>
          </w:p>
        </w:tc>
      </w:tr>
    </w:tbl>
    <w:tbl>
      <w:tblPr>
        <w:tblpPr w:leftFromText="180" w:rightFromText="180" w:vertAnchor="text" w:tblpX="-856" w:tblpY="135"/>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3547"/>
        <w:gridCol w:w="6240"/>
        <w:gridCol w:w="1272"/>
        <w:gridCol w:w="1418"/>
        <w:gridCol w:w="2978"/>
      </w:tblGrid>
      <w:tr w:rsidR="00BD116A" w:rsidRPr="005303F7" w14:paraId="3F57C804" w14:textId="77777777" w:rsidTr="00CF52F1">
        <w:trPr>
          <w:trHeight w:val="247"/>
        </w:trPr>
        <w:tc>
          <w:tcPr>
            <w:tcW w:w="16020" w:type="dxa"/>
            <w:gridSpan w:val="6"/>
            <w:tcBorders>
              <w:top w:val="single" w:sz="4" w:space="0" w:color="auto"/>
              <w:left w:val="single" w:sz="4" w:space="0" w:color="auto"/>
              <w:bottom w:val="single" w:sz="4" w:space="0" w:color="auto"/>
              <w:right w:val="single" w:sz="4" w:space="0" w:color="auto"/>
            </w:tcBorders>
            <w:shd w:val="clear" w:color="auto" w:fill="BBDAFD" w:themeFill="accent6" w:themeFillTint="33"/>
            <w:vAlign w:val="center"/>
            <w:hideMark/>
          </w:tcPr>
          <w:bookmarkEnd w:id="403"/>
          <w:p w14:paraId="418C52F8" w14:textId="576D4304" w:rsidR="00BD116A" w:rsidRPr="005303F7" w:rsidRDefault="008D69AF" w:rsidP="00353B06">
            <w:pPr>
              <w:overflowPunct/>
              <w:autoSpaceDE/>
              <w:adjustRightInd/>
              <w:jc w:val="left"/>
              <w:rPr>
                <w:rFonts w:ascii="Times New Roman" w:hAnsi="Times New Roman"/>
                <w:b/>
                <w:bCs/>
                <w:color w:val="000000"/>
                <w:sz w:val="18"/>
                <w:szCs w:val="18"/>
                <w:lang w:val="sr-Cyrl-CS" w:eastAsia="en-US"/>
              </w:rPr>
            </w:pPr>
            <w:r w:rsidRPr="005303F7">
              <w:rPr>
                <w:rFonts w:ascii="Times New Roman" w:hAnsi="Times New Roman"/>
                <w:b/>
                <w:bCs/>
                <w:color w:val="000000"/>
                <w:sz w:val="18"/>
                <w:szCs w:val="18"/>
                <w:lang w:val="sr-Cyrl-CS" w:eastAsia="en-US"/>
              </w:rPr>
              <w:lastRenderedPageBreak/>
              <w:t>Секторси</w:t>
            </w:r>
            <w:r w:rsidR="001E3D24"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ци</w:t>
            </w:r>
            <w:r w:rsidR="00D553BE" w:rsidRPr="005303F7">
              <w:rPr>
                <w:rFonts w:ascii="Times New Roman" w:hAnsi="Times New Roman"/>
                <w:b/>
                <w:bCs/>
                <w:sz w:val="18"/>
                <w:szCs w:val="18"/>
                <w:lang w:val="sr-Cyrl-CS" w:eastAsia="en-US"/>
              </w:rPr>
              <w:t>љ</w:t>
            </w:r>
            <w:r w:rsidR="00BD116A"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Смањење</w:t>
            </w:r>
            <w:r w:rsidR="005E4F5A"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емисија</w:t>
            </w:r>
            <w:r w:rsidR="005E4F5A" w:rsidRPr="005303F7">
              <w:rPr>
                <w:rFonts w:ascii="Times New Roman" w:hAnsi="Times New Roman"/>
                <w:b/>
                <w:bCs/>
                <w:color w:val="000000"/>
                <w:sz w:val="18"/>
                <w:szCs w:val="18"/>
                <w:lang w:val="sr-Cyrl-CS" w:eastAsia="en-US"/>
              </w:rPr>
              <w:t xml:space="preserve"> </w:t>
            </w:r>
            <w:r w:rsidR="005A0D30" w:rsidRPr="005303F7">
              <w:rPr>
                <w:rFonts w:ascii="Times New Roman" w:hAnsi="Times New Roman"/>
                <w:b/>
                <w:bCs/>
                <w:color w:val="000000"/>
                <w:sz w:val="18"/>
                <w:szCs w:val="18"/>
                <w:lang w:val="sr-Cyrl-CS" w:eastAsia="en-US"/>
              </w:rPr>
              <w:t>GHG</w:t>
            </w:r>
            <w:r w:rsidR="005E4F5A"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у</w:t>
            </w:r>
            <w:r w:rsidR="005E4F5A"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по</w:t>
            </w:r>
            <w:r w:rsidR="00D553BE" w:rsidRPr="005303F7">
              <w:rPr>
                <w:rFonts w:ascii="Times New Roman" w:hAnsi="Times New Roman"/>
                <w:b/>
                <w:bCs/>
                <w:sz w:val="18"/>
                <w:szCs w:val="18"/>
                <w:lang w:val="sr-Cyrl-CS" w:eastAsia="en-US"/>
              </w:rPr>
              <w:t>љ</w:t>
            </w:r>
            <w:r w:rsidRPr="005303F7">
              <w:rPr>
                <w:rFonts w:ascii="Times New Roman" w:hAnsi="Times New Roman"/>
                <w:b/>
                <w:bCs/>
                <w:color w:val="000000"/>
                <w:sz w:val="18"/>
                <w:szCs w:val="18"/>
                <w:lang w:val="sr-Cyrl-CS" w:eastAsia="en-US"/>
              </w:rPr>
              <w:t>опривреди</w:t>
            </w:r>
            <w:r w:rsidR="005E4F5A"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за</w:t>
            </w:r>
            <w:r w:rsidR="00BD116A" w:rsidRPr="005303F7">
              <w:rPr>
                <w:rFonts w:ascii="Times New Roman" w:hAnsi="Times New Roman"/>
                <w:b/>
                <w:bCs/>
                <w:color w:val="000000"/>
                <w:sz w:val="18"/>
                <w:szCs w:val="18"/>
                <w:lang w:val="sr-Cyrl-CS" w:eastAsia="en-US"/>
              </w:rPr>
              <w:t xml:space="preserve"> 15% </w:t>
            </w:r>
            <w:r w:rsidRPr="005303F7">
              <w:rPr>
                <w:rFonts w:ascii="Times New Roman" w:hAnsi="Times New Roman"/>
                <w:b/>
                <w:bCs/>
                <w:color w:val="000000"/>
                <w:sz w:val="18"/>
                <w:szCs w:val="18"/>
                <w:lang w:val="sr-Cyrl-CS" w:eastAsia="en-US"/>
              </w:rPr>
              <w:t>до</w:t>
            </w:r>
            <w:r w:rsidR="00BD116A" w:rsidRPr="005303F7">
              <w:rPr>
                <w:rFonts w:ascii="Times New Roman" w:hAnsi="Times New Roman"/>
                <w:b/>
                <w:bCs/>
                <w:color w:val="000000"/>
                <w:sz w:val="18"/>
                <w:szCs w:val="18"/>
                <w:lang w:val="sr-Cyrl-CS" w:eastAsia="en-US"/>
              </w:rPr>
              <w:t xml:space="preserve"> 2030</w:t>
            </w:r>
            <w:r w:rsidR="005E4F5A"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у</w:t>
            </w:r>
            <w:r w:rsidR="00415473"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поређењу</w:t>
            </w:r>
            <w:r w:rsidR="005E4F5A"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са</w:t>
            </w:r>
            <w:r w:rsidR="00BD116A" w:rsidRPr="005303F7">
              <w:rPr>
                <w:rFonts w:ascii="Times New Roman" w:hAnsi="Times New Roman"/>
                <w:b/>
                <w:bCs/>
                <w:color w:val="000000"/>
                <w:sz w:val="18"/>
                <w:szCs w:val="18"/>
                <w:lang w:val="sr-Cyrl-CS" w:eastAsia="en-US"/>
              </w:rPr>
              <w:t xml:space="preserve"> 2010</w:t>
            </w:r>
            <w:r w:rsidR="005E4F5A" w:rsidRPr="005303F7">
              <w:rPr>
                <w:rFonts w:ascii="Times New Roman" w:hAnsi="Times New Roman"/>
                <w:b/>
                <w:bCs/>
                <w:color w:val="000000"/>
                <w:sz w:val="18"/>
                <w:szCs w:val="18"/>
                <w:lang w:val="sr-Cyrl-CS" w:eastAsia="en-US"/>
              </w:rPr>
              <w:t xml:space="preserve">. </w:t>
            </w:r>
            <w:r w:rsidRPr="005303F7">
              <w:rPr>
                <w:rFonts w:ascii="Times New Roman" w:hAnsi="Times New Roman"/>
                <w:b/>
                <w:bCs/>
                <w:color w:val="000000"/>
                <w:sz w:val="18"/>
                <w:szCs w:val="18"/>
                <w:lang w:val="sr-Cyrl-CS" w:eastAsia="en-US"/>
              </w:rPr>
              <w:t>годином</w:t>
            </w:r>
          </w:p>
        </w:tc>
      </w:tr>
      <w:tr w:rsidR="00BD116A" w:rsidRPr="005303F7" w14:paraId="17373941" w14:textId="77777777" w:rsidTr="00CF52F1">
        <w:trPr>
          <w:trHeight w:val="442"/>
        </w:trPr>
        <w:tc>
          <w:tcPr>
            <w:tcW w:w="565" w:type="dxa"/>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25A105B7" w14:textId="28BC1C09" w:rsidR="00BD116A" w:rsidRPr="005303F7" w:rsidRDefault="008D69AF">
            <w:pPr>
              <w:overflowPunct/>
              <w:rPr>
                <w:rFonts w:ascii="Times New Roman" w:hAnsi="Times New Roman"/>
                <w:sz w:val="20"/>
                <w:lang w:val="sr-Cyrl-CS"/>
              </w:rPr>
            </w:pPr>
            <w:r w:rsidRPr="005303F7">
              <w:rPr>
                <w:rFonts w:ascii="Times New Roman" w:hAnsi="Times New Roman"/>
                <w:sz w:val="20"/>
                <w:lang w:val="sr-Cyrl-CS"/>
              </w:rPr>
              <w:t>Бр</w:t>
            </w:r>
            <w:r w:rsidR="00BD116A" w:rsidRPr="005303F7">
              <w:rPr>
                <w:rFonts w:ascii="Times New Roman" w:hAnsi="Times New Roman"/>
                <w:sz w:val="20"/>
                <w:lang w:val="sr-Cyrl-CS"/>
              </w:rPr>
              <w:t>.</w:t>
            </w:r>
          </w:p>
        </w:tc>
        <w:tc>
          <w:tcPr>
            <w:tcW w:w="15455" w:type="dxa"/>
            <w:gridSpan w:val="5"/>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2D65032A" w14:textId="67848F48" w:rsidR="00BD116A" w:rsidRPr="005303F7" w:rsidRDefault="008D69AF" w:rsidP="00652668">
            <w:pPr>
              <w:overflowPunct/>
              <w:jc w:val="left"/>
              <w:rPr>
                <w:rFonts w:ascii="Times New Roman" w:hAnsi="Times New Roman"/>
                <w:b/>
                <w:sz w:val="20"/>
                <w:u w:val="single"/>
                <w:lang w:val="sr-Cyrl-CS"/>
              </w:rPr>
            </w:pPr>
            <w:r w:rsidRPr="005303F7">
              <w:rPr>
                <w:rFonts w:ascii="Times New Roman" w:hAnsi="Times New Roman"/>
                <w:b/>
                <w:bCs/>
                <w:sz w:val="20"/>
                <w:lang w:val="sr-Cyrl-CS"/>
              </w:rPr>
              <w:t>Назив</w:t>
            </w:r>
            <w:r w:rsidR="001E3D24"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r w:rsidR="001E3D24" w:rsidRPr="005303F7">
              <w:rPr>
                <w:rFonts w:ascii="Times New Roman" w:hAnsi="Times New Roman"/>
                <w:b/>
                <w:bCs/>
                <w:sz w:val="20"/>
                <w:lang w:val="sr-Cyrl-CS"/>
              </w:rPr>
              <w:t>:</w:t>
            </w:r>
            <w:r w:rsidR="00415473" w:rsidRPr="005303F7">
              <w:rPr>
                <w:rFonts w:ascii="Times New Roman" w:hAnsi="Times New Roman"/>
                <w:b/>
                <w:bCs/>
                <w:sz w:val="20"/>
                <w:lang w:val="sr-Cyrl-CS"/>
              </w:rPr>
              <w:t xml:space="preserve"> </w:t>
            </w:r>
            <w:r w:rsidRPr="005303F7">
              <w:rPr>
                <w:rFonts w:ascii="Times New Roman" w:hAnsi="Times New Roman"/>
                <w:b/>
                <w:bCs/>
                <w:sz w:val="20"/>
                <w:u w:val="single"/>
                <w:lang w:val="sr-Cyrl-CS"/>
              </w:rPr>
              <w:t>Озими</w:t>
            </w:r>
            <w:r w:rsidR="005A08E5"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покровни</w:t>
            </w:r>
            <w:r w:rsidR="00B0045C"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усеви</w:t>
            </w:r>
          </w:p>
        </w:tc>
      </w:tr>
      <w:tr w:rsidR="00BD116A" w:rsidRPr="005303F7" w14:paraId="30F4B0D2" w14:textId="77777777" w:rsidTr="00D27999">
        <w:trPr>
          <w:trHeight w:val="3152"/>
        </w:trPr>
        <w:tc>
          <w:tcPr>
            <w:tcW w:w="565" w:type="dxa"/>
            <w:vMerge w:val="restart"/>
            <w:tcBorders>
              <w:top w:val="single" w:sz="4" w:space="0" w:color="auto"/>
              <w:left w:val="single" w:sz="4" w:space="0" w:color="auto"/>
              <w:bottom w:val="single" w:sz="4" w:space="0" w:color="auto"/>
              <w:right w:val="single" w:sz="4" w:space="0" w:color="auto"/>
            </w:tcBorders>
            <w:vAlign w:val="center"/>
            <w:hideMark/>
          </w:tcPr>
          <w:p w14:paraId="3C9C21AB" w14:textId="77777777" w:rsidR="00BD116A" w:rsidRPr="005303F7" w:rsidRDefault="00BD116A">
            <w:pPr>
              <w:overflowPunct/>
              <w:spacing w:after="0"/>
              <w:rPr>
                <w:rFonts w:ascii="Times New Roman" w:hAnsi="Times New Roman"/>
                <w:b/>
                <w:color w:val="000000"/>
                <w:sz w:val="20"/>
                <w:lang w:val="sr-Cyrl-CS"/>
              </w:rPr>
            </w:pPr>
            <w:r w:rsidRPr="005303F7">
              <w:rPr>
                <w:rFonts w:ascii="Times New Roman" w:hAnsi="Times New Roman"/>
                <w:b/>
                <w:color w:val="000000"/>
                <w:sz w:val="20"/>
                <w:lang w:val="sr-Cyrl-CS"/>
              </w:rPr>
              <w:t>16</w:t>
            </w:r>
          </w:p>
        </w:tc>
        <w:tc>
          <w:tcPr>
            <w:tcW w:w="15455" w:type="dxa"/>
            <w:gridSpan w:val="5"/>
            <w:tcBorders>
              <w:top w:val="single" w:sz="4" w:space="0" w:color="auto"/>
              <w:left w:val="single" w:sz="4" w:space="0" w:color="auto"/>
              <w:bottom w:val="single" w:sz="4" w:space="0" w:color="auto"/>
              <w:right w:val="single" w:sz="4" w:space="0" w:color="auto"/>
            </w:tcBorders>
            <w:vAlign w:val="center"/>
            <w:hideMark/>
          </w:tcPr>
          <w:p w14:paraId="29CD3B27" w14:textId="3EC2417D" w:rsidR="00860551" w:rsidRPr="005303F7" w:rsidRDefault="008D69AF" w:rsidP="00860551">
            <w:pPr>
              <w:overflowPunct/>
              <w:rPr>
                <w:rFonts w:ascii="Times New Roman" w:hAnsi="Times New Roman"/>
                <w:b/>
                <w:color w:val="000000"/>
                <w:sz w:val="20"/>
                <w:u w:val="single"/>
                <w:lang w:val="sr-Cyrl-CS"/>
              </w:rPr>
            </w:pPr>
            <w:r w:rsidRPr="005303F7">
              <w:rPr>
                <w:rFonts w:ascii="Times New Roman" w:hAnsi="Times New Roman"/>
                <w:b/>
                <w:color w:val="000000"/>
                <w:sz w:val="20"/>
                <w:u w:val="single"/>
                <w:lang w:val="sr-Cyrl-CS"/>
              </w:rPr>
              <w:t>Врста</w:t>
            </w:r>
            <w:r w:rsidR="00860551"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860551" w:rsidRPr="005303F7">
              <w:rPr>
                <w:rFonts w:ascii="Times New Roman" w:hAnsi="Times New Roman"/>
                <w:b/>
                <w:color w:val="000000"/>
                <w:sz w:val="20"/>
                <w:u w:val="single"/>
                <w:lang w:val="sr-Cyrl-CS"/>
              </w:rPr>
              <w:t>:</w:t>
            </w:r>
            <w:r w:rsidR="00860551" w:rsidRPr="005303F7">
              <w:rPr>
                <w:rFonts w:ascii="Times New Roman" w:hAnsi="Times New Roman"/>
                <w:b/>
                <w:color w:val="000000"/>
                <w:sz w:val="20"/>
                <w:lang w:val="sr-Cyrl-CS"/>
              </w:rPr>
              <w:t xml:space="preserve"> </w:t>
            </w:r>
            <w:r w:rsidRPr="005303F7">
              <w:rPr>
                <w:rFonts w:ascii="Times New Roman" w:hAnsi="Times New Roman"/>
                <w:bCs/>
                <w:color w:val="000000"/>
                <w:sz w:val="20"/>
                <w:lang w:val="sr-Cyrl-CS"/>
              </w:rPr>
              <w:t>Подстицајна</w:t>
            </w:r>
            <w:r w:rsidR="00860551" w:rsidRPr="005303F7">
              <w:rPr>
                <w:rFonts w:ascii="Times New Roman" w:hAnsi="Times New Roman"/>
                <w:bCs/>
                <w:color w:val="000000"/>
                <w:sz w:val="20"/>
                <w:lang w:val="sr-Cyrl-CS"/>
              </w:rPr>
              <w:t>,</w:t>
            </w:r>
            <w:r w:rsidR="00860551" w:rsidRPr="005303F7">
              <w:rPr>
                <w:rFonts w:ascii="Times New Roman" w:hAnsi="Times New Roman"/>
                <w:lang w:val="sr-Cyrl-CS"/>
              </w:rPr>
              <w:t xml:space="preserve"> </w:t>
            </w:r>
            <w:r w:rsidRPr="005303F7">
              <w:rPr>
                <w:rFonts w:ascii="Times New Roman" w:hAnsi="Times New Roman"/>
                <w:bCs/>
                <w:color w:val="000000"/>
                <w:sz w:val="20"/>
                <w:lang w:val="sr-Cyrl-CS"/>
              </w:rPr>
              <w:t>информативно</w:t>
            </w:r>
            <w:r w:rsidR="00860551" w:rsidRPr="005303F7">
              <w:rPr>
                <w:rFonts w:ascii="Times New Roman" w:hAnsi="Times New Roman"/>
                <w:bCs/>
                <w:color w:val="000000"/>
                <w:sz w:val="20"/>
                <w:lang w:val="sr-Cyrl-CS"/>
              </w:rPr>
              <w:t>-</w:t>
            </w:r>
            <w:r w:rsidRPr="005303F7">
              <w:rPr>
                <w:rFonts w:ascii="Times New Roman" w:hAnsi="Times New Roman"/>
                <w:bCs/>
                <w:color w:val="000000"/>
                <w:sz w:val="20"/>
                <w:lang w:val="sr-Cyrl-CS"/>
              </w:rPr>
              <w:t>едукативна</w:t>
            </w:r>
          </w:p>
          <w:p w14:paraId="466F120D" w14:textId="06706662" w:rsidR="00955072" w:rsidRPr="005303F7" w:rsidRDefault="008D69AF" w:rsidP="004818C6">
            <w:pPr>
              <w:overflowPunct/>
              <w:spacing w:before="240"/>
              <w:rPr>
                <w:rFonts w:ascii="Times New Roman" w:hAnsi="Times New Roman"/>
                <w:color w:val="000000"/>
                <w:sz w:val="20"/>
                <w:lang w:val="sr-Cyrl-CS"/>
              </w:rPr>
            </w:pPr>
            <w:r w:rsidRPr="005303F7">
              <w:rPr>
                <w:rFonts w:ascii="Times New Roman" w:hAnsi="Times New Roman"/>
                <w:b/>
                <w:color w:val="000000"/>
                <w:sz w:val="20"/>
                <w:u w:val="single"/>
                <w:lang w:val="sr-Cyrl-CS"/>
              </w:rPr>
              <w:t>Опис</w:t>
            </w:r>
            <w:r w:rsidR="00860551"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860551" w:rsidRPr="005303F7">
              <w:rPr>
                <w:rFonts w:ascii="Times New Roman" w:hAnsi="Times New Roman"/>
                <w:bCs/>
                <w:color w:val="000000"/>
                <w:sz w:val="20"/>
                <w:lang w:val="sr-Cyrl-CS"/>
              </w:rPr>
              <w:t>:</w:t>
            </w:r>
            <w:r w:rsidR="00860551" w:rsidRPr="005303F7">
              <w:rPr>
                <w:rFonts w:ascii="Times New Roman" w:hAnsi="Times New Roman"/>
                <w:lang w:val="sr-Cyrl-CS"/>
              </w:rPr>
              <w:t xml:space="preserve"> </w:t>
            </w:r>
            <w:r w:rsidR="00351060" w:rsidRPr="005303F7">
              <w:rPr>
                <w:lang w:val="sr-Cyrl-CS"/>
              </w:rPr>
              <w:t xml:space="preserve"> </w:t>
            </w:r>
            <w:r w:rsidR="00351060" w:rsidRPr="005303F7">
              <w:rPr>
                <w:rFonts w:ascii="Times New Roman" w:hAnsi="Times New Roman"/>
                <w:bCs/>
                <w:color w:val="000000"/>
                <w:sz w:val="20"/>
                <w:lang w:val="sr-Cyrl-CS"/>
              </w:rPr>
              <w:t>За сетву озимих покровних усева се генерално сматра да има позитиван утицај на смањење ерозије, плодност и квалитет тла земљишта, задржавање воде и смањење корова, као и за биодиверзитет и ублажавање емисија GHG. Површина за ове усеве ограничена је на површину која није обухваћена редовним усевима током зимске сезоне. Ове културе нису намењене тржишту, али изискују трошкове механизације, ђубрива и других производа и семена. У случају да су озими покровни усеви махунарке, биофиксација ће смањити потражњу ђубрива за наредне главне усеве. Имајући у виду позитивне ефекте у вези са ђубрењем и фитосанитарним функцијама, ова мера је корисна пољопривредницима, али знање о позитивним ефектима озимих покровних усева и пружање финансијске подршке (нпр. директна плаћања) се мора унапредити кроз услуге саветодавне службе за пољопривреду. Паралелно са тим, у пољопривредну политику ће се, током предприступног периода, постепено уводити услови доброг пољопривредног и еколошког стања (енгл. GAEC - Good Agricultural and Environmental Conditions)</w:t>
            </w:r>
            <w:r w:rsidR="00B20FDF" w:rsidRPr="005303F7">
              <w:rPr>
                <w:rFonts w:ascii="Times New Roman" w:hAnsi="Times New Roman"/>
                <w:bCs/>
                <w:color w:val="000000"/>
                <w:sz w:val="20"/>
                <w:lang w:val="sr-Cyrl-CS"/>
              </w:rPr>
              <w:t>.</w:t>
            </w:r>
          </w:p>
          <w:p w14:paraId="5E7105B4" w14:textId="42BF7818" w:rsidR="00BD116A" w:rsidRPr="005303F7" w:rsidRDefault="00351060" w:rsidP="004818C6">
            <w:pPr>
              <w:overflowPunct/>
              <w:spacing w:before="240"/>
              <w:rPr>
                <w:rFonts w:ascii="Times New Roman" w:hAnsi="Times New Roman"/>
                <w:bCs/>
                <w:color w:val="000000"/>
                <w:sz w:val="20"/>
                <w:lang w:val="sr-Cyrl-CS"/>
              </w:rPr>
            </w:pPr>
            <w:r w:rsidRPr="005303F7">
              <w:rPr>
                <w:rFonts w:ascii="Times New Roman" w:hAnsi="Times New Roman"/>
                <w:bCs/>
                <w:color w:val="000000"/>
                <w:sz w:val="20"/>
                <w:lang w:val="sr-Cyrl-CS"/>
              </w:rPr>
              <w:t>.</w:t>
            </w:r>
            <w:r w:rsidR="008D69AF" w:rsidRPr="005303F7">
              <w:rPr>
                <w:rFonts w:ascii="Times New Roman" w:hAnsi="Times New Roman"/>
                <w:b/>
                <w:bCs/>
                <w:sz w:val="20"/>
                <w:szCs w:val="18"/>
                <w:u w:val="single"/>
                <w:lang w:val="sr-Cyrl-CS"/>
              </w:rPr>
              <w:t>Процес</w:t>
            </w:r>
            <w:r w:rsidR="00860551" w:rsidRPr="005303F7">
              <w:rPr>
                <w:rFonts w:ascii="Times New Roman" w:hAnsi="Times New Roman"/>
                <w:b/>
                <w:bCs/>
                <w:sz w:val="20"/>
                <w:szCs w:val="18"/>
                <w:u w:val="single"/>
                <w:lang w:val="sr-Cyrl-CS"/>
              </w:rPr>
              <w:t xml:space="preserve"> </w:t>
            </w:r>
            <w:r w:rsidR="008D69AF" w:rsidRPr="005303F7">
              <w:rPr>
                <w:rFonts w:ascii="Times New Roman" w:hAnsi="Times New Roman"/>
                <w:b/>
                <w:bCs/>
                <w:sz w:val="20"/>
                <w:szCs w:val="18"/>
                <w:u w:val="single"/>
                <w:lang w:val="sr-Cyrl-CS"/>
              </w:rPr>
              <w:t>преговора</w:t>
            </w:r>
            <w:r w:rsidR="00860551" w:rsidRPr="005303F7">
              <w:rPr>
                <w:rFonts w:ascii="Times New Roman" w:hAnsi="Times New Roman"/>
                <w:b/>
                <w:bCs/>
                <w:sz w:val="20"/>
                <w:szCs w:val="18"/>
                <w:u w:val="single"/>
                <w:lang w:val="sr-Cyrl-CS"/>
              </w:rPr>
              <w:t xml:space="preserve"> </w:t>
            </w:r>
            <w:r w:rsidR="008D69AF" w:rsidRPr="005303F7">
              <w:rPr>
                <w:rFonts w:ascii="Times New Roman" w:hAnsi="Times New Roman"/>
                <w:b/>
                <w:bCs/>
                <w:sz w:val="20"/>
                <w:szCs w:val="18"/>
                <w:u w:val="single"/>
                <w:lang w:val="sr-Cyrl-CS"/>
              </w:rPr>
              <w:t>о</w:t>
            </w:r>
            <w:r w:rsidR="00860551" w:rsidRPr="005303F7">
              <w:rPr>
                <w:rFonts w:ascii="Times New Roman" w:hAnsi="Times New Roman"/>
                <w:b/>
                <w:bCs/>
                <w:sz w:val="20"/>
                <w:szCs w:val="18"/>
                <w:u w:val="single"/>
                <w:lang w:val="sr-Cyrl-CS"/>
              </w:rPr>
              <w:t xml:space="preserve"> </w:t>
            </w:r>
            <w:r w:rsidR="008D69AF" w:rsidRPr="005303F7">
              <w:rPr>
                <w:rFonts w:ascii="Times New Roman" w:hAnsi="Times New Roman"/>
                <w:b/>
                <w:bCs/>
                <w:sz w:val="20"/>
                <w:szCs w:val="18"/>
                <w:u w:val="single"/>
                <w:lang w:val="sr-Cyrl-CS"/>
              </w:rPr>
              <w:t>приступању</w:t>
            </w:r>
            <w:r w:rsidR="00860551" w:rsidRPr="005303F7">
              <w:rPr>
                <w:rFonts w:ascii="Times New Roman" w:hAnsi="Times New Roman"/>
                <w:b/>
                <w:bCs/>
                <w:sz w:val="20"/>
                <w:szCs w:val="18"/>
                <w:u w:val="single"/>
                <w:lang w:val="sr-Cyrl-CS"/>
              </w:rPr>
              <w:t xml:space="preserve"> </w:t>
            </w:r>
            <w:r w:rsidR="008D69AF" w:rsidRPr="005303F7">
              <w:rPr>
                <w:rFonts w:ascii="Times New Roman" w:hAnsi="Times New Roman"/>
                <w:b/>
                <w:bCs/>
                <w:sz w:val="20"/>
                <w:szCs w:val="18"/>
                <w:u w:val="single"/>
                <w:lang w:val="sr-Cyrl-CS"/>
              </w:rPr>
              <w:t>ЕУ</w:t>
            </w:r>
            <w:r w:rsidR="00860551" w:rsidRPr="005303F7">
              <w:rPr>
                <w:rFonts w:ascii="Times New Roman" w:hAnsi="Times New Roman"/>
                <w:b/>
                <w:bCs/>
                <w:sz w:val="20"/>
                <w:szCs w:val="18"/>
                <w:u w:val="single"/>
                <w:lang w:val="sr-Cyrl-CS"/>
              </w:rPr>
              <w:t xml:space="preserve">: </w:t>
            </w:r>
            <w:r w:rsidR="008D69AF" w:rsidRPr="005303F7">
              <w:rPr>
                <w:rFonts w:ascii="Times New Roman" w:hAnsi="Times New Roman"/>
                <w:b/>
                <w:bCs/>
                <w:sz w:val="20"/>
                <w:szCs w:val="18"/>
                <w:u w:val="single"/>
                <w:lang w:val="sr-Cyrl-CS"/>
              </w:rPr>
              <w:t>Поглав</w:t>
            </w:r>
            <w:r w:rsidR="00D553BE" w:rsidRPr="005303F7">
              <w:rPr>
                <w:rFonts w:ascii="Times New Roman" w:hAnsi="Times New Roman"/>
                <w:b/>
                <w:bCs/>
                <w:sz w:val="20"/>
                <w:szCs w:val="18"/>
                <w:u w:val="single"/>
                <w:lang w:val="sr-Cyrl-CS"/>
              </w:rPr>
              <w:t>љ</w:t>
            </w:r>
            <w:r w:rsidR="008D69AF" w:rsidRPr="005303F7">
              <w:rPr>
                <w:rFonts w:ascii="Times New Roman" w:hAnsi="Times New Roman"/>
                <w:b/>
                <w:bCs/>
                <w:sz w:val="20"/>
                <w:szCs w:val="18"/>
                <w:u w:val="single"/>
                <w:lang w:val="sr-Cyrl-CS"/>
              </w:rPr>
              <w:t>е</w:t>
            </w:r>
            <w:r w:rsidR="00860551" w:rsidRPr="005303F7">
              <w:rPr>
                <w:rFonts w:ascii="Times New Roman" w:hAnsi="Times New Roman"/>
                <w:b/>
                <w:bCs/>
                <w:sz w:val="20"/>
                <w:szCs w:val="18"/>
                <w:u w:val="single"/>
                <w:lang w:val="sr-Cyrl-CS"/>
              </w:rPr>
              <w:t xml:space="preserve"> 11 – </w:t>
            </w:r>
            <w:r w:rsidR="008D69AF" w:rsidRPr="005303F7">
              <w:rPr>
                <w:rFonts w:ascii="Times New Roman" w:hAnsi="Times New Roman"/>
                <w:b/>
                <w:bCs/>
                <w:sz w:val="20"/>
                <w:szCs w:val="18"/>
                <w:u w:val="single"/>
                <w:lang w:val="sr-Cyrl-CS"/>
              </w:rPr>
              <w:t>По</w:t>
            </w:r>
            <w:r w:rsidR="00D553BE" w:rsidRPr="005303F7">
              <w:rPr>
                <w:rFonts w:ascii="Times New Roman" w:hAnsi="Times New Roman"/>
                <w:b/>
                <w:bCs/>
                <w:sz w:val="20"/>
                <w:szCs w:val="18"/>
                <w:u w:val="single"/>
                <w:lang w:val="sr-Cyrl-CS"/>
              </w:rPr>
              <w:t>љ</w:t>
            </w:r>
            <w:r w:rsidR="008D69AF" w:rsidRPr="005303F7">
              <w:rPr>
                <w:rFonts w:ascii="Times New Roman" w:hAnsi="Times New Roman"/>
                <w:b/>
                <w:bCs/>
                <w:sz w:val="20"/>
                <w:szCs w:val="18"/>
                <w:u w:val="single"/>
                <w:lang w:val="sr-Cyrl-CS"/>
              </w:rPr>
              <w:t>опривреда</w:t>
            </w:r>
            <w:r w:rsidR="00860551" w:rsidRPr="005303F7">
              <w:rPr>
                <w:rFonts w:ascii="Times New Roman" w:hAnsi="Times New Roman"/>
                <w:b/>
                <w:bCs/>
                <w:sz w:val="20"/>
                <w:szCs w:val="18"/>
                <w:u w:val="single"/>
                <w:lang w:val="sr-Cyrl-CS"/>
              </w:rPr>
              <w:t xml:space="preserve"> </w:t>
            </w:r>
            <w:r w:rsidR="008D69AF" w:rsidRPr="005303F7">
              <w:rPr>
                <w:rFonts w:ascii="Times New Roman" w:hAnsi="Times New Roman"/>
                <w:b/>
                <w:bCs/>
                <w:sz w:val="20"/>
                <w:szCs w:val="18"/>
                <w:u w:val="single"/>
                <w:lang w:val="sr-Cyrl-CS"/>
              </w:rPr>
              <w:t>и</w:t>
            </w:r>
            <w:r w:rsidR="00860551" w:rsidRPr="005303F7">
              <w:rPr>
                <w:rFonts w:ascii="Times New Roman" w:hAnsi="Times New Roman"/>
                <w:b/>
                <w:bCs/>
                <w:sz w:val="20"/>
                <w:szCs w:val="18"/>
                <w:u w:val="single"/>
                <w:lang w:val="sr-Cyrl-CS"/>
              </w:rPr>
              <w:t xml:space="preserve"> </w:t>
            </w:r>
            <w:r w:rsidR="008D69AF" w:rsidRPr="005303F7">
              <w:rPr>
                <w:rFonts w:ascii="Times New Roman" w:hAnsi="Times New Roman"/>
                <w:b/>
                <w:bCs/>
                <w:sz w:val="20"/>
                <w:szCs w:val="18"/>
                <w:u w:val="single"/>
                <w:lang w:val="sr-Cyrl-CS"/>
              </w:rPr>
              <w:t>рурални</w:t>
            </w:r>
            <w:r w:rsidR="00860551" w:rsidRPr="005303F7">
              <w:rPr>
                <w:rFonts w:ascii="Times New Roman" w:hAnsi="Times New Roman"/>
                <w:b/>
                <w:bCs/>
                <w:sz w:val="20"/>
                <w:szCs w:val="18"/>
                <w:u w:val="single"/>
                <w:lang w:val="sr-Cyrl-CS"/>
              </w:rPr>
              <w:t xml:space="preserve"> </w:t>
            </w:r>
            <w:r w:rsidR="008D69AF" w:rsidRPr="005303F7">
              <w:rPr>
                <w:rFonts w:ascii="Times New Roman" w:hAnsi="Times New Roman"/>
                <w:b/>
                <w:bCs/>
                <w:sz w:val="20"/>
                <w:szCs w:val="18"/>
                <w:u w:val="single"/>
                <w:lang w:val="sr-Cyrl-CS"/>
              </w:rPr>
              <w:t>развој</w:t>
            </w:r>
          </w:p>
        </w:tc>
      </w:tr>
      <w:tr w:rsidR="00CF52F1" w:rsidRPr="005303F7" w14:paraId="2B63273F" w14:textId="77777777" w:rsidTr="00F23EDD">
        <w:trPr>
          <w:trHeight w:val="381"/>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6302761" w14:textId="77777777" w:rsidR="00CF52F1" w:rsidRPr="005303F7" w:rsidRDefault="00CF52F1">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638BD4" w14:textId="0E6CAD8A" w:rsidR="00CF52F1" w:rsidRPr="005303F7" w:rsidRDefault="008D69AF" w:rsidP="0029378D">
            <w:pPr>
              <w:spacing w:before="0" w:after="0"/>
              <w:jc w:val="center"/>
              <w:rPr>
                <w:rFonts w:ascii="Times New Roman" w:hAnsi="Times New Roman"/>
                <w:b/>
                <w:bCs/>
                <w:sz w:val="20"/>
                <w:lang w:val="sr-Cyrl-CS"/>
              </w:rPr>
            </w:pPr>
            <w:r w:rsidRPr="005303F7">
              <w:rPr>
                <w:rFonts w:ascii="Times New Roman" w:hAnsi="Times New Roman"/>
                <w:b/>
                <w:bCs/>
                <w:sz w:val="20"/>
                <w:lang w:val="sr-Cyrl-CS"/>
              </w:rPr>
              <w:t>К</w:t>
            </w:r>
            <w:r w:rsidR="00D553BE" w:rsidRPr="005303F7">
              <w:rPr>
                <w:rFonts w:ascii="Times New Roman" w:hAnsi="Times New Roman"/>
                <w:b/>
                <w:bCs/>
                <w:sz w:val="20"/>
                <w:lang w:val="sr-Cyrl-CS"/>
              </w:rPr>
              <w:t>љ</w:t>
            </w:r>
            <w:r w:rsidRPr="005303F7">
              <w:rPr>
                <w:rFonts w:ascii="Times New Roman" w:hAnsi="Times New Roman"/>
                <w:b/>
                <w:bCs/>
                <w:sz w:val="20"/>
                <w:lang w:val="sr-Cyrl-CS"/>
              </w:rPr>
              <w:t>учни</w:t>
            </w:r>
            <w:r w:rsidR="00CF52F1" w:rsidRPr="005303F7">
              <w:rPr>
                <w:rFonts w:ascii="Times New Roman" w:hAnsi="Times New Roman"/>
                <w:b/>
                <w:bCs/>
                <w:sz w:val="20"/>
                <w:lang w:val="sr-Cyrl-CS"/>
              </w:rPr>
              <w:t xml:space="preserve"> </w:t>
            </w:r>
            <w:r w:rsidRPr="005303F7">
              <w:rPr>
                <w:rFonts w:ascii="Times New Roman" w:hAnsi="Times New Roman"/>
                <w:b/>
                <w:bCs/>
                <w:sz w:val="20"/>
                <w:lang w:val="sr-Cyrl-CS"/>
              </w:rPr>
              <w:t>субјекат</w:t>
            </w:r>
            <w:r w:rsidR="00CF52F1" w:rsidRPr="005303F7">
              <w:rPr>
                <w:rFonts w:ascii="Times New Roman" w:hAnsi="Times New Roman"/>
                <w:b/>
                <w:bCs/>
                <w:sz w:val="20"/>
                <w:lang w:val="sr-Cyrl-CS"/>
              </w:rPr>
              <w:t xml:space="preserve"> </w:t>
            </w:r>
            <w:r w:rsidRPr="005303F7">
              <w:rPr>
                <w:rFonts w:ascii="Times New Roman" w:hAnsi="Times New Roman"/>
                <w:b/>
                <w:bCs/>
                <w:sz w:val="20"/>
                <w:lang w:val="sr-Cyrl-CS"/>
              </w:rPr>
              <w:t>за</w:t>
            </w:r>
            <w:r w:rsidR="00CF52F1" w:rsidRPr="005303F7">
              <w:rPr>
                <w:rFonts w:ascii="Times New Roman" w:hAnsi="Times New Roman"/>
                <w:b/>
                <w:bCs/>
                <w:sz w:val="20"/>
                <w:lang w:val="sr-Cyrl-CS"/>
              </w:rPr>
              <w:t xml:space="preserve"> </w:t>
            </w:r>
            <w:r w:rsidRPr="005303F7">
              <w:rPr>
                <w:rFonts w:ascii="Times New Roman" w:hAnsi="Times New Roman"/>
                <w:b/>
                <w:bCs/>
                <w:sz w:val="20"/>
                <w:lang w:val="sr-Cyrl-CS"/>
              </w:rPr>
              <w:t>спровођење</w:t>
            </w:r>
            <w:r w:rsidR="00CF52F1"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p>
        </w:tc>
        <w:tc>
          <w:tcPr>
            <w:tcW w:w="6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F82AD1" w14:textId="6A0B9976" w:rsidR="00CF52F1"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Партнери</w:t>
            </w:r>
          </w:p>
        </w:tc>
        <w:tc>
          <w:tcPr>
            <w:tcW w:w="12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A93BE8" w14:textId="1CC52853" w:rsidR="00CF52F1"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 xml:space="preserve">ЕТS/ </w:t>
            </w:r>
            <w:r w:rsidR="004A35C7" w:rsidRPr="005303F7">
              <w:rPr>
                <w:rFonts w:ascii="Times New Roman" w:hAnsi="Times New Roman"/>
                <w:b/>
                <w:sz w:val="20"/>
                <w:lang w:val="sr-Cyrl-CS"/>
              </w:rPr>
              <w:t>не-ЕТS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6C1BF5" w14:textId="38EDAA05" w:rsidR="00CF52F1"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Главни</w:t>
            </w:r>
            <w:r w:rsidR="00CF52F1" w:rsidRPr="005303F7">
              <w:rPr>
                <w:rFonts w:ascii="Times New Roman" w:hAnsi="Times New Roman"/>
                <w:b/>
                <w:bCs/>
                <w:sz w:val="20"/>
                <w:lang w:val="sr-Cyrl-CS"/>
              </w:rPr>
              <w:t xml:space="preserve"> </w:t>
            </w:r>
            <w:r w:rsidRPr="005303F7">
              <w:rPr>
                <w:rFonts w:ascii="Times New Roman" w:hAnsi="Times New Roman"/>
                <w:b/>
                <w:bCs/>
                <w:sz w:val="20"/>
                <w:lang w:val="sr-Cyrl-CS"/>
              </w:rPr>
              <w:t>гасови</w:t>
            </w:r>
          </w:p>
        </w:tc>
        <w:tc>
          <w:tcPr>
            <w:tcW w:w="2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B5D755" w14:textId="632E4913" w:rsidR="00D7102F" w:rsidRPr="005303F7" w:rsidRDefault="00C52A7D"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 xml:space="preserve">Процењен утицај ублажавања </w:t>
            </w:r>
            <w:r w:rsidR="00D7102F" w:rsidRPr="005303F7">
              <w:rPr>
                <w:rFonts w:ascii="Times New Roman" w:hAnsi="Times New Roman"/>
                <w:b/>
                <w:bCs/>
                <w:sz w:val="20"/>
                <w:lang w:val="sr-Cyrl-CS"/>
              </w:rPr>
              <w:t xml:space="preserve">до 2030. </w:t>
            </w:r>
          </w:p>
          <w:p w14:paraId="5CF4836F" w14:textId="6F71E81C" w:rsidR="00CF52F1"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BD116A" w:rsidRPr="005303F7" w14:paraId="105FD3A9" w14:textId="77777777" w:rsidTr="002F2A9A">
        <w:trPr>
          <w:trHeight w:val="70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5E56146" w14:textId="77777777" w:rsidR="00BD116A" w:rsidRPr="005303F7" w:rsidRDefault="00BD116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1758D" w14:textId="0FED5F5C" w:rsidR="00BD116A" w:rsidRPr="005303F7" w:rsidRDefault="008D69AF" w:rsidP="006332EF">
            <w:pPr>
              <w:overflowPunct/>
              <w:spacing w:after="0"/>
              <w:jc w:val="left"/>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6332EF"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опривреде</w:t>
            </w:r>
            <w:r w:rsidR="006332EF"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шумарства</w:t>
            </w:r>
            <w:r w:rsidR="006332EF"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6332EF"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водопривреде</w:t>
            </w:r>
            <w:r w:rsidR="00BD116A" w:rsidRPr="005303F7">
              <w:rPr>
                <w:rFonts w:ascii="Times New Roman" w:hAnsi="Times New Roman"/>
                <w:bCs/>
                <w:color w:val="000000"/>
                <w:sz w:val="20"/>
                <w:lang w:val="sr-Cyrl-CS"/>
              </w:rPr>
              <w:t xml:space="preserve"> </w:t>
            </w:r>
          </w:p>
        </w:tc>
        <w:tc>
          <w:tcPr>
            <w:tcW w:w="6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E50E1" w14:textId="0E979607" w:rsidR="00BD116A" w:rsidRPr="005303F7" w:rsidRDefault="00235B44" w:rsidP="00C70572">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Пољопривредне стручне и саветодавне службе</w:t>
            </w:r>
            <w:r w:rsidRPr="005303F7" w:rsidDel="00235B44">
              <w:rPr>
                <w:rFonts w:ascii="Times New Roman" w:hAnsi="Times New Roman"/>
                <w:bCs/>
                <w:color w:val="000000"/>
                <w:sz w:val="20"/>
                <w:lang w:val="sr-Cyrl-CS"/>
              </w:rPr>
              <w:t xml:space="preserve"> </w:t>
            </w:r>
            <w:r w:rsidR="00BD116A" w:rsidRPr="005303F7">
              <w:rPr>
                <w:rFonts w:ascii="Times New Roman" w:hAnsi="Times New Roman"/>
                <w:bCs/>
                <w:color w:val="000000"/>
                <w:sz w:val="20"/>
                <w:lang w:val="sr-Cyrl-CS"/>
              </w:rPr>
              <w:t xml:space="preserve">, </w:t>
            </w:r>
            <w:r w:rsidR="00C27771" w:rsidRPr="005303F7">
              <w:rPr>
                <w:rFonts w:ascii="Times New Roman" w:hAnsi="Times New Roman"/>
                <w:bCs/>
                <w:color w:val="000000"/>
                <w:sz w:val="20"/>
                <w:lang w:val="sr-Cyrl-CS"/>
              </w:rPr>
              <w:t>Управа</w:t>
            </w:r>
            <w:r w:rsidR="006332EF"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6332EF"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аграрна</w:t>
            </w:r>
            <w:r w:rsidR="006332EF"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плаћања</w:t>
            </w:r>
            <w:r w:rsidR="00BD116A" w:rsidRPr="005303F7">
              <w:rPr>
                <w:rFonts w:ascii="Times New Roman" w:hAnsi="Times New Roman"/>
                <w:bCs/>
                <w:color w:val="000000"/>
                <w:sz w:val="20"/>
                <w:lang w:val="sr-Cyrl-CS"/>
              </w:rPr>
              <w:t xml:space="preserve">, </w:t>
            </w:r>
            <w:r w:rsidR="0032138F" w:rsidRPr="005303F7">
              <w:rPr>
                <w:rFonts w:ascii="Times New Roman" w:hAnsi="Times New Roman"/>
                <w:bCs/>
                <w:color w:val="000000"/>
                <w:sz w:val="20"/>
                <w:lang w:val="sr-Cyrl-CS"/>
              </w:rPr>
              <w:t xml:space="preserve">Управа за пољопривредно земљиште, </w:t>
            </w:r>
            <w:r w:rsidR="008D69AF" w:rsidRPr="005303F7">
              <w:rPr>
                <w:rFonts w:ascii="Times New Roman" w:hAnsi="Times New Roman"/>
                <w:bCs/>
                <w:color w:val="000000"/>
                <w:sz w:val="20"/>
                <w:lang w:val="sr-Cyrl-CS"/>
              </w:rPr>
              <w:t>по</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опривредници</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C195D0" w14:textId="2C1AADAB" w:rsidR="00BD116A" w:rsidRPr="005303F7" w:rsidRDefault="004A35C7" w:rsidP="006332EF">
            <w:pPr>
              <w:overflowPunct/>
              <w:spacing w:after="0"/>
              <w:jc w:val="center"/>
              <w:rPr>
                <w:rFonts w:ascii="Times New Roman" w:hAnsi="Times New Roman"/>
                <w:bCs/>
                <w:sz w:val="20"/>
                <w:lang w:val="sr-Cyrl-CS"/>
              </w:rPr>
            </w:pPr>
            <w:r w:rsidRPr="005303F7">
              <w:rPr>
                <w:rFonts w:ascii="Times New Roman" w:hAnsi="Times New Roman"/>
                <w:bCs/>
                <w:sz w:val="20"/>
                <w:lang w:val="sr-Cyrl-CS"/>
              </w:rPr>
              <w:t>не-ЕТS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9D30BE" w14:textId="6FD276E2" w:rsidR="00BD116A" w:rsidRPr="005303F7" w:rsidRDefault="005A0D30">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C</w:t>
            </w:r>
            <w:r w:rsidR="008D69AF" w:rsidRPr="005303F7">
              <w:rPr>
                <w:rFonts w:ascii="Times New Roman" w:hAnsi="Times New Roman"/>
                <w:bCs/>
                <w:color w:val="000000"/>
                <w:sz w:val="20"/>
                <w:lang w:val="sr-Cyrl-CS"/>
              </w:rPr>
              <w:t>О</w:t>
            </w:r>
            <w:r w:rsidR="00BD116A" w:rsidRPr="005303F7">
              <w:rPr>
                <w:rFonts w:ascii="Times New Roman" w:hAnsi="Times New Roman"/>
                <w:bCs/>
                <w:color w:val="000000"/>
                <w:sz w:val="20"/>
                <w:vertAlign w:val="subscript"/>
                <w:lang w:val="sr-Cyrl-CS"/>
              </w:rPr>
              <w:t>2</w:t>
            </w:r>
            <w:r w:rsidR="00BD116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N</w:t>
            </w:r>
            <w:r w:rsidR="00BD116A" w:rsidRPr="005303F7">
              <w:rPr>
                <w:rFonts w:ascii="Times New Roman" w:hAnsi="Times New Roman"/>
                <w:bCs/>
                <w:color w:val="000000"/>
                <w:sz w:val="20"/>
                <w:vertAlign w:val="subscript"/>
                <w:lang w:val="sr-Cyrl-CS"/>
              </w:rPr>
              <w:t>2</w:t>
            </w:r>
            <w:r w:rsidR="008D69AF" w:rsidRPr="005303F7">
              <w:rPr>
                <w:rFonts w:ascii="Times New Roman" w:hAnsi="Times New Roman"/>
                <w:bCs/>
                <w:color w:val="000000"/>
                <w:sz w:val="20"/>
                <w:lang w:val="sr-Cyrl-CS"/>
              </w:rPr>
              <w:t>О</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63BD3E" w14:textId="77777777" w:rsidR="00BD116A" w:rsidRPr="005303F7" w:rsidRDefault="00BD116A">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579,05</w:t>
            </w:r>
          </w:p>
        </w:tc>
      </w:tr>
    </w:tbl>
    <w:tbl>
      <w:tblPr>
        <w:tblW w:w="1606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31"/>
        <w:gridCol w:w="3116"/>
        <w:gridCol w:w="138"/>
        <w:gridCol w:w="280"/>
        <w:gridCol w:w="20"/>
        <w:gridCol w:w="426"/>
        <w:gridCol w:w="5526"/>
        <w:gridCol w:w="260"/>
        <w:gridCol w:w="23"/>
        <w:gridCol w:w="116"/>
        <w:gridCol w:w="12"/>
        <w:gridCol w:w="9"/>
        <w:gridCol w:w="262"/>
        <w:gridCol w:w="570"/>
        <w:gridCol w:w="281"/>
        <w:gridCol w:w="21"/>
        <w:gridCol w:w="123"/>
        <w:gridCol w:w="20"/>
        <w:gridCol w:w="261"/>
        <w:gridCol w:w="861"/>
        <w:gridCol w:w="16"/>
        <w:gridCol w:w="140"/>
        <w:gridCol w:w="138"/>
        <w:gridCol w:w="152"/>
        <w:gridCol w:w="2594"/>
      </w:tblGrid>
      <w:tr w:rsidR="00BD116A" w:rsidRPr="005303F7" w14:paraId="352E3773" w14:textId="77777777" w:rsidTr="00D519CC">
        <w:trPr>
          <w:trHeight w:val="442"/>
        </w:trPr>
        <w:tc>
          <w:tcPr>
            <w:tcW w:w="565" w:type="dxa"/>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4747AF98" w14:textId="27644E9A" w:rsidR="00BD116A" w:rsidRPr="005303F7" w:rsidRDefault="008D69AF">
            <w:pPr>
              <w:overflowPunct/>
              <w:rPr>
                <w:rFonts w:ascii="Times New Roman" w:hAnsi="Times New Roman"/>
                <w:sz w:val="20"/>
                <w:lang w:val="sr-Cyrl-CS"/>
              </w:rPr>
            </w:pPr>
            <w:r w:rsidRPr="005303F7">
              <w:rPr>
                <w:rFonts w:ascii="Times New Roman" w:hAnsi="Times New Roman"/>
                <w:sz w:val="20"/>
                <w:lang w:val="sr-Cyrl-CS"/>
              </w:rPr>
              <w:t>Бр</w:t>
            </w:r>
            <w:r w:rsidR="00BD116A" w:rsidRPr="005303F7">
              <w:rPr>
                <w:rFonts w:ascii="Times New Roman" w:hAnsi="Times New Roman"/>
                <w:sz w:val="20"/>
                <w:lang w:val="sr-Cyrl-CS"/>
              </w:rPr>
              <w:t>.</w:t>
            </w:r>
          </w:p>
        </w:tc>
        <w:tc>
          <w:tcPr>
            <w:tcW w:w="15496" w:type="dxa"/>
            <w:gridSpan w:val="25"/>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242832B6" w14:textId="31C1B10B" w:rsidR="00BD116A" w:rsidRPr="005303F7" w:rsidRDefault="008D69AF" w:rsidP="00652668">
            <w:pPr>
              <w:overflowPunct/>
              <w:jc w:val="left"/>
              <w:rPr>
                <w:rFonts w:ascii="Times New Roman" w:hAnsi="Times New Roman"/>
                <w:b/>
                <w:bCs/>
                <w:sz w:val="20"/>
                <w:lang w:val="sr-Cyrl-CS"/>
              </w:rPr>
            </w:pPr>
            <w:r w:rsidRPr="005303F7">
              <w:rPr>
                <w:rFonts w:ascii="Times New Roman" w:hAnsi="Times New Roman"/>
                <w:b/>
                <w:bCs/>
                <w:sz w:val="20"/>
                <w:lang w:val="sr-Cyrl-CS"/>
              </w:rPr>
              <w:t>Назив</w:t>
            </w:r>
            <w:r w:rsidR="005449B8"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r w:rsidR="005449B8" w:rsidRPr="005303F7">
              <w:rPr>
                <w:rFonts w:ascii="Times New Roman" w:hAnsi="Times New Roman"/>
                <w:b/>
                <w:bCs/>
                <w:sz w:val="20"/>
                <w:lang w:val="sr-Cyrl-CS"/>
              </w:rPr>
              <w:t>:</w:t>
            </w:r>
            <w:r w:rsidR="00415473" w:rsidRPr="005303F7">
              <w:rPr>
                <w:rFonts w:ascii="Times New Roman" w:hAnsi="Times New Roman"/>
                <w:b/>
                <w:bCs/>
                <w:sz w:val="20"/>
                <w:lang w:val="sr-Cyrl-CS"/>
              </w:rPr>
              <w:t xml:space="preserve"> </w:t>
            </w:r>
            <w:r w:rsidRPr="005303F7">
              <w:rPr>
                <w:rFonts w:ascii="Times New Roman" w:hAnsi="Times New Roman"/>
                <w:b/>
                <w:bCs/>
                <w:sz w:val="20"/>
                <w:u w:val="single"/>
                <w:lang w:val="sr-Cyrl-CS"/>
              </w:rPr>
              <w:t>Пове</w:t>
            </w:r>
            <w:r w:rsidR="00016298" w:rsidRPr="005303F7">
              <w:rPr>
                <w:rFonts w:ascii="Times New Roman" w:hAnsi="Times New Roman"/>
                <w:b/>
                <w:bCs/>
                <w:sz w:val="20"/>
                <w:u w:val="single"/>
                <w:lang w:val="sr-Cyrl-CS"/>
              </w:rPr>
              <w:t>ћ</w:t>
            </w:r>
            <w:r w:rsidRPr="005303F7">
              <w:rPr>
                <w:rFonts w:ascii="Times New Roman" w:hAnsi="Times New Roman"/>
                <w:b/>
                <w:bCs/>
                <w:sz w:val="20"/>
                <w:u w:val="single"/>
                <w:lang w:val="sr-Cyrl-CS"/>
              </w:rPr>
              <w:t>ање</w:t>
            </w:r>
            <w:r w:rsidR="00860551"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удела</w:t>
            </w:r>
            <w:r w:rsidR="00860551"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махунарки</w:t>
            </w:r>
            <w:r w:rsidR="00860551"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у</w:t>
            </w:r>
            <w:r w:rsidR="00860551"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површинама</w:t>
            </w:r>
            <w:r w:rsidR="00860551"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за</w:t>
            </w:r>
            <w:r w:rsidR="00860551"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исхрану</w:t>
            </w:r>
            <w:r w:rsidR="00860551"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стоке</w:t>
            </w:r>
          </w:p>
        </w:tc>
      </w:tr>
      <w:tr w:rsidR="00BD116A" w:rsidRPr="005303F7" w14:paraId="4AF1E15E" w14:textId="77777777" w:rsidTr="00D519CC">
        <w:trPr>
          <w:trHeight w:val="2732"/>
        </w:trPr>
        <w:tc>
          <w:tcPr>
            <w:tcW w:w="565" w:type="dxa"/>
            <w:vMerge w:val="restart"/>
            <w:tcBorders>
              <w:top w:val="single" w:sz="4" w:space="0" w:color="auto"/>
              <w:left w:val="single" w:sz="4" w:space="0" w:color="auto"/>
              <w:bottom w:val="single" w:sz="4" w:space="0" w:color="auto"/>
              <w:right w:val="single" w:sz="4" w:space="0" w:color="auto"/>
            </w:tcBorders>
            <w:vAlign w:val="center"/>
            <w:hideMark/>
          </w:tcPr>
          <w:p w14:paraId="49120D9E" w14:textId="77777777" w:rsidR="00BD116A" w:rsidRPr="005303F7" w:rsidRDefault="00BD116A">
            <w:pPr>
              <w:overflowPunct/>
              <w:spacing w:after="0"/>
              <w:rPr>
                <w:rFonts w:ascii="Times New Roman" w:hAnsi="Times New Roman"/>
                <w:b/>
                <w:color w:val="000000"/>
                <w:sz w:val="20"/>
                <w:lang w:val="sr-Cyrl-CS"/>
              </w:rPr>
            </w:pPr>
            <w:r w:rsidRPr="005303F7">
              <w:rPr>
                <w:rFonts w:ascii="Times New Roman" w:hAnsi="Times New Roman"/>
                <w:b/>
                <w:color w:val="000000"/>
                <w:sz w:val="20"/>
                <w:lang w:val="sr-Cyrl-CS"/>
              </w:rPr>
              <w:t>17</w:t>
            </w:r>
          </w:p>
        </w:tc>
        <w:tc>
          <w:tcPr>
            <w:tcW w:w="15496" w:type="dxa"/>
            <w:gridSpan w:val="25"/>
            <w:tcBorders>
              <w:top w:val="single" w:sz="4" w:space="0" w:color="auto"/>
              <w:left w:val="single" w:sz="4" w:space="0" w:color="auto"/>
              <w:bottom w:val="single" w:sz="4" w:space="0" w:color="auto"/>
              <w:right w:val="single" w:sz="4" w:space="0" w:color="auto"/>
            </w:tcBorders>
            <w:vAlign w:val="center"/>
          </w:tcPr>
          <w:p w14:paraId="47B161F7" w14:textId="1235BF19" w:rsidR="00860551" w:rsidRPr="005303F7" w:rsidRDefault="008D69AF" w:rsidP="00860551">
            <w:pPr>
              <w:overflowPunct/>
              <w:rPr>
                <w:rFonts w:ascii="Times New Roman" w:hAnsi="Times New Roman"/>
                <w:b/>
                <w:color w:val="000000"/>
                <w:sz w:val="20"/>
                <w:u w:val="single"/>
                <w:lang w:val="sr-Cyrl-CS"/>
              </w:rPr>
            </w:pPr>
            <w:r w:rsidRPr="005303F7">
              <w:rPr>
                <w:rFonts w:ascii="Times New Roman" w:hAnsi="Times New Roman"/>
                <w:b/>
                <w:color w:val="000000"/>
                <w:sz w:val="20"/>
                <w:u w:val="single"/>
                <w:lang w:val="sr-Cyrl-CS"/>
              </w:rPr>
              <w:t>Врста</w:t>
            </w:r>
            <w:r w:rsidR="00860551"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860551" w:rsidRPr="005303F7">
              <w:rPr>
                <w:rFonts w:ascii="Times New Roman" w:hAnsi="Times New Roman"/>
                <w:b/>
                <w:color w:val="000000"/>
                <w:sz w:val="20"/>
                <w:u w:val="single"/>
                <w:lang w:val="sr-Cyrl-CS"/>
              </w:rPr>
              <w:t>:</w:t>
            </w:r>
            <w:r w:rsidR="00860551" w:rsidRPr="005303F7">
              <w:rPr>
                <w:rFonts w:ascii="Times New Roman" w:hAnsi="Times New Roman"/>
                <w:b/>
                <w:color w:val="000000"/>
                <w:sz w:val="20"/>
                <w:lang w:val="sr-Cyrl-CS"/>
              </w:rPr>
              <w:t xml:space="preserve"> </w:t>
            </w:r>
            <w:r w:rsidRPr="005303F7">
              <w:rPr>
                <w:rFonts w:ascii="Times New Roman" w:hAnsi="Times New Roman"/>
                <w:bCs/>
                <w:color w:val="000000"/>
                <w:sz w:val="20"/>
                <w:lang w:val="sr-Cyrl-CS"/>
              </w:rPr>
              <w:t>Подстицајна</w:t>
            </w:r>
            <w:r w:rsidR="00860551" w:rsidRPr="005303F7">
              <w:rPr>
                <w:rFonts w:ascii="Times New Roman" w:hAnsi="Times New Roman"/>
                <w:bCs/>
                <w:color w:val="000000"/>
                <w:sz w:val="20"/>
                <w:lang w:val="sr-Cyrl-CS"/>
              </w:rPr>
              <w:t>,</w:t>
            </w:r>
            <w:r w:rsidR="004154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информативно</w:t>
            </w:r>
            <w:r w:rsidR="00860551" w:rsidRPr="005303F7">
              <w:rPr>
                <w:rFonts w:ascii="Times New Roman" w:hAnsi="Times New Roman"/>
                <w:bCs/>
                <w:color w:val="000000"/>
                <w:sz w:val="20"/>
                <w:lang w:val="sr-Cyrl-CS"/>
              </w:rPr>
              <w:t>-</w:t>
            </w:r>
            <w:r w:rsidRPr="005303F7">
              <w:rPr>
                <w:rFonts w:ascii="Times New Roman" w:hAnsi="Times New Roman"/>
                <w:bCs/>
                <w:color w:val="000000"/>
                <w:sz w:val="20"/>
                <w:lang w:val="sr-Cyrl-CS"/>
              </w:rPr>
              <w:t>едукативна</w:t>
            </w:r>
          </w:p>
          <w:p w14:paraId="343C270C" w14:textId="77777777" w:rsidR="00545C1F" w:rsidRPr="005303F7" w:rsidRDefault="008D69AF" w:rsidP="00545C1F">
            <w:pPr>
              <w:overflowPunct/>
              <w:spacing w:after="0"/>
              <w:rPr>
                <w:rFonts w:ascii="Times New Roman" w:hAnsi="Times New Roman"/>
                <w:bCs/>
                <w:color w:val="000000"/>
                <w:sz w:val="20"/>
                <w:lang w:val="sr-Cyrl-CS"/>
              </w:rPr>
            </w:pPr>
            <w:r w:rsidRPr="005303F7">
              <w:rPr>
                <w:rFonts w:ascii="Times New Roman" w:hAnsi="Times New Roman"/>
                <w:b/>
                <w:color w:val="000000"/>
                <w:sz w:val="20"/>
                <w:u w:val="single"/>
                <w:lang w:val="sr-Cyrl-CS"/>
              </w:rPr>
              <w:t>Опис</w:t>
            </w:r>
            <w:r w:rsidR="00860551"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860551" w:rsidRPr="005303F7">
              <w:rPr>
                <w:rFonts w:ascii="Times New Roman" w:hAnsi="Times New Roman"/>
                <w:bCs/>
                <w:color w:val="000000"/>
                <w:sz w:val="20"/>
                <w:lang w:val="sr-Cyrl-CS"/>
              </w:rPr>
              <w:t>:</w:t>
            </w:r>
            <w:r w:rsidR="00860551" w:rsidRPr="005303F7">
              <w:rPr>
                <w:rFonts w:ascii="Times New Roman" w:hAnsi="Times New Roman"/>
                <w:lang w:val="sr-Cyrl-CS"/>
              </w:rPr>
              <w:t xml:space="preserve"> </w:t>
            </w:r>
            <w:r w:rsidR="00545C1F" w:rsidRPr="005303F7">
              <w:rPr>
                <w:rFonts w:ascii="Times New Roman" w:hAnsi="Times New Roman"/>
                <w:bCs/>
                <w:color w:val="000000"/>
                <w:sz w:val="20"/>
                <w:lang w:val="sr-Cyrl-CS"/>
              </w:rPr>
              <w:t>Махунарке на привременим травњацима повећавају биофиксацију и, самим тим, смањују потребе за ђубривом. Претпоставља се да се удео махунарки на привременим травњацима може повећати на највише 20%, што је еквивалентно стопи фиксације азота од 15%.</w:t>
            </w:r>
          </w:p>
          <w:p w14:paraId="02B2CD9B" w14:textId="77777777" w:rsidR="00545C1F" w:rsidRPr="005303F7" w:rsidRDefault="00545C1F" w:rsidP="00545C1F">
            <w:pPr>
              <w:overflowPunct/>
              <w:spacing w:after="0"/>
              <w:rPr>
                <w:rFonts w:ascii="Times New Roman" w:hAnsi="Times New Roman"/>
                <w:bCs/>
                <w:color w:val="000000"/>
                <w:sz w:val="20"/>
                <w:lang w:val="sr-Cyrl-CS"/>
              </w:rPr>
            </w:pPr>
          </w:p>
          <w:p w14:paraId="493B4AF7" w14:textId="2AB8619E" w:rsidR="00860551" w:rsidRPr="005303F7" w:rsidRDefault="00CC6964" w:rsidP="00860551">
            <w:pPr>
              <w:framePr w:hSpace="180" w:wrap="around" w:vAnchor="text" w:hAnchor="text" w:x="-856" w:y="135"/>
              <w:overflowPunct/>
              <w:rPr>
                <w:rFonts w:ascii="Times New Roman" w:hAnsi="Times New Roman"/>
                <w:bCs/>
                <w:color w:val="000000"/>
                <w:sz w:val="20"/>
                <w:lang w:val="sr-Cyrl-CS"/>
              </w:rPr>
            </w:pPr>
            <w:r w:rsidRPr="005303F7">
              <w:rPr>
                <w:rFonts w:ascii="Times New Roman" w:hAnsi="Times New Roman"/>
                <w:bCs/>
                <w:color w:val="000000"/>
                <w:sz w:val="20"/>
                <w:lang w:val="sr-Cyrl-CS"/>
              </w:rPr>
              <w:t xml:space="preserve">          </w:t>
            </w:r>
            <w:r w:rsidR="00545C1F" w:rsidRPr="005303F7">
              <w:rPr>
                <w:rFonts w:ascii="Times New Roman" w:hAnsi="Times New Roman"/>
                <w:bCs/>
                <w:color w:val="000000"/>
                <w:sz w:val="20"/>
                <w:lang w:val="sr-Cyrl-CS"/>
              </w:rPr>
              <w:t>Ова мера штеди трошкове за ђубриво и обезбеђује квалитетну сточну храну, тако да је корисна пољопривредницима. Предуслов је повећање знања пољопривредника и примена еколошких стандарда у вези са коришћењем ђубрива.</w:t>
            </w:r>
          </w:p>
          <w:p w14:paraId="60B2EB18" w14:textId="3B674503" w:rsidR="00BD116A" w:rsidRPr="005303F7" w:rsidRDefault="008D69AF">
            <w:pPr>
              <w:framePr w:hSpace="180" w:wrap="around" w:vAnchor="text" w:hAnchor="text" w:x="-856" w:y="135"/>
              <w:overflowPunct/>
              <w:rPr>
                <w:rFonts w:ascii="Times New Roman" w:hAnsi="Times New Roman"/>
                <w:bCs/>
                <w:color w:val="000000"/>
                <w:sz w:val="20"/>
                <w:lang w:val="sr-Cyrl-CS"/>
              </w:rPr>
            </w:pPr>
            <w:r w:rsidRPr="005303F7">
              <w:rPr>
                <w:rFonts w:ascii="Times New Roman" w:hAnsi="Times New Roman"/>
                <w:b/>
                <w:bCs/>
                <w:sz w:val="20"/>
                <w:szCs w:val="18"/>
                <w:u w:val="single"/>
                <w:lang w:val="sr-Cyrl-CS"/>
              </w:rPr>
              <w:t>Процес</w:t>
            </w:r>
            <w:r w:rsidR="00860551"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преговора</w:t>
            </w:r>
            <w:r w:rsidR="00860551"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о</w:t>
            </w:r>
            <w:r w:rsidR="00860551"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приступању</w:t>
            </w:r>
            <w:r w:rsidR="00860551"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ЕУ</w:t>
            </w:r>
            <w:r w:rsidR="00860551"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Поглав</w:t>
            </w:r>
            <w:r w:rsidR="00D553BE" w:rsidRPr="005303F7">
              <w:rPr>
                <w:rFonts w:ascii="Times New Roman" w:hAnsi="Times New Roman"/>
                <w:b/>
                <w:bCs/>
                <w:sz w:val="20"/>
                <w:szCs w:val="18"/>
                <w:u w:val="single"/>
                <w:lang w:val="sr-Cyrl-CS"/>
              </w:rPr>
              <w:t>љ</w:t>
            </w:r>
            <w:r w:rsidRPr="005303F7">
              <w:rPr>
                <w:rFonts w:ascii="Times New Roman" w:hAnsi="Times New Roman"/>
                <w:b/>
                <w:bCs/>
                <w:sz w:val="20"/>
                <w:szCs w:val="18"/>
                <w:u w:val="single"/>
                <w:lang w:val="sr-Cyrl-CS"/>
              </w:rPr>
              <w:t>е</w:t>
            </w:r>
            <w:r w:rsidR="00860551" w:rsidRPr="005303F7">
              <w:rPr>
                <w:rFonts w:ascii="Times New Roman" w:hAnsi="Times New Roman"/>
                <w:b/>
                <w:bCs/>
                <w:sz w:val="20"/>
                <w:szCs w:val="18"/>
                <w:u w:val="single"/>
                <w:lang w:val="sr-Cyrl-CS"/>
              </w:rPr>
              <w:t xml:space="preserve"> 11 – </w:t>
            </w:r>
            <w:r w:rsidRPr="005303F7">
              <w:rPr>
                <w:rFonts w:ascii="Times New Roman" w:hAnsi="Times New Roman"/>
                <w:b/>
                <w:bCs/>
                <w:sz w:val="20"/>
                <w:szCs w:val="18"/>
                <w:u w:val="single"/>
                <w:lang w:val="sr-Cyrl-CS"/>
              </w:rPr>
              <w:t>По</w:t>
            </w:r>
            <w:r w:rsidR="00D553BE" w:rsidRPr="005303F7">
              <w:rPr>
                <w:rFonts w:ascii="Times New Roman" w:hAnsi="Times New Roman"/>
                <w:b/>
                <w:bCs/>
                <w:sz w:val="20"/>
                <w:szCs w:val="18"/>
                <w:u w:val="single"/>
                <w:lang w:val="sr-Cyrl-CS"/>
              </w:rPr>
              <w:t>љ</w:t>
            </w:r>
            <w:r w:rsidRPr="005303F7">
              <w:rPr>
                <w:rFonts w:ascii="Times New Roman" w:hAnsi="Times New Roman"/>
                <w:b/>
                <w:bCs/>
                <w:sz w:val="20"/>
                <w:szCs w:val="18"/>
                <w:u w:val="single"/>
                <w:lang w:val="sr-Cyrl-CS"/>
              </w:rPr>
              <w:t>опривреда</w:t>
            </w:r>
            <w:r w:rsidR="00860551"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и</w:t>
            </w:r>
            <w:r w:rsidR="00860551"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рурални</w:t>
            </w:r>
            <w:r w:rsidR="00860551"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развој</w:t>
            </w:r>
          </w:p>
        </w:tc>
      </w:tr>
      <w:tr w:rsidR="000D39E3" w:rsidRPr="005303F7" w14:paraId="6F796803" w14:textId="77777777" w:rsidTr="00D519CC">
        <w:trPr>
          <w:trHeight w:val="44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C5FB155" w14:textId="77777777" w:rsidR="000D39E3" w:rsidRPr="005303F7" w:rsidRDefault="000D39E3" w:rsidP="000D39E3">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6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2F015" w14:textId="462ADB6F" w:rsidR="000D39E3" w:rsidRPr="005303F7" w:rsidRDefault="008D69AF" w:rsidP="0029378D">
            <w:pPr>
              <w:spacing w:before="0" w:after="0"/>
              <w:jc w:val="center"/>
              <w:rPr>
                <w:rFonts w:ascii="Times New Roman" w:hAnsi="Times New Roman"/>
                <w:b/>
                <w:bCs/>
                <w:sz w:val="20"/>
                <w:lang w:val="sr-Cyrl-CS"/>
              </w:rPr>
            </w:pPr>
            <w:r w:rsidRPr="005303F7">
              <w:rPr>
                <w:rFonts w:ascii="Times New Roman" w:hAnsi="Times New Roman"/>
                <w:b/>
                <w:bCs/>
                <w:sz w:val="20"/>
                <w:lang w:val="sr-Cyrl-CS"/>
              </w:rPr>
              <w:t>К</w:t>
            </w:r>
            <w:r w:rsidR="00D553BE" w:rsidRPr="005303F7">
              <w:rPr>
                <w:rFonts w:ascii="Times New Roman" w:hAnsi="Times New Roman"/>
                <w:b/>
                <w:bCs/>
                <w:sz w:val="20"/>
                <w:lang w:val="sr-Cyrl-CS"/>
              </w:rPr>
              <w:t>љ</w:t>
            </w:r>
            <w:r w:rsidRPr="005303F7">
              <w:rPr>
                <w:rFonts w:ascii="Times New Roman" w:hAnsi="Times New Roman"/>
                <w:b/>
                <w:bCs/>
                <w:sz w:val="20"/>
                <w:lang w:val="sr-Cyrl-CS"/>
              </w:rPr>
              <w:t>учни</w:t>
            </w:r>
            <w:r w:rsidR="000D39E3" w:rsidRPr="005303F7">
              <w:rPr>
                <w:rFonts w:ascii="Times New Roman" w:hAnsi="Times New Roman"/>
                <w:b/>
                <w:bCs/>
                <w:sz w:val="20"/>
                <w:lang w:val="sr-Cyrl-CS"/>
              </w:rPr>
              <w:t xml:space="preserve"> </w:t>
            </w:r>
            <w:r w:rsidRPr="005303F7">
              <w:rPr>
                <w:rFonts w:ascii="Times New Roman" w:hAnsi="Times New Roman"/>
                <w:b/>
                <w:bCs/>
                <w:sz w:val="20"/>
                <w:lang w:val="sr-Cyrl-CS"/>
              </w:rPr>
              <w:t>субјекат</w:t>
            </w:r>
            <w:r w:rsidR="000D39E3" w:rsidRPr="005303F7">
              <w:rPr>
                <w:rFonts w:ascii="Times New Roman" w:hAnsi="Times New Roman"/>
                <w:b/>
                <w:bCs/>
                <w:sz w:val="20"/>
                <w:lang w:val="sr-Cyrl-CS"/>
              </w:rPr>
              <w:t xml:space="preserve"> </w:t>
            </w:r>
            <w:r w:rsidRPr="005303F7">
              <w:rPr>
                <w:rFonts w:ascii="Times New Roman" w:hAnsi="Times New Roman"/>
                <w:b/>
                <w:bCs/>
                <w:sz w:val="20"/>
                <w:lang w:val="sr-Cyrl-CS"/>
              </w:rPr>
              <w:t>за</w:t>
            </w:r>
            <w:r w:rsidR="000D39E3" w:rsidRPr="005303F7">
              <w:rPr>
                <w:rFonts w:ascii="Times New Roman" w:hAnsi="Times New Roman"/>
                <w:b/>
                <w:bCs/>
                <w:sz w:val="20"/>
                <w:lang w:val="sr-Cyrl-CS"/>
              </w:rPr>
              <w:t xml:space="preserve"> </w:t>
            </w:r>
            <w:r w:rsidRPr="005303F7">
              <w:rPr>
                <w:rFonts w:ascii="Times New Roman" w:hAnsi="Times New Roman"/>
                <w:b/>
                <w:bCs/>
                <w:sz w:val="20"/>
                <w:lang w:val="sr-Cyrl-CS"/>
              </w:rPr>
              <w:t>спровођење</w:t>
            </w:r>
            <w:r w:rsidR="000D39E3"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p>
        </w:tc>
        <w:tc>
          <w:tcPr>
            <w:tcW w:w="62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61262D" w14:textId="53FD59D2" w:rsidR="000D39E3"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Партнери</w:t>
            </w:r>
          </w:p>
        </w:tc>
        <w:tc>
          <w:tcPr>
            <w:tcW w:w="141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B1FA7" w14:textId="144DD339" w:rsidR="000D39E3"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 xml:space="preserve">ЕТS/ </w:t>
            </w:r>
            <w:r w:rsidR="004A35C7" w:rsidRPr="005303F7">
              <w:rPr>
                <w:rFonts w:ascii="Times New Roman" w:hAnsi="Times New Roman"/>
                <w:b/>
                <w:sz w:val="20"/>
                <w:lang w:val="sr-Cyrl-CS"/>
              </w:rPr>
              <w:t>не-ЕТS</w:t>
            </w:r>
          </w:p>
        </w:tc>
        <w:tc>
          <w:tcPr>
            <w:tcW w:w="15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1A0FE0" w14:textId="495601C8" w:rsidR="000D39E3"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Главни</w:t>
            </w:r>
            <w:r w:rsidR="000D39E3" w:rsidRPr="005303F7">
              <w:rPr>
                <w:rFonts w:ascii="Times New Roman" w:hAnsi="Times New Roman"/>
                <w:b/>
                <w:bCs/>
                <w:sz w:val="20"/>
                <w:lang w:val="sr-Cyrl-CS"/>
              </w:rPr>
              <w:t xml:space="preserve"> </w:t>
            </w:r>
            <w:r w:rsidRPr="005303F7">
              <w:rPr>
                <w:rFonts w:ascii="Times New Roman" w:hAnsi="Times New Roman"/>
                <w:b/>
                <w:bCs/>
                <w:sz w:val="20"/>
                <w:lang w:val="sr-Cyrl-CS"/>
              </w:rPr>
              <w:t>гасови</w:t>
            </w:r>
          </w:p>
        </w:tc>
        <w:tc>
          <w:tcPr>
            <w:tcW w:w="2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070D89" w14:textId="01B63E90" w:rsidR="00D7102F" w:rsidRPr="005303F7" w:rsidRDefault="00C52A7D"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 xml:space="preserve">Процењен утицај ублажавања </w:t>
            </w:r>
            <w:r w:rsidR="00D7102F" w:rsidRPr="005303F7">
              <w:rPr>
                <w:rFonts w:ascii="Times New Roman" w:hAnsi="Times New Roman"/>
                <w:b/>
                <w:bCs/>
                <w:sz w:val="20"/>
                <w:lang w:val="sr-Cyrl-CS"/>
              </w:rPr>
              <w:t xml:space="preserve">до 2030. </w:t>
            </w:r>
          </w:p>
          <w:p w14:paraId="477F0897" w14:textId="66AA9781" w:rsidR="000D39E3" w:rsidRPr="005303F7" w:rsidRDefault="00D7102F"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BD116A" w:rsidRPr="005303F7" w14:paraId="575FD658" w14:textId="77777777" w:rsidTr="00D519CC">
        <w:trPr>
          <w:trHeight w:val="67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F982F28" w14:textId="77777777" w:rsidR="00BD116A" w:rsidRPr="005303F7" w:rsidRDefault="00BD116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68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55D2F2" w14:textId="75218074"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0D39E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опривреде</w:t>
            </w:r>
            <w:r w:rsidR="000D39E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шумарства</w:t>
            </w:r>
            <w:r w:rsidR="000D39E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0D39E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водопривреде</w:t>
            </w:r>
          </w:p>
        </w:tc>
        <w:tc>
          <w:tcPr>
            <w:tcW w:w="623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A5757" w14:textId="5CC5B317" w:rsidR="00BD116A" w:rsidRPr="005303F7" w:rsidRDefault="00647FCC" w:rsidP="00C70572">
            <w:pPr>
              <w:overflowPunct/>
              <w:spacing w:after="0"/>
              <w:jc w:val="center"/>
              <w:rPr>
                <w:rFonts w:ascii="Times New Roman" w:hAnsi="Times New Roman"/>
                <w:bCs/>
                <w:sz w:val="20"/>
                <w:lang w:val="sr-Cyrl-CS"/>
              </w:rPr>
            </w:pPr>
            <w:r w:rsidRPr="005303F7">
              <w:rPr>
                <w:rFonts w:ascii="Times New Roman" w:hAnsi="Times New Roman"/>
                <w:bCs/>
                <w:color w:val="000000"/>
                <w:sz w:val="20"/>
                <w:lang w:val="sr-Cyrl-CS"/>
              </w:rPr>
              <w:t>Пољопривредне стручне и саветодавне службе</w:t>
            </w:r>
            <w:r w:rsidR="000D39E3" w:rsidRPr="005303F7">
              <w:rPr>
                <w:rFonts w:ascii="Times New Roman" w:hAnsi="Times New Roman"/>
                <w:bCs/>
                <w:color w:val="000000"/>
                <w:sz w:val="20"/>
                <w:lang w:val="sr-Cyrl-CS"/>
              </w:rPr>
              <w:t xml:space="preserve">, </w:t>
            </w:r>
            <w:r w:rsidR="00C27771" w:rsidRPr="005303F7">
              <w:rPr>
                <w:rFonts w:ascii="Times New Roman" w:hAnsi="Times New Roman"/>
                <w:bCs/>
                <w:color w:val="000000"/>
                <w:sz w:val="20"/>
                <w:lang w:val="sr-Cyrl-CS"/>
              </w:rPr>
              <w:t>Управа</w:t>
            </w:r>
            <w:r w:rsidR="000D39E3"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0D39E3"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аграрна</w:t>
            </w:r>
            <w:r w:rsidR="000D39E3"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плаћања</w:t>
            </w:r>
            <w:r w:rsidR="000D39E3" w:rsidRPr="005303F7">
              <w:rPr>
                <w:rFonts w:ascii="Times New Roman" w:hAnsi="Times New Roman"/>
                <w:bCs/>
                <w:color w:val="000000"/>
                <w:sz w:val="20"/>
                <w:lang w:val="sr-Cyrl-CS"/>
              </w:rPr>
              <w:t>,</w:t>
            </w:r>
            <w:r w:rsidR="003C1445" w:rsidRPr="005303F7">
              <w:rPr>
                <w:rFonts w:ascii="Times New Roman" w:hAnsi="Times New Roman"/>
                <w:bCs/>
                <w:color w:val="000000"/>
                <w:sz w:val="20"/>
                <w:lang w:val="sr-Cyrl-CS"/>
              </w:rPr>
              <w:t xml:space="preserve"> Управа за пољопривредно земљиште, Привредна комора </w:t>
            </w:r>
            <w:r w:rsidR="00D73AAB" w:rsidRPr="005303F7">
              <w:rPr>
                <w:rFonts w:ascii="Times New Roman" w:hAnsi="Times New Roman"/>
                <w:bCs/>
                <w:color w:val="000000"/>
                <w:sz w:val="20"/>
                <w:lang w:val="sr-Cyrl-CS"/>
              </w:rPr>
              <w:t>Србије</w:t>
            </w:r>
            <w:r w:rsidR="003C1445" w:rsidRPr="005303F7">
              <w:rPr>
                <w:rFonts w:ascii="Times New Roman" w:hAnsi="Times New Roman"/>
                <w:bCs/>
                <w:color w:val="000000"/>
                <w:sz w:val="20"/>
                <w:lang w:val="sr-Cyrl-CS"/>
              </w:rPr>
              <w:t>,</w:t>
            </w:r>
            <w:r w:rsidR="000D39E3"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опривредници</w:t>
            </w:r>
          </w:p>
        </w:tc>
        <w:tc>
          <w:tcPr>
            <w:tcW w:w="1414"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5A51C" w14:textId="6CC42387" w:rsidR="00BD116A" w:rsidRPr="005303F7" w:rsidRDefault="004A35C7">
            <w:pPr>
              <w:overflowPunct/>
              <w:spacing w:after="0"/>
              <w:jc w:val="center"/>
              <w:rPr>
                <w:rFonts w:ascii="Times New Roman" w:hAnsi="Times New Roman"/>
                <w:bCs/>
                <w:sz w:val="20"/>
                <w:lang w:val="sr-Cyrl-CS"/>
              </w:rPr>
            </w:pPr>
            <w:r w:rsidRPr="005303F7">
              <w:rPr>
                <w:rFonts w:ascii="Times New Roman" w:hAnsi="Times New Roman"/>
                <w:bCs/>
                <w:sz w:val="20"/>
                <w:lang w:val="sr-Cyrl-CS"/>
              </w:rPr>
              <w:t>не-ЕТS</w:t>
            </w:r>
          </w:p>
        </w:tc>
        <w:tc>
          <w:tcPr>
            <w:tcW w:w="156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DBEA6F" w14:textId="56CD591D" w:rsidR="00BD116A" w:rsidRPr="005303F7" w:rsidRDefault="005A0D30">
            <w:pPr>
              <w:overflowPunct/>
              <w:spacing w:after="0"/>
              <w:jc w:val="center"/>
              <w:rPr>
                <w:rFonts w:ascii="Times New Roman" w:hAnsi="Times New Roman"/>
                <w:bCs/>
                <w:sz w:val="20"/>
                <w:lang w:val="sr-Cyrl-CS"/>
              </w:rPr>
            </w:pPr>
            <w:r w:rsidRPr="005303F7">
              <w:rPr>
                <w:rFonts w:ascii="Times New Roman" w:hAnsi="Times New Roman"/>
                <w:bCs/>
                <w:sz w:val="20"/>
                <w:lang w:val="sr-Cyrl-CS"/>
              </w:rPr>
              <w:t>C</w:t>
            </w:r>
            <w:r w:rsidR="008D69AF" w:rsidRPr="005303F7">
              <w:rPr>
                <w:rFonts w:ascii="Times New Roman" w:hAnsi="Times New Roman"/>
                <w:bCs/>
                <w:sz w:val="20"/>
                <w:lang w:val="sr-Cyrl-CS"/>
              </w:rPr>
              <w:t>О</w:t>
            </w:r>
            <w:r w:rsidR="00BD116A" w:rsidRPr="005303F7">
              <w:rPr>
                <w:rFonts w:ascii="Times New Roman" w:hAnsi="Times New Roman"/>
                <w:bCs/>
                <w:sz w:val="20"/>
                <w:vertAlign w:val="subscript"/>
                <w:lang w:val="sr-Cyrl-CS"/>
              </w:rPr>
              <w:t>2</w:t>
            </w:r>
            <w:r w:rsidR="00BD116A" w:rsidRPr="005303F7">
              <w:rPr>
                <w:rFonts w:ascii="Times New Roman" w:hAnsi="Times New Roman"/>
                <w:bCs/>
                <w:sz w:val="20"/>
                <w:lang w:val="sr-Cyrl-CS"/>
              </w:rPr>
              <w:t xml:space="preserve">, </w:t>
            </w:r>
            <w:r w:rsidRPr="005303F7">
              <w:rPr>
                <w:rFonts w:ascii="Times New Roman" w:hAnsi="Times New Roman"/>
                <w:bCs/>
                <w:sz w:val="20"/>
                <w:lang w:val="sr-Cyrl-CS"/>
              </w:rPr>
              <w:t>N</w:t>
            </w:r>
            <w:r w:rsidR="00BD116A" w:rsidRPr="005303F7">
              <w:rPr>
                <w:rFonts w:ascii="Times New Roman" w:hAnsi="Times New Roman"/>
                <w:bCs/>
                <w:sz w:val="20"/>
                <w:vertAlign w:val="subscript"/>
                <w:lang w:val="sr-Cyrl-CS"/>
              </w:rPr>
              <w:t>2</w:t>
            </w:r>
            <w:r w:rsidR="008D69AF" w:rsidRPr="005303F7">
              <w:rPr>
                <w:rFonts w:ascii="Times New Roman" w:hAnsi="Times New Roman"/>
                <w:bCs/>
                <w:sz w:val="20"/>
                <w:lang w:val="sr-Cyrl-CS"/>
              </w:rPr>
              <w:t>О</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BD4DD5" w14:textId="77777777" w:rsidR="00BD116A" w:rsidRPr="005303F7" w:rsidRDefault="00BD116A">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14,6</w:t>
            </w:r>
          </w:p>
        </w:tc>
      </w:tr>
      <w:tr w:rsidR="00BD116A" w:rsidRPr="005303F7" w14:paraId="5412FDE0" w14:textId="77777777" w:rsidTr="00D519CC">
        <w:trPr>
          <w:trHeight w:val="442"/>
        </w:trPr>
        <w:tc>
          <w:tcPr>
            <w:tcW w:w="565" w:type="dxa"/>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12AED273" w14:textId="260CA72E" w:rsidR="00BD116A" w:rsidRPr="005303F7" w:rsidRDefault="008D69AF">
            <w:pPr>
              <w:overflowPunct/>
              <w:rPr>
                <w:rFonts w:ascii="Times New Roman" w:hAnsi="Times New Roman"/>
                <w:sz w:val="20"/>
                <w:lang w:val="sr-Cyrl-CS"/>
              </w:rPr>
            </w:pPr>
            <w:r w:rsidRPr="005303F7">
              <w:rPr>
                <w:rFonts w:ascii="Times New Roman" w:hAnsi="Times New Roman"/>
                <w:sz w:val="20"/>
                <w:lang w:val="sr-Cyrl-CS"/>
              </w:rPr>
              <w:t>Бр</w:t>
            </w:r>
            <w:r w:rsidR="00BD116A" w:rsidRPr="005303F7">
              <w:rPr>
                <w:rFonts w:ascii="Times New Roman" w:hAnsi="Times New Roman"/>
                <w:sz w:val="20"/>
                <w:lang w:val="sr-Cyrl-CS"/>
              </w:rPr>
              <w:t>.</w:t>
            </w:r>
          </w:p>
        </w:tc>
        <w:tc>
          <w:tcPr>
            <w:tcW w:w="15496" w:type="dxa"/>
            <w:gridSpan w:val="25"/>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57CC4F81" w14:textId="0B811E32" w:rsidR="00BD116A" w:rsidRPr="005303F7" w:rsidRDefault="008D69AF" w:rsidP="00652668">
            <w:pPr>
              <w:overflowPunct/>
              <w:jc w:val="left"/>
              <w:rPr>
                <w:rFonts w:ascii="Times New Roman" w:hAnsi="Times New Roman"/>
                <w:b/>
                <w:sz w:val="20"/>
                <w:u w:val="single"/>
                <w:lang w:val="sr-Cyrl-CS"/>
              </w:rPr>
            </w:pPr>
            <w:r w:rsidRPr="005303F7">
              <w:rPr>
                <w:rFonts w:ascii="Times New Roman" w:hAnsi="Times New Roman"/>
                <w:b/>
                <w:bCs/>
                <w:sz w:val="20"/>
                <w:lang w:val="sr-Cyrl-CS"/>
              </w:rPr>
              <w:t>Назив</w:t>
            </w:r>
            <w:r w:rsidR="000D39E3"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r w:rsidR="00BD116A" w:rsidRPr="005303F7">
              <w:rPr>
                <w:rFonts w:ascii="Times New Roman" w:hAnsi="Times New Roman"/>
                <w:b/>
                <w:bCs/>
                <w:sz w:val="20"/>
                <w:lang w:val="sr-Cyrl-CS"/>
              </w:rPr>
              <w:t>:</w:t>
            </w:r>
            <w:bookmarkStart w:id="404" w:name="_Toc12861542"/>
            <w:r w:rsidR="00BD116A" w:rsidRPr="005303F7">
              <w:rPr>
                <w:rFonts w:ascii="Times New Roman" w:hAnsi="Times New Roman"/>
                <w:b/>
                <w:sz w:val="20"/>
                <w:lang w:val="sr-Cyrl-CS"/>
              </w:rPr>
              <w:t xml:space="preserve"> </w:t>
            </w:r>
            <w:r w:rsidR="00AD672B" w:rsidRPr="005303F7">
              <w:rPr>
                <w:rFonts w:ascii="Times New Roman" w:hAnsi="Times New Roman"/>
                <w:b/>
                <w:sz w:val="20"/>
                <w:u w:val="single"/>
                <w:lang w:val="sr-Cyrl-CS"/>
              </w:rPr>
              <w:t>Унапређење генетског потенцијала на већу производњу млека по грлу</w:t>
            </w:r>
            <w:bookmarkEnd w:id="404"/>
          </w:p>
        </w:tc>
      </w:tr>
      <w:tr w:rsidR="00BD116A" w:rsidRPr="005303F7" w14:paraId="7167C75B" w14:textId="77777777" w:rsidTr="00D519CC">
        <w:trPr>
          <w:trHeight w:val="228"/>
        </w:trPr>
        <w:tc>
          <w:tcPr>
            <w:tcW w:w="565" w:type="dxa"/>
            <w:vMerge w:val="restart"/>
            <w:tcBorders>
              <w:top w:val="single" w:sz="4" w:space="0" w:color="auto"/>
              <w:left w:val="single" w:sz="4" w:space="0" w:color="auto"/>
              <w:bottom w:val="single" w:sz="4" w:space="0" w:color="auto"/>
              <w:right w:val="single" w:sz="4" w:space="0" w:color="auto"/>
            </w:tcBorders>
            <w:vAlign w:val="center"/>
            <w:hideMark/>
          </w:tcPr>
          <w:p w14:paraId="77A2576F" w14:textId="77777777" w:rsidR="00BD116A" w:rsidRPr="005303F7" w:rsidRDefault="00BD116A">
            <w:pPr>
              <w:overflowPunct/>
              <w:spacing w:after="0"/>
              <w:jc w:val="center"/>
              <w:rPr>
                <w:rFonts w:ascii="Times New Roman" w:hAnsi="Times New Roman"/>
                <w:b/>
                <w:color w:val="000000"/>
                <w:sz w:val="20"/>
                <w:lang w:val="sr-Cyrl-CS"/>
              </w:rPr>
            </w:pPr>
            <w:r w:rsidRPr="005303F7">
              <w:rPr>
                <w:rFonts w:ascii="Times New Roman" w:hAnsi="Times New Roman"/>
                <w:b/>
                <w:color w:val="000000"/>
                <w:sz w:val="20"/>
                <w:lang w:val="sr-Cyrl-CS"/>
              </w:rPr>
              <w:t>18</w:t>
            </w:r>
          </w:p>
        </w:tc>
        <w:tc>
          <w:tcPr>
            <w:tcW w:w="15496" w:type="dxa"/>
            <w:gridSpan w:val="25"/>
            <w:tcBorders>
              <w:top w:val="single" w:sz="4" w:space="0" w:color="auto"/>
              <w:left w:val="single" w:sz="4" w:space="0" w:color="auto"/>
              <w:bottom w:val="single" w:sz="4" w:space="0" w:color="auto"/>
              <w:right w:val="single" w:sz="4" w:space="0" w:color="auto"/>
            </w:tcBorders>
            <w:vAlign w:val="center"/>
            <w:hideMark/>
          </w:tcPr>
          <w:p w14:paraId="30AD606F" w14:textId="744D63B0" w:rsidR="00860551" w:rsidRPr="005303F7" w:rsidRDefault="008D69AF" w:rsidP="00860551">
            <w:pPr>
              <w:overflowPunct/>
              <w:jc w:val="left"/>
              <w:rPr>
                <w:rFonts w:ascii="Times New Roman" w:hAnsi="Times New Roman"/>
                <w:bCs/>
                <w:color w:val="000000"/>
                <w:sz w:val="20"/>
                <w:lang w:val="sr-Cyrl-CS"/>
              </w:rPr>
            </w:pPr>
            <w:r w:rsidRPr="005303F7">
              <w:rPr>
                <w:rFonts w:ascii="Times New Roman" w:hAnsi="Times New Roman"/>
                <w:b/>
                <w:color w:val="000000"/>
                <w:sz w:val="20"/>
                <w:u w:val="single"/>
                <w:lang w:val="sr-Cyrl-CS"/>
              </w:rPr>
              <w:t>Врста</w:t>
            </w:r>
            <w:r w:rsidR="00860551"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860551" w:rsidRPr="005303F7">
              <w:rPr>
                <w:rFonts w:ascii="Times New Roman" w:hAnsi="Times New Roman"/>
                <w:b/>
                <w:color w:val="000000"/>
                <w:sz w:val="20"/>
                <w:u w:val="single"/>
                <w:lang w:val="sr-Cyrl-CS"/>
              </w:rPr>
              <w:t>:</w:t>
            </w:r>
            <w:r w:rsidR="00860551" w:rsidRPr="005303F7">
              <w:rPr>
                <w:rFonts w:ascii="Times New Roman" w:hAnsi="Times New Roman"/>
                <w:b/>
                <w:color w:val="000000"/>
                <w:sz w:val="20"/>
                <w:lang w:val="sr-Cyrl-CS"/>
              </w:rPr>
              <w:t xml:space="preserve"> </w:t>
            </w:r>
            <w:r w:rsidRPr="005303F7">
              <w:rPr>
                <w:rFonts w:ascii="Times New Roman" w:hAnsi="Times New Roman"/>
                <w:bCs/>
                <w:color w:val="000000"/>
                <w:sz w:val="20"/>
                <w:lang w:val="sr-Cyrl-CS"/>
              </w:rPr>
              <w:t>Подстицајна</w:t>
            </w:r>
            <w:r w:rsidR="0086055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информативно</w:t>
            </w:r>
            <w:r w:rsidR="00860551" w:rsidRPr="005303F7">
              <w:rPr>
                <w:rFonts w:ascii="Times New Roman" w:hAnsi="Times New Roman"/>
                <w:bCs/>
                <w:color w:val="000000"/>
                <w:sz w:val="20"/>
                <w:lang w:val="sr-Cyrl-CS"/>
              </w:rPr>
              <w:t>-</w:t>
            </w:r>
            <w:r w:rsidRPr="005303F7">
              <w:rPr>
                <w:rFonts w:ascii="Times New Roman" w:hAnsi="Times New Roman"/>
                <w:bCs/>
                <w:color w:val="000000"/>
                <w:sz w:val="20"/>
                <w:lang w:val="sr-Cyrl-CS"/>
              </w:rPr>
              <w:t>едукативна</w:t>
            </w:r>
            <w:r w:rsidR="0086055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организационо</w:t>
            </w:r>
            <w:r w:rsidR="00860551" w:rsidRPr="005303F7">
              <w:rPr>
                <w:rFonts w:ascii="Times New Roman" w:hAnsi="Times New Roman"/>
                <w:bCs/>
                <w:color w:val="000000"/>
                <w:sz w:val="20"/>
                <w:lang w:val="sr-Cyrl-CS"/>
              </w:rPr>
              <w:t>-</w:t>
            </w:r>
            <w:r w:rsidRPr="005303F7">
              <w:rPr>
                <w:rFonts w:ascii="Times New Roman" w:hAnsi="Times New Roman"/>
                <w:bCs/>
                <w:color w:val="000000"/>
                <w:sz w:val="20"/>
                <w:lang w:val="sr-Cyrl-CS"/>
              </w:rPr>
              <w:t>управ</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ачка</w:t>
            </w:r>
            <w:r w:rsidR="00860551" w:rsidRPr="005303F7">
              <w:rPr>
                <w:rFonts w:ascii="Times New Roman" w:hAnsi="Times New Roman"/>
                <w:bCs/>
                <w:color w:val="000000"/>
                <w:sz w:val="20"/>
                <w:lang w:val="sr-Cyrl-CS"/>
              </w:rPr>
              <w:t>-</w:t>
            </w:r>
            <w:r w:rsidRPr="005303F7">
              <w:rPr>
                <w:rFonts w:ascii="Times New Roman" w:hAnsi="Times New Roman"/>
                <w:bCs/>
                <w:color w:val="000000"/>
                <w:sz w:val="20"/>
                <w:lang w:val="sr-Cyrl-CS"/>
              </w:rPr>
              <w:t>институционална</w:t>
            </w:r>
          </w:p>
          <w:p w14:paraId="03139090" w14:textId="350D55F7" w:rsidR="00955072" w:rsidRPr="005303F7" w:rsidRDefault="008D69AF">
            <w:pPr>
              <w:framePr w:hSpace="180" w:wrap="around" w:vAnchor="text" w:hAnchor="text" w:x="-856" w:y="135"/>
              <w:overflowPunct/>
              <w:rPr>
                <w:rFonts w:ascii="Times New Roman" w:hAnsi="Times New Roman"/>
                <w:sz w:val="20"/>
                <w:szCs w:val="18"/>
                <w:lang w:val="sr-Cyrl-CS"/>
              </w:rPr>
            </w:pPr>
            <w:r w:rsidRPr="005303F7">
              <w:rPr>
                <w:rFonts w:ascii="Times New Roman" w:hAnsi="Times New Roman"/>
                <w:b/>
                <w:color w:val="000000"/>
                <w:sz w:val="20"/>
                <w:u w:val="single"/>
                <w:lang w:val="sr-Cyrl-CS"/>
              </w:rPr>
              <w:t>Опис</w:t>
            </w:r>
            <w:r w:rsidR="00860551"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860551" w:rsidRPr="005303F7">
              <w:rPr>
                <w:rFonts w:ascii="Times New Roman" w:hAnsi="Times New Roman"/>
                <w:bCs/>
                <w:color w:val="000000"/>
                <w:sz w:val="20"/>
                <w:lang w:val="sr-Cyrl-CS"/>
              </w:rPr>
              <w:t>:</w:t>
            </w:r>
            <w:r w:rsidR="00860551" w:rsidRPr="005303F7">
              <w:rPr>
                <w:rFonts w:ascii="Times New Roman" w:hAnsi="Times New Roman"/>
                <w:lang w:val="sr-Cyrl-CS"/>
              </w:rPr>
              <w:t xml:space="preserve"> </w:t>
            </w:r>
            <w:r w:rsidR="004503AC" w:rsidRPr="005303F7">
              <w:rPr>
                <w:lang w:val="sr-Cyrl-CS"/>
              </w:rPr>
              <w:t xml:space="preserve"> </w:t>
            </w:r>
            <w:r w:rsidR="00AD672B" w:rsidRPr="005303F7">
              <w:rPr>
                <w:rFonts w:ascii="Times New Roman" w:hAnsi="Times New Roman"/>
                <w:sz w:val="20"/>
                <w:szCs w:val="18"/>
                <w:lang w:val="sr-Cyrl-CS"/>
              </w:rPr>
              <w:t xml:space="preserve">Унапређење генетског потенцијала на већу производњу млека по грлу </w:t>
            </w:r>
            <w:r w:rsidR="004503AC" w:rsidRPr="005303F7">
              <w:rPr>
                <w:rFonts w:ascii="Times New Roman" w:hAnsi="Times New Roman"/>
                <w:sz w:val="20"/>
                <w:szCs w:val="18"/>
                <w:lang w:val="sr-Cyrl-CS"/>
              </w:rPr>
              <w:t xml:space="preserve">може допринети смањењу укупних емисија гасова </w:t>
            </w:r>
            <w:r w:rsidR="00AD672B" w:rsidRPr="005303F7">
              <w:rPr>
                <w:rFonts w:ascii="Times New Roman" w:hAnsi="Times New Roman"/>
                <w:sz w:val="20"/>
                <w:szCs w:val="18"/>
                <w:lang w:val="sr-Cyrl-CS"/>
              </w:rPr>
              <w:t xml:space="preserve">са ефектом стаклене баште </w:t>
            </w:r>
            <w:r w:rsidR="004503AC" w:rsidRPr="005303F7">
              <w:rPr>
                <w:rFonts w:ascii="Times New Roman" w:hAnsi="Times New Roman"/>
                <w:sz w:val="20"/>
                <w:szCs w:val="18"/>
                <w:lang w:val="sr-Cyrl-CS"/>
              </w:rPr>
              <w:t xml:space="preserve">ако </w:t>
            </w:r>
            <w:r w:rsidR="00AD672B" w:rsidRPr="005303F7">
              <w:rPr>
                <w:rFonts w:ascii="Times New Roman" w:hAnsi="Times New Roman"/>
                <w:sz w:val="20"/>
                <w:szCs w:val="18"/>
                <w:lang w:val="sr-Cyrl-CS"/>
              </w:rPr>
              <w:t xml:space="preserve">се </w:t>
            </w:r>
            <w:r w:rsidR="004503AC" w:rsidRPr="005303F7">
              <w:rPr>
                <w:rFonts w:ascii="Times New Roman" w:hAnsi="Times New Roman"/>
                <w:sz w:val="20"/>
                <w:szCs w:val="18"/>
                <w:lang w:val="sr-Cyrl-CS"/>
              </w:rPr>
              <w:t xml:space="preserve">повећа </w:t>
            </w:r>
            <w:r w:rsidR="003C3645" w:rsidRPr="005303F7">
              <w:rPr>
                <w:rFonts w:ascii="Times New Roman" w:hAnsi="Times New Roman"/>
                <w:sz w:val="20"/>
                <w:szCs w:val="18"/>
                <w:lang w:val="sr-Cyrl-CS"/>
              </w:rPr>
              <w:t xml:space="preserve">производња </w:t>
            </w:r>
            <w:r w:rsidR="004503AC" w:rsidRPr="005303F7">
              <w:rPr>
                <w:rFonts w:ascii="Times New Roman" w:hAnsi="Times New Roman"/>
                <w:sz w:val="20"/>
                <w:szCs w:val="18"/>
                <w:lang w:val="sr-Cyrl-CS"/>
              </w:rPr>
              <w:t xml:space="preserve">млека по </w:t>
            </w:r>
            <w:r w:rsidR="00AD672B" w:rsidRPr="005303F7">
              <w:rPr>
                <w:rFonts w:ascii="Times New Roman" w:hAnsi="Times New Roman"/>
                <w:sz w:val="20"/>
                <w:szCs w:val="18"/>
                <w:lang w:val="sr-Cyrl-CS"/>
              </w:rPr>
              <w:t xml:space="preserve">грлу </w:t>
            </w:r>
            <w:r w:rsidR="004503AC" w:rsidRPr="005303F7">
              <w:rPr>
                <w:rFonts w:ascii="Times New Roman" w:hAnsi="Times New Roman"/>
                <w:sz w:val="20"/>
                <w:szCs w:val="18"/>
                <w:lang w:val="sr-Cyrl-CS"/>
              </w:rPr>
              <w:t>и истовремено унапреди здравствен</w:t>
            </w:r>
            <w:r w:rsidR="003C3645" w:rsidRPr="005303F7">
              <w:rPr>
                <w:rFonts w:ascii="Times New Roman" w:hAnsi="Times New Roman"/>
                <w:sz w:val="20"/>
                <w:szCs w:val="18"/>
                <w:lang w:val="sr-Cyrl-CS"/>
              </w:rPr>
              <w:t>а</w:t>
            </w:r>
            <w:r w:rsidR="004503AC" w:rsidRPr="005303F7">
              <w:rPr>
                <w:rFonts w:ascii="Times New Roman" w:hAnsi="Times New Roman"/>
                <w:sz w:val="20"/>
                <w:szCs w:val="18"/>
                <w:lang w:val="sr-Cyrl-CS"/>
              </w:rPr>
              <w:t xml:space="preserve"> заштиту</w:t>
            </w:r>
            <w:r w:rsidR="003C3645" w:rsidRPr="005303F7">
              <w:rPr>
                <w:rFonts w:ascii="Times New Roman" w:hAnsi="Times New Roman"/>
                <w:sz w:val="20"/>
                <w:szCs w:val="18"/>
                <w:lang w:val="sr-Cyrl-CS"/>
              </w:rPr>
              <w:t>а</w:t>
            </w:r>
            <w:r w:rsidR="004503AC" w:rsidRPr="005303F7">
              <w:rPr>
                <w:rFonts w:ascii="Times New Roman" w:hAnsi="Times New Roman"/>
                <w:sz w:val="20"/>
                <w:szCs w:val="18"/>
                <w:lang w:val="sr-Cyrl-CS"/>
              </w:rPr>
              <w:t xml:space="preserve"> </w:t>
            </w:r>
            <w:r w:rsidR="00AD672B" w:rsidRPr="005303F7">
              <w:rPr>
                <w:rFonts w:ascii="Times New Roman" w:hAnsi="Times New Roman"/>
                <w:sz w:val="20"/>
                <w:szCs w:val="18"/>
                <w:lang w:val="sr-Cyrl-CS"/>
              </w:rPr>
              <w:t xml:space="preserve"> музних грла</w:t>
            </w:r>
            <w:r w:rsidR="004503AC" w:rsidRPr="005303F7">
              <w:rPr>
                <w:rFonts w:ascii="Times New Roman" w:hAnsi="Times New Roman"/>
                <w:sz w:val="20"/>
                <w:szCs w:val="18"/>
                <w:lang w:val="sr-Cyrl-CS"/>
              </w:rPr>
              <w:t>. То ће довести до повећања укупне производње млека са не нужно повећањем броја музних грла, што ће довести и до ограниченог раста емисије гасова</w:t>
            </w:r>
            <w:r w:rsidR="00AD672B" w:rsidRPr="005303F7">
              <w:rPr>
                <w:rFonts w:ascii="Times New Roman" w:hAnsi="Times New Roman"/>
                <w:sz w:val="20"/>
                <w:szCs w:val="18"/>
                <w:lang w:val="sr-Cyrl-CS"/>
              </w:rPr>
              <w:t xml:space="preserve"> са ефектом стаклене баште</w:t>
            </w:r>
            <w:r w:rsidR="004503AC" w:rsidRPr="005303F7">
              <w:rPr>
                <w:rFonts w:ascii="Times New Roman" w:hAnsi="Times New Roman"/>
                <w:sz w:val="20"/>
                <w:szCs w:val="18"/>
                <w:lang w:val="sr-Cyrl-CS"/>
              </w:rPr>
              <w:t xml:space="preserve">. Неопходност побољшања </w:t>
            </w:r>
            <w:r w:rsidR="003C3645" w:rsidRPr="005303F7">
              <w:rPr>
                <w:rFonts w:ascii="Times New Roman" w:hAnsi="Times New Roman"/>
                <w:sz w:val="20"/>
                <w:szCs w:val="18"/>
                <w:lang w:val="sr-Cyrl-CS"/>
              </w:rPr>
              <w:t xml:space="preserve">веће производње </w:t>
            </w:r>
            <w:r w:rsidR="004503AC" w:rsidRPr="005303F7">
              <w:rPr>
                <w:rFonts w:ascii="Times New Roman" w:hAnsi="Times New Roman"/>
                <w:sz w:val="20"/>
                <w:szCs w:val="18"/>
                <w:lang w:val="sr-Cyrl-CS"/>
              </w:rPr>
              <w:t>млека и повећања ефикасности и конкурентности српских произвођача млека препозната је и Акционом плану за спровођење Програма Владе 2023 - 2026. година</w:t>
            </w:r>
            <w:r w:rsidR="00BB0AA2" w:rsidRPr="005303F7">
              <w:rPr>
                <w:rFonts w:ascii="Times New Roman" w:hAnsi="Times New Roman"/>
                <w:sz w:val="20"/>
                <w:szCs w:val="18"/>
                <w:lang w:val="sr-Cyrl-CS"/>
              </w:rPr>
              <w:t xml:space="preserve"> („Службени гласник PC”, број 30/18)</w:t>
            </w:r>
            <w:r w:rsidR="004503AC" w:rsidRPr="005303F7">
              <w:rPr>
                <w:rFonts w:ascii="Times New Roman" w:hAnsi="Times New Roman"/>
                <w:sz w:val="20"/>
                <w:szCs w:val="18"/>
                <w:lang w:val="sr-Cyrl-CS"/>
              </w:rPr>
              <w:t>, у Стратегији пољопривреде и руралног развоја (2014-2024), као и у IPARD-у (енгл.  Instrument for Pre-Accession Assistance in Rural Development).</w:t>
            </w:r>
          </w:p>
          <w:p w14:paraId="094D3145" w14:textId="2DADE414" w:rsidR="00BD116A" w:rsidRPr="005303F7" w:rsidRDefault="008D69AF">
            <w:pPr>
              <w:framePr w:hSpace="180" w:wrap="around" w:vAnchor="text" w:hAnchor="text" w:x="-856" w:y="135"/>
              <w:overflowPunct/>
              <w:rPr>
                <w:rFonts w:ascii="Times New Roman" w:hAnsi="Times New Roman"/>
                <w:b/>
                <w:bCs/>
                <w:sz w:val="20"/>
                <w:szCs w:val="18"/>
                <w:u w:val="single"/>
                <w:lang w:val="sr-Cyrl-CS"/>
              </w:rPr>
            </w:pPr>
            <w:r w:rsidRPr="005303F7">
              <w:rPr>
                <w:rFonts w:ascii="Times New Roman" w:hAnsi="Times New Roman"/>
                <w:b/>
                <w:bCs/>
                <w:sz w:val="20"/>
                <w:szCs w:val="18"/>
                <w:u w:val="single"/>
                <w:lang w:val="sr-Cyrl-CS"/>
              </w:rPr>
              <w:t>Процес</w:t>
            </w:r>
            <w:r w:rsidR="00860551"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преговора</w:t>
            </w:r>
            <w:r w:rsidR="00860551"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о</w:t>
            </w:r>
            <w:r w:rsidR="00860551"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приступању</w:t>
            </w:r>
            <w:r w:rsidR="00860551"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ЕУ</w:t>
            </w:r>
            <w:r w:rsidR="00860551"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Поглав</w:t>
            </w:r>
            <w:r w:rsidR="00D553BE" w:rsidRPr="005303F7">
              <w:rPr>
                <w:rFonts w:ascii="Times New Roman" w:hAnsi="Times New Roman"/>
                <w:b/>
                <w:bCs/>
                <w:sz w:val="20"/>
                <w:szCs w:val="18"/>
                <w:u w:val="single"/>
                <w:lang w:val="sr-Cyrl-CS"/>
              </w:rPr>
              <w:t>љ</w:t>
            </w:r>
            <w:r w:rsidRPr="005303F7">
              <w:rPr>
                <w:rFonts w:ascii="Times New Roman" w:hAnsi="Times New Roman"/>
                <w:b/>
                <w:bCs/>
                <w:sz w:val="20"/>
                <w:szCs w:val="18"/>
                <w:u w:val="single"/>
                <w:lang w:val="sr-Cyrl-CS"/>
              </w:rPr>
              <w:t>е</w:t>
            </w:r>
            <w:r w:rsidR="00860551" w:rsidRPr="005303F7">
              <w:rPr>
                <w:rFonts w:ascii="Times New Roman" w:hAnsi="Times New Roman"/>
                <w:b/>
                <w:bCs/>
                <w:sz w:val="20"/>
                <w:szCs w:val="18"/>
                <w:u w:val="single"/>
                <w:lang w:val="sr-Cyrl-CS"/>
              </w:rPr>
              <w:t xml:space="preserve"> 11 – </w:t>
            </w:r>
            <w:r w:rsidRPr="005303F7">
              <w:rPr>
                <w:rFonts w:ascii="Times New Roman" w:hAnsi="Times New Roman"/>
                <w:b/>
                <w:bCs/>
                <w:sz w:val="20"/>
                <w:szCs w:val="18"/>
                <w:u w:val="single"/>
                <w:lang w:val="sr-Cyrl-CS"/>
              </w:rPr>
              <w:t>По</w:t>
            </w:r>
            <w:r w:rsidR="00D553BE" w:rsidRPr="005303F7">
              <w:rPr>
                <w:rFonts w:ascii="Times New Roman" w:hAnsi="Times New Roman"/>
                <w:b/>
                <w:bCs/>
                <w:sz w:val="20"/>
                <w:szCs w:val="18"/>
                <w:u w:val="single"/>
                <w:lang w:val="sr-Cyrl-CS"/>
              </w:rPr>
              <w:t>љ</w:t>
            </w:r>
            <w:r w:rsidRPr="005303F7">
              <w:rPr>
                <w:rFonts w:ascii="Times New Roman" w:hAnsi="Times New Roman"/>
                <w:b/>
                <w:bCs/>
                <w:sz w:val="20"/>
                <w:szCs w:val="18"/>
                <w:u w:val="single"/>
                <w:lang w:val="sr-Cyrl-CS"/>
              </w:rPr>
              <w:t>опривреда</w:t>
            </w:r>
            <w:r w:rsidR="00860551"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и</w:t>
            </w:r>
            <w:r w:rsidR="00860551"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рурални</w:t>
            </w:r>
            <w:r w:rsidR="00860551"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развој</w:t>
            </w:r>
          </w:p>
        </w:tc>
      </w:tr>
      <w:tr w:rsidR="005F6B3C" w:rsidRPr="005303F7" w14:paraId="529194DC" w14:textId="77777777" w:rsidTr="00D519CC">
        <w:trPr>
          <w:trHeight w:val="44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557DD1A" w14:textId="77777777" w:rsidR="005F6B3C" w:rsidRPr="005303F7" w:rsidRDefault="005F6B3C">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411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CA0FA2" w14:textId="459AED0A" w:rsidR="005F6B3C" w:rsidRPr="005303F7" w:rsidRDefault="008D69AF" w:rsidP="0029378D">
            <w:pPr>
              <w:spacing w:before="0" w:after="0"/>
              <w:jc w:val="center"/>
              <w:rPr>
                <w:rFonts w:ascii="Times New Roman" w:hAnsi="Times New Roman"/>
                <w:b/>
                <w:bCs/>
                <w:sz w:val="20"/>
                <w:lang w:val="sr-Cyrl-CS"/>
              </w:rPr>
            </w:pPr>
            <w:r w:rsidRPr="005303F7">
              <w:rPr>
                <w:rFonts w:ascii="Times New Roman" w:hAnsi="Times New Roman"/>
                <w:b/>
                <w:bCs/>
                <w:sz w:val="20"/>
                <w:lang w:val="sr-Cyrl-CS"/>
              </w:rPr>
              <w:t>К</w:t>
            </w:r>
            <w:r w:rsidR="00D553BE" w:rsidRPr="005303F7">
              <w:rPr>
                <w:rFonts w:ascii="Times New Roman" w:hAnsi="Times New Roman"/>
                <w:b/>
                <w:bCs/>
                <w:sz w:val="20"/>
                <w:lang w:val="sr-Cyrl-CS"/>
              </w:rPr>
              <w:t>љ</w:t>
            </w:r>
            <w:r w:rsidRPr="005303F7">
              <w:rPr>
                <w:rFonts w:ascii="Times New Roman" w:hAnsi="Times New Roman"/>
                <w:b/>
                <w:bCs/>
                <w:sz w:val="20"/>
                <w:lang w:val="sr-Cyrl-CS"/>
              </w:rPr>
              <w:t>учни</w:t>
            </w:r>
            <w:r w:rsidR="005F6B3C" w:rsidRPr="005303F7">
              <w:rPr>
                <w:rFonts w:ascii="Times New Roman" w:hAnsi="Times New Roman"/>
                <w:b/>
                <w:bCs/>
                <w:sz w:val="20"/>
                <w:lang w:val="sr-Cyrl-CS"/>
              </w:rPr>
              <w:t xml:space="preserve"> </w:t>
            </w:r>
            <w:r w:rsidRPr="005303F7">
              <w:rPr>
                <w:rFonts w:ascii="Times New Roman" w:hAnsi="Times New Roman"/>
                <w:b/>
                <w:bCs/>
                <w:sz w:val="20"/>
                <w:lang w:val="sr-Cyrl-CS"/>
              </w:rPr>
              <w:t>субјекат</w:t>
            </w:r>
            <w:r w:rsidR="005F6B3C" w:rsidRPr="005303F7">
              <w:rPr>
                <w:rFonts w:ascii="Times New Roman" w:hAnsi="Times New Roman"/>
                <w:b/>
                <w:bCs/>
                <w:sz w:val="20"/>
                <w:lang w:val="sr-Cyrl-CS"/>
              </w:rPr>
              <w:t xml:space="preserve"> </w:t>
            </w:r>
            <w:r w:rsidRPr="005303F7">
              <w:rPr>
                <w:rFonts w:ascii="Times New Roman" w:hAnsi="Times New Roman"/>
                <w:b/>
                <w:bCs/>
                <w:sz w:val="20"/>
                <w:lang w:val="sr-Cyrl-CS"/>
              </w:rPr>
              <w:t>за</w:t>
            </w:r>
            <w:r w:rsidR="005F6B3C" w:rsidRPr="005303F7">
              <w:rPr>
                <w:rFonts w:ascii="Times New Roman" w:hAnsi="Times New Roman"/>
                <w:b/>
                <w:bCs/>
                <w:sz w:val="20"/>
                <w:lang w:val="sr-Cyrl-CS"/>
              </w:rPr>
              <w:t xml:space="preserve"> </w:t>
            </w:r>
            <w:r w:rsidRPr="005303F7">
              <w:rPr>
                <w:rFonts w:ascii="Times New Roman" w:hAnsi="Times New Roman"/>
                <w:b/>
                <w:bCs/>
                <w:sz w:val="20"/>
                <w:lang w:val="sr-Cyrl-CS"/>
              </w:rPr>
              <w:t>спровођење</w:t>
            </w:r>
            <w:r w:rsidR="005F6B3C"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p>
        </w:tc>
        <w:tc>
          <w:tcPr>
            <w:tcW w:w="58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65D85" w14:textId="664864AD" w:rsidR="005F6B3C"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Партнери</w:t>
            </w:r>
          </w:p>
        </w:tc>
        <w:tc>
          <w:tcPr>
            <w:tcW w:w="141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FA20E5" w14:textId="32E42D8A" w:rsidR="005F6B3C"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 xml:space="preserve">ЕТS/ </w:t>
            </w:r>
            <w:r w:rsidR="004A35C7" w:rsidRPr="005303F7">
              <w:rPr>
                <w:rFonts w:ascii="Times New Roman" w:hAnsi="Times New Roman"/>
                <w:b/>
                <w:sz w:val="20"/>
                <w:lang w:val="sr-Cyrl-CS"/>
              </w:rPr>
              <w:t>не-ЕТS</w:t>
            </w:r>
          </w:p>
        </w:tc>
        <w:tc>
          <w:tcPr>
            <w:tcW w:w="141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CCE376" w14:textId="36EBC488" w:rsidR="005F6B3C"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Главни</w:t>
            </w:r>
            <w:r w:rsidR="005F6B3C" w:rsidRPr="005303F7">
              <w:rPr>
                <w:rFonts w:ascii="Times New Roman" w:hAnsi="Times New Roman"/>
                <w:b/>
                <w:bCs/>
                <w:sz w:val="20"/>
                <w:lang w:val="sr-Cyrl-CS"/>
              </w:rPr>
              <w:t xml:space="preserve"> </w:t>
            </w:r>
            <w:r w:rsidRPr="005303F7">
              <w:rPr>
                <w:rFonts w:ascii="Times New Roman" w:hAnsi="Times New Roman"/>
                <w:b/>
                <w:bCs/>
                <w:sz w:val="20"/>
                <w:lang w:val="sr-Cyrl-CS"/>
              </w:rPr>
              <w:t>гасови</w:t>
            </w:r>
          </w:p>
        </w:tc>
        <w:tc>
          <w:tcPr>
            <w:tcW w:w="27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72317D" w14:textId="478AD9ED" w:rsidR="00D7102F" w:rsidRPr="005303F7" w:rsidRDefault="00C52A7D"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 xml:space="preserve">Процењен утицај ублажавања </w:t>
            </w:r>
            <w:r w:rsidR="00D7102F" w:rsidRPr="005303F7">
              <w:rPr>
                <w:rFonts w:ascii="Times New Roman" w:hAnsi="Times New Roman"/>
                <w:b/>
                <w:bCs/>
                <w:sz w:val="20"/>
                <w:lang w:val="sr-Cyrl-CS"/>
              </w:rPr>
              <w:t xml:space="preserve">до 2030. </w:t>
            </w:r>
          </w:p>
          <w:p w14:paraId="1427B684" w14:textId="0A190B3D" w:rsidR="005F6B3C" w:rsidRPr="005303F7" w:rsidRDefault="00D7102F"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BD116A" w:rsidRPr="005303F7" w14:paraId="1FB86F46" w14:textId="77777777" w:rsidTr="00D519CC">
        <w:trPr>
          <w:trHeight w:val="57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6088A86" w14:textId="77777777" w:rsidR="00BD116A" w:rsidRPr="005303F7" w:rsidRDefault="00BD116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411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6FEEA" w14:textId="6B7E99BF"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5F6B3C"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опривреде</w:t>
            </w:r>
            <w:r w:rsidR="005F6B3C"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шумарства</w:t>
            </w:r>
            <w:r w:rsidR="005F6B3C"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5F6B3C"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водопривреде</w:t>
            </w:r>
          </w:p>
        </w:tc>
        <w:tc>
          <w:tcPr>
            <w:tcW w:w="580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E0E62" w14:textId="3921AC9E" w:rsidR="00BD116A" w:rsidRPr="005303F7" w:rsidRDefault="00D343AC">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 xml:space="preserve">Управа </w:t>
            </w:r>
            <w:r w:rsidR="008D69AF" w:rsidRPr="005303F7">
              <w:rPr>
                <w:rFonts w:ascii="Times New Roman" w:hAnsi="Times New Roman"/>
                <w:bCs/>
                <w:color w:val="000000"/>
                <w:sz w:val="20"/>
                <w:lang w:val="sr-Cyrl-CS"/>
              </w:rPr>
              <w:t>за</w:t>
            </w:r>
            <w:r w:rsidR="005F6B3C"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аграрна</w:t>
            </w:r>
            <w:r w:rsidR="005F6B3C"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плаћања</w:t>
            </w:r>
            <w:r w:rsidR="00BD116A" w:rsidRPr="005303F7">
              <w:rPr>
                <w:rFonts w:ascii="Times New Roman" w:hAnsi="Times New Roman"/>
                <w:bCs/>
                <w:color w:val="000000"/>
                <w:sz w:val="20"/>
                <w:lang w:val="sr-Cyrl-CS"/>
              </w:rPr>
              <w:t>,</w:t>
            </w:r>
            <w:r w:rsidR="003C1445" w:rsidRPr="005303F7">
              <w:rPr>
                <w:rFonts w:ascii="Times New Roman" w:hAnsi="Times New Roman"/>
                <w:bCs/>
                <w:color w:val="000000"/>
                <w:sz w:val="20"/>
                <w:lang w:val="sr-Cyrl-CS"/>
              </w:rPr>
              <w:t xml:space="preserve"> Управа за ветерину, Привредна комора </w:t>
            </w:r>
            <w:r w:rsidR="00D73AAB" w:rsidRPr="005303F7">
              <w:rPr>
                <w:rFonts w:ascii="Times New Roman" w:hAnsi="Times New Roman"/>
                <w:bCs/>
                <w:color w:val="000000"/>
                <w:sz w:val="20"/>
                <w:lang w:val="sr-Cyrl-CS"/>
              </w:rPr>
              <w:t>Србије</w:t>
            </w:r>
            <w:r w:rsidR="003C1445" w:rsidRPr="005303F7">
              <w:rPr>
                <w:rFonts w:ascii="Times New Roman" w:hAnsi="Times New Roman"/>
                <w:bCs/>
                <w:color w:val="000000"/>
                <w:sz w:val="20"/>
                <w:lang w:val="sr-Cyrl-CS"/>
              </w:rPr>
              <w:t>,</w:t>
            </w:r>
            <w:r w:rsidR="00BD116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истраживачке</w:t>
            </w:r>
            <w:r w:rsidR="005F6B3C"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институције</w:t>
            </w:r>
          </w:p>
        </w:tc>
        <w:tc>
          <w:tcPr>
            <w:tcW w:w="1414"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5A81FF" w14:textId="6A3B4B1F" w:rsidR="00BD116A" w:rsidRPr="005303F7" w:rsidRDefault="004A35C7">
            <w:pPr>
              <w:overflowPunct/>
              <w:spacing w:after="0"/>
              <w:jc w:val="center"/>
              <w:rPr>
                <w:rFonts w:ascii="Times New Roman" w:hAnsi="Times New Roman"/>
                <w:bCs/>
                <w:sz w:val="20"/>
                <w:lang w:val="sr-Cyrl-CS"/>
              </w:rPr>
            </w:pPr>
            <w:r w:rsidRPr="005303F7">
              <w:rPr>
                <w:rFonts w:ascii="Times New Roman" w:hAnsi="Times New Roman"/>
                <w:bCs/>
                <w:sz w:val="20"/>
                <w:lang w:val="sr-Cyrl-CS"/>
              </w:rPr>
              <w:t>не-ЕТS</w:t>
            </w:r>
          </w:p>
        </w:tc>
        <w:tc>
          <w:tcPr>
            <w:tcW w:w="141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39E20D" w14:textId="19DE316E" w:rsidR="00BD116A" w:rsidRPr="005303F7" w:rsidRDefault="005A0D30">
            <w:pPr>
              <w:overflowPunct/>
              <w:spacing w:after="0"/>
              <w:jc w:val="center"/>
              <w:rPr>
                <w:rFonts w:ascii="Times New Roman" w:hAnsi="Times New Roman"/>
                <w:bCs/>
                <w:sz w:val="20"/>
                <w:lang w:val="sr-Cyrl-CS"/>
              </w:rPr>
            </w:pPr>
            <w:r w:rsidRPr="005303F7">
              <w:rPr>
                <w:rFonts w:ascii="Times New Roman" w:hAnsi="Times New Roman"/>
                <w:bCs/>
                <w:sz w:val="20"/>
                <w:lang w:val="sr-Cyrl-CS"/>
              </w:rPr>
              <w:t>CH</w:t>
            </w:r>
            <w:r w:rsidR="00BD116A" w:rsidRPr="005303F7">
              <w:rPr>
                <w:rFonts w:ascii="Times New Roman" w:hAnsi="Times New Roman"/>
                <w:bCs/>
                <w:sz w:val="20"/>
                <w:vertAlign w:val="subscript"/>
                <w:lang w:val="sr-Cyrl-CS"/>
              </w:rPr>
              <w:t>4</w:t>
            </w:r>
          </w:p>
        </w:tc>
        <w:tc>
          <w:tcPr>
            <w:tcW w:w="27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1D6C1" w14:textId="3FC0183A" w:rsidR="00BD116A" w:rsidRPr="005303F7" w:rsidRDefault="00381589" w:rsidP="008A6E43">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IE</w:t>
            </w:r>
            <w:r w:rsidR="00BD116A" w:rsidRPr="005303F7">
              <w:rPr>
                <w:rStyle w:val="FootnoteReference"/>
                <w:rFonts w:ascii="Times New Roman" w:hAnsi="Times New Roman"/>
                <w:bCs/>
                <w:color w:val="000000"/>
                <w:lang w:val="sr-Cyrl-CS"/>
              </w:rPr>
              <w:footnoteReference w:id="70"/>
            </w:r>
          </w:p>
        </w:tc>
      </w:tr>
      <w:tr w:rsidR="00BD116A" w:rsidRPr="005303F7" w14:paraId="4A4121A1" w14:textId="77777777" w:rsidTr="00D519CC">
        <w:trPr>
          <w:trHeight w:val="512"/>
        </w:trPr>
        <w:tc>
          <w:tcPr>
            <w:tcW w:w="16061" w:type="dxa"/>
            <w:gridSpan w:val="26"/>
            <w:tcBorders>
              <w:top w:val="single" w:sz="4" w:space="0" w:color="auto"/>
              <w:left w:val="single" w:sz="4" w:space="0" w:color="auto"/>
              <w:bottom w:val="single" w:sz="4" w:space="0" w:color="auto"/>
              <w:right w:val="single" w:sz="4" w:space="0" w:color="auto"/>
            </w:tcBorders>
            <w:shd w:val="solid" w:color="FFCC00" w:fill="auto"/>
            <w:vAlign w:val="center"/>
            <w:hideMark/>
          </w:tcPr>
          <w:p w14:paraId="01919D03" w14:textId="348DEBFB" w:rsidR="00BD116A" w:rsidRPr="005303F7" w:rsidRDefault="008D69AF" w:rsidP="00EF679E">
            <w:pPr>
              <w:overflowPunct/>
              <w:spacing w:before="0" w:after="0"/>
              <w:jc w:val="left"/>
              <w:rPr>
                <w:rFonts w:ascii="Times New Roman" w:hAnsi="Times New Roman"/>
                <w:b/>
                <w:bCs/>
                <w:color w:val="000000"/>
                <w:sz w:val="18"/>
                <w:szCs w:val="18"/>
                <w:lang w:val="sr-Cyrl-CS"/>
              </w:rPr>
            </w:pPr>
            <w:r w:rsidRPr="005303F7">
              <w:rPr>
                <w:rFonts w:ascii="Times New Roman" w:hAnsi="Times New Roman"/>
                <w:b/>
                <w:bCs/>
                <w:color w:val="000000"/>
                <w:sz w:val="18"/>
                <w:szCs w:val="18"/>
                <w:lang w:val="sr-Cyrl-CS"/>
              </w:rPr>
              <w:t>Посебан</w:t>
            </w:r>
            <w:r w:rsidR="00782716"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ци</w:t>
            </w:r>
            <w:r w:rsidR="00D553BE" w:rsidRPr="005303F7">
              <w:rPr>
                <w:rFonts w:ascii="Times New Roman" w:hAnsi="Times New Roman"/>
                <w:b/>
                <w:bCs/>
                <w:sz w:val="18"/>
                <w:szCs w:val="18"/>
                <w:lang w:val="sr-Cyrl-CS"/>
              </w:rPr>
              <w:t>љ</w:t>
            </w:r>
            <w:r w:rsidR="00BD116A" w:rsidRPr="005303F7">
              <w:rPr>
                <w:rFonts w:ascii="Times New Roman" w:hAnsi="Times New Roman"/>
                <w:b/>
                <w:bCs/>
                <w:color w:val="000000"/>
                <w:sz w:val="18"/>
                <w:szCs w:val="18"/>
                <w:lang w:val="sr-Cyrl-CS"/>
              </w:rPr>
              <w:t xml:space="preserve"> 3: </w:t>
            </w:r>
            <w:r w:rsidRPr="005303F7">
              <w:rPr>
                <w:rFonts w:ascii="Times New Roman" w:hAnsi="Times New Roman"/>
                <w:b/>
                <w:bCs/>
                <w:color w:val="000000"/>
                <w:sz w:val="18"/>
                <w:szCs w:val="18"/>
                <w:lang w:val="sr-Cyrl-CS"/>
              </w:rPr>
              <w:t>Повећање</w:t>
            </w:r>
            <w:r w:rsidR="00CF4E27"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понора</w:t>
            </w:r>
            <w:r w:rsidR="00CF4E27"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уг</w:t>
            </w:r>
            <w:r w:rsidR="00D553BE" w:rsidRPr="005303F7">
              <w:rPr>
                <w:rFonts w:ascii="Times New Roman" w:hAnsi="Times New Roman"/>
                <w:b/>
                <w:bCs/>
                <w:sz w:val="18"/>
                <w:szCs w:val="18"/>
                <w:lang w:val="sr-Cyrl-CS"/>
              </w:rPr>
              <w:t>љ</w:t>
            </w:r>
            <w:r w:rsidRPr="005303F7">
              <w:rPr>
                <w:rFonts w:ascii="Times New Roman" w:hAnsi="Times New Roman"/>
                <w:b/>
                <w:bCs/>
                <w:color w:val="000000"/>
                <w:sz w:val="18"/>
                <w:szCs w:val="18"/>
                <w:lang w:val="sr-Cyrl-CS"/>
              </w:rPr>
              <w:t>еника</w:t>
            </w:r>
            <w:r w:rsidR="00CF4E27"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у</w:t>
            </w:r>
            <w:r w:rsidR="00284471"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шумама</w:t>
            </w:r>
            <w:r w:rsidR="00284471"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за</w:t>
            </w:r>
            <w:r w:rsidR="00CF4E27" w:rsidRPr="005303F7">
              <w:rPr>
                <w:rFonts w:ascii="Times New Roman" w:hAnsi="Times New Roman"/>
                <w:b/>
                <w:bCs/>
                <w:color w:val="000000"/>
                <w:sz w:val="18"/>
                <w:szCs w:val="18"/>
                <w:lang w:val="sr-Cyrl-CS"/>
              </w:rPr>
              <w:t xml:space="preserve"> 17% </w:t>
            </w:r>
            <w:r w:rsidRPr="005303F7">
              <w:rPr>
                <w:rFonts w:ascii="Times New Roman" w:hAnsi="Times New Roman"/>
                <w:b/>
                <w:bCs/>
                <w:color w:val="000000"/>
                <w:sz w:val="18"/>
                <w:szCs w:val="18"/>
                <w:lang w:val="sr-Cyrl-CS"/>
              </w:rPr>
              <w:t>до</w:t>
            </w:r>
            <w:r w:rsidR="00CF4E27" w:rsidRPr="005303F7">
              <w:rPr>
                <w:rFonts w:ascii="Times New Roman" w:hAnsi="Times New Roman"/>
                <w:b/>
                <w:bCs/>
                <w:color w:val="000000"/>
                <w:sz w:val="18"/>
                <w:szCs w:val="18"/>
                <w:lang w:val="sr-Cyrl-CS"/>
              </w:rPr>
              <w:t xml:space="preserve"> 2030. </w:t>
            </w:r>
            <w:r w:rsidRPr="005303F7">
              <w:rPr>
                <w:rFonts w:ascii="Times New Roman" w:hAnsi="Times New Roman"/>
                <w:b/>
                <w:bCs/>
                <w:color w:val="000000"/>
                <w:sz w:val="18"/>
                <w:szCs w:val="18"/>
                <w:lang w:val="sr-Cyrl-CS"/>
              </w:rPr>
              <w:t>у</w:t>
            </w:r>
            <w:r w:rsidR="00CF4E27"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поређењу</w:t>
            </w:r>
            <w:r w:rsidR="00CF4E27"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са</w:t>
            </w:r>
            <w:r w:rsidR="00CF4E27" w:rsidRPr="005303F7">
              <w:rPr>
                <w:rFonts w:ascii="Times New Roman" w:hAnsi="Times New Roman"/>
                <w:b/>
                <w:bCs/>
                <w:color w:val="000000"/>
                <w:sz w:val="18"/>
                <w:szCs w:val="18"/>
                <w:lang w:val="sr-Cyrl-CS"/>
              </w:rPr>
              <w:t xml:space="preserve"> 2010. </w:t>
            </w:r>
            <w:r w:rsidRPr="005303F7">
              <w:rPr>
                <w:rFonts w:ascii="Times New Roman" w:hAnsi="Times New Roman"/>
                <w:b/>
                <w:bCs/>
                <w:color w:val="000000"/>
                <w:sz w:val="18"/>
                <w:szCs w:val="18"/>
                <w:lang w:val="sr-Cyrl-CS"/>
              </w:rPr>
              <w:t>годином</w:t>
            </w:r>
          </w:p>
        </w:tc>
      </w:tr>
      <w:tr w:rsidR="00BD116A" w:rsidRPr="005303F7" w14:paraId="5364F7EE" w14:textId="77777777" w:rsidTr="00D519CC">
        <w:trPr>
          <w:trHeight w:val="442"/>
        </w:trPr>
        <w:tc>
          <w:tcPr>
            <w:tcW w:w="696" w:type="dxa"/>
            <w:gridSpan w:val="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3FB3F767" w14:textId="173909C8" w:rsidR="00BD116A" w:rsidRPr="005303F7" w:rsidRDefault="008D69AF">
            <w:pPr>
              <w:overflowPunct/>
              <w:spacing w:after="0"/>
              <w:rPr>
                <w:rFonts w:ascii="Times New Roman" w:hAnsi="Times New Roman"/>
                <w:szCs w:val="22"/>
                <w:lang w:val="sr-Cyrl-CS"/>
              </w:rPr>
            </w:pPr>
            <w:r w:rsidRPr="005303F7">
              <w:rPr>
                <w:rFonts w:ascii="Times New Roman" w:hAnsi="Times New Roman"/>
                <w:szCs w:val="22"/>
                <w:lang w:val="sr-Cyrl-CS"/>
              </w:rPr>
              <w:t>Бр</w:t>
            </w:r>
            <w:r w:rsidR="00BD116A" w:rsidRPr="005303F7">
              <w:rPr>
                <w:rFonts w:ascii="Times New Roman" w:hAnsi="Times New Roman"/>
                <w:szCs w:val="22"/>
                <w:lang w:val="sr-Cyrl-CS"/>
              </w:rPr>
              <w:t>.</w:t>
            </w:r>
          </w:p>
        </w:tc>
        <w:tc>
          <w:tcPr>
            <w:tcW w:w="15365" w:type="dxa"/>
            <w:gridSpan w:val="24"/>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76270E85" w14:textId="6729A186" w:rsidR="00BD116A" w:rsidRPr="005303F7" w:rsidRDefault="008D69AF" w:rsidP="00652668">
            <w:pPr>
              <w:overflowPunct/>
              <w:jc w:val="left"/>
              <w:rPr>
                <w:rFonts w:ascii="Times New Roman" w:hAnsi="Times New Roman"/>
                <w:b/>
                <w:szCs w:val="22"/>
                <w:u w:val="single"/>
                <w:lang w:val="sr-Cyrl-CS"/>
              </w:rPr>
            </w:pPr>
            <w:r w:rsidRPr="005303F7">
              <w:rPr>
                <w:rFonts w:ascii="Times New Roman" w:hAnsi="Times New Roman"/>
                <w:b/>
                <w:bCs/>
                <w:color w:val="FFFFFF" w:themeColor="background1"/>
                <w:sz w:val="20"/>
                <w:lang w:val="sr-Cyrl-CS"/>
              </w:rPr>
              <w:t>Назив</w:t>
            </w:r>
            <w:r w:rsidR="004227AD" w:rsidRPr="005303F7">
              <w:rPr>
                <w:rFonts w:ascii="Times New Roman" w:hAnsi="Times New Roman"/>
                <w:b/>
                <w:bCs/>
                <w:color w:val="FFFFFF" w:themeColor="background1"/>
                <w:sz w:val="20"/>
                <w:lang w:val="sr-Cyrl-CS"/>
              </w:rPr>
              <w:t xml:space="preserve"> </w:t>
            </w:r>
            <w:r w:rsidRPr="005303F7">
              <w:rPr>
                <w:rFonts w:ascii="Times New Roman" w:hAnsi="Times New Roman"/>
                <w:b/>
                <w:bCs/>
                <w:color w:val="FFFFFF" w:themeColor="background1"/>
                <w:sz w:val="20"/>
                <w:lang w:val="sr-Cyrl-CS"/>
              </w:rPr>
              <w:t>мере</w:t>
            </w:r>
            <w:r w:rsidR="004227AD" w:rsidRPr="005303F7">
              <w:rPr>
                <w:rFonts w:ascii="Times New Roman" w:hAnsi="Times New Roman"/>
                <w:b/>
                <w:bCs/>
                <w:color w:val="FFFFFF" w:themeColor="background1"/>
                <w:sz w:val="20"/>
                <w:lang w:val="sr-Cyrl-CS"/>
              </w:rPr>
              <w:t>:</w:t>
            </w:r>
            <w:bookmarkStart w:id="405" w:name="_Toc12861544"/>
            <w:bookmarkStart w:id="406" w:name="_Toc22053703"/>
            <w:r w:rsidR="00BD116A" w:rsidRPr="005303F7">
              <w:rPr>
                <w:rFonts w:ascii="Times New Roman" w:hAnsi="Times New Roman"/>
                <w:b/>
                <w:color w:val="FFFFFF" w:themeColor="background1"/>
                <w:sz w:val="20"/>
                <w:lang w:val="sr-Cyrl-CS"/>
              </w:rPr>
              <w:t xml:space="preserve"> </w:t>
            </w:r>
            <w:bookmarkEnd w:id="405"/>
            <w:bookmarkEnd w:id="406"/>
            <w:r w:rsidRPr="005303F7">
              <w:rPr>
                <w:rFonts w:ascii="Times New Roman" w:hAnsi="Times New Roman"/>
                <w:b/>
                <w:color w:val="FFFFFF" w:themeColor="background1"/>
                <w:sz w:val="20"/>
                <w:u w:val="single"/>
                <w:lang w:val="sr-Cyrl-CS"/>
              </w:rPr>
              <w:t>Пошум</w:t>
            </w:r>
            <w:r w:rsidR="00D553BE" w:rsidRPr="005303F7">
              <w:rPr>
                <w:rFonts w:ascii="Times New Roman" w:hAnsi="Times New Roman"/>
                <w:b/>
                <w:sz w:val="20"/>
                <w:u w:val="single"/>
                <w:lang w:val="sr-Cyrl-CS"/>
              </w:rPr>
              <w:t>љ</w:t>
            </w:r>
            <w:r w:rsidRPr="005303F7">
              <w:rPr>
                <w:rFonts w:ascii="Times New Roman" w:hAnsi="Times New Roman"/>
                <w:b/>
                <w:color w:val="FFFFFF" w:themeColor="background1"/>
                <w:sz w:val="20"/>
                <w:u w:val="single"/>
                <w:lang w:val="sr-Cyrl-CS"/>
              </w:rPr>
              <w:t>авање</w:t>
            </w:r>
          </w:p>
        </w:tc>
      </w:tr>
      <w:tr w:rsidR="00BD116A" w:rsidRPr="005303F7" w14:paraId="1B9287FD" w14:textId="77777777" w:rsidTr="00D519CC">
        <w:trPr>
          <w:trHeight w:val="380"/>
        </w:trPr>
        <w:tc>
          <w:tcPr>
            <w:tcW w:w="6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38849CA" w14:textId="77777777" w:rsidR="00BD116A" w:rsidRPr="005303F7" w:rsidRDefault="00BD116A">
            <w:pPr>
              <w:overflowPunct/>
              <w:spacing w:after="0"/>
              <w:jc w:val="center"/>
              <w:rPr>
                <w:rFonts w:ascii="Times New Roman" w:hAnsi="Times New Roman"/>
                <w:b/>
                <w:color w:val="000000"/>
                <w:sz w:val="20"/>
                <w:lang w:val="sr-Cyrl-CS"/>
              </w:rPr>
            </w:pPr>
            <w:r w:rsidRPr="005303F7">
              <w:rPr>
                <w:rFonts w:ascii="Times New Roman" w:hAnsi="Times New Roman"/>
                <w:b/>
                <w:color w:val="000000"/>
                <w:sz w:val="20"/>
                <w:lang w:val="sr-Cyrl-CS"/>
              </w:rPr>
              <w:t>19</w:t>
            </w:r>
          </w:p>
        </w:tc>
        <w:tc>
          <w:tcPr>
            <w:tcW w:w="15365" w:type="dxa"/>
            <w:gridSpan w:val="24"/>
            <w:tcBorders>
              <w:top w:val="single" w:sz="4" w:space="0" w:color="auto"/>
              <w:left w:val="single" w:sz="4" w:space="0" w:color="auto"/>
              <w:bottom w:val="single" w:sz="4" w:space="0" w:color="auto"/>
              <w:right w:val="single" w:sz="4" w:space="0" w:color="auto"/>
            </w:tcBorders>
            <w:vAlign w:val="center"/>
          </w:tcPr>
          <w:p w14:paraId="49971431" w14:textId="796ABC20" w:rsidR="00A953E4" w:rsidRPr="005303F7" w:rsidRDefault="008D69AF" w:rsidP="00A953E4">
            <w:pPr>
              <w:overflowPunct/>
              <w:jc w:val="left"/>
              <w:rPr>
                <w:rFonts w:ascii="Times New Roman" w:hAnsi="Times New Roman"/>
                <w:bCs/>
                <w:sz w:val="20"/>
                <w:u w:val="single"/>
                <w:lang w:val="sr-Cyrl-CS"/>
              </w:rPr>
            </w:pPr>
            <w:r w:rsidRPr="005303F7">
              <w:rPr>
                <w:rFonts w:ascii="Times New Roman" w:hAnsi="Times New Roman"/>
                <w:b/>
                <w:sz w:val="20"/>
                <w:u w:val="single"/>
                <w:lang w:val="sr-Cyrl-CS"/>
              </w:rPr>
              <w:t>Врста</w:t>
            </w:r>
            <w:r w:rsidR="00A953E4"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мере</w:t>
            </w:r>
            <w:r w:rsidR="00A953E4" w:rsidRPr="005303F7">
              <w:rPr>
                <w:rFonts w:ascii="Times New Roman" w:hAnsi="Times New Roman"/>
                <w:b/>
                <w:sz w:val="20"/>
                <w:lang w:val="sr-Cyrl-CS"/>
              </w:rPr>
              <w:t xml:space="preserve">: </w:t>
            </w:r>
            <w:r w:rsidRPr="005303F7">
              <w:rPr>
                <w:rFonts w:ascii="Times New Roman" w:hAnsi="Times New Roman"/>
                <w:bCs/>
                <w:sz w:val="20"/>
                <w:lang w:val="sr-Cyrl-CS"/>
              </w:rPr>
              <w:t>Регулаторна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подстицајна</w:t>
            </w:r>
          </w:p>
          <w:p w14:paraId="00A7E896" w14:textId="3690A5D9" w:rsidR="00112A70" w:rsidRPr="005303F7" w:rsidRDefault="008D69AF" w:rsidP="00D949AD">
            <w:pPr>
              <w:overflowPunct/>
              <w:spacing w:after="0"/>
              <w:rPr>
                <w:rFonts w:ascii="Times New Roman" w:hAnsi="Times New Roman"/>
                <w:sz w:val="20"/>
                <w:lang w:val="sr-Cyrl-CS"/>
              </w:rPr>
            </w:pPr>
            <w:r w:rsidRPr="005303F7">
              <w:rPr>
                <w:rFonts w:ascii="Times New Roman" w:hAnsi="Times New Roman"/>
                <w:b/>
                <w:sz w:val="20"/>
                <w:u w:val="single"/>
                <w:lang w:val="sr-Cyrl-CS"/>
              </w:rPr>
              <w:t>Опис</w:t>
            </w:r>
            <w:r w:rsidR="00A953E4"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мере</w:t>
            </w:r>
            <w:r w:rsidR="00A953E4" w:rsidRPr="005303F7">
              <w:rPr>
                <w:rFonts w:ascii="Times New Roman" w:hAnsi="Times New Roman"/>
                <w:bCs/>
                <w:sz w:val="20"/>
                <w:lang w:val="sr-Cyrl-CS"/>
              </w:rPr>
              <w:t>:</w:t>
            </w:r>
            <w:r w:rsidR="00A953E4" w:rsidRPr="005303F7">
              <w:rPr>
                <w:rFonts w:ascii="Times New Roman" w:hAnsi="Times New Roman"/>
                <w:lang w:val="sr-Cyrl-CS"/>
              </w:rPr>
              <w:t xml:space="preserve"> </w:t>
            </w:r>
            <w:r w:rsidR="00112A70" w:rsidRPr="005303F7">
              <w:rPr>
                <w:rFonts w:ascii="Times New Roman" w:hAnsi="Times New Roman"/>
                <w:sz w:val="20"/>
                <w:lang w:val="sr-Cyrl-CS"/>
              </w:rPr>
              <w:t xml:space="preserve">Ова мера прописује пошумљавање од 3 770 hа до 2026. године, у складу са Акционим планом за спровођење Програма Владе за период 2023-2026, </w:t>
            </w:r>
          </w:p>
          <w:p w14:paraId="43EE8394" w14:textId="664E3FEC" w:rsidR="00A953E4" w:rsidRPr="005303F7" w:rsidRDefault="00112A70" w:rsidP="00D949AD">
            <w:pPr>
              <w:overflowPunct/>
              <w:spacing w:after="0"/>
              <w:rPr>
                <w:rFonts w:ascii="Times New Roman" w:hAnsi="Times New Roman"/>
                <w:sz w:val="20"/>
                <w:lang w:val="sr-Cyrl-CS"/>
              </w:rPr>
            </w:pPr>
            <w:r w:rsidRPr="005303F7">
              <w:rPr>
                <w:rFonts w:ascii="Times New Roman" w:hAnsi="Times New Roman"/>
                <w:sz w:val="20"/>
                <w:lang w:val="sr-Cyrl-CS"/>
              </w:rPr>
              <w:t xml:space="preserve">као и наставак пошумављања у периоду од 2026. године </w:t>
            </w:r>
            <w:r w:rsidR="008D69AF" w:rsidRPr="005303F7">
              <w:rPr>
                <w:rFonts w:ascii="Times New Roman" w:hAnsi="Times New Roman"/>
                <w:sz w:val="20"/>
                <w:lang w:val="sr-Cyrl-CS"/>
              </w:rPr>
              <w:t>до</w:t>
            </w:r>
            <w:r w:rsidR="00A953E4" w:rsidRPr="005303F7">
              <w:rPr>
                <w:rFonts w:ascii="Times New Roman" w:hAnsi="Times New Roman"/>
                <w:sz w:val="20"/>
                <w:lang w:val="sr-Cyrl-CS"/>
              </w:rPr>
              <w:t xml:space="preserve"> 2030. </w:t>
            </w:r>
            <w:r w:rsidR="008D69AF" w:rsidRPr="005303F7">
              <w:rPr>
                <w:rFonts w:ascii="Times New Roman" w:hAnsi="Times New Roman"/>
                <w:sz w:val="20"/>
                <w:lang w:val="sr-Cyrl-CS"/>
              </w:rPr>
              <w:t>године</w:t>
            </w:r>
            <w:r w:rsidR="00A953E4" w:rsidRPr="005303F7">
              <w:rPr>
                <w:rFonts w:ascii="Times New Roman" w:hAnsi="Times New Roman"/>
                <w:sz w:val="20"/>
                <w:lang w:val="sr-Cyrl-CS"/>
              </w:rPr>
              <w:t xml:space="preserve"> (</w:t>
            </w:r>
            <w:r w:rsidR="008D69AF" w:rsidRPr="005303F7">
              <w:rPr>
                <w:rFonts w:ascii="Times New Roman" w:hAnsi="Times New Roman"/>
                <w:sz w:val="20"/>
                <w:lang w:val="sr-Cyrl-CS"/>
              </w:rPr>
              <w:t>наставиће</w:t>
            </w:r>
            <w:r w:rsidR="00A953E4" w:rsidRPr="005303F7">
              <w:rPr>
                <w:rFonts w:ascii="Times New Roman" w:hAnsi="Times New Roman"/>
                <w:sz w:val="20"/>
                <w:lang w:val="sr-Cyrl-CS"/>
              </w:rPr>
              <w:t xml:space="preserve"> </w:t>
            </w:r>
            <w:r w:rsidR="008D69AF" w:rsidRPr="005303F7">
              <w:rPr>
                <w:rFonts w:ascii="Times New Roman" w:hAnsi="Times New Roman"/>
                <w:sz w:val="20"/>
                <w:lang w:val="sr-Cyrl-CS"/>
              </w:rPr>
              <w:t>се</w:t>
            </w:r>
            <w:r w:rsidR="00A953E4" w:rsidRPr="005303F7">
              <w:rPr>
                <w:rFonts w:ascii="Times New Roman" w:hAnsi="Times New Roman"/>
                <w:sz w:val="20"/>
                <w:lang w:val="sr-Cyrl-CS"/>
              </w:rPr>
              <w:t xml:space="preserve"> </w:t>
            </w:r>
            <w:r w:rsidR="008D69AF" w:rsidRPr="005303F7">
              <w:rPr>
                <w:rFonts w:ascii="Times New Roman" w:hAnsi="Times New Roman"/>
                <w:sz w:val="20"/>
                <w:lang w:val="sr-Cyrl-CS"/>
              </w:rPr>
              <w:t>до</w:t>
            </w:r>
            <w:r w:rsidR="00A953E4" w:rsidRPr="005303F7">
              <w:rPr>
                <w:rFonts w:ascii="Times New Roman" w:hAnsi="Times New Roman"/>
                <w:sz w:val="20"/>
                <w:lang w:val="sr-Cyrl-CS"/>
              </w:rPr>
              <w:t xml:space="preserve"> 2050. </w:t>
            </w:r>
            <w:r w:rsidR="008D69AF" w:rsidRPr="005303F7">
              <w:rPr>
                <w:rFonts w:ascii="Times New Roman" w:hAnsi="Times New Roman"/>
                <w:sz w:val="20"/>
                <w:lang w:val="sr-Cyrl-CS"/>
              </w:rPr>
              <w:t>године</w:t>
            </w:r>
            <w:r w:rsidR="00A953E4" w:rsidRPr="005303F7">
              <w:rPr>
                <w:rFonts w:ascii="Times New Roman" w:hAnsi="Times New Roman"/>
                <w:sz w:val="20"/>
                <w:lang w:val="sr-Cyrl-CS"/>
              </w:rPr>
              <w:t>)</w:t>
            </w:r>
            <w:r w:rsidRPr="005303F7">
              <w:rPr>
                <w:rFonts w:ascii="Times New Roman" w:hAnsi="Times New Roman"/>
                <w:sz w:val="20"/>
                <w:lang w:val="sr-Cyrl-CS"/>
              </w:rPr>
              <w:t>, у складу са стратешким документима у области шумарства и Просторни</w:t>
            </w:r>
            <w:r w:rsidR="00C84387" w:rsidRPr="005303F7">
              <w:rPr>
                <w:rFonts w:ascii="Times New Roman" w:hAnsi="Times New Roman"/>
                <w:sz w:val="20"/>
                <w:lang w:val="sr-Cyrl-CS"/>
              </w:rPr>
              <w:t>м</w:t>
            </w:r>
            <w:r w:rsidRPr="005303F7">
              <w:rPr>
                <w:rFonts w:ascii="Times New Roman" w:hAnsi="Times New Roman"/>
                <w:sz w:val="20"/>
                <w:lang w:val="sr-Cyrl-CS"/>
              </w:rPr>
              <w:t xml:space="preserve"> план</w:t>
            </w:r>
            <w:r w:rsidR="00C84387" w:rsidRPr="005303F7">
              <w:rPr>
                <w:rFonts w:ascii="Times New Roman" w:hAnsi="Times New Roman"/>
                <w:sz w:val="20"/>
                <w:lang w:val="sr-Cyrl-CS"/>
              </w:rPr>
              <w:t>ом</w:t>
            </w:r>
            <w:r w:rsidRPr="005303F7">
              <w:rPr>
                <w:rFonts w:ascii="Times New Roman" w:hAnsi="Times New Roman"/>
                <w:sz w:val="20"/>
                <w:lang w:val="sr-Cyrl-CS"/>
              </w:rPr>
              <w:t xml:space="preserve"> </w:t>
            </w:r>
            <w:r w:rsidR="00D73AAB" w:rsidRPr="005303F7">
              <w:rPr>
                <w:rFonts w:ascii="Times New Roman" w:hAnsi="Times New Roman"/>
                <w:sz w:val="20"/>
                <w:lang w:val="sr-Cyrl-CS"/>
              </w:rPr>
              <w:t>Републике Србије</w:t>
            </w:r>
            <w:r w:rsidR="00A953E4" w:rsidRPr="005303F7">
              <w:rPr>
                <w:rFonts w:ascii="Times New Roman" w:hAnsi="Times New Roman"/>
                <w:sz w:val="20"/>
                <w:lang w:val="sr-Cyrl-CS"/>
              </w:rPr>
              <w:t xml:space="preserve">. </w:t>
            </w:r>
          </w:p>
          <w:p w14:paraId="303A8E32" w14:textId="567F2756" w:rsidR="00A953E4" w:rsidRPr="005303F7" w:rsidRDefault="00CC6964" w:rsidP="00A953E4">
            <w:pPr>
              <w:overflowPunct/>
              <w:spacing w:after="0"/>
              <w:rPr>
                <w:rFonts w:ascii="Times New Roman" w:hAnsi="Times New Roman"/>
                <w:sz w:val="20"/>
                <w:szCs w:val="18"/>
                <w:lang w:val="sr-Cyrl-CS"/>
              </w:rPr>
            </w:pPr>
            <w:r w:rsidRPr="005303F7">
              <w:rPr>
                <w:rFonts w:ascii="Times New Roman" w:hAnsi="Times New Roman"/>
                <w:sz w:val="20"/>
                <w:szCs w:val="18"/>
                <w:lang w:val="sr-Cyrl-CS"/>
              </w:rPr>
              <w:lastRenderedPageBreak/>
              <w:t xml:space="preserve">        </w:t>
            </w:r>
            <w:r w:rsidR="008D69AF" w:rsidRPr="005303F7">
              <w:rPr>
                <w:rFonts w:ascii="Times New Roman" w:hAnsi="Times New Roman"/>
                <w:sz w:val="20"/>
                <w:szCs w:val="18"/>
                <w:lang w:val="sr-Cyrl-CS"/>
              </w:rPr>
              <w:t>Како</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би</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повећала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отпорност</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нових</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шума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на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утицаје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климатских</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промена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и</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као</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новост</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у</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поређењу</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оним</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што</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је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предвиђено</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нацртом</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Програма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развоја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шумарства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користиће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мапирање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станишта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у</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ци</w:t>
            </w:r>
            <w:r w:rsidR="00D553BE" w:rsidRPr="005303F7">
              <w:rPr>
                <w:rFonts w:ascii="Times New Roman" w:hAnsi="Times New Roman"/>
                <w:sz w:val="20"/>
                <w:szCs w:val="18"/>
                <w:lang w:val="sr-Cyrl-CS"/>
              </w:rPr>
              <w:t>љ</w:t>
            </w:r>
            <w:r w:rsidR="008D69AF" w:rsidRPr="005303F7">
              <w:rPr>
                <w:rFonts w:ascii="Times New Roman" w:hAnsi="Times New Roman"/>
                <w:sz w:val="20"/>
                <w:szCs w:val="18"/>
                <w:lang w:val="sr-Cyrl-CS"/>
              </w:rPr>
              <w:t>у</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идентификовања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адекватних</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врста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дрвећа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које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треба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да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засаде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на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сваком</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станишту</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На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основу</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резултата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мапирања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станишта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потребно</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је</w:t>
            </w:r>
            <w:r w:rsidR="00415473"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садити</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само</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станишту</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прилагођене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врсте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дрвећа</w:t>
            </w:r>
            <w:r w:rsidR="00A953E4" w:rsidRPr="005303F7">
              <w:rPr>
                <w:rFonts w:ascii="Times New Roman" w:hAnsi="Times New Roman"/>
                <w:sz w:val="20"/>
                <w:szCs w:val="18"/>
                <w:lang w:val="sr-Cyrl-CS"/>
              </w:rPr>
              <w:t>.</w:t>
            </w:r>
          </w:p>
          <w:p w14:paraId="516DEE4D" w14:textId="418EB3DA" w:rsidR="00A953E4" w:rsidRPr="005303F7" w:rsidRDefault="00CC6964" w:rsidP="00A953E4">
            <w:pPr>
              <w:overflowPunct/>
              <w:spacing w:after="0"/>
              <w:rPr>
                <w:rFonts w:ascii="Times New Roman" w:hAnsi="Times New Roman"/>
                <w:sz w:val="20"/>
                <w:szCs w:val="18"/>
                <w:lang w:val="sr-Cyrl-CS"/>
              </w:rPr>
            </w:pPr>
            <w:r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За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спровођење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ове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мере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треба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користити</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читав</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пакет</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инструмената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где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су</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најважнији</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финансијски</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регулаторни</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и</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информативно</w:t>
            </w:r>
            <w:r w:rsidR="00A953E4" w:rsidRPr="005303F7">
              <w:rPr>
                <w:rFonts w:ascii="Times New Roman" w:hAnsi="Times New Roman"/>
                <w:sz w:val="20"/>
                <w:szCs w:val="18"/>
                <w:lang w:val="sr-Cyrl-CS"/>
              </w:rPr>
              <w:t>/</w:t>
            </w:r>
            <w:r w:rsidR="008D69AF" w:rsidRPr="005303F7">
              <w:rPr>
                <w:rFonts w:ascii="Times New Roman" w:hAnsi="Times New Roman"/>
                <w:sz w:val="20"/>
                <w:szCs w:val="18"/>
                <w:lang w:val="sr-Cyrl-CS"/>
              </w:rPr>
              <w:t>образовни</w:t>
            </w:r>
            <w:r w:rsidR="00A953E4" w:rsidRPr="005303F7">
              <w:rPr>
                <w:rFonts w:ascii="Times New Roman" w:hAnsi="Times New Roman"/>
                <w:sz w:val="20"/>
                <w:szCs w:val="18"/>
                <w:lang w:val="sr-Cyrl-CS"/>
              </w:rPr>
              <w:t>.</w:t>
            </w:r>
          </w:p>
          <w:p w14:paraId="015BED86" w14:textId="7111D66C" w:rsidR="00A953E4" w:rsidRPr="005303F7" w:rsidRDefault="00CC6964" w:rsidP="00A953E4">
            <w:pPr>
              <w:overflowPunct/>
              <w:spacing w:after="0"/>
              <w:rPr>
                <w:rFonts w:ascii="Times New Roman" w:hAnsi="Times New Roman"/>
                <w:sz w:val="20"/>
                <w:szCs w:val="18"/>
                <w:lang w:val="sr-Cyrl-CS"/>
              </w:rPr>
            </w:pPr>
            <w:r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Треба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почети</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дијалог</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између</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различитих</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политика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и</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институција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у</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вези</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шумама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шумарство</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катастарске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јединице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по</w:t>
            </w:r>
            <w:r w:rsidR="00D553BE" w:rsidRPr="005303F7">
              <w:rPr>
                <w:rFonts w:ascii="Times New Roman" w:hAnsi="Times New Roman"/>
                <w:sz w:val="20"/>
                <w:szCs w:val="18"/>
                <w:lang w:val="sr-Cyrl-CS"/>
              </w:rPr>
              <w:t>љ</w:t>
            </w:r>
            <w:r w:rsidR="008D69AF" w:rsidRPr="005303F7">
              <w:rPr>
                <w:rFonts w:ascii="Times New Roman" w:hAnsi="Times New Roman"/>
                <w:sz w:val="20"/>
                <w:szCs w:val="18"/>
                <w:lang w:val="sr-Cyrl-CS"/>
              </w:rPr>
              <w:t>опривреда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управ</w:t>
            </w:r>
            <w:r w:rsidR="00D553BE" w:rsidRPr="005303F7">
              <w:rPr>
                <w:rFonts w:ascii="Times New Roman" w:hAnsi="Times New Roman"/>
                <w:sz w:val="20"/>
                <w:szCs w:val="18"/>
                <w:lang w:val="sr-Cyrl-CS"/>
              </w:rPr>
              <w:t>љ</w:t>
            </w:r>
            <w:r w:rsidR="008D69AF" w:rsidRPr="005303F7">
              <w:rPr>
                <w:rFonts w:ascii="Times New Roman" w:hAnsi="Times New Roman"/>
                <w:sz w:val="20"/>
                <w:szCs w:val="18"/>
                <w:lang w:val="sr-Cyrl-CS"/>
              </w:rPr>
              <w:t>ање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водама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и</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заштита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природе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како</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би</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смањили</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конфликти</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између</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категорија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коришћења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зем</w:t>
            </w:r>
            <w:r w:rsidR="00D553BE" w:rsidRPr="005303F7">
              <w:rPr>
                <w:rFonts w:ascii="Times New Roman" w:hAnsi="Times New Roman"/>
                <w:sz w:val="20"/>
                <w:szCs w:val="18"/>
                <w:lang w:val="sr-Cyrl-CS"/>
              </w:rPr>
              <w:t>љ</w:t>
            </w:r>
            <w:r w:rsidR="008D69AF" w:rsidRPr="005303F7">
              <w:rPr>
                <w:rFonts w:ascii="Times New Roman" w:hAnsi="Times New Roman"/>
                <w:sz w:val="20"/>
                <w:szCs w:val="18"/>
                <w:lang w:val="sr-Cyrl-CS"/>
              </w:rPr>
              <w:t>ишта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посебно</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у</w:t>
            </w:r>
            <w:r w:rsidR="00A953E4" w:rsidRPr="005303F7">
              <w:rPr>
                <w:rFonts w:ascii="Times New Roman" w:hAnsi="Times New Roman"/>
                <w:sz w:val="20"/>
                <w:szCs w:val="18"/>
                <w:lang w:val="sr-Cyrl-CS"/>
              </w:rPr>
              <w:t xml:space="preserve"> </w:t>
            </w:r>
            <w:r w:rsidR="00251519" w:rsidRPr="005303F7">
              <w:rPr>
                <w:rFonts w:ascii="Times New Roman" w:hAnsi="Times New Roman"/>
                <w:sz w:val="20"/>
                <w:szCs w:val="18"/>
                <w:lang w:val="sr-Cyrl-CS"/>
              </w:rPr>
              <w:t>АП</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Војводини</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Јавна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предузећа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за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газдовање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шумама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и</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други</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би</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требало</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да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имају</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капацитете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да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припреме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дово</w:t>
            </w:r>
            <w:r w:rsidR="00D553BE" w:rsidRPr="005303F7">
              <w:rPr>
                <w:rFonts w:ascii="Times New Roman" w:hAnsi="Times New Roman"/>
                <w:sz w:val="20"/>
                <w:szCs w:val="18"/>
                <w:lang w:val="sr-Cyrl-CS"/>
              </w:rPr>
              <w:t>љ</w:t>
            </w:r>
            <w:r w:rsidR="008D69AF" w:rsidRPr="005303F7">
              <w:rPr>
                <w:rFonts w:ascii="Times New Roman" w:hAnsi="Times New Roman"/>
                <w:sz w:val="20"/>
                <w:szCs w:val="18"/>
                <w:lang w:val="sr-Cyrl-CS"/>
              </w:rPr>
              <w:t>но</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садног</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материјала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за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подршку</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пошум</w:t>
            </w:r>
            <w:r w:rsidR="00D553BE" w:rsidRPr="005303F7">
              <w:rPr>
                <w:rFonts w:ascii="Times New Roman" w:hAnsi="Times New Roman"/>
                <w:sz w:val="20"/>
                <w:szCs w:val="18"/>
                <w:lang w:val="sr-Cyrl-CS"/>
              </w:rPr>
              <w:t>љ</w:t>
            </w:r>
            <w:r w:rsidR="008D69AF" w:rsidRPr="005303F7">
              <w:rPr>
                <w:rFonts w:ascii="Times New Roman" w:hAnsi="Times New Roman"/>
                <w:sz w:val="20"/>
                <w:szCs w:val="18"/>
                <w:lang w:val="sr-Cyrl-CS"/>
              </w:rPr>
              <w:t>авању</w:t>
            </w:r>
            <w:r w:rsidR="00A953E4" w:rsidRPr="005303F7">
              <w:rPr>
                <w:rFonts w:ascii="Times New Roman" w:hAnsi="Times New Roman"/>
                <w:sz w:val="20"/>
                <w:szCs w:val="18"/>
                <w:lang w:val="sr-Cyrl-CS"/>
              </w:rPr>
              <w:t>.</w:t>
            </w:r>
          </w:p>
          <w:p w14:paraId="3EB3D039" w14:textId="36B4E15C" w:rsidR="00A953E4" w:rsidRPr="005303F7" w:rsidRDefault="00CC6964" w:rsidP="00A953E4">
            <w:pPr>
              <w:overflowPunct/>
              <w:spacing w:after="0"/>
              <w:rPr>
                <w:rFonts w:ascii="Times New Roman" w:hAnsi="Times New Roman"/>
                <w:sz w:val="20"/>
                <w:szCs w:val="18"/>
                <w:lang w:val="sr-Cyrl-CS"/>
              </w:rPr>
            </w:pPr>
            <w:r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Ажурирање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катастра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у</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погледу</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категорије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коришћења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зем</w:t>
            </w:r>
            <w:r w:rsidR="00D553BE" w:rsidRPr="005303F7">
              <w:rPr>
                <w:rFonts w:ascii="Times New Roman" w:hAnsi="Times New Roman"/>
                <w:sz w:val="20"/>
                <w:szCs w:val="18"/>
                <w:lang w:val="sr-Cyrl-CS"/>
              </w:rPr>
              <w:t>љ</w:t>
            </w:r>
            <w:r w:rsidR="008D69AF" w:rsidRPr="005303F7">
              <w:rPr>
                <w:rFonts w:ascii="Times New Roman" w:hAnsi="Times New Roman"/>
                <w:sz w:val="20"/>
                <w:szCs w:val="18"/>
                <w:lang w:val="sr-Cyrl-CS"/>
              </w:rPr>
              <w:t>ишта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предуслов</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је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за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успешно</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пошум</w:t>
            </w:r>
            <w:r w:rsidR="00D553BE" w:rsidRPr="005303F7">
              <w:rPr>
                <w:rFonts w:ascii="Times New Roman" w:hAnsi="Times New Roman"/>
                <w:sz w:val="20"/>
                <w:szCs w:val="18"/>
                <w:lang w:val="sr-Cyrl-CS"/>
              </w:rPr>
              <w:t>љ</w:t>
            </w:r>
            <w:r w:rsidR="008D69AF" w:rsidRPr="005303F7">
              <w:rPr>
                <w:rFonts w:ascii="Times New Roman" w:hAnsi="Times New Roman"/>
                <w:sz w:val="20"/>
                <w:szCs w:val="18"/>
                <w:lang w:val="sr-Cyrl-CS"/>
              </w:rPr>
              <w:t>авање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поред</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уклањања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законских</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препрека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за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пошум</w:t>
            </w:r>
            <w:r w:rsidR="00D553BE" w:rsidRPr="005303F7">
              <w:rPr>
                <w:rFonts w:ascii="Times New Roman" w:hAnsi="Times New Roman"/>
                <w:sz w:val="20"/>
                <w:szCs w:val="18"/>
                <w:lang w:val="sr-Cyrl-CS"/>
              </w:rPr>
              <w:t>љ</w:t>
            </w:r>
            <w:r w:rsidR="008D69AF" w:rsidRPr="005303F7">
              <w:rPr>
                <w:rFonts w:ascii="Times New Roman" w:hAnsi="Times New Roman"/>
                <w:sz w:val="20"/>
                <w:szCs w:val="18"/>
                <w:lang w:val="sr-Cyrl-CS"/>
              </w:rPr>
              <w:t>авање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по</w:t>
            </w:r>
            <w:r w:rsidR="00D553BE" w:rsidRPr="005303F7">
              <w:rPr>
                <w:rFonts w:ascii="Times New Roman" w:hAnsi="Times New Roman"/>
                <w:sz w:val="20"/>
                <w:szCs w:val="18"/>
                <w:lang w:val="sr-Cyrl-CS"/>
              </w:rPr>
              <w:t>љ</w:t>
            </w:r>
            <w:r w:rsidR="008D69AF" w:rsidRPr="005303F7">
              <w:rPr>
                <w:rFonts w:ascii="Times New Roman" w:hAnsi="Times New Roman"/>
                <w:sz w:val="20"/>
                <w:szCs w:val="18"/>
                <w:lang w:val="sr-Cyrl-CS"/>
              </w:rPr>
              <w:t>опривредног</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зем</w:t>
            </w:r>
            <w:r w:rsidR="00D553BE" w:rsidRPr="005303F7">
              <w:rPr>
                <w:rFonts w:ascii="Times New Roman" w:hAnsi="Times New Roman"/>
                <w:sz w:val="20"/>
                <w:szCs w:val="18"/>
                <w:lang w:val="sr-Cyrl-CS"/>
              </w:rPr>
              <w:t>љ</w:t>
            </w:r>
            <w:r w:rsidR="008D69AF" w:rsidRPr="005303F7">
              <w:rPr>
                <w:rFonts w:ascii="Times New Roman" w:hAnsi="Times New Roman"/>
                <w:sz w:val="20"/>
                <w:szCs w:val="18"/>
                <w:lang w:val="sr-Cyrl-CS"/>
              </w:rPr>
              <w:t>ишта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класа</w:t>
            </w:r>
            <w:r w:rsidR="00A953E4" w:rsidRPr="005303F7">
              <w:rPr>
                <w:rFonts w:ascii="Times New Roman" w:hAnsi="Times New Roman"/>
                <w:sz w:val="20"/>
                <w:szCs w:val="18"/>
                <w:lang w:val="sr-Cyrl-CS"/>
              </w:rPr>
              <w:t xml:space="preserve"> </w:t>
            </w:r>
            <w:r w:rsidR="005A0D30" w:rsidRPr="005303F7">
              <w:rPr>
                <w:rFonts w:ascii="Times New Roman" w:hAnsi="Times New Roman"/>
                <w:sz w:val="20"/>
                <w:szCs w:val="18"/>
                <w:lang w:val="sr-Cyrl-CS"/>
              </w:rPr>
              <w:t>V.</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до</w:t>
            </w:r>
            <w:r w:rsidR="00A953E4" w:rsidRPr="005303F7">
              <w:rPr>
                <w:rFonts w:ascii="Times New Roman" w:hAnsi="Times New Roman"/>
                <w:sz w:val="20"/>
                <w:szCs w:val="18"/>
                <w:lang w:val="sr-Cyrl-CS"/>
              </w:rPr>
              <w:t xml:space="preserve"> </w:t>
            </w:r>
            <w:r w:rsidR="005A0D30" w:rsidRPr="005303F7">
              <w:rPr>
                <w:rFonts w:ascii="Times New Roman" w:hAnsi="Times New Roman"/>
                <w:sz w:val="20"/>
                <w:szCs w:val="18"/>
                <w:lang w:val="sr-Cyrl-CS"/>
              </w:rPr>
              <w:t>VIII</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Ова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мера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ће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смањити</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трошкове</w:t>
            </w:r>
            <w:r w:rsidR="00A953E4" w:rsidRPr="005303F7">
              <w:rPr>
                <w:rFonts w:ascii="Times New Roman" w:hAnsi="Times New Roman"/>
                <w:lang w:val="sr-Cyrl-CS"/>
              </w:rPr>
              <w:t xml:space="preserve"> </w:t>
            </w:r>
            <w:r w:rsidR="008D69AF" w:rsidRPr="005303F7">
              <w:rPr>
                <w:rFonts w:ascii="Times New Roman" w:hAnsi="Times New Roman"/>
                <w:sz w:val="20"/>
                <w:szCs w:val="18"/>
                <w:lang w:val="sr-Cyrl-CS"/>
              </w:rPr>
              <w:t>трансакција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и</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створити</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атрактивне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могућности</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за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више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пошум</w:t>
            </w:r>
            <w:r w:rsidR="00D553BE" w:rsidRPr="005303F7">
              <w:rPr>
                <w:rFonts w:ascii="Times New Roman" w:hAnsi="Times New Roman"/>
                <w:sz w:val="20"/>
                <w:szCs w:val="18"/>
                <w:lang w:val="sr-Cyrl-CS"/>
              </w:rPr>
              <w:t>љ</w:t>
            </w:r>
            <w:r w:rsidR="008D69AF" w:rsidRPr="005303F7">
              <w:rPr>
                <w:rFonts w:ascii="Times New Roman" w:hAnsi="Times New Roman"/>
                <w:sz w:val="20"/>
                <w:szCs w:val="18"/>
                <w:lang w:val="sr-Cyrl-CS"/>
              </w:rPr>
              <w:t>авања</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посебно</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од</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стране</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приватних</w:t>
            </w:r>
            <w:r w:rsidR="00A953E4" w:rsidRPr="005303F7">
              <w:rPr>
                <w:rFonts w:ascii="Times New Roman" w:hAnsi="Times New Roman"/>
                <w:sz w:val="20"/>
                <w:szCs w:val="18"/>
                <w:lang w:val="sr-Cyrl-CS"/>
              </w:rPr>
              <w:t xml:space="preserve"> </w:t>
            </w:r>
            <w:r w:rsidR="008D69AF" w:rsidRPr="005303F7">
              <w:rPr>
                <w:rFonts w:ascii="Times New Roman" w:hAnsi="Times New Roman"/>
                <w:sz w:val="20"/>
                <w:szCs w:val="18"/>
                <w:lang w:val="sr-Cyrl-CS"/>
              </w:rPr>
              <w:t>субјеката</w:t>
            </w:r>
            <w:r w:rsidR="00A953E4" w:rsidRPr="005303F7">
              <w:rPr>
                <w:rFonts w:ascii="Times New Roman" w:hAnsi="Times New Roman"/>
                <w:sz w:val="20"/>
                <w:szCs w:val="18"/>
                <w:lang w:val="sr-Cyrl-CS"/>
              </w:rPr>
              <w:t>.</w:t>
            </w:r>
          </w:p>
          <w:p w14:paraId="6C1C7A73" w14:textId="1A96909C" w:rsidR="00BD116A" w:rsidRPr="005303F7" w:rsidRDefault="008D69AF" w:rsidP="00353B06">
            <w:pPr>
              <w:overflowPunct/>
              <w:rPr>
                <w:rFonts w:ascii="Times New Roman" w:hAnsi="Times New Roman"/>
                <w:sz w:val="12"/>
                <w:szCs w:val="10"/>
                <w:lang w:val="sr-Cyrl-CS"/>
              </w:rPr>
            </w:pPr>
            <w:r w:rsidRPr="005303F7">
              <w:rPr>
                <w:rFonts w:ascii="Times New Roman" w:hAnsi="Times New Roman"/>
                <w:b/>
                <w:bCs/>
                <w:sz w:val="20"/>
                <w:szCs w:val="18"/>
                <w:u w:val="single"/>
                <w:lang w:val="sr-Cyrl-CS"/>
              </w:rPr>
              <w:t>Процес</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преговора</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о</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приступању</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ЕУ</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Поглав</w:t>
            </w:r>
            <w:r w:rsidR="00D553BE" w:rsidRPr="005303F7">
              <w:rPr>
                <w:rFonts w:ascii="Times New Roman" w:hAnsi="Times New Roman"/>
                <w:b/>
                <w:bCs/>
                <w:sz w:val="20"/>
                <w:szCs w:val="18"/>
                <w:u w:val="single"/>
                <w:lang w:val="sr-Cyrl-CS"/>
              </w:rPr>
              <w:t>љ</w:t>
            </w:r>
            <w:r w:rsidRPr="005303F7">
              <w:rPr>
                <w:rFonts w:ascii="Times New Roman" w:hAnsi="Times New Roman"/>
                <w:b/>
                <w:bCs/>
                <w:sz w:val="20"/>
                <w:szCs w:val="18"/>
                <w:u w:val="single"/>
                <w:lang w:val="sr-Cyrl-CS"/>
              </w:rPr>
              <w:t>е</w:t>
            </w:r>
            <w:r w:rsidR="00A953E4" w:rsidRPr="005303F7">
              <w:rPr>
                <w:rFonts w:ascii="Times New Roman" w:hAnsi="Times New Roman"/>
                <w:b/>
                <w:bCs/>
                <w:sz w:val="20"/>
                <w:szCs w:val="18"/>
                <w:u w:val="single"/>
                <w:lang w:val="sr-Cyrl-CS"/>
              </w:rPr>
              <w:t xml:space="preserve"> 27 – </w:t>
            </w:r>
            <w:r w:rsidRPr="005303F7">
              <w:rPr>
                <w:rFonts w:ascii="Times New Roman" w:hAnsi="Times New Roman"/>
                <w:b/>
                <w:bCs/>
                <w:sz w:val="20"/>
                <w:szCs w:val="18"/>
                <w:u w:val="single"/>
                <w:lang w:val="sr-Cyrl-CS"/>
              </w:rPr>
              <w:t>Животна</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средина</w:t>
            </w:r>
          </w:p>
        </w:tc>
      </w:tr>
      <w:tr w:rsidR="004E3FD6" w:rsidRPr="005303F7" w14:paraId="05B0B001" w14:textId="77777777" w:rsidTr="00D519CC">
        <w:trPr>
          <w:trHeight w:val="442"/>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14:paraId="5F77B246" w14:textId="77777777" w:rsidR="004E3FD6" w:rsidRPr="005303F7" w:rsidRDefault="004E3FD6">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FF1E92" w14:textId="673B7EC7" w:rsidR="004E3FD6" w:rsidRPr="005303F7" w:rsidRDefault="008D69AF" w:rsidP="0029378D">
            <w:pPr>
              <w:spacing w:before="0" w:after="0"/>
              <w:jc w:val="center"/>
              <w:rPr>
                <w:rFonts w:ascii="Times New Roman" w:hAnsi="Times New Roman"/>
                <w:b/>
                <w:bCs/>
                <w:sz w:val="20"/>
                <w:lang w:val="sr-Cyrl-CS"/>
              </w:rPr>
            </w:pPr>
            <w:r w:rsidRPr="005303F7">
              <w:rPr>
                <w:rFonts w:ascii="Times New Roman" w:hAnsi="Times New Roman"/>
                <w:b/>
                <w:bCs/>
                <w:sz w:val="20"/>
                <w:lang w:val="sr-Cyrl-CS"/>
              </w:rPr>
              <w:t>К</w:t>
            </w:r>
            <w:r w:rsidR="00D553BE" w:rsidRPr="005303F7">
              <w:rPr>
                <w:rFonts w:ascii="Times New Roman" w:hAnsi="Times New Roman"/>
                <w:b/>
                <w:bCs/>
                <w:sz w:val="20"/>
                <w:lang w:val="sr-Cyrl-CS"/>
              </w:rPr>
              <w:t>љ</w:t>
            </w:r>
            <w:r w:rsidRPr="005303F7">
              <w:rPr>
                <w:rFonts w:ascii="Times New Roman" w:hAnsi="Times New Roman"/>
                <w:b/>
                <w:bCs/>
                <w:sz w:val="20"/>
                <w:lang w:val="sr-Cyrl-CS"/>
              </w:rPr>
              <w:t>учни</w:t>
            </w:r>
            <w:r w:rsidR="004E3FD6" w:rsidRPr="005303F7">
              <w:rPr>
                <w:rFonts w:ascii="Times New Roman" w:hAnsi="Times New Roman"/>
                <w:b/>
                <w:bCs/>
                <w:sz w:val="20"/>
                <w:lang w:val="sr-Cyrl-CS"/>
              </w:rPr>
              <w:t xml:space="preserve"> </w:t>
            </w:r>
            <w:r w:rsidRPr="005303F7">
              <w:rPr>
                <w:rFonts w:ascii="Times New Roman" w:hAnsi="Times New Roman"/>
                <w:b/>
                <w:bCs/>
                <w:sz w:val="20"/>
                <w:lang w:val="sr-Cyrl-CS"/>
              </w:rPr>
              <w:t>субјекат</w:t>
            </w:r>
            <w:r w:rsidR="004E3FD6" w:rsidRPr="005303F7">
              <w:rPr>
                <w:rFonts w:ascii="Times New Roman" w:hAnsi="Times New Roman"/>
                <w:b/>
                <w:bCs/>
                <w:sz w:val="20"/>
                <w:lang w:val="sr-Cyrl-CS"/>
              </w:rPr>
              <w:t xml:space="preserve"> </w:t>
            </w:r>
            <w:r w:rsidRPr="005303F7">
              <w:rPr>
                <w:rFonts w:ascii="Times New Roman" w:hAnsi="Times New Roman"/>
                <w:b/>
                <w:bCs/>
                <w:sz w:val="20"/>
                <w:lang w:val="sr-Cyrl-CS"/>
              </w:rPr>
              <w:t>за</w:t>
            </w:r>
            <w:r w:rsidR="004E3FD6" w:rsidRPr="005303F7">
              <w:rPr>
                <w:rFonts w:ascii="Times New Roman" w:hAnsi="Times New Roman"/>
                <w:b/>
                <w:bCs/>
                <w:sz w:val="20"/>
                <w:lang w:val="sr-Cyrl-CS"/>
              </w:rPr>
              <w:t xml:space="preserve"> </w:t>
            </w:r>
            <w:r w:rsidRPr="005303F7">
              <w:rPr>
                <w:rFonts w:ascii="Times New Roman" w:hAnsi="Times New Roman"/>
                <w:b/>
                <w:bCs/>
                <w:sz w:val="20"/>
                <w:lang w:val="sr-Cyrl-CS"/>
              </w:rPr>
              <w:t>спровођење</w:t>
            </w:r>
            <w:r w:rsidR="004E3FD6"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p>
        </w:tc>
        <w:tc>
          <w:tcPr>
            <w:tcW w:w="665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4732D" w14:textId="43E86B77" w:rsidR="004E3FD6"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Партнери</w:t>
            </w:r>
          </w:p>
        </w:tc>
        <w:tc>
          <w:tcPr>
            <w:tcW w:w="113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93A93B" w14:textId="3331B80F" w:rsidR="004E3FD6"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 xml:space="preserve">ЕТS/ </w:t>
            </w:r>
            <w:r w:rsidR="004A35C7" w:rsidRPr="005303F7">
              <w:rPr>
                <w:rFonts w:ascii="Times New Roman" w:hAnsi="Times New Roman"/>
                <w:b/>
                <w:sz w:val="20"/>
                <w:lang w:val="sr-Cyrl-CS"/>
              </w:rPr>
              <w:t>не-ЕТS</w:t>
            </w:r>
          </w:p>
        </w:tc>
        <w:tc>
          <w:tcPr>
            <w:tcW w:w="144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D00C50" w14:textId="06057304" w:rsidR="004E3FD6"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Главни</w:t>
            </w:r>
            <w:r w:rsidR="004E3FD6" w:rsidRPr="005303F7">
              <w:rPr>
                <w:rFonts w:ascii="Times New Roman" w:hAnsi="Times New Roman"/>
                <w:b/>
                <w:bCs/>
                <w:sz w:val="20"/>
                <w:lang w:val="sr-Cyrl-CS"/>
              </w:rPr>
              <w:t xml:space="preserve"> </w:t>
            </w:r>
            <w:r w:rsidRPr="005303F7">
              <w:rPr>
                <w:rFonts w:ascii="Times New Roman" w:hAnsi="Times New Roman"/>
                <w:b/>
                <w:bCs/>
                <w:sz w:val="20"/>
                <w:lang w:val="sr-Cyrl-CS"/>
              </w:rPr>
              <w:t>гасови</w:t>
            </w:r>
          </w:p>
        </w:tc>
        <w:tc>
          <w:tcPr>
            <w:tcW w:w="28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70F87F" w14:textId="7683561A" w:rsidR="00D7102F" w:rsidRPr="005303F7" w:rsidRDefault="00700C33"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Процењене у</w:t>
            </w:r>
            <w:r w:rsidR="001E1A91" w:rsidRPr="005303F7">
              <w:rPr>
                <w:rFonts w:ascii="Times New Roman" w:hAnsi="Times New Roman"/>
                <w:b/>
                <w:bCs/>
                <w:sz w:val="20"/>
                <w:lang w:val="sr-Cyrl-CS"/>
              </w:rPr>
              <w:t>клоњене количине</w:t>
            </w:r>
            <w:r w:rsidR="00D7102F" w:rsidRPr="005303F7">
              <w:rPr>
                <w:rFonts w:ascii="Times New Roman" w:hAnsi="Times New Roman"/>
                <w:b/>
                <w:bCs/>
                <w:sz w:val="20"/>
                <w:lang w:val="sr-Cyrl-CS"/>
              </w:rPr>
              <w:t xml:space="preserve"> до 2030. </w:t>
            </w:r>
          </w:p>
          <w:p w14:paraId="5C4CB460" w14:textId="58016B75" w:rsidR="004E3FD6"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BD116A" w:rsidRPr="005303F7" w14:paraId="4E03A1BB" w14:textId="77777777" w:rsidTr="00D519CC">
        <w:trPr>
          <w:trHeight w:val="700"/>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14:paraId="665CC3C5" w14:textId="77777777" w:rsidR="00BD116A" w:rsidRPr="005303F7" w:rsidRDefault="00BD116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2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CF3942" w14:textId="4B7FEC65" w:rsidR="00BD116A" w:rsidRPr="005303F7" w:rsidRDefault="008D69AF">
            <w:pPr>
              <w:overflowPunct/>
              <w:spacing w:after="0"/>
              <w:jc w:val="center"/>
              <w:rPr>
                <w:rFonts w:ascii="Times New Roman" w:hAnsi="Times New Roman"/>
                <w:bCs/>
                <w:sz w:val="20"/>
                <w:lang w:val="sr-Cyrl-CS"/>
              </w:rPr>
            </w:pPr>
            <w:r w:rsidRPr="005303F7">
              <w:rPr>
                <w:rFonts w:ascii="Times New Roman" w:hAnsi="Times New Roman"/>
                <w:bCs/>
                <w:color w:val="000000"/>
                <w:sz w:val="20"/>
                <w:lang w:val="sr-Cyrl-CS"/>
              </w:rPr>
              <w:t>Министарство</w:t>
            </w:r>
            <w:r w:rsidR="003508C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опривреде</w:t>
            </w:r>
            <w:r w:rsidR="003508C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шумарства</w:t>
            </w:r>
            <w:r w:rsidR="003508C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3508C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водопривреде</w:t>
            </w:r>
          </w:p>
        </w:tc>
        <w:tc>
          <w:tcPr>
            <w:tcW w:w="665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4408B" w14:textId="432A8ABD" w:rsidR="00BD116A" w:rsidRPr="005303F7" w:rsidRDefault="008D69AF" w:rsidP="003508C3">
            <w:pPr>
              <w:overflowPunct/>
              <w:spacing w:after="0"/>
              <w:jc w:val="center"/>
              <w:rPr>
                <w:rFonts w:ascii="Times New Roman" w:hAnsi="Times New Roman"/>
                <w:bCs/>
                <w:sz w:val="20"/>
                <w:lang w:val="sr-Cyrl-CS"/>
              </w:rPr>
            </w:pPr>
            <w:r w:rsidRPr="005303F7">
              <w:rPr>
                <w:rFonts w:ascii="Times New Roman" w:hAnsi="Times New Roman"/>
                <w:bCs/>
                <w:sz w:val="20"/>
                <w:lang w:val="sr-Cyrl-CS"/>
              </w:rPr>
              <w:t>Истраживачке</w:t>
            </w:r>
            <w:r w:rsidR="003508C3" w:rsidRPr="005303F7">
              <w:rPr>
                <w:rFonts w:ascii="Times New Roman" w:hAnsi="Times New Roman"/>
                <w:bCs/>
                <w:sz w:val="20"/>
                <w:lang w:val="sr-Cyrl-CS"/>
              </w:rPr>
              <w:t xml:space="preserve"> </w:t>
            </w:r>
            <w:r w:rsidRPr="005303F7">
              <w:rPr>
                <w:rFonts w:ascii="Times New Roman" w:hAnsi="Times New Roman"/>
                <w:bCs/>
                <w:sz w:val="20"/>
                <w:lang w:val="sr-Cyrl-CS"/>
              </w:rPr>
              <w:t>институције</w:t>
            </w:r>
            <w:r w:rsidR="00BD116A" w:rsidRPr="005303F7">
              <w:rPr>
                <w:rFonts w:ascii="Times New Roman" w:hAnsi="Times New Roman"/>
                <w:bCs/>
                <w:sz w:val="20"/>
                <w:lang w:val="sr-Cyrl-CS"/>
              </w:rPr>
              <w:t xml:space="preserve">, </w:t>
            </w:r>
            <w:r w:rsidR="00F850DD" w:rsidRPr="005303F7">
              <w:rPr>
                <w:rFonts w:ascii="Times New Roman" w:hAnsi="Times New Roman"/>
                <w:bCs/>
                <w:sz w:val="20"/>
                <w:lang w:val="sr-Cyrl-CS"/>
              </w:rPr>
              <w:t>У</w:t>
            </w:r>
            <w:r w:rsidR="00162A96" w:rsidRPr="005303F7">
              <w:rPr>
                <w:rFonts w:ascii="Times New Roman" w:hAnsi="Times New Roman"/>
                <w:bCs/>
                <w:sz w:val="20"/>
                <w:lang w:val="sr-Cyrl-CS"/>
              </w:rPr>
              <w:t xml:space="preserve">права за </w:t>
            </w:r>
            <w:r w:rsidR="003508C3" w:rsidRPr="005303F7">
              <w:rPr>
                <w:rFonts w:ascii="Times New Roman" w:hAnsi="Times New Roman"/>
                <w:bCs/>
                <w:sz w:val="20"/>
                <w:lang w:val="sr-Cyrl-CS"/>
              </w:rPr>
              <w:t xml:space="preserve"> </w:t>
            </w:r>
            <w:r w:rsidRPr="005303F7">
              <w:rPr>
                <w:rFonts w:ascii="Times New Roman" w:hAnsi="Times New Roman"/>
                <w:bCs/>
                <w:sz w:val="20"/>
                <w:lang w:val="sr-Cyrl-CS"/>
              </w:rPr>
              <w:t>за</w:t>
            </w:r>
            <w:r w:rsidR="003508C3" w:rsidRPr="005303F7">
              <w:rPr>
                <w:rFonts w:ascii="Times New Roman" w:hAnsi="Times New Roman"/>
                <w:bCs/>
                <w:sz w:val="20"/>
                <w:lang w:val="sr-Cyrl-CS"/>
              </w:rPr>
              <w:t xml:space="preserve"> </w:t>
            </w:r>
            <w:r w:rsidRPr="005303F7">
              <w:rPr>
                <w:rFonts w:ascii="Times New Roman" w:hAnsi="Times New Roman"/>
                <w:bCs/>
                <w:sz w:val="20"/>
                <w:lang w:val="sr-Cyrl-CS"/>
              </w:rPr>
              <w:t>аграрна</w:t>
            </w:r>
            <w:r w:rsidR="003508C3" w:rsidRPr="005303F7">
              <w:rPr>
                <w:rFonts w:ascii="Times New Roman" w:hAnsi="Times New Roman"/>
                <w:bCs/>
                <w:sz w:val="20"/>
                <w:lang w:val="sr-Cyrl-CS"/>
              </w:rPr>
              <w:t xml:space="preserve"> </w:t>
            </w:r>
            <w:r w:rsidRPr="005303F7">
              <w:rPr>
                <w:rFonts w:ascii="Times New Roman" w:hAnsi="Times New Roman"/>
                <w:bCs/>
                <w:sz w:val="20"/>
                <w:lang w:val="sr-Cyrl-CS"/>
              </w:rPr>
              <w:t>плаћања</w:t>
            </w:r>
            <w:r w:rsidR="00BD116A" w:rsidRPr="005303F7">
              <w:rPr>
                <w:rFonts w:ascii="Times New Roman" w:hAnsi="Times New Roman"/>
                <w:bCs/>
                <w:sz w:val="20"/>
                <w:lang w:val="sr-Cyrl-CS"/>
              </w:rPr>
              <w:t xml:space="preserve">, </w:t>
            </w:r>
            <w:r w:rsidRPr="005303F7">
              <w:rPr>
                <w:rFonts w:ascii="Times New Roman" w:hAnsi="Times New Roman"/>
                <w:bCs/>
                <w:sz w:val="20"/>
                <w:lang w:val="sr-Cyrl-CS"/>
              </w:rPr>
              <w:t>Организације</w:t>
            </w:r>
            <w:r w:rsidR="003508C3" w:rsidRPr="005303F7">
              <w:rPr>
                <w:rFonts w:ascii="Times New Roman" w:hAnsi="Times New Roman"/>
                <w:bCs/>
                <w:sz w:val="20"/>
                <w:lang w:val="sr-Cyrl-CS"/>
              </w:rPr>
              <w:t xml:space="preserve"> </w:t>
            </w:r>
            <w:r w:rsidRPr="005303F7">
              <w:rPr>
                <w:rFonts w:ascii="Times New Roman" w:hAnsi="Times New Roman"/>
                <w:bCs/>
                <w:sz w:val="20"/>
                <w:lang w:val="sr-Cyrl-CS"/>
              </w:rPr>
              <w:t>одговорне</w:t>
            </w:r>
            <w:r w:rsidR="003508C3" w:rsidRPr="005303F7">
              <w:rPr>
                <w:rFonts w:ascii="Times New Roman" w:hAnsi="Times New Roman"/>
                <w:bCs/>
                <w:sz w:val="20"/>
                <w:lang w:val="sr-Cyrl-CS"/>
              </w:rPr>
              <w:t xml:space="preserve"> </w:t>
            </w:r>
            <w:r w:rsidRPr="005303F7">
              <w:rPr>
                <w:rFonts w:ascii="Times New Roman" w:hAnsi="Times New Roman"/>
                <w:bCs/>
                <w:sz w:val="20"/>
                <w:lang w:val="sr-Cyrl-CS"/>
              </w:rPr>
              <w:t>за</w:t>
            </w:r>
            <w:r w:rsidR="003508C3" w:rsidRPr="005303F7">
              <w:rPr>
                <w:rFonts w:ascii="Times New Roman" w:hAnsi="Times New Roman"/>
                <w:bCs/>
                <w:sz w:val="20"/>
                <w:lang w:val="sr-Cyrl-CS"/>
              </w:rPr>
              <w:t xml:space="preserve"> </w:t>
            </w:r>
            <w:r w:rsidRPr="005303F7">
              <w:rPr>
                <w:rFonts w:ascii="Times New Roman" w:hAnsi="Times New Roman"/>
                <w:bCs/>
                <w:sz w:val="20"/>
                <w:lang w:val="sr-Cyrl-CS"/>
              </w:rPr>
              <w:t>управ</w:t>
            </w:r>
            <w:r w:rsidR="00D553BE" w:rsidRPr="005303F7">
              <w:rPr>
                <w:rFonts w:ascii="Times New Roman" w:hAnsi="Times New Roman"/>
                <w:bCs/>
                <w:sz w:val="20"/>
                <w:lang w:val="sr-Cyrl-CS"/>
              </w:rPr>
              <w:t>љ</w:t>
            </w:r>
            <w:r w:rsidRPr="005303F7">
              <w:rPr>
                <w:rFonts w:ascii="Times New Roman" w:hAnsi="Times New Roman"/>
                <w:bCs/>
                <w:sz w:val="20"/>
                <w:lang w:val="sr-Cyrl-CS"/>
              </w:rPr>
              <w:t>ање</w:t>
            </w:r>
            <w:r w:rsidR="003508C3" w:rsidRPr="005303F7">
              <w:rPr>
                <w:rFonts w:ascii="Times New Roman" w:hAnsi="Times New Roman"/>
                <w:bCs/>
                <w:sz w:val="20"/>
                <w:lang w:val="sr-Cyrl-CS"/>
              </w:rPr>
              <w:t xml:space="preserve"> </w:t>
            </w:r>
            <w:r w:rsidRPr="005303F7">
              <w:rPr>
                <w:rFonts w:ascii="Times New Roman" w:hAnsi="Times New Roman"/>
                <w:bCs/>
                <w:sz w:val="20"/>
                <w:lang w:val="sr-Cyrl-CS"/>
              </w:rPr>
              <w:t>шумама</w:t>
            </w:r>
            <w:r w:rsidR="003508C3" w:rsidRPr="005303F7">
              <w:rPr>
                <w:rFonts w:ascii="Times New Roman" w:hAnsi="Times New Roman"/>
                <w:bCs/>
                <w:sz w:val="20"/>
                <w:lang w:val="sr-Cyrl-CS"/>
              </w:rPr>
              <w:t xml:space="preserve">, </w:t>
            </w:r>
            <w:r w:rsidRPr="005303F7">
              <w:rPr>
                <w:rFonts w:ascii="Times New Roman" w:hAnsi="Times New Roman"/>
                <w:bCs/>
                <w:sz w:val="20"/>
                <w:lang w:val="sr-Cyrl-CS"/>
              </w:rPr>
              <w:t>приватни</w:t>
            </w:r>
            <w:r w:rsidR="003508C3" w:rsidRPr="005303F7">
              <w:rPr>
                <w:rFonts w:ascii="Times New Roman" w:hAnsi="Times New Roman"/>
                <w:bCs/>
                <w:sz w:val="20"/>
                <w:lang w:val="sr-Cyrl-CS"/>
              </w:rPr>
              <w:t xml:space="preserve"> </w:t>
            </w:r>
            <w:r w:rsidRPr="005303F7">
              <w:rPr>
                <w:rFonts w:ascii="Times New Roman" w:hAnsi="Times New Roman"/>
                <w:bCs/>
                <w:sz w:val="20"/>
                <w:lang w:val="sr-Cyrl-CS"/>
              </w:rPr>
              <w:t>власници</w:t>
            </w:r>
            <w:r w:rsidR="003508C3" w:rsidRPr="005303F7">
              <w:rPr>
                <w:rFonts w:ascii="Times New Roman" w:hAnsi="Times New Roman"/>
                <w:bCs/>
                <w:sz w:val="20"/>
                <w:lang w:val="sr-Cyrl-CS"/>
              </w:rPr>
              <w:t xml:space="preserve"> </w:t>
            </w:r>
            <w:r w:rsidRPr="005303F7">
              <w:rPr>
                <w:rFonts w:ascii="Times New Roman" w:hAnsi="Times New Roman"/>
                <w:bCs/>
                <w:sz w:val="20"/>
                <w:lang w:val="sr-Cyrl-CS"/>
              </w:rPr>
              <w:t>шума</w:t>
            </w:r>
          </w:p>
        </w:tc>
        <w:tc>
          <w:tcPr>
            <w:tcW w:w="113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BCC460" w14:textId="5A038E62" w:rsidR="00BD116A" w:rsidRPr="005303F7" w:rsidRDefault="004A35C7">
            <w:pPr>
              <w:overflowPunct/>
              <w:spacing w:after="0"/>
              <w:jc w:val="center"/>
              <w:rPr>
                <w:rFonts w:ascii="Times New Roman" w:hAnsi="Times New Roman"/>
                <w:bCs/>
                <w:sz w:val="20"/>
                <w:lang w:val="sr-Cyrl-CS"/>
              </w:rPr>
            </w:pPr>
            <w:r w:rsidRPr="005303F7">
              <w:rPr>
                <w:rFonts w:ascii="Times New Roman" w:hAnsi="Times New Roman"/>
                <w:bCs/>
                <w:sz w:val="20"/>
                <w:lang w:val="sr-Cyrl-CS"/>
              </w:rPr>
              <w:t>не-ЕТS</w:t>
            </w:r>
          </w:p>
        </w:tc>
        <w:tc>
          <w:tcPr>
            <w:tcW w:w="144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C67356" w14:textId="55618FD6" w:rsidR="00BD116A" w:rsidRPr="005303F7" w:rsidRDefault="00000561">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C</w:t>
            </w:r>
            <w:r w:rsidR="008D69AF" w:rsidRPr="005303F7">
              <w:rPr>
                <w:rFonts w:ascii="Times New Roman" w:hAnsi="Times New Roman"/>
                <w:bCs/>
                <w:color w:val="000000"/>
                <w:sz w:val="20"/>
                <w:lang w:val="sr-Cyrl-CS"/>
              </w:rPr>
              <w:t>О</w:t>
            </w:r>
            <w:r w:rsidR="00BD116A" w:rsidRPr="005303F7">
              <w:rPr>
                <w:rFonts w:ascii="Times New Roman" w:hAnsi="Times New Roman"/>
                <w:bCs/>
                <w:color w:val="000000"/>
                <w:sz w:val="20"/>
                <w:vertAlign w:val="subscript"/>
                <w:lang w:val="sr-Cyrl-CS"/>
              </w:rPr>
              <w:t>2</w:t>
            </w:r>
          </w:p>
        </w:tc>
        <w:tc>
          <w:tcPr>
            <w:tcW w:w="28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4389A1" w14:textId="77777777" w:rsidR="00BD116A" w:rsidRPr="005303F7" w:rsidRDefault="00BD116A">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259,1</w:t>
            </w:r>
          </w:p>
        </w:tc>
      </w:tr>
      <w:tr w:rsidR="00BD116A" w:rsidRPr="005303F7" w14:paraId="5535D826" w14:textId="77777777" w:rsidTr="00D519CC">
        <w:trPr>
          <w:trHeight w:val="442"/>
        </w:trPr>
        <w:tc>
          <w:tcPr>
            <w:tcW w:w="696" w:type="dxa"/>
            <w:gridSpan w:val="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7C605E45" w14:textId="68D8B0E6" w:rsidR="00BD116A" w:rsidRPr="005303F7" w:rsidRDefault="008D69AF">
            <w:pPr>
              <w:overflowPunct/>
              <w:spacing w:after="0"/>
              <w:rPr>
                <w:rFonts w:ascii="Times New Roman" w:hAnsi="Times New Roman"/>
                <w:szCs w:val="22"/>
                <w:lang w:val="sr-Cyrl-CS"/>
              </w:rPr>
            </w:pPr>
            <w:bookmarkStart w:id="407" w:name="_Hlk23343509"/>
            <w:r w:rsidRPr="005303F7">
              <w:rPr>
                <w:rFonts w:ascii="Times New Roman" w:hAnsi="Times New Roman"/>
                <w:szCs w:val="22"/>
                <w:lang w:val="sr-Cyrl-CS"/>
              </w:rPr>
              <w:t>Бр</w:t>
            </w:r>
            <w:r w:rsidR="00BD116A" w:rsidRPr="005303F7">
              <w:rPr>
                <w:rFonts w:ascii="Times New Roman" w:hAnsi="Times New Roman"/>
                <w:szCs w:val="22"/>
                <w:lang w:val="sr-Cyrl-CS"/>
              </w:rPr>
              <w:t>.</w:t>
            </w:r>
          </w:p>
        </w:tc>
        <w:tc>
          <w:tcPr>
            <w:tcW w:w="15365" w:type="dxa"/>
            <w:gridSpan w:val="24"/>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180D6705" w14:textId="4A2BE8FB" w:rsidR="00BD116A" w:rsidRPr="005303F7" w:rsidRDefault="008D69AF" w:rsidP="00652668">
            <w:pPr>
              <w:overflowPunct/>
              <w:jc w:val="left"/>
              <w:rPr>
                <w:rFonts w:ascii="Times New Roman" w:hAnsi="Times New Roman"/>
                <w:b/>
                <w:sz w:val="20"/>
                <w:u w:val="single"/>
                <w:lang w:val="sr-Cyrl-CS"/>
              </w:rPr>
            </w:pPr>
            <w:r w:rsidRPr="005303F7">
              <w:rPr>
                <w:rFonts w:ascii="Times New Roman" w:hAnsi="Times New Roman"/>
                <w:b/>
                <w:bCs/>
                <w:color w:val="FFFFFF" w:themeColor="background1"/>
                <w:sz w:val="20"/>
                <w:lang w:val="sr-Cyrl-CS"/>
              </w:rPr>
              <w:t>Назив</w:t>
            </w:r>
            <w:r w:rsidR="003508C3" w:rsidRPr="005303F7">
              <w:rPr>
                <w:rFonts w:ascii="Times New Roman" w:hAnsi="Times New Roman"/>
                <w:b/>
                <w:bCs/>
                <w:color w:val="FFFFFF" w:themeColor="background1"/>
                <w:sz w:val="20"/>
                <w:lang w:val="sr-Cyrl-CS"/>
              </w:rPr>
              <w:t xml:space="preserve"> </w:t>
            </w:r>
            <w:r w:rsidRPr="005303F7">
              <w:rPr>
                <w:rFonts w:ascii="Times New Roman" w:hAnsi="Times New Roman"/>
                <w:b/>
                <w:bCs/>
                <w:color w:val="FFFFFF" w:themeColor="background1"/>
                <w:sz w:val="20"/>
                <w:lang w:val="sr-Cyrl-CS"/>
              </w:rPr>
              <w:t>мере</w:t>
            </w:r>
            <w:r w:rsidR="003508C3" w:rsidRPr="005303F7">
              <w:rPr>
                <w:rFonts w:ascii="Times New Roman" w:hAnsi="Times New Roman"/>
                <w:b/>
                <w:bCs/>
                <w:color w:val="FFFFFF" w:themeColor="background1"/>
                <w:sz w:val="20"/>
                <w:lang w:val="sr-Cyrl-CS"/>
              </w:rPr>
              <w:t xml:space="preserve">: </w:t>
            </w:r>
            <w:r w:rsidRPr="005303F7">
              <w:rPr>
                <w:rFonts w:ascii="Times New Roman" w:hAnsi="Times New Roman"/>
                <w:b/>
                <w:color w:val="FFFFFF" w:themeColor="background1"/>
                <w:sz w:val="20"/>
                <w:u w:val="single"/>
                <w:lang w:val="sr-Cyrl-CS"/>
              </w:rPr>
              <w:t>Природи</w:t>
            </w:r>
            <w:r w:rsidR="008179B0"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блиско</w:t>
            </w:r>
            <w:r w:rsidR="009555CF"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газдовање</w:t>
            </w:r>
            <w:r w:rsidR="00A31960"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шумама</w:t>
            </w:r>
            <w:r w:rsidR="00BD116A"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и</w:t>
            </w:r>
            <w:r w:rsidR="005735BD"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климатски</w:t>
            </w:r>
            <w:r w:rsidR="00815C82"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паметан</w:t>
            </w:r>
            <w:r w:rsidR="009555CF"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приступ</w:t>
            </w:r>
            <w:r w:rsidR="005735BD"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шумарству</w:t>
            </w:r>
          </w:p>
        </w:tc>
      </w:tr>
      <w:tr w:rsidR="00BD116A" w:rsidRPr="005303F7" w14:paraId="379A9FC5" w14:textId="77777777" w:rsidTr="00D519CC">
        <w:trPr>
          <w:trHeight w:val="565"/>
        </w:trPr>
        <w:tc>
          <w:tcPr>
            <w:tcW w:w="696" w:type="dxa"/>
            <w:gridSpan w:val="2"/>
            <w:vMerge w:val="restart"/>
            <w:tcBorders>
              <w:top w:val="single" w:sz="4" w:space="0" w:color="auto"/>
              <w:left w:val="single" w:sz="4" w:space="0" w:color="auto"/>
              <w:bottom w:val="single" w:sz="4" w:space="0" w:color="FFFFFF" w:themeColor="background1"/>
              <w:right w:val="single" w:sz="4" w:space="0" w:color="auto"/>
            </w:tcBorders>
            <w:vAlign w:val="center"/>
            <w:hideMark/>
          </w:tcPr>
          <w:p w14:paraId="0DB1FF87" w14:textId="77777777" w:rsidR="00BD116A" w:rsidRPr="005303F7" w:rsidRDefault="00BD116A">
            <w:pPr>
              <w:overflowPunct/>
              <w:spacing w:after="0"/>
              <w:jc w:val="center"/>
              <w:rPr>
                <w:rFonts w:ascii="Times New Roman" w:hAnsi="Times New Roman"/>
                <w:b/>
                <w:color w:val="000000"/>
                <w:sz w:val="20"/>
                <w:lang w:val="sr-Cyrl-CS"/>
              </w:rPr>
            </w:pPr>
            <w:r w:rsidRPr="005303F7">
              <w:rPr>
                <w:rFonts w:ascii="Times New Roman" w:hAnsi="Times New Roman"/>
                <w:b/>
                <w:color w:val="000000"/>
                <w:sz w:val="20"/>
                <w:lang w:val="sr-Cyrl-CS"/>
              </w:rPr>
              <w:t>20</w:t>
            </w:r>
          </w:p>
        </w:tc>
        <w:tc>
          <w:tcPr>
            <w:tcW w:w="15365" w:type="dxa"/>
            <w:gridSpan w:val="24"/>
            <w:tcBorders>
              <w:top w:val="single" w:sz="4" w:space="0" w:color="auto"/>
              <w:left w:val="single" w:sz="4" w:space="0" w:color="auto"/>
              <w:bottom w:val="single" w:sz="4" w:space="0" w:color="auto"/>
              <w:right w:val="single" w:sz="4" w:space="0" w:color="auto"/>
            </w:tcBorders>
            <w:vAlign w:val="center"/>
          </w:tcPr>
          <w:p w14:paraId="4F99D3AE" w14:textId="1309B83F" w:rsidR="00A953E4" w:rsidRPr="005303F7" w:rsidRDefault="008D69AF" w:rsidP="00A953E4">
            <w:pPr>
              <w:overflowPunct/>
              <w:jc w:val="left"/>
              <w:rPr>
                <w:rFonts w:ascii="Times New Roman" w:hAnsi="Times New Roman"/>
                <w:b/>
                <w:color w:val="000000"/>
                <w:sz w:val="20"/>
                <w:u w:val="single"/>
                <w:lang w:val="sr-Cyrl-CS"/>
              </w:rPr>
            </w:pPr>
            <w:r w:rsidRPr="005303F7">
              <w:rPr>
                <w:rFonts w:ascii="Times New Roman" w:hAnsi="Times New Roman"/>
                <w:b/>
                <w:color w:val="000000"/>
                <w:sz w:val="20"/>
                <w:u w:val="single"/>
                <w:lang w:val="sr-Cyrl-CS"/>
              </w:rPr>
              <w:t>Врста</w:t>
            </w:r>
            <w:r w:rsidR="00A953E4"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A953E4" w:rsidRPr="005303F7">
              <w:rPr>
                <w:rFonts w:ascii="Times New Roman" w:hAnsi="Times New Roman"/>
                <w:b/>
                <w:color w:val="000000"/>
                <w:sz w:val="20"/>
                <w:u w:val="single"/>
                <w:lang w:val="sr-Cyrl-CS"/>
              </w:rPr>
              <w:t>:</w:t>
            </w:r>
            <w:r w:rsidR="00A953E4" w:rsidRPr="005303F7">
              <w:rPr>
                <w:rFonts w:ascii="Times New Roman" w:hAnsi="Times New Roman"/>
                <w:b/>
                <w:color w:val="000000"/>
                <w:sz w:val="20"/>
                <w:lang w:val="sr-Cyrl-CS"/>
              </w:rPr>
              <w:t xml:space="preserve"> </w:t>
            </w:r>
            <w:r w:rsidRPr="005303F7">
              <w:rPr>
                <w:rFonts w:ascii="Times New Roman" w:hAnsi="Times New Roman"/>
                <w:bCs/>
                <w:color w:val="000000"/>
                <w:sz w:val="20"/>
                <w:lang w:val="sr-Cyrl-CS"/>
              </w:rPr>
              <w:t>Информативно</w:t>
            </w:r>
            <w:r w:rsidR="00A953E4" w:rsidRPr="005303F7">
              <w:rPr>
                <w:rFonts w:ascii="Times New Roman" w:hAnsi="Times New Roman"/>
                <w:bCs/>
                <w:color w:val="000000"/>
                <w:sz w:val="20"/>
                <w:lang w:val="sr-Cyrl-CS"/>
              </w:rPr>
              <w:t>-</w:t>
            </w:r>
            <w:r w:rsidRPr="005303F7">
              <w:rPr>
                <w:rFonts w:ascii="Times New Roman" w:hAnsi="Times New Roman"/>
                <w:bCs/>
                <w:color w:val="000000"/>
                <w:sz w:val="20"/>
                <w:lang w:val="sr-Cyrl-CS"/>
              </w:rPr>
              <w:t>едукативна</w:t>
            </w:r>
          </w:p>
          <w:p w14:paraId="5B5A8E81" w14:textId="444C2591" w:rsidR="00A953E4" w:rsidRPr="005303F7" w:rsidRDefault="008D69AF" w:rsidP="00A953E4">
            <w:pPr>
              <w:overflowPunct/>
              <w:spacing w:after="0"/>
              <w:jc w:val="left"/>
              <w:rPr>
                <w:rFonts w:ascii="Times New Roman" w:hAnsi="Times New Roman"/>
                <w:bCs/>
                <w:color w:val="000000"/>
                <w:sz w:val="20"/>
                <w:lang w:val="sr-Cyrl-CS"/>
              </w:rPr>
            </w:pPr>
            <w:r w:rsidRPr="005303F7">
              <w:rPr>
                <w:rFonts w:ascii="Times New Roman" w:hAnsi="Times New Roman"/>
                <w:b/>
                <w:color w:val="000000"/>
                <w:sz w:val="20"/>
                <w:u w:val="single"/>
                <w:lang w:val="sr-Cyrl-CS"/>
              </w:rPr>
              <w:t>Опис</w:t>
            </w:r>
            <w:r w:rsidR="00A953E4"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Природи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блиско</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газдовање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шумама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је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један</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од</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приступа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одрживог</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управ</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ања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значи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примењују</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мере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које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обезбеђују</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константну</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продуктивност</w:t>
            </w:r>
            <w:r w:rsidR="00A953E4" w:rsidRPr="005303F7">
              <w:rPr>
                <w:rFonts w:ascii="Times New Roman" w:hAnsi="Times New Roman"/>
                <w:bCs/>
                <w:color w:val="000000"/>
                <w:sz w:val="20"/>
                <w:lang w:val="sr-Cyrl-CS"/>
              </w:rPr>
              <w:t>,</w:t>
            </w:r>
            <w:r w:rsidR="00A953E4" w:rsidRPr="005303F7">
              <w:rPr>
                <w:rFonts w:ascii="Times New Roman" w:hAnsi="Times New Roman"/>
                <w:lang w:val="sr-Cyrl-CS"/>
              </w:rPr>
              <w:t xml:space="preserve"> </w:t>
            </w:r>
            <w:r w:rsidRPr="005303F7">
              <w:rPr>
                <w:rFonts w:ascii="Times New Roman" w:hAnsi="Times New Roman"/>
                <w:bCs/>
                <w:color w:val="000000"/>
                <w:sz w:val="20"/>
                <w:lang w:val="sr-Cyrl-CS"/>
              </w:rPr>
              <w:t>виталност</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пружање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екосистемских</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услуга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буду</w:t>
            </w:r>
            <w:r w:rsidR="00016298" w:rsidRPr="005303F7">
              <w:rPr>
                <w:rFonts w:ascii="Times New Roman" w:hAnsi="Times New Roman"/>
                <w:bCs/>
                <w:color w:val="000000"/>
                <w:sz w:val="20"/>
                <w:lang w:val="sr-Cyrl-CS"/>
              </w:rPr>
              <w:t>ћ</w:t>
            </w:r>
            <w:r w:rsidRPr="005303F7">
              <w:rPr>
                <w:rFonts w:ascii="Times New Roman" w:hAnsi="Times New Roman"/>
                <w:bCs/>
                <w:color w:val="000000"/>
                <w:sz w:val="20"/>
                <w:lang w:val="sr-Cyrl-CS"/>
              </w:rPr>
              <w:t>ности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Поред</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тога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то</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ук</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учује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мере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које</w:t>
            </w:r>
            <w:r w:rsidR="00A953E4" w:rsidRPr="005303F7">
              <w:rPr>
                <w:rFonts w:ascii="Times New Roman" w:hAnsi="Times New Roman"/>
                <w:bCs/>
                <w:color w:val="000000"/>
                <w:sz w:val="20"/>
                <w:lang w:val="sr-Cyrl-CS"/>
              </w:rPr>
              <w:t xml:space="preserve"> </w:t>
            </w:r>
            <w:r w:rsidR="00016298" w:rsidRPr="005303F7">
              <w:rPr>
                <w:rFonts w:ascii="Times New Roman" w:hAnsi="Times New Roman"/>
                <w:bCs/>
                <w:color w:val="000000"/>
                <w:sz w:val="20"/>
                <w:lang w:val="sr-Cyrl-CS"/>
              </w:rPr>
              <w:t>ћ</w:t>
            </w:r>
            <w:r w:rsidRPr="005303F7">
              <w:rPr>
                <w:rFonts w:ascii="Times New Roman" w:hAnsi="Times New Roman"/>
                <w:bCs/>
                <w:color w:val="000000"/>
                <w:sz w:val="20"/>
                <w:lang w:val="sr-Cyrl-CS"/>
              </w:rPr>
              <w:t>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буду</w:t>
            </w:r>
            <w:r w:rsidR="00016298" w:rsidRPr="005303F7">
              <w:rPr>
                <w:rFonts w:ascii="Times New Roman" w:hAnsi="Times New Roman"/>
                <w:bCs/>
                <w:color w:val="000000"/>
                <w:sz w:val="20"/>
                <w:lang w:val="sr-Cyrl-CS"/>
              </w:rPr>
              <w:t>ћ</w:t>
            </w:r>
            <w:r w:rsidRPr="005303F7">
              <w:rPr>
                <w:rFonts w:ascii="Times New Roman" w:hAnsi="Times New Roman"/>
                <w:bCs/>
                <w:color w:val="000000"/>
                <w:sz w:val="20"/>
                <w:lang w:val="sr-Cyrl-CS"/>
              </w:rPr>
              <w:t>ности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примењивати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сврху</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прилагођавања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измењеним</w:t>
            </w:r>
            <w:r w:rsidR="0028447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климатским</w:t>
            </w:r>
            <w:r w:rsidR="0028447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условима</w:t>
            </w:r>
            <w:r w:rsidR="00A953E4" w:rsidRPr="005303F7">
              <w:rPr>
                <w:rFonts w:ascii="Times New Roman" w:hAnsi="Times New Roman"/>
                <w:bCs/>
                <w:color w:val="000000"/>
                <w:sz w:val="20"/>
                <w:lang w:val="sr-Cyrl-CS"/>
              </w:rPr>
              <w:t>.</w:t>
            </w:r>
          </w:p>
          <w:p w14:paraId="3C19D1F7" w14:textId="216B056A" w:rsidR="00A953E4" w:rsidRPr="005303F7" w:rsidRDefault="00CC6964" w:rsidP="00A953E4">
            <w:pPr>
              <w:overflowPunct/>
              <w:spacing w:after="0"/>
              <w:rPr>
                <w:rFonts w:ascii="Times New Roman" w:hAnsi="Times New Roman"/>
                <w:bCs/>
                <w:color w:val="000000"/>
                <w:sz w:val="4"/>
                <w:szCs w:val="4"/>
                <w:lang w:val="sr-Cyrl-CS"/>
              </w:rPr>
            </w:pPr>
            <w:r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Ова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мера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такође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узима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обзир</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више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функција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које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различитим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просторним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нивоима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основи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природно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управ</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ање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шумама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значи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користе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врсте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дрвећа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прилагођене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станишту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шумски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екосистеми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састоји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од</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мешовитих</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вишеслојних</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састојина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четинарског</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листопадног</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дрве</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Поред</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тога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обнав</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ање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засновано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природној</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обнови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је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доминантан</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приступ</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управ</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ању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шумама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фокусира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највиталнија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најквалитетнија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стабла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састојини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контролисано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сузбијање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штеточина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итд</w:t>
            </w:r>
            <w:r w:rsidR="00A953E4" w:rsidRPr="005303F7">
              <w:rPr>
                <w:rFonts w:ascii="Times New Roman" w:hAnsi="Times New Roman"/>
                <w:bCs/>
                <w:color w:val="000000"/>
                <w:sz w:val="20"/>
                <w:lang w:val="sr-Cyrl-CS"/>
              </w:rPr>
              <w:t>.</w:t>
            </w:r>
          </w:p>
          <w:p w14:paraId="4598C82C" w14:textId="3502D35F" w:rsidR="00A953E4" w:rsidRPr="005303F7" w:rsidRDefault="00CC6964" w:rsidP="00A953E4">
            <w:pPr>
              <w:overflowPunct/>
              <w:spacing w:before="240"/>
              <w:rPr>
                <w:rFonts w:ascii="Times New Roman" w:hAnsi="Times New Roman"/>
                <w:bCs/>
                <w:color w:val="000000"/>
                <w:sz w:val="20"/>
                <w:lang w:val="sr-Cyrl-CS"/>
              </w:rPr>
            </w:pPr>
            <w:r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Климатски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паметно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шумарство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као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мера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прилагођавања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је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приступ</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управ</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ању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шумама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који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оптимално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користи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шумско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зем</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иште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тиме</w:t>
            </w:r>
            <w:r w:rsidR="00415473"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пове</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продуктивности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значи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станиште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користи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оптимални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начин</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комбинацији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правилно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изграђеном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шумском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путном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мрежом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активним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газдовањем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шумама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како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би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обезбедило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квалитетно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техничко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дрво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дрво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огрев</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које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треба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замени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фосилна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горива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производњи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топлотне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електричне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енергије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Резултат</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побо</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шања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шумских</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екосистема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уз</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коришћење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смерница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газдовање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шумама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као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упутства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интервенције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које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прате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природни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развоја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би</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производња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техничког</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дрвета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које</w:t>
            </w:r>
            <w:r w:rsidR="00A953E4" w:rsidRPr="005303F7">
              <w:rPr>
                <w:rFonts w:ascii="Times New Roman" w:hAnsi="Times New Roman"/>
                <w:bCs/>
                <w:color w:val="000000"/>
                <w:sz w:val="20"/>
                <w:lang w:val="sr-Cyrl-CS"/>
              </w:rPr>
              <w:t xml:space="preserve"> </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користити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производњу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намештаја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амбалаже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дугорочним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понирањем</w:t>
            </w:r>
            <w:r w:rsidR="00A953E4" w:rsidRPr="005303F7">
              <w:rPr>
                <w:rFonts w:ascii="Times New Roman" w:hAnsi="Times New Roman"/>
                <w:bCs/>
                <w:color w:val="000000"/>
                <w:sz w:val="20"/>
                <w:lang w:val="sr-Cyrl-CS"/>
              </w:rPr>
              <w:t xml:space="preserve"> </w:t>
            </w:r>
            <w:r w:rsidR="00000561" w:rsidRPr="005303F7">
              <w:rPr>
                <w:rFonts w:ascii="Times New Roman" w:hAnsi="Times New Roman"/>
                <w:bCs/>
                <w:color w:val="000000"/>
                <w:sz w:val="20"/>
                <w:lang w:val="sr-Cyrl-CS"/>
              </w:rPr>
              <w:t>C</w:t>
            </w:r>
            <w:r w:rsidR="008D69AF" w:rsidRPr="005303F7">
              <w:rPr>
                <w:rFonts w:ascii="Times New Roman" w:hAnsi="Times New Roman"/>
                <w:bCs/>
                <w:color w:val="000000"/>
                <w:sz w:val="20"/>
                <w:lang w:val="sr-Cyrl-CS"/>
              </w:rPr>
              <w:t>О</w:t>
            </w:r>
            <w:r w:rsidR="00A953E4" w:rsidRPr="005303F7">
              <w:rPr>
                <w:rFonts w:ascii="Times New Roman" w:hAnsi="Times New Roman"/>
                <w:bCs/>
                <w:color w:val="000000"/>
                <w:sz w:val="20"/>
                <w:vertAlign w:val="subscript"/>
                <w:lang w:val="sr-Cyrl-CS"/>
              </w:rPr>
              <w:t>2</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Ово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техничко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дрво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крају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свог</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животног</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века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може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уз</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поштовање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принципа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циркуларне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економије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претворити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обнов</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иви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материјал</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когенерацијска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постројења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биомасу</w:t>
            </w:r>
            <w:r w:rsidR="00A953E4" w:rsidRPr="005303F7">
              <w:rPr>
                <w:rFonts w:ascii="Times New Roman" w:hAnsi="Times New Roman"/>
                <w:bCs/>
                <w:color w:val="000000"/>
                <w:sz w:val="20"/>
                <w:lang w:val="sr-Cyrl-CS"/>
              </w:rPr>
              <w:t>.</w:t>
            </w:r>
          </w:p>
          <w:p w14:paraId="00682D33" w14:textId="0E019E66" w:rsidR="00BD116A" w:rsidRPr="005303F7" w:rsidRDefault="008D69AF">
            <w:pPr>
              <w:overflowPunct/>
              <w:spacing w:before="240"/>
              <w:rPr>
                <w:rFonts w:ascii="Times New Roman" w:hAnsi="Times New Roman"/>
                <w:b/>
                <w:bCs/>
                <w:sz w:val="20"/>
                <w:szCs w:val="18"/>
                <w:u w:val="single"/>
                <w:lang w:val="sr-Cyrl-CS"/>
              </w:rPr>
            </w:pPr>
            <w:r w:rsidRPr="005303F7">
              <w:rPr>
                <w:rFonts w:ascii="Times New Roman" w:hAnsi="Times New Roman"/>
                <w:b/>
                <w:bCs/>
                <w:sz w:val="20"/>
                <w:szCs w:val="18"/>
                <w:u w:val="single"/>
                <w:lang w:val="sr-Cyrl-CS"/>
              </w:rPr>
              <w:t>Процес</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преговора</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о</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приступању</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ЕУ</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Поглав</w:t>
            </w:r>
            <w:r w:rsidR="00D553BE" w:rsidRPr="005303F7">
              <w:rPr>
                <w:rFonts w:ascii="Times New Roman" w:hAnsi="Times New Roman"/>
                <w:b/>
                <w:bCs/>
                <w:sz w:val="20"/>
                <w:szCs w:val="18"/>
                <w:u w:val="single"/>
                <w:lang w:val="sr-Cyrl-CS"/>
              </w:rPr>
              <w:t>љ</w:t>
            </w:r>
            <w:r w:rsidRPr="005303F7">
              <w:rPr>
                <w:rFonts w:ascii="Times New Roman" w:hAnsi="Times New Roman"/>
                <w:b/>
                <w:bCs/>
                <w:sz w:val="20"/>
                <w:szCs w:val="18"/>
                <w:u w:val="single"/>
                <w:lang w:val="sr-Cyrl-CS"/>
              </w:rPr>
              <w:t>е</w:t>
            </w:r>
            <w:r w:rsidR="00A953E4" w:rsidRPr="005303F7">
              <w:rPr>
                <w:rFonts w:ascii="Times New Roman" w:hAnsi="Times New Roman"/>
                <w:b/>
                <w:bCs/>
                <w:sz w:val="20"/>
                <w:szCs w:val="18"/>
                <w:u w:val="single"/>
                <w:lang w:val="sr-Cyrl-CS"/>
              </w:rPr>
              <w:t xml:space="preserve"> 27 – </w:t>
            </w:r>
            <w:r w:rsidRPr="005303F7">
              <w:rPr>
                <w:rFonts w:ascii="Times New Roman" w:hAnsi="Times New Roman"/>
                <w:b/>
                <w:bCs/>
                <w:sz w:val="20"/>
                <w:szCs w:val="18"/>
                <w:u w:val="single"/>
                <w:lang w:val="sr-Cyrl-CS"/>
              </w:rPr>
              <w:t>Животна</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средина</w:t>
            </w:r>
          </w:p>
        </w:tc>
      </w:tr>
      <w:tr w:rsidR="00CF0A7C" w:rsidRPr="005303F7" w14:paraId="451B9FD1" w14:textId="77777777" w:rsidTr="00D519CC">
        <w:trPr>
          <w:trHeight w:val="582"/>
        </w:trPr>
        <w:tc>
          <w:tcPr>
            <w:tcW w:w="696" w:type="dxa"/>
            <w:gridSpan w:val="2"/>
            <w:vMerge/>
            <w:tcBorders>
              <w:top w:val="single" w:sz="4" w:space="0" w:color="auto"/>
              <w:left w:val="single" w:sz="4" w:space="0" w:color="auto"/>
              <w:bottom w:val="single" w:sz="4" w:space="0" w:color="FFFFFF" w:themeColor="background1"/>
              <w:right w:val="single" w:sz="4" w:space="0" w:color="auto"/>
            </w:tcBorders>
            <w:vAlign w:val="center"/>
            <w:hideMark/>
          </w:tcPr>
          <w:p w14:paraId="41F022C8" w14:textId="77777777" w:rsidR="00CF0A7C" w:rsidRPr="005303F7" w:rsidRDefault="00CF0A7C">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5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732F32" w14:textId="2FE95E35" w:rsidR="00CF0A7C" w:rsidRPr="005303F7" w:rsidRDefault="008D69AF">
            <w:pPr>
              <w:spacing w:after="0"/>
              <w:jc w:val="center"/>
              <w:rPr>
                <w:rFonts w:ascii="Times New Roman" w:hAnsi="Times New Roman"/>
                <w:b/>
                <w:sz w:val="20"/>
                <w:lang w:val="sr-Cyrl-CS"/>
              </w:rPr>
            </w:pPr>
            <w:r w:rsidRPr="005303F7">
              <w:rPr>
                <w:rFonts w:ascii="Times New Roman" w:hAnsi="Times New Roman"/>
                <w:b/>
                <w:sz w:val="20"/>
                <w:lang w:val="sr-Cyrl-CS"/>
              </w:rPr>
              <w:t>К</w:t>
            </w:r>
            <w:r w:rsidR="00D553BE" w:rsidRPr="005303F7">
              <w:rPr>
                <w:rFonts w:ascii="Times New Roman" w:hAnsi="Times New Roman"/>
                <w:b/>
                <w:sz w:val="20"/>
                <w:lang w:val="sr-Cyrl-CS"/>
              </w:rPr>
              <w:t>љ</w:t>
            </w:r>
            <w:r w:rsidRPr="005303F7">
              <w:rPr>
                <w:rFonts w:ascii="Times New Roman" w:hAnsi="Times New Roman"/>
                <w:b/>
                <w:sz w:val="20"/>
                <w:lang w:val="sr-Cyrl-CS"/>
              </w:rPr>
              <w:t>учни</w:t>
            </w:r>
            <w:r w:rsidR="00CF0A7C" w:rsidRPr="005303F7">
              <w:rPr>
                <w:rFonts w:ascii="Times New Roman" w:hAnsi="Times New Roman"/>
                <w:b/>
                <w:sz w:val="20"/>
                <w:lang w:val="sr-Cyrl-CS"/>
              </w:rPr>
              <w:t xml:space="preserve"> </w:t>
            </w:r>
            <w:r w:rsidRPr="005303F7">
              <w:rPr>
                <w:rFonts w:ascii="Times New Roman" w:hAnsi="Times New Roman"/>
                <w:b/>
                <w:sz w:val="20"/>
                <w:lang w:val="sr-Cyrl-CS"/>
              </w:rPr>
              <w:t>субјекат</w:t>
            </w:r>
            <w:r w:rsidR="00CF0A7C" w:rsidRPr="005303F7">
              <w:rPr>
                <w:rFonts w:ascii="Times New Roman" w:hAnsi="Times New Roman"/>
                <w:b/>
                <w:sz w:val="20"/>
                <w:lang w:val="sr-Cyrl-CS"/>
              </w:rPr>
              <w:t xml:space="preserve"> </w:t>
            </w:r>
            <w:r w:rsidRPr="005303F7">
              <w:rPr>
                <w:rFonts w:ascii="Times New Roman" w:hAnsi="Times New Roman"/>
                <w:b/>
                <w:sz w:val="20"/>
                <w:lang w:val="sr-Cyrl-CS"/>
              </w:rPr>
              <w:t>за</w:t>
            </w:r>
            <w:r w:rsidR="00CF0A7C" w:rsidRPr="005303F7">
              <w:rPr>
                <w:rFonts w:ascii="Times New Roman" w:hAnsi="Times New Roman"/>
                <w:b/>
                <w:sz w:val="20"/>
                <w:lang w:val="sr-Cyrl-CS"/>
              </w:rPr>
              <w:t xml:space="preserve"> </w:t>
            </w:r>
            <w:r w:rsidRPr="005303F7">
              <w:rPr>
                <w:rFonts w:ascii="Times New Roman" w:hAnsi="Times New Roman"/>
                <w:b/>
                <w:sz w:val="20"/>
                <w:lang w:val="sr-Cyrl-CS"/>
              </w:rPr>
              <w:t>спровођење</w:t>
            </w:r>
            <w:r w:rsidR="00CF0A7C" w:rsidRPr="005303F7">
              <w:rPr>
                <w:rFonts w:ascii="Times New Roman" w:hAnsi="Times New Roman"/>
                <w:b/>
                <w:sz w:val="20"/>
                <w:lang w:val="sr-Cyrl-CS"/>
              </w:rPr>
              <w:t xml:space="preserve"> </w:t>
            </w:r>
            <w:r w:rsidRPr="005303F7">
              <w:rPr>
                <w:rFonts w:ascii="Times New Roman" w:hAnsi="Times New Roman"/>
                <w:b/>
                <w:sz w:val="20"/>
                <w:lang w:val="sr-Cyrl-CS"/>
              </w:rPr>
              <w:t>мере</w:t>
            </w:r>
          </w:p>
        </w:tc>
        <w:tc>
          <w:tcPr>
            <w:tcW w:w="665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E65127" w14:textId="0F50DC04" w:rsidR="00CF0A7C" w:rsidRPr="005303F7" w:rsidRDefault="008D69AF">
            <w:pPr>
              <w:overflowPunct/>
              <w:spacing w:after="0"/>
              <w:jc w:val="center"/>
              <w:rPr>
                <w:rFonts w:ascii="Times New Roman" w:hAnsi="Times New Roman"/>
                <w:b/>
                <w:sz w:val="20"/>
                <w:lang w:val="sr-Cyrl-CS"/>
              </w:rPr>
            </w:pPr>
            <w:r w:rsidRPr="005303F7">
              <w:rPr>
                <w:rFonts w:ascii="Times New Roman" w:hAnsi="Times New Roman"/>
                <w:b/>
                <w:sz w:val="20"/>
                <w:lang w:val="sr-Cyrl-CS"/>
              </w:rPr>
              <w:t>Партнери</w:t>
            </w:r>
          </w:p>
        </w:tc>
        <w:tc>
          <w:tcPr>
            <w:tcW w:w="127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989961" w14:textId="4C9B9B1D" w:rsidR="00CF0A7C" w:rsidRPr="005303F7" w:rsidRDefault="00D7102F">
            <w:pPr>
              <w:overflowPunct/>
              <w:spacing w:after="0"/>
              <w:jc w:val="center"/>
              <w:rPr>
                <w:rFonts w:ascii="Times New Roman" w:hAnsi="Times New Roman"/>
                <w:b/>
                <w:sz w:val="20"/>
                <w:lang w:val="sr-Cyrl-CS"/>
              </w:rPr>
            </w:pPr>
            <w:r w:rsidRPr="005303F7">
              <w:rPr>
                <w:rFonts w:ascii="Times New Roman" w:hAnsi="Times New Roman"/>
                <w:b/>
                <w:sz w:val="20"/>
                <w:lang w:val="sr-Cyrl-CS"/>
              </w:rPr>
              <w:t xml:space="preserve">ЕТS/ </w:t>
            </w:r>
            <w:r w:rsidR="004A35C7" w:rsidRPr="005303F7">
              <w:rPr>
                <w:rFonts w:ascii="Times New Roman" w:hAnsi="Times New Roman"/>
                <w:b/>
                <w:sz w:val="20"/>
                <w:lang w:val="sr-Cyrl-CS"/>
              </w:rPr>
              <w:t>не-ЕТS</w:t>
            </w:r>
          </w:p>
        </w:tc>
        <w:tc>
          <w:tcPr>
            <w:tcW w:w="130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4104AA" w14:textId="0DD73BB0" w:rsidR="00CF0A7C" w:rsidRPr="005303F7" w:rsidRDefault="008D69AF">
            <w:pPr>
              <w:overflowPunct/>
              <w:spacing w:after="0"/>
              <w:jc w:val="center"/>
              <w:rPr>
                <w:rFonts w:ascii="Times New Roman" w:hAnsi="Times New Roman"/>
                <w:b/>
                <w:sz w:val="20"/>
                <w:lang w:val="sr-Cyrl-CS"/>
              </w:rPr>
            </w:pPr>
            <w:r w:rsidRPr="005303F7">
              <w:rPr>
                <w:rFonts w:ascii="Times New Roman" w:hAnsi="Times New Roman"/>
                <w:b/>
                <w:sz w:val="20"/>
                <w:lang w:val="sr-Cyrl-CS"/>
              </w:rPr>
              <w:t>Главни</w:t>
            </w:r>
            <w:r w:rsidR="00CF0A7C" w:rsidRPr="005303F7">
              <w:rPr>
                <w:rFonts w:ascii="Times New Roman" w:hAnsi="Times New Roman"/>
                <w:b/>
                <w:sz w:val="20"/>
                <w:lang w:val="sr-Cyrl-CS"/>
              </w:rPr>
              <w:t xml:space="preserve"> </w:t>
            </w:r>
            <w:r w:rsidRPr="005303F7">
              <w:rPr>
                <w:rFonts w:ascii="Times New Roman" w:hAnsi="Times New Roman"/>
                <w:b/>
                <w:sz w:val="20"/>
                <w:lang w:val="sr-Cyrl-CS"/>
              </w:rPr>
              <w:t>гасови</w:t>
            </w:r>
          </w:p>
        </w:tc>
        <w:tc>
          <w:tcPr>
            <w:tcW w:w="2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227628" w14:textId="278B2047" w:rsidR="00CF0A7C" w:rsidRPr="005303F7" w:rsidRDefault="00700C33" w:rsidP="00700C33">
            <w:pPr>
              <w:overflowPunct/>
              <w:spacing w:before="0" w:after="0"/>
              <w:jc w:val="center"/>
              <w:rPr>
                <w:rFonts w:ascii="Times New Roman" w:hAnsi="Times New Roman"/>
                <w:b/>
                <w:sz w:val="20"/>
                <w:lang w:val="sr-Cyrl-CS"/>
              </w:rPr>
            </w:pPr>
            <w:r w:rsidRPr="005303F7">
              <w:rPr>
                <w:rFonts w:ascii="Times New Roman" w:hAnsi="Times New Roman"/>
                <w:b/>
                <w:bCs/>
                <w:sz w:val="20"/>
                <w:lang w:val="sr-Cyrl-CS"/>
              </w:rPr>
              <w:t>Процењене у</w:t>
            </w:r>
            <w:r w:rsidR="00A754DD" w:rsidRPr="005303F7">
              <w:rPr>
                <w:rFonts w:ascii="Times New Roman" w:hAnsi="Times New Roman"/>
                <w:b/>
                <w:bCs/>
                <w:sz w:val="20"/>
                <w:lang w:val="sr-Cyrl-CS"/>
              </w:rPr>
              <w:t xml:space="preserve">клоњене количине </w:t>
            </w:r>
            <w:r w:rsidR="00D7102F" w:rsidRPr="005303F7">
              <w:rPr>
                <w:rFonts w:ascii="Times New Roman" w:hAnsi="Times New Roman"/>
                <w:b/>
                <w:bCs/>
                <w:sz w:val="20"/>
                <w:lang w:val="sr-Cyrl-CS"/>
              </w:rPr>
              <w:t>до 2030. [kt CО</w:t>
            </w:r>
            <w:r w:rsidR="00D7102F" w:rsidRPr="005303F7">
              <w:rPr>
                <w:rFonts w:ascii="Times New Roman" w:hAnsi="Times New Roman"/>
                <w:b/>
                <w:bCs/>
                <w:sz w:val="20"/>
                <w:vertAlign w:val="subscript"/>
                <w:lang w:val="sr-Cyrl-CS"/>
              </w:rPr>
              <w:t>2</w:t>
            </w:r>
            <w:r w:rsidR="00D7102F" w:rsidRPr="005303F7">
              <w:rPr>
                <w:rFonts w:ascii="Times New Roman" w:hAnsi="Times New Roman"/>
                <w:b/>
                <w:bCs/>
                <w:sz w:val="20"/>
                <w:lang w:val="sr-Cyrl-CS"/>
              </w:rPr>
              <w:t xml:space="preserve"> еq.]</w:t>
            </w:r>
          </w:p>
        </w:tc>
      </w:tr>
      <w:tr w:rsidR="00BD116A" w:rsidRPr="005303F7" w14:paraId="04443042" w14:textId="77777777" w:rsidTr="00D519CC">
        <w:trPr>
          <w:trHeight w:val="604"/>
        </w:trPr>
        <w:tc>
          <w:tcPr>
            <w:tcW w:w="696" w:type="dxa"/>
            <w:gridSpan w:val="2"/>
            <w:vMerge/>
            <w:tcBorders>
              <w:top w:val="single" w:sz="4" w:space="0" w:color="auto"/>
              <w:left w:val="single" w:sz="4" w:space="0" w:color="auto"/>
              <w:bottom w:val="single" w:sz="4" w:space="0" w:color="FFFFFF" w:themeColor="background1"/>
              <w:right w:val="single" w:sz="4" w:space="0" w:color="auto"/>
            </w:tcBorders>
            <w:vAlign w:val="center"/>
            <w:hideMark/>
          </w:tcPr>
          <w:p w14:paraId="4FCEF31D" w14:textId="77777777" w:rsidR="00BD116A" w:rsidRPr="005303F7" w:rsidRDefault="00BD116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5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516DC2" w14:textId="104A4F73" w:rsidR="00BD116A" w:rsidRPr="005303F7" w:rsidRDefault="008D69AF">
            <w:pPr>
              <w:overflowPunct/>
              <w:spacing w:after="0"/>
              <w:jc w:val="center"/>
              <w:rPr>
                <w:rFonts w:ascii="Times New Roman" w:hAnsi="Times New Roman"/>
                <w:sz w:val="20"/>
                <w:lang w:val="sr-Cyrl-CS"/>
              </w:rPr>
            </w:pPr>
            <w:r w:rsidRPr="005303F7">
              <w:rPr>
                <w:rFonts w:ascii="Times New Roman" w:hAnsi="Times New Roman"/>
                <w:color w:val="000000"/>
                <w:sz w:val="20"/>
                <w:lang w:val="sr-Cyrl-CS"/>
              </w:rPr>
              <w:t>Министарство</w:t>
            </w:r>
            <w:r w:rsidR="0047582F"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по</w:t>
            </w:r>
            <w:r w:rsidR="00D553BE" w:rsidRPr="005303F7">
              <w:rPr>
                <w:rFonts w:ascii="Times New Roman" w:hAnsi="Times New Roman"/>
                <w:sz w:val="20"/>
                <w:lang w:val="sr-Cyrl-CS"/>
              </w:rPr>
              <w:t>љ</w:t>
            </w:r>
            <w:r w:rsidRPr="005303F7">
              <w:rPr>
                <w:rFonts w:ascii="Times New Roman" w:hAnsi="Times New Roman"/>
                <w:color w:val="000000"/>
                <w:sz w:val="20"/>
                <w:lang w:val="sr-Cyrl-CS"/>
              </w:rPr>
              <w:t>опривреде</w:t>
            </w:r>
            <w:r w:rsidR="0047582F"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шумарства</w:t>
            </w:r>
            <w:r w:rsidR="0047582F"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и</w:t>
            </w:r>
            <w:r w:rsidR="0047582F" w:rsidRPr="005303F7">
              <w:rPr>
                <w:rFonts w:ascii="Times New Roman" w:hAnsi="Times New Roman"/>
                <w:color w:val="000000"/>
                <w:sz w:val="20"/>
                <w:lang w:val="sr-Cyrl-CS"/>
              </w:rPr>
              <w:t xml:space="preserve"> </w:t>
            </w:r>
            <w:r w:rsidRPr="005303F7">
              <w:rPr>
                <w:rFonts w:ascii="Times New Roman" w:hAnsi="Times New Roman"/>
                <w:color w:val="000000"/>
                <w:sz w:val="20"/>
                <w:lang w:val="sr-Cyrl-CS"/>
              </w:rPr>
              <w:t>водопривреде</w:t>
            </w:r>
          </w:p>
        </w:tc>
        <w:tc>
          <w:tcPr>
            <w:tcW w:w="6654"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EC9D98" w14:textId="7DED6B5A" w:rsidR="00BD116A" w:rsidRPr="005303F7" w:rsidRDefault="008D69AF" w:rsidP="0047582F">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Истраживачке</w:t>
            </w:r>
            <w:r w:rsidR="0047582F"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институције</w:t>
            </w:r>
            <w:r w:rsidR="0047582F"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Организације</w:t>
            </w:r>
            <w:r w:rsidR="0047582F"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одговорне</w:t>
            </w:r>
            <w:r w:rsidR="0047582F"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47582F"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управ</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ање</w:t>
            </w:r>
            <w:r w:rsidR="0047582F"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шумама</w:t>
            </w:r>
            <w:r w:rsidR="0047582F"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приватни</w:t>
            </w:r>
            <w:r w:rsidR="0047582F"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власници</w:t>
            </w:r>
            <w:r w:rsidR="0047582F"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w:t>
            </w:r>
          </w:p>
        </w:tc>
        <w:tc>
          <w:tcPr>
            <w:tcW w:w="127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669C31" w14:textId="2BDD807A" w:rsidR="00BD116A" w:rsidRPr="005303F7" w:rsidRDefault="004A35C7">
            <w:pPr>
              <w:overflowPunct/>
              <w:spacing w:after="0"/>
              <w:jc w:val="center"/>
              <w:rPr>
                <w:rFonts w:ascii="Times New Roman" w:hAnsi="Times New Roman"/>
                <w:bCs/>
                <w:sz w:val="20"/>
                <w:lang w:val="sr-Cyrl-CS"/>
              </w:rPr>
            </w:pPr>
            <w:r w:rsidRPr="005303F7">
              <w:rPr>
                <w:rFonts w:ascii="Times New Roman" w:hAnsi="Times New Roman"/>
                <w:bCs/>
                <w:sz w:val="20"/>
                <w:lang w:val="sr-Cyrl-CS"/>
              </w:rPr>
              <w:t>не-ЕТS</w:t>
            </w:r>
          </w:p>
        </w:tc>
        <w:tc>
          <w:tcPr>
            <w:tcW w:w="130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830B0C" w14:textId="49DE8D39" w:rsidR="00BD116A" w:rsidRPr="005303F7" w:rsidRDefault="00000561">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C</w:t>
            </w:r>
            <w:r w:rsidR="008D69AF" w:rsidRPr="005303F7">
              <w:rPr>
                <w:rFonts w:ascii="Times New Roman" w:hAnsi="Times New Roman"/>
                <w:bCs/>
                <w:color w:val="000000"/>
                <w:sz w:val="20"/>
                <w:lang w:val="sr-Cyrl-CS"/>
              </w:rPr>
              <w:t>О</w:t>
            </w:r>
            <w:r w:rsidR="00BD116A" w:rsidRPr="005303F7">
              <w:rPr>
                <w:rFonts w:ascii="Times New Roman" w:hAnsi="Times New Roman"/>
                <w:bCs/>
                <w:color w:val="000000"/>
                <w:sz w:val="20"/>
                <w:vertAlign w:val="subscript"/>
                <w:lang w:val="sr-Cyrl-CS"/>
              </w:rPr>
              <w:t>2</w:t>
            </w: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4B9FF5" w14:textId="77777777" w:rsidR="00BD116A" w:rsidRPr="005303F7" w:rsidRDefault="00BD116A">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4,19</w:t>
            </w:r>
          </w:p>
        </w:tc>
      </w:tr>
      <w:tr w:rsidR="00BD116A" w:rsidRPr="005303F7" w14:paraId="6972CE81" w14:textId="77777777" w:rsidTr="00D519CC">
        <w:trPr>
          <w:trHeight w:val="442"/>
        </w:trPr>
        <w:tc>
          <w:tcPr>
            <w:tcW w:w="696" w:type="dxa"/>
            <w:gridSpan w:val="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46FBF492" w14:textId="1E24E616" w:rsidR="00BD116A" w:rsidRPr="005303F7" w:rsidRDefault="008D69AF">
            <w:pPr>
              <w:overflowPunct/>
              <w:spacing w:after="0"/>
              <w:rPr>
                <w:rFonts w:ascii="Times New Roman" w:hAnsi="Times New Roman"/>
                <w:szCs w:val="22"/>
                <w:lang w:val="sr-Cyrl-CS"/>
              </w:rPr>
            </w:pPr>
            <w:r w:rsidRPr="005303F7">
              <w:rPr>
                <w:rFonts w:ascii="Times New Roman" w:hAnsi="Times New Roman"/>
                <w:szCs w:val="22"/>
                <w:lang w:val="sr-Cyrl-CS"/>
              </w:rPr>
              <w:t>Бр</w:t>
            </w:r>
            <w:r w:rsidR="00BD116A" w:rsidRPr="005303F7">
              <w:rPr>
                <w:rFonts w:ascii="Times New Roman" w:hAnsi="Times New Roman"/>
                <w:szCs w:val="22"/>
                <w:lang w:val="sr-Cyrl-CS"/>
              </w:rPr>
              <w:t>.</w:t>
            </w:r>
          </w:p>
        </w:tc>
        <w:tc>
          <w:tcPr>
            <w:tcW w:w="15365" w:type="dxa"/>
            <w:gridSpan w:val="24"/>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4AE25F67" w14:textId="0C5B5390" w:rsidR="00BD116A" w:rsidRPr="005303F7" w:rsidRDefault="008D69AF" w:rsidP="00652668">
            <w:pPr>
              <w:overflowPunct/>
              <w:jc w:val="left"/>
              <w:rPr>
                <w:rFonts w:ascii="Times New Roman" w:hAnsi="Times New Roman"/>
                <w:b/>
                <w:szCs w:val="22"/>
                <w:u w:val="single"/>
                <w:lang w:val="sr-Cyrl-CS"/>
              </w:rPr>
            </w:pPr>
            <w:r w:rsidRPr="005303F7">
              <w:rPr>
                <w:rFonts w:ascii="Times New Roman" w:hAnsi="Times New Roman"/>
                <w:b/>
                <w:bCs/>
                <w:color w:val="FFFFFF" w:themeColor="background1"/>
                <w:sz w:val="20"/>
                <w:lang w:val="sr-Cyrl-CS"/>
              </w:rPr>
              <w:t>Назив</w:t>
            </w:r>
            <w:r w:rsidR="006512A1" w:rsidRPr="005303F7">
              <w:rPr>
                <w:rFonts w:ascii="Times New Roman" w:hAnsi="Times New Roman"/>
                <w:b/>
                <w:bCs/>
                <w:color w:val="FFFFFF" w:themeColor="background1"/>
                <w:sz w:val="20"/>
                <w:lang w:val="sr-Cyrl-CS"/>
              </w:rPr>
              <w:t xml:space="preserve"> </w:t>
            </w:r>
            <w:r w:rsidRPr="005303F7">
              <w:rPr>
                <w:rFonts w:ascii="Times New Roman" w:hAnsi="Times New Roman"/>
                <w:b/>
                <w:bCs/>
                <w:color w:val="FFFFFF" w:themeColor="background1"/>
                <w:sz w:val="20"/>
                <w:lang w:val="sr-Cyrl-CS"/>
              </w:rPr>
              <w:t>мере</w:t>
            </w:r>
            <w:r w:rsidR="00BD116A" w:rsidRPr="005303F7">
              <w:rPr>
                <w:rFonts w:ascii="Times New Roman" w:hAnsi="Times New Roman"/>
                <w:b/>
                <w:bCs/>
                <w:color w:val="FFFFFF" w:themeColor="background1"/>
                <w:sz w:val="20"/>
                <w:lang w:val="sr-Cyrl-CS"/>
              </w:rPr>
              <w:t>:</w:t>
            </w:r>
            <w:r w:rsidR="00BD116A" w:rsidRPr="005303F7">
              <w:rPr>
                <w:rFonts w:ascii="Times New Roman" w:hAnsi="Times New Roman"/>
                <w:b/>
                <w:color w:val="FFFFFF" w:themeColor="background1"/>
                <w:sz w:val="20"/>
                <w:lang w:val="sr-Cyrl-CS"/>
              </w:rPr>
              <w:t xml:space="preserve"> </w:t>
            </w:r>
            <w:r w:rsidRPr="005303F7">
              <w:rPr>
                <w:rFonts w:ascii="Times New Roman" w:hAnsi="Times New Roman"/>
                <w:b/>
                <w:color w:val="FFFFFF" w:themeColor="background1"/>
                <w:sz w:val="20"/>
                <w:u w:val="single"/>
                <w:lang w:val="sr-Cyrl-CS"/>
              </w:rPr>
              <w:t>Конверзија</w:t>
            </w:r>
            <w:r w:rsidR="006512A1"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изданачких</w:t>
            </w:r>
            <w:r w:rsidR="006512A1"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у</w:t>
            </w:r>
            <w:r w:rsidR="006512A1"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високе</w:t>
            </w:r>
            <w:r w:rsidR="006512A1"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шуме</w:t>
            </w:r>
          </w:p>
        </w:tc>
      </w:tr>
      <w:bookmarkEnd w:id="407"/>
      <w:tr w:rsidR="00BD116A" w:rsidRPr="005303F7" w14:paraId="76063A4C" w14:textId="77777777" w:rsidTr="00D519CC">
        <w:trPr>
          <w:trHeight w:val="3523"/>
        </w:trPr>
        <w:tc>
          <w:tcPr>
            <w:tcW w:w="6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690DC4" w14:textId="77777777" w:rsidR="00BD116A" w:rsidRPr="005303F7" w:rsidRDefault="00BD116A">
            <w:pPr>
              <w:overflowPunct/>
              <w:spacing w:after="0"/>
              <w:jc w:val="center"/>
              <w:rPr>
                <w:rFonts w:ascii="Times New Roman" w:hAnsi="Times New Roman"/>
                <w:b/>
                <w:color w:val="000000"/>
                <w:sz w:val="20"/>
                <w:lang w:val="sr-Cyrl-CS"/>
              </w:rPr>
            </w:pPr>
            <w:r w:rsidRPr="005303F7">
              <w:rPr>
                <w:rFonts w:ascii="Times New Roman" w:hAnsi="Times New Roman"/>
                <w:b/>
                <w:color w:val="000000"/>
                <w:sz w:val="20"/>
                <w:lang w:val="sr-Cyrl-CS"/>
              </w:rPr>
              <w:t>21</w:t>
            </w:r>
          </w:p>
        </w:tc>
        <w:tc>
          <w:tcPr>
            <w:tcW w:w="15365" w:type="dxa"/>
            <w:gridSpan w:val="24"/>
            <w:tcBorders>
              <w:top w:val="single" w:sz="4" w:space="0" w:color="auto"/>
              <w:left w:val="single" w:sz="4" w:space="0" w:color="auto"/>
              <w:bottom w:val="single" w:sz="4" w:space="0" w:color="auto"/>
              <w:right w:val="single" w:sz="4" w:space="0" w:color="auto"/>
            </w:tcBorders>
            <w:vAlign w:val="center"/>
          </w:tcPr>
          <w:p w14:paraId="4E777BED" w14:textId="6BB291FC" w:rsidR="00A953E4" w:rsidRPr="005303F7" w:rsidRDefault="008D69AF" w:rsidP="00A953E4">
            <w:pPr>
              <w:overflowPunct/>
              <w:jc w:val="left"/>
              <w:rPr>
                <w:rFonts w:ascii="Times New Roman" w:hAnsi="Times New Roman"/>
                <w:b/>
                <w:color w:val="000000"/>
                <w:sz w:val="20"/>
                <w:lang w:val="sr-Cyrl-CS"/>
              </w:rPr>
            </w:pPr>
            <w:r w:rsidRPr="005303F7">
              <w:rPr>
                <w:rFonts w:ascii="Times New Roman" w:hAnsi="Times New Roman"/>
                <w:b/>
                <w:color w:val="000000"/>
                <w:sz w:val="20"/>
                <w:u w:val="single"/>
                <w:lang w:val="sr-Cyrl-CS"/>
              </w:rPr>
              <w:t>Врста</w:t>
            </w:r>
            <w:r w:rsidR="00A953E4"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A953E4" w:rsidRPr="005303F7">
              <w:rPr>
                <w:rFonts w:ascii="Times New Roman" w:hAnsi="Times New Roman"/>
                <w:b/>
                <w:color w:val="000000"/>
                <w:sz w:val="20"/>
                <w:u w:val="single"/>
                <w:lang w:val="sr-Cyrl-CS"/>
              </w:rPr>
              <w:t>:</w:t>
            </w:r>
            <w:r w:rsidR="00A953E4" w:rsidRPr="005303F7">
              <w:rPr>
                <w:rFonts w:ascii="Times New Roman" w:hAnsi="Times New Roman"/>
                <w:b/>
                <w:color w:val="000000"/>
                <w:sz w:val="20"/>
                <w:lang w:val="sr-Cyrl-CS"/>
              </w:rPr>
              <w:t xml:space="preserve"> </w:t>
            </w:r>
            <w:r w:rsidRPr="005303F7">
              <w:rPr>
                <w:rFonts w:ascii="Times New Roman" w:hAnsi="Times New Roman"/>
                <w:bCs/>
                <w:color w:val="000000"/>
                <w:sz w:val="20"/>
                <w:lang w:val="sr-Cyrl-CS"/>
              </w:rPr>
              <w:t>Регулаторна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подстицајна</w:t>
            </w:r>
            <w:r w:rsidR="00A953E4" w:rsidRPr="005303F7">
              <w:rPr>
                <w:rFonts w:ascii="Times New Roman" w:hAnsi="Times New Roman"/>
                <w:bCs/>
                <w:color w:val="000000"/>
                <w:sz w:val="20"/>
                <w:lang w:val="sr-Cyrl-CS"/>
              </w:rPr>
              <w:t>,</w:t>
            </w:r>
            <w:r w:rsidR="00A953E4" w:rsidRPr="005303F7">
              <w:rPr>
                <w:rFonts w:ascii="Times New Roman" w:hAnsi="Times New Roman"/>
                <w:lang w:val="sr-Cyrl-CS"/>
              </w:rPr>
              <w:t xml:space="preserve"> </w:t>
            </w:r>
            <w:r w:rsidRPr="005303F7">
              <w:rPr>
                <w:rFonts w:ascii="Times New Roman" w:hAnsi="Times New Roman"/>
                <w:bCs/>
                <w:color w:val="000000"/>
                <w:sz w:val="20"/>
                <w:lang w:val="sr-Cyrl-CS"/>
              </w:rPr>
              <w:t>информативно</w:t>
            </w:r>
            <w:r w:rsidR="00A953E4" w:rsidRPr="005303F7">
              <w:rPr>
                <w:rFonts w:ascii="Times New Roman" w:hAnsi="Times New Roman"/>
                <w:bCs/>
                <w:color w:val="000000"/>
                <w:sz w:val="20"/>
                <w:lang w:val="sr-Cyrl-CS"/>
              </w:rPr>
              <w:t>-</w:t>
            </w:r>
            <w:r w:rsidRPr="005303F7">
              <w:rPr>
                <w:rFonts w:ascii="Times New Roman" w:hAnsi="Times New Roman"/>
                <w:bCs/>
                <w:color w:val="000000"/>
                <w:sz w:val="20"/>
                <w:lang w:val="sr-Cyrl-CS"/>
              </w:rPr>
              <w:t>едукативна</w:t>
            </w:r>
            <w:r w:rsidR="00415473" w:rsidRPr="005303F7">
              <w:rPr>
                <w:rFonts w:ascii="Times New Roman" w:hAnsi="Times New Roman"/>
                <w:bCs/>
                <w:color w:val="000000"/>
                <w:sz w:val="20"/>
                <w:lang w:val="sr-Cyrl-CS"/>
              </w:rPr>
              <w:t xml:space="preserve"> </w:t>
            </w:r>
          </w:p>
          <w:p w14:paraId="58DA13D4" w14:textId="0A5A1A37" w:rsidR="00A953E4" w:rsidRPr="005303F7" w:rsidRDefault="008D69AF" w:rsidP="00A953E4">
            <w:pPr>
              <w:overflowPunct/>
              <w:spacing w:after="0"/>
              <w:rPr>
                <w:rFonts w:ascii="Times New Roman" w:hAnsi="Times New Roman"/>
                <w:bCs/>
                <w:color w:val="000000"/>
                <w:sz w:val="20"/>
                <w:lang w:val="sr-Cyrl-CS"/>
              </w:rPr>
            </w:pPr>
            <w:r w:rsidRPr="005303F7">
              <w:rPr>
                <w:rFonts w:ascii="Times New Roman" w:hAnsi="Times New Roman"/>
                <w:b/>
                <w:color w:val="000000"/>
                <w:sz w:val="20"/>
                <w:u w:val="single"/>
                <w:lang w:val="sr-Cyrl-CS"/>
              </w:rPr>
              <w:t>Опис</w:t>
            </w:r>
            <w:r w:rsidR="00A953E4"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Овом</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мером</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је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прописана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годишња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конверзија</w:t>
            </w:r>
            <w:r w:rsidR="00A953E4" w:rsidRPr="005303F7">
              <w:rPr>
                <w:rFonts w:ascii="Times New Roman" w:hAnsi="Times New Roman"/>
                <w:bCs/>
                <w:color w:val="000000"/>
                <w:sz w:val="20"/>
                <w:lang w:val="sr-Cyrl-CS"/>
              </w:rPr>
              <w:t xml:space="preserve"> 7</w:t>
            </w:r>
            <w:r w:rsidR="0014744B" w:rsidRPr="005303F7">
              <w:rPr>
                <w:rFonts w:ascii="Times New Roman" w:hAnsi="Times New Roman"/>
                <w:bCs/>
                <w:color w:val="000000"/>
                <w:sz w:val="20"/>
                <w:lang w:val="sr-Cyrl-CS"/>
              </w:rPr>
              <w:t xml:space="preserve"> </w:t>
            </w:r>
            <w:r w:rsidR="00A953E4" w:rsidRPr="005303F7">
              <w:rPr>
                <w:rFonts w:ascii="Times New Roman" w:hAnsi="Times New Roman"/>
                <w:bCs/>
                <w:color w:val="000000"/>
                <w:sz w:val="20"/>
                <w:lang w:val="sr-Cyrl-CS"/>
              </w:rPr>
              <w:t xml:space="preserve">000 </w:t>
            </w:r>
            <w:r w:rsidR="00000561" w:rsidRPr="005303F7">
              <w:rPr>
                <w:rFonts w:ascii="Times New Roman" w:hAnsi="Times New Roman"/>
                <w:bCs/>
                <w:color w:val="000000"/>
                <w:sz w:val="20"/>
                <w:lang w:val="sr-Cyrl-CS"/>
              </w:rPr>
              <w:t>h</w:t>
            </w:r>
            <w:r w:rsidRPr="005303F7">
              <w:rPr>
                <w:rFonts w:ascii="Times New Roman" w:hAnsi="Times New Roman"/>
                <w:bCs/>
                <w:color w:val="000000"/>
                <w:sz w:val="20"/>
                <w:lang w:val="sr-Cyrl-CS"/>
              </w:rPr>
              <w:t>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изданачких</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високе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нарочито</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храстова</w:t>
            </w:r>
            <w:r w:rsidR="004154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букве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Влада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тренутно</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финансира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унапре</w:t>
            </w:r>
            <w:r w:rsidR="001465C7" w:rsidRPr="005303F7">
              <w:rPr>
                <w:rFonts w:ascii="Times New Roman" w:hAnsi="Times New Roman"/>
                <w:bCs/>
                <w:color w:val="000000"/>
                <w:sz w:val="20"/>
                <w:lang w:val="sr-Cyrl-CS"/>
              </w:rPr>
              <w:t>ђ</w:t>
            </w:r>
            <w:r w:rsidRPr="005303F7">
              <w:rPr>
                <w:rFonts w:ascii="Times New Roman" w:hAnsi="Times New Roman"/>
                <w:bCs/>
                <w:color w:val="000000"/>
                <w:sz w:val="20"/>
                <w:lang w:val="sr-Cyrl-CS"/>
              </w:rPr>
              <w:t>ење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шумских</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екосистема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што</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ук</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учује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директну</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конверзију</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изданачких</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Директна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конверзија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изданачких</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је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процес</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коришћења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природног</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семена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најбо</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их</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стабала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изданачког</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порекла</w:t>
            </w:r>
            <w:r w:rsidR="0041547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потом</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вештачке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садње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на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местима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где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није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било</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дово</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но</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природне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обнове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Ова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мера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је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доступна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како</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државне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тако</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приватном</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власништву</w:t>
            </w:r>
            <w:r w:rsidR="00A953E4" w:rsidRPr="005303F7">
              <w:rPr>
                <w:rFonts w:ascii="Times New Roman" w:hAnsi="Times New Roman"/>
                <w:bCs/>
                <w:color w:val="000000"/>
                <w:sz w:val="20"/>
                <w:lang w:val="sr-Cyrl-CS"/>
              </w:rPr>
              <w:t xml:space="preserve">. </w:t>
            </w:r>
          </w:p>
          <w:p w14:paraId="413798F6" w14:textId="2C55A3EC" w:rsidR="00A953E4" w:rsidRPr="005303F7" w:rsidRDefault="00CC6964" w:rsidP="00A953E4">
            <w:pPr>
              <w:overflowPunct/>
              <w:spacing w:after="0"/>
              <w:rPr>
                <w:rFonts w:ascii="Times New Roman" w:hAnsi="Times New Roman"/>
                <w:bCs/>
                <w:color w:val="000000"/>
                <w:sz w:val="20"/>
                <w:lang w:val="sr-Cyrl-CS"/>
              </w:rPr>
            </w:pPr>
            <w:r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Побо</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шање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изданачких</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деградираних</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добрим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стаништима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редефинисањем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параметара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продуктивности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продужењем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периода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трајања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производног</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процеса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тим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шумама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праћено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адекватним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интервенцијама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створиће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производе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већег</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пречника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који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ће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резултирати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производима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који</w:t>
            </w:r>
            <w:r w:rsidR="00A953E4" w:rsidRPr="005303F7">
              <w:rPr>
                <w:rFonts w:ascii="Times New Roman" w:hAnsi="Times New Roman"/>
                <w:bCs/>
                <w:color w:val="000000"/>
                <w:sz w:val="20"/>
                <w:lang w:val="sr-Cyrl-CS"/>
              </w:rPr>
              <w:t xml:space="preserve"> </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дугорочно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складиштити</w:t>
            </w:r>
            <w:r w:rsidR="00A953E4" w:rsidRPr="005303F7">
              <w:rPr>
                <w:rFonts w:ascii="Times New Roman" w:hAnsi="Times New Roman"/>
                <w:bCs/>
                <w:color w:val="000000"/>
                <w:sz w:val="20"/>
                <w:lang w:val="sr-Cyrl-CS"/>
              </w:rPr>
              <w:t xml:space="preserve"> </w:t>
            </w:r>
            <w:r w:rsidR="00000561" w:rsidRPr="005303F7">
              <w:rPr>
                <w:rFonts w:ascii="Times New Roman" w:hAnsi="Times New Roman"/>
                <w:bCs/>
                <w:color w:val="000000"/>
                <w:sz w:val="20"/>
                <w:lang w:val="sr-Cyrl-CS"/>
              </w:rPr>
              <w:t>C</w:t>
            </w:r>
            <w:r w:rsidR="008D69AF" w:rsidRPr="005303F7">
              <w:rPr>
                <w:rFonts w:ascii="Times New Roman" w:hAnsi="Times New Roman"/>
                <w:bCs/>
                <w:color w:val="000000"/>
                <w:sz w:val="20"/>
                <w:lang w:val="sr-Cyrl-CS"/>
              </w:rPr>
              <w:t>О</w:t>
            </w:r>
            <w:r w:rsidR="00A953E4" w:rsidRPr="005303F7">
              <w:rPr>
                <w:rFonts w:ascii="Times New Roman" w:hAnsi="Times New Roman"/>
                <w:bCs/>
                <w:color w:val="000000"/>
                <w:sz w:val="20"/>
                <w:vertAlign w:val="subscript"/>
                <w:lang w:val="sr-Cyrl-CS"/>
              </w:rPr>
              <w:t>2</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намештај</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врата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други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дрвени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производи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дугорочним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капацитетом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складиштења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Вишак</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огревног</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дрвета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као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резултат</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ових</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активности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може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користити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као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извор</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сировине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производњу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енергије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котлове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локалним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заједницама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или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когенерацијиским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постројењима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поново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као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замена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фосилна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горива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Количина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дрвета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која</w:t>
            </w:r>
            <w:r w:rsidR="00A953E4" w:rsidRPr="005303F7">
              <w:rPr>
                <w:rFonts w:ascii="Times New Roman" w:hAnsi="Times New Roman"/>
                <w:bCs/>
                <w:color w:val="000000"/>
                <w:sz w:val="20"/>
                <w:lang w:val="sr-Cyrl-CS"/>
              </w:rPr>
              <w:t xml:space="preserve"> </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бити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посечена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током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овог</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процеса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кратком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року</w:t>
            </w:r>
            <w:r w:rsidR="00A953E4" w:rsidRPr="005303F7">
              <w:rPr>
                <w:rFonts w:ascii="Times New Roman" w:hAnsi="Times New Roman"/>
                <w:bCs/>
                <w:color w:val="000000"/>
                <w:sz w:val="20"/>
                <w:lang w:val="sr-Cyrl-CS"/>
              </w:rPr>
              <w:t xml:space="preserve"> </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повећати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емисију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због</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сагоревања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али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због</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ве</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ег</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просечног</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прираста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високим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шумама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која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ће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створити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као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резултат</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успешне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конверзије</w:t>
            </w:r>
            <w:r w:rsidR="00A953E4" w:rsidRPr="005303F7">
              <w:rPr>
                <w:rFonts w:ascii="Times New Roman" w:hAnsi="Times New Roman"/>
                <w:bCs/>
                <w:color w:val="000000"/>
                <w:sz w:val="20"/>
                <w:lang w:val="sr-Cyrl-CS"/>
              </w:rPr>
              <w:t xml:space="preserve"> (3,0 </w:t>
            </w:r>
            <w:r w:rsidR="00000561" w:rsidRPr="005303F7">
              <w:rPr>
                <w:rFonts w:ascii="Times New Roman" w:hAnsi="Times New Roman"/>
                <w:bCs/>
                <w:color w:val="000000"/>
                <w:sz w:val="20"/>
                <w:lang w:val="sr-Cyrl-CS"/>
              </w:rPr>
              <w:t>m</w:t>
            </w:r>
            <w:r w:rsidR="00A953E4" w:rsidRPr="005303F7">
              <w:rPr>
                <w:rFonts w:ascii="Times New Roman" w:hAnsi="Times New Roman"/>
                <w:bCs/>
                <w:color w:val="000000"/>
                <w:sz w:val="20"/>
                <w:vertAlign w:val="superscript"/>
                <w:lang w:val="sr-Cyrl-CS"/>
              </w:rPr>
              <w:t>3</w:t>
            </w:r>
            <w:r w:rsidR="00A953E4" w:rsidRPr="005303F7">
              <w:rPr>
                <w:rFonts w:ascii="Times New Roman" w:hAnsi="Times New Roman"/>
                <w:bCs/>
                <w:color w:val="000000"/>
                <w:sz w:val="20"/>
                <w:lang w:val="sr-Cyrl-CS"/>
              </w:rPr>
              <w:t>/</w:t>
            </w:r>
            <w:r w:rsidR="00000561" w:rsidRPr="005303F7">
              <w:rPr>
                <w:rFonts w:ascii="Times New Roman" w:hAnsi="Times New Roman"/>
                <w:bCs/>
                <w:color w:val="000000"/>
                <w:sz w:val="20"/>
                <w:lang w:val="sr-Cyrl-CS"/>
              </w:rPr>
              <w:t>h</w:t>
            </w:r>
            <w:r w:rsidR="008D69AF" w:rsidRPr="005303F7">
              <w:rPr>
                <w:rFonts w:ascii="Times New Roman" w:hAnsi="Times New Roman"/>
                <w:bCs/>
                <w:color w:val="000000"/>
                <w:sz w:val="20"/>
                <w:lang w:val="sr-Cyrl-CS"/>
              </w:rPr>
              <w:t>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ве</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поређењу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прирастом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изданачким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шумама</w:t>
            </w:r>
            <w:r w:rsidR="00A953E4" w:rsidRPr="005303F7">
              <w:rPr>
                <w:rFonts w:ascii="Times New Roman" w:hAnsi="Times New Roman"/>
                <w:bCs/>
                <w:color w:val="000000"/>
                <w:sz w:val="20"/>
                <w:lang w:val="sr-Cyrl-CS"/>
              </w:rPr>
              <w:t xml:space="preserve"> ), </w:t>
            </w:r>
            <w:r w:rsidR="008D69AF" w:rsidRPr="005303F7">
              <w:rPr>
                <w:rFonts w:ascii="Times New Roman" w:hAnsi="Times New Roman"/>
                <w:bCs/>
                <w:color w:val="000000"/>
                <w:sz w:val="20"/>
                <w:lang w:val="sr-Cyrl-CS"/>
              </w:rPr>
              <w:t>укупни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биланс</w:t>
            </w:r>
            <w:r w:rsidR="00A953E4" w:rsidRPr="005303F7">
              <w:rPr>
                <w:rFonts w:ascii="Times New Roman" w:hAnsi="Times New Roman"/>
                <w:bCs/>
                <w:color w:val="000000"/>
                <w:sz w:val="20"/>
                <w:lang w:val="sr-Cyrl-CS"/>
              </w:rPr>
              <w:t xml:space="preserve"> </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резултирати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пове</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ањем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понора</w:t>
            </w:r>
            <w:r w:rsidR="00A953E4" w:rsidRPr="005303F7">
              <w:rPr>
                <w:rFonts w:ascii="Times New Roman" w:hAnsi="Times New Roman"/>
                <w:bCs/>
                <w:color w:val="000000"/>
                <w:sz w:val="20"/>
                <w:lang w:val="sr-Cyrl-CS"/>
              </w:rPr>
              <w:t xml:space="preserve"> </w:t>
            </w:r>
            <w:r w:rsidR="00000561" w:rsidRPr="005303F7">
              <w:rPr>
                <w:rFonts w:ascii="Times New Roman" w:hAnsi="Times New Roman"/>
                <w:bCs/>
                <w:sz w:val="20"/>
                <w:lang w:val="sr-Cyrl-CS"/>
              </w:rPr>
              <w:t>C</w:t>
            </w:r>
            <w:r w:rsidR="008D69AF" w:rsidRPr="005303F7">
              <w:rPr>
                <w:rFonts w:ascii="Times New Roman" w:hAnsi="Times New Roman"/>
                <w:bCs/>
                <w:sz w:val="20"/>
                <w:lang w:val="sr-Cyrl-CS"/>
              </w:rPr>
              <w:t>О</w:t>
            </w:r>
            <w:r w:rsidR="00A953E4" w:rsidRPr="005303F7">
              <w:rPr>
                <w:rFonts w:ascii="Times New Roman" w:hAnsi="Times New Roman"/>
                <w:bCs/>
                <w:sz w:val="20"/>
                <w:vertAlign w:val="subscript"/>
                <w:lang w:val="sr-Cyrl-CS"/>
              </w:rPr>
              <w:t>2</w:t>
            </w:r>
            <w:r w:rsidR="00A953E4" w:rsidRPr="005303F7">
              <w:rPr>
                <w:rFonts w:ascii="Times New Roman" w:hAnsi="Times New Roman"/>
                <w:bCs/>
                <w:color w:val="000000"/>
                <w:sz w:val="20"/>
                <w:lang w:val="sr-Cyrl-CS"/>
              </w:rPr>
              <w:t>.</w:t>
            </w:r>
          </w:p>
          <w:p w14:paraId="04E7E864" w14:textId="3E400ED5" w:rsidR="00471110" w:rsidRPr="005303F7" w:rsidRDefault="00CC6964" w:rsidP="00A953E4">
            <w:pPr>
              <w:overflowPunct/>
              <w:spacing w:before="240"/>
              <w:rPr>
                <w:rFonts w:ascii="Times New Roman" w:hAnsi="Times New Roman"/>
                <w:bCs/>
                <w:color w:val="000000"/>
                <w:sz w:val="20"/>
                <w:lang w:val="sr-Cyrl-CS"/>
              </w:rPr>
            </w:pPr>
            <w:r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Производњу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дово</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ног</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садног</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материјала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где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директна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индиректна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конверзија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није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била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успешна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треба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унапред</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планирати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како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би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обезбедило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дово</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но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садног</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материјала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станишту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адекватних</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врста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дрве</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Пове</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авање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сече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ће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повећати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потражњу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квалификованом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радном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снагом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машинама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рад</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сектору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шумарства</w:t>
            </w:r>
            <w:r w:rsidR="00A953E4" w:rsidRPr="005303F7">
              <w:rPr>
                <w:rFonts w:ascii="Times New Roman" w:hAnsi="Times New Roman"/>
                <w:bCs/>
                <w:color w:val="000000"/>
                <w:sz w:val="20"/>
                <w:lang w:val="sr-Cyrl-CS"/>
              </w:rPr>
              <w:t>.</w:t>
            </w:r>
          </w:p>
          <w:p w14:paraId="4670F224" w14:textId="2E22B1F7" w:rsidR="00E65E43" w:rsidRPr="005303F7" w:rsidRDefault="008D69AF" w:rsidP="00353B06">
            <w:pPr>
              <w:overflowPunct/>
              <w:jc w:val="left"/>
              <w:rPr>
                <w:rFonts w:ascii="Times New Roman" w:hAnsi="Times New Roman"/>
                <w:bCs/>
                <w:i/>
                <w:sz w:val="12"/>
                <w:szCs w:val="10"/>
                <w:lang w:val="sr-Cyrl-CS"/>
              </w:rPr>
            </w:pPr>
            <w:r w:rsidRPr="005303F7">
              <w:rPr>
                <w:rFonts w:ascii="Times New Roman" w:hAnsi="Times New Roman"/>
                <w:b/>
                <w:bCs/>
                <w:sz w:val="20"/>
                <w:szCs w:val="18"/>
                <w:u w:val="single"/>
                <w:lang w:val="sr-Cyrl-CS"/>
              </w:rPr>
              <w:t>Процес</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преговора</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о</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приступању</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ЕУ</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Поглав</w:t>
            </w:r>
            <w:r w:rsidR="00D553BE" w:rsidRPr="005303F7">
              <w:rPr>
                <w:rFonts w:ascii="Times New Roman" w:hAnsi="Times New Roman"/>
                <w:b/>
                <w:bCs/>
                <w:sz w:val="20"/>
                <w:szCs w:val="18"/>
                <w:u w:val="single"/>
                <w:lang w:val="sr-Cyrl-CS"/>
              </w:rPr>
              <w:t>љ</w:t>
            </w:r>
            <w:r w:rsidRPr="005303F7">
              <w:rPr>
                <w:rFonts w:ascii="Times New Roman" w:hAnsi="Times New Roman"/>
                <w:b/>
                <w:bCs/>
                <w:sz w:val="20"/>
                <w:szCs w:val="18"/>
                <w:u w:val="single"/>
                <w:lang w:val="sr-Cyrl-CS"/>
              </w:rPr>
              <w:t>е</w:t>
            </w:r>
            <w:r w:rsidR="00A953E4" w:rsidRPr="005303F7">
              <w:rPr>
                <w:rFonts w:ascii="Times New Roman" w:hAnsi="Times New Roman"/>
                <w:b/>
                <w:bCs/>
                <w:sz w:val="20"/>
                <w:szCs w:val="18"/>
                <w:u w:val="single"/>
                <w:lang w:val="sr-Cyrl-CS"/>
              </w:rPr>
              <w:t xml:space="preserve"> 27 – </w:t>
            </w:r>
            <w:r w:rsidRPr="005303F7">
              <w:rPr>
                <w:rFonts w:ascii="Times New Roman" w:hAnsi="Times New Roman"/>
                <w:b/>
                <w:bCs/>
                <w:sz w:val="20"/>
                <w:szCs w:val="18"/>
                <w:u w:val="single"/>
                <w:lang w:val="sr-Cyrl-CS"/>
              </w:rPr>
              <w:t>Животна</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средина</w:t>
            </w:r>
          </w:p>
        </w:tc>
      </w:tr>
      <w:tr w:rsidR="00515A4B" w:rsidRPr="005303F7" w14:paraId="3BF625B8" w14:textId="77777777" w:rsidTr="00D519CC">
        <w:trPr>
          <w:trHeight w:val="442"/>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14:paraId="67F7730A" w14:textId="77777777" w:rsidR="00515A4B" w:rsidRPr="005303F7" w:rsidRDefault="00515A4B">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52306" w14:textId="4404223C" w:rsidR="00515A4B" w:rsidRPr="005303F7" w:rsidRDefault="008D69AF">
            <w:pPr>
              <w:spacing w:after="0"/>
              <w:jc w:val="center"/>
              <w:rPr>
                <w:rFonts w:ascii="Times New Roman" w:hAnsi="Times New Roman"/>
                <w:b/>
                <w:bCs/>
                <w:sz w:val="20"/>
                <w:lang w:val="sr-Cyrl-CS"/>
              </w:rPr>
            </w:pPr>
            <w:r w:rsidRPr="005303F7">
              <w:rPr>
                <w:rFonts w:ascii="Times New Roman" w:hAnsi="Times New Roman"/>
                <w:b/>
                <w:sz w:val="20"/>
                <w:lang w:val="sr-Cyrl-CS"/>
              </w:rPr>
              <w:t>К</w:t>
            </w:r>
            <w:r w:rsidR="00D553BE" w:rsidRPr="005303F7">
              <w:rPr>
                <w:rFonts w:ascii="Times New Roman" w:hAnsi="Times New Roman"/>
                <w:b/>
                <w:sz w:val="20"/>
                <w:lang w:val="sr-Cyrl-CS"/>
              </w:rPr>
              <w:t>љ</w:t>
            </w:r>
            <w:r w:rsidRPr="005303F7">
              <w:rPr>
                <w:rFonts w:ascii="Times New Roman" w:hAnsi="Times New Roman"/>
                <w:b/>
                <w:sz w:val="20"/>
                <w:lang w:val="sr-Cyrl-CS"/>
              </w:rPr>
              <w:t>учни</w:t>
            </w:r>
            <w:r w:rsidR="00515A4B" w:rsidRPr="005303F7">
              <w:rPr>
                <w:rFonts w:ascii="Times New Roman" w:hAnsi="Times New Roman"/>
                <w:b/>
                <w:sz w:val="20"/>
                <w:lang w:val="sr-Cyrl-CS"/>
              </w:rPr>
              <w:t xml:space="preserve"> </w:t>
            </w:r>
            <w:r w:rsidRPr="005303F7">
              <w:rPr>
                <w:rFonts w:ascii="Times New Roman" w:hAnsi="Times New Roman"/>
                <w:b/>
                <w:sz w:val="20"/>
                <w:lang w:val="sr-Cyrl-CS"/>
              </w:rPr>
              <w:t>субјекат</w:t>
            </w:r>
            <w:r w:rsidR="00515A4B" w:rsidRPr="005303F7">
              <w:rPr>
                <w:rFonts w:ascii="Times New Roman" w:hAnsi="Times New Roman"/>
                <w:b/>
                <w:sz w:val="20"/>
                <w:lang w:val="sr-Cyrl-CS"/>
              </w:rPr>
              <w:t xml:space="preserve"> </w:t>
            </w:r>
            <w:r w:rsidRPr="005303F7">
              <w:rPr>
                <w:rFonts w:ascii="Times New Roman" w:hAnsi="Times New Roman"/>
                <w:b/>
                <w:sz w:val="20"/>
                <w:lang w:val="sr-Cyrl-CS"/>
              </w:rPr>
              <w:t>за</w:t>
            </w:r>
            <w:r w:rsidR="00515A4B" w:rsidRPr="005303F7">
              <w:rPr>
                <w:rFonts w:ascii="Times New Roman" w:hAnsi="Times New Roman"/>
                <w:b/>
                <w:sz w:val="20"/>
                <w:lang w:val="sr-Cyrl-CS"/>
              </w:rPr>
              <w:t xml:space="preserve"> </w:t>
            </w:r>
            <w:r w:rsidRPr="005303F7">
              <w:rPr>
                <w:rFonts w:ascii="Times New Roman" w:hAnsi="Times New Roman"/>
                <w:b/>
                <w:sz w:val="20"/>
                <w:lang w:val="sr-Cyrl-CS"/>
              </w:rPr>
              <w:t>спровођење</w:t>
            </w:r>
            <w:r w:rsidR="00515A4B" w:rsidRPr="005303F7">
              <w:rPr>
                <w:rFonts w:ascii="Times New Roman" w:hAnsi="Times New Roman"/>
                <w:b/>
                <w:sz w:val="20"/>
                <w:lang w:val="sr-Cyrl-CS"/>
              </w:rPr>
              <w:t xml:space="preserve"> </w:t>
            </w:r>
            <w:r w:rsidRPr="005303F7">
              <w:rPr>
                <w:rFonts w:ascii="Times New Roman" w:hAnsi="Times New Roman"/>
                <w:b/>
                <w:sz w:val="20"/>
                <w:lang w:val="sr-Cyrl-CS"/>
              </w:rPr>
              <w:t>мере</w:t>
            </w:r>
          </w:p>
        </w:tc>
        <w:tc>
          <w:tcPr>
            <w:tcW w:w="66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D4F3C" w14:textId="4263104F" w:rsidR="00515A4B" w:rsidRPr="005303F7" w:rsidRDefault="008D69AF">
            <w:pPr>
              <w:overflowPunct/>
              <w:spacing w:after="0"/>
              <w:jc w:val="center"/>
              <w:rPr>
                <w:rFonts w:ascii="Times New Roman" w:hAnsi="Times New Roman"/>
                <w:b/>
                <w:bCs/>
                <w:sz w:val="20"/>
                <w:lang w:val="sr-Cyrl-CS"/>
              </w:rPr>
            </w:pPr>
            <w:r w:rsidRPr="005303F7">
              <w:rPr>
                <w:rFonts w:ascii="Times New Roman" w:hAnsi="Times New Roman"/>
                <w:b/>
                <w:sz w:val="20"/>
                <w:lang w:val="sr-Cyrl-CS"/>
              </w:rPr>
              <w:t>Партнери</w:t>
            </w:r>
          </w:p>
        </w:tc>
        <w:tc>
          <w:tcPr>
            <w:tcW w:w="127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30CDC" w14:textId="5999AD98" w:rsidR="00515A4B" w:rsidRPr="005303F7" w:rsidRDefault="00D7102F" w:rsidP="0070650E">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 xml:space="preserve">ЕТS/ </w:t>
            </w:r>
            <w:r w:rsidR="004A35C7" w:rsidRPr="005303F7">
              <w:rPr>
                <w:rFonts w:ascii="Times New Roman" w:hAnsi="Times New Roman"/>
                <w:b/>
                <w:sz w:val="20"/>
                <w:lang w:val="sr-Cyrl-CS"/>
              </w:rPr>
              <w:t>не-ЕТS</w:t>
            </w:r>
          </w:p>
        </w:tc>
        <w:tc>
          <w:tcPr>
            <w:tcW w:w="12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911B07" w14:textId="605DCCD6" w:rsidR="00515A4B" w:rsidRPr="005303F7" w:rsidRDefault="008D69AF">
            <w:pPr>
              <w:overflowPunct/>
              <w:spacing w:after="0"/>
              <w:jc w:val="center"/>
              <w:rPr>
                <w:rFonts w:ascii="Times New Roman" w:hAnsi="Times New Roman"/>
                <w:b/>
                <w:bCs/>
                <w:sz w:val="20"/>
                <w:lang w:val="sr-Cyrl-CS"/>
              </w:rPr>
            </w:pPr>
            <w:r w:rsidRPr="005303F7">
              <w:rPr>
                <w:rFonts w:ascii="Times New Roman" w:hAnsi="Times New Roman"/>
                <w:b/>
                <w:sz w:val="20"/>
                <w:lang w:val="sr-Cyrl-CS"/>
              </w:rPr>
              <w:t>Главни</w:t>
            </w:r>
            <w:r w:rsidR="00515A4B" w:rsidRPr="005303F7">
              <w:rPr>
                <w:rFonts w:ascii="Times New Roman" w:hAnsi="Times New Roman"/>
                <w:b/>
                <w:sz w:val="20"/>
                <w:lang w:val="sr-Cyrl-CS"/>
              </w:rPr>
              <w:t xml:space="preserve"> </w:t>
            </w:r>
            <w:r w:rsidRPr="005303F7">
              <w:rPr>
                <w:rFonts w:ascii="Times New Roman" w:hAnsi="Times New Roman"/>
                <w:b/>
                <w:sz w:val="20"/>
                <w:lang w:val="sr-Cyrl-CS"/>
              </w:rPr>
              <w:t>гасови</w:t>
            </w:r>
          </w:p>
        </w:tc>
        <w:tc>
          <w:tcPr>
            <w:tcW w:w="304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87AFE2" w14:textId="48614BEB" w:rsidR="00D7102F" w:rsidRPr="005303F7" w:rsidRDefault="00700C33"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Процењене у</w:t>
            </w:r>
            <w:r w:rsidR="00A754DD" w:rsidRPr="005303F7">
              <w:rPr>
                <w:rFonts w:ascii="Times New Roman" w:hAnsi="Times New Roman"/>
                <w:b/>
                <w:bCs/>
                <w:sz w:val="20"/>
                <w:lang w:val="sr-Cyrl-CS"/>
              </w:rPr>
              <w:t xml:space="preserve">клоњене количине </w:t>
            </w:r>
            <w:r w:rsidR="00D7102F" w:rsidRPr="005303F7">
              <w:rPr>
                <w:rFonts w:ascii="Times New Roman" w:hAnsi="Times New Roman"/>
                <w:b/>
                <w:bCs/>
                <w:sz w:val="20"/>
                <w:lang w:val="sr-Cyrl-CS"/>
              </w:rPr>
              <w:t xml:space="preserve">до 2030. </w:t>
            </w:r>
          </w:p>
          <w:p w14:paraId="1D540951" w14:textId="5EC80AAB" w:rsidR="00515A4B"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BD116A" w:rsidRPr="005303F7" w14:paraId="13423D49" w14:textId="77777777" w:rsidTr="00D519CC">
        <w:trPr>
          <w:trHeight w:val="428"/>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14:paraId="6D11CDA5" w14:textId="77777777" w:rsidR="00BD116A" w:rsidRPr="005303F7" w:rsidRDefault="00BD116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0B2FEC" w14:textId="0131D915" w:rsidR="00BD116A" w:rsidRPr="005303F7" w:rsidRDefault="008D69AF">
            <w:pPr>
              <w:overflowPunct/>
              <w:spacing w:after="0"/>
              <w:jc w:val="center"/>
              <w:rPr>
                <w:rFonts w:ascii="Times New Roman" w:hAnsi="Times New Roman"/>
                <w:bCs/>
                <w:sz w:val="20"/>
                <w:lang w:val="sr-Cyrl-CS"/>
              </w:rPr>
            </w:pPr>
            <w:r w:rsidRPr="005303F7">
              <w:rPr>
                <w:rFonts w:ascii="Times New Roman" w:hAnsi="Times New Roman"/>
                <w:bCs/>
                <w:color w:val="000000"/>
                <w:sz w:val="20"/>
                <w:lang w:val="sr-Cyrl-CS"/>
              </w:rPr>
              <w:t>Министарство</w:t>
            </w:r>
            <w:r w:rsidR="00515A4B"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опривреде</w:t>
            </w:r>
            <w:r w:rsidR="00515A4B"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шумарства</w:t>
            </w:r>
            <w:r w:rsidR="00515A4B"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515A4B"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водопривреде</w:t>
            </w:r>
          </w:p>
        </w:tc>
        <w:tc>
          <w:tcPr>
            <w:tcW w:w="665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3A49AD" w14:textId="6169B0EA" w:rsidR="00BD116A" w:rsidRPr="005303F7" w:rsidRDefault="008D69AF" w:rsidP="00355D74">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Истраживачке</w:t>
            </w:r>
            <w:r w:rsidR="00355D7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институције</w:t>
            </w:r>
            <w:r w:rsidR="00BD116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Организације</w:t>
            </w:r>
            <w:r w:rsidR="00355D7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одговорне</w:t>
            </w:r>
            <w:r w:rsidR="00355D7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355D7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газдовање</w:t>
            </w:r>
            <w:r w:rsidR="00355D7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шумама</w:t>
            </w:r>
            <w:r w:rsidR="00BD116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Национални</w:t>
            </w:r>
            <w:r w:rsidR="00355D7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паркови</w:t>
            </w:r>
            <w:r w:rsidR="00BD116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приватни</w:t>
            </w:r>
            <w:r w:rsidR="00355D7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власници</w:t>
            </w:r>
            <w:r w:rsidR="00355D7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w:t>
            </w:r>
          </w:p>
        </w:tc>
        <w:tc>
          <w:tcPr>
            <w:tcW w:w="127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293CA1" w14:textId="22931FC3" w:rsidR="00BD116A" w:rsidRPr="005303F7" w:rsidRDefault="004A35C7" w:rsidP="00355D74">
            <w:pPr>
              <w:overflowPunct/>
              <w:spacing w:after="0"/>
              <w:jc w:val="center"/>
              <w:rPr>
                <w:rFonts w:ascii="Times New Roman" w:hAnsi="Times New Roman"/>
                <w:bCs/>
                <w:sz w:val="20"/>
                <w:lang w:val="sr-Cyrl-CS"/>
              </w:rPr>
            </w:pPr>
            <w:r w:rsidRPr="005303F7">
              <w:rPr>
                <w:rFonts w:ascii="Times New Roman" w:hAnsi="Times New Roman"/>
                <w:bCs/>
                <w:sz w:val="20"/>
                <w:lang w:val="sr-Cyrl-CS"/>
              </w:rPr>
              <w:t>не-ЕТS</w:t>
            </w:r>
          </w:p>
        </w:tc>
        <w:tc>
          <w:tcPr>
            <w:tcW w:w="128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07AA9B" w14:textId="514086AB" w:rsidR="00BD116A" w:rsidRPr="005303F7" w:rsidRDefault="00690489">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C</w:t>
            </w:r>
            <w:r w:rsidR="008D69AF" w:rsidRPr="005303F7">
              <w:rPr>
                <w:rFonts w:ascii="Times New Roman" w:hAnsi="Times New Roman"/>
                <w:bCs/>
                <w:color w:val="000000"/>
                <w:sz w:val="20"/>
                <w:lang w:val="sr-Cyrl-CS"/>
              </w:rPr>
              <w:t>О</w:t>
            </w:r>
            <w:r w:rsidR="00BD116A" w:rsidRPr="005303F7">
              <w:rPr>
                <w:rFonts w:ascii="Times New Roman" w:hAnsi="Times New Roman"/>
                <w:bCs/>
                <w:color w:val="000000"/>
                <w:sz w:val="20"/>
                <w:vertAlign w:val="subscript"/>
                <w:lang w:val="sr-Cyrl-CS"/>
              </w:rPr>
              <w:t>2</w:t>
            </w:r>
          </w:p>
        </w:tc>
        <w:tc>
          <w:tcPr>
            <w:tcW w:w="30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28C60B" w14:textId="77777777" w:rsidR="00BD116A" w:rsidRPr="005303F7" w:rsidRDefault="00BD116A">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458,4</w:t>
            </w:r>
          </w:p>
        </w:tc>
      </w:tr>
      <w:tr w:rsidR="00BD116A" w:rsidRPr="005303F7" w14:paraId="527F8D76" w14:textId="77777777" w:rsidTr="00D519CC">
        <w:trPr>
          <w:trHeight w:val="442"/>
        </w:trPr>
        <w:tc>
          <w:tcPr>
            <w:tcW w:w="696" w:type="dxa"/>
            <w:gridSpan w:val="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6F35D037" w14:textId="16CA1944" w:rsidR="00BD116A" w:rsidRPr="005303F7" w:rsidRDefault="008D69AF">
            <w:pPr>
              <w:overflowPunct/>
              <w:spacing w:after="0"/>
              <w:rPr>
                <w:rFonts w:ascii="Times New Roman" w:hAnsi="Times New Roman"/>
                <w:szCs w:val="22"/>
                <w:lang w:val="sr-Cyrl-CS"/>
              </w:rPr>
            </w:pPr>
            <w:r w:rsidRPr="005303F7">
              <w:rPr>
                <w:rFonts w:ascii="Times New Roman" w:hAnsi="Times New Roman"/>
                <w:szCs w:val="22"/>
                <w:lang w:val="sr-Cyrl-CS"/>
              </w:rPr>
              <w:t>Бр</w:t>
            </w:r>
            <w:r w:rsidR="00BD116A" w:rsidRPr="005303F7">
              <w:rPr>
                <w:rFonts w:ascii="Times New Roman" w:hAnsi="Times New Roman"/>
                <w:szCs w:val="22"/>
                <w:lang w:val="sr-Cyrl-CS"/>
              </w:rPr>
              <w:t>.</w:t>
            </w:r>
          </w:p>
        </w:tc>
        <w:tc>
          <w:tcPr>
            <w:tcW w:w="15365" w:type="dxa"/>
            <w:gridSpan w:val="24"/>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7E81BEBE" w14:textId="0205339D" w:rsidR="00BD116A" w:rsidRPr="005303F7" w:rsidRDefault="008D69AF" w:rsidP="00E44289">
            <w:pPr>
              <w:overflowPunct/>
              <w:jc w:val="left"/>
              <w:rPr>
                <w:rFonts w:ascii="Times New Roman" w:hAnsi="Times New Roman"/>
                <w:b/>
                <w:szCs w:val="22"/>
                <w:u w:val="single"/>
                <w:lang w:val="sr-Cyrl-CS"/>
              </w:rPr>
            </w:pPr>
            <w:r w:rsidRPr="005303F7">
              <w:rPr>
                <w:rFonts w:ascii="Times New Roman" w:hAnsi="Times New Roman"/>
                <w:b/>
                <w:bCs/>
                <w:color w:val="FFFFFF" w:themeColor="background1"/>
                <w:sz w:val="20"/>
                <w:lang w:val="sr-Cyrl-CS"/>
              </w:rPr>
              <w:t>Назив</w:t>
            </w:r>
            <w:r w:rsidR="00515A4B" w:rsidRPr="005303F7">
              <w:rPr>
                <w:rFonts w:ascii="Times New Roman" w:hAnsi="Times New Roman"/>
                <w:b/>
                <w:bCs/>
                <w:color w:val="FFFFFF" w:themeColor="background1"/>
                <w:sz w:val="20"/>
                <w:lang w:val="sr-Cyrl-CS"/>
              </w:rPr>
              <w:t xml:space="preserve"> </w:t>
            </w:r>
            <w:r w:rsidRPr="005303F7">
              <w:rPr>
                <w:rFonts w:ascii="Times New Roman" w:hAnsi="Times New Roman"/>
                <w:b/>
                <w:bCs/>
                <w:color w:val="FFFFFF" w:themeColor="background1"/>
                <w:sz w:val="20"/>
                <w:lang w:val="sr-Cyrl-CS"/>
              </w:rPr>
              <w:t>мере</w:t>
            </w:r>
            <w:r w:rsidR="00BD116A" w:rsidRPr="005303F7">
              <w:rPr>
                <w:rFonts w:ascii="Times New Roman" w:hAnsi="Times New Roman"/>
                <w:b/>
                <w:bCs/>
                <w:color w:val="FFFFFF" w:themeColor="background1"/>
                <w:sz w:val="20"/>
                <w:lang w:val="sr-Cyrl-CS"/>
              </w:rPr>
              <w:t>:</w:t>
            </w:r>
            <w:r w:rsidR="00BD116A" w:rsidRPr="005303F7">
              <w:rPr>
                <w:rFonts w:ascii="Times New Roman" w:hAnsi="Times New Roman"/>
                <w:b/>
                <w:color w:val="FFFFFF" w:themeColor="background1"/>
                <w:sz w:val="20"/>
                <w:u w:val="single"/>
                <w:lang w:val="sr-Cyrl-CS"/>
              </w:rPr>
              <w:t xml:space="preserve"> </w:t>
            </w:r>
            <w:r w:rsidR="00E44289" w:rsidRPr="005303F7">
              <w:rPr>
                <w:rFonts w:ascii="Times New Roman" w:hAnsi="Times New Roman"/>
                <w:b/>
                <w:color w:val="FFFFFF" w:themeColor="background1"/>
                <w:sz w:val="20"/>
                <w:u w:val="single"/>
                <w:lang w:val="sr-Cyrl-CS"/>
              </w:rPr>
              <w:t>Засади брзорастућих врста шумског дрвећа</w:t>
            </w:r>
          </w:p>
        </w:tc>
      </w:tr>
      <w:tr w:rsidR="00BD116A" w:rsidRPr="005303F7" w14:paraId="0305719A" w14:textId="77777777" w:rsidTr="00D519CC">
        <w:trPr>
          <w:trHeight w:val="820"/>
        </w:trPr>
        <w:tc>
          <w:tcPr>
            <w:tcW w:w="6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262CD40" w14:textId="77777777" w:rsidR="00BD116A" w:rsidRPr="005303F7" w:rsidRDefault="00BD116A">
            <w:pPr>
              <w:overflowPunct/>
              <w:spacing w:after="0"/>
              <w:jc w:val="center"/>
              <w:rPr>
                <w:rFonts w:ascii="Times New Roman" w:hAnsi="Times New Roman"/>
                <w:b/>
                <w:color w:val="000000"/>
                <w:sz w:val="20"/>
                <w:lang w:val="sr-Cyrl-CS"/>
              </w:rPr>
            </w:pPr>
            <w:r w:rsidRPr="005303F7">
              <w:rPr>
                <w:rFonts w:ascii="Times New Roman" w:hAnsi="Times New Roman"/>
                <w:b/>
                <w:color w:val="000000"/>
                <w:sz w:val="20"/>
                <w:lang w:val="sr-Cyrl-CS"/>
              </w:rPr>
              <w:t>22</w:t>
            </w:r>
          </w:p>
        </w:tc>
        <w:tc>
          <w:tcPr>
            <w:tcW w:w="15365" w:type="dxa"/>
            <w:gridSpan w:val="24"/>
            <w:tcBorders>
              <w:top w:val="single" w:sz="4" w:space="0" w:color="auto"/>
              <w:left w:val="single" w:sz="4" w:space="0" w:color="auto"/>
              <w:bottom w:val="single" w:sz="4" w:space="0" w:color="auto"/>
              <w:right w:val="single" w:sz="4" w:space="0" w:color="auto"/>
            </w:tcBorders>
            <w:vAlign w:val="center"/>
            <w:hideMark/>
          </w:tcPr>
          <w:p w14:paraId="534A4476" w14:textId="3D7D1343" w:rsidR="00A953E4" w:rsidRPr="005303F7" w:rsidRDefault="008D69AF" w:rsidP="00A953E4">
            <w:pPr>
              <w:overflowPunct/>
              <w:jc w:val="left"/>
              <w:rPr>
                <w:rFonts w:ascii="Times New Roman" w:hAnsi="Times New Roman"/>
                <w:b/>
                <w:sz w:val="20"/>
                <w:u w:val="single"/>
                <w:lang w:val="sr-Cyrl-CS"/>
              </w:rPr>
            </w:pPr>
            <w:r w:rsidRPr="005303F7">
              <w:rPr>
                <w:rFonts w:ascii="Times New Roman" w:hAnsi="Times New Roman"/>
                <w:b/>
                <w:sz w:val="20"/>
                <w:u w:val="single"/>
                <w:lang w:val="sr-Cyrl-CS"/>
              </w:rPr>
              <w:t>Врста</w:t>
            </w:r>
            <w:r w:rsidR="00A953E4"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мере</w:t>
            </w:r>
            <w:r w:rsidR="00A953E4" w:rsidRPr="005303F7">
              <w:rPr>
                <w:rFonts w:ascii="Times New Roman" w:hAnsi="Times New Roman"/>
                <w:b/>
                <w:sz w:val="20"/>
                <w:lang w:val="sr-Cyrl-CS"/>
              </w:rPr>
              <w:t xml:space="preserve">: </w:t>
            </w:r>
            <w:r w:rsidRPr="005303F7">
              <w:rPr>
                <w:rFonts w:ascii="Times New Roman" w:hAnsi="Times New Roman"/>
                <w:bCs/>
                <w:sz w:val="20"/>
                <w:lang w:val="sr-Cyrl-CS"/>
              </w:rPr>
              <w:t>Регулаторна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подстицајна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информативно</w:t>
            </w:r>
            <w:r w:rsidR="00A953E4" w:rsidRPr="005303F7">
              <w:rPr>
                <w:rFonts w:ascii="Times New Roman" w:hAnsi="Times New Roman"/>
                <w:bCs/>
                <w:sz w:val="20"/>
                <w:lang w:val="sr-Cyrl-CS"/>
              </w:rPr>
              <w:t>-</w:t>
            </w:r>
            <w:r w:rsidRPr="005303F7">
              <w:rPr>
                <w:rFonts w:ascii="Times New Roman" w:hAnsi="Times New Roman"/>
                <w:bCs/>
                <w:sz w:val="20"/>
                <w:lang w:val="sr-Cyrl-CS"/>
              </w:rPr>
              <w:t>едукативна</w:t>
            </w:r>
            <w:r w:rsidR="00415473" w:rsidRPr="005303F7">
              <w:rPr>
                <w:rFonts w:ascii="Times New Roman" w:hAnsi="Times New Roman"/>
                <w:bCs/>
                <w:sz w:val="20"/>
                <w:lang w:val="sr-Cyrl-CS"/>
              </w:rPr>
              <w:t xml:space="preserve"> </w:t>
            </w:r>
          </w:p>
          <w:p w14:paraId="6331465F" w14:textId="5612E4C2" w:rsidR="00A953E4" w:rsidRPr="005303F7" w:rsidRDefault="008D69AF" w:rsidP="00A953E4">
            <w:pPr>
              <w:overflowPunct/>
              <w:spacing w:after="0"/>
              <w:jc w:val="left"/>
              <w:rPr>
                <w:rFonts w:ascii="Times New Roman" w:hAnsi="Times New Roman"/>
                <w:bCs/>
                <w:sz w:val="20"/>
                <w:lang w:val="sr-Cyrl-CS"/>
              </w:rPr>
            </w:pPr>
            <w:r w:rsidRPr="005303F7">
              <w:rPr>
                <w:rFonts w:ascii="Times New Roman" w:hAnsi="Times New Roman"/>
                <w:b/>
                <w:sz w:val="20"/>
                <w:u w:val="single"/>
                <w:lang w:val="sr-Cyrl-CS"/>
              </w:rPr>
              <w:t>Опис</w:t>
            </w:r>
            <w:r w:rsidR="00A953E4"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мере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Овом</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мером</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се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предлаже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додатна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површина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од</w:t>
            </w:r>
            <w:r w:rsidR="00A953E4" w:rsidRPr="005303F7">
              <w:rPr>
                <w:rFonts w:ascii="Times New Roman" w:hAnsi="Times New Roman"/>
                <w:bCs/>
                <w:sz w:val="20"/>
                <w:lang w:val="sr-Cyrl-CS"/>
              </w:rPr>
              <w:t xml:space="preserve"> 1</w:t>
            </w:r>
            <w:r w:rsidR="0014744B" w:rsidRPr="005303F7">
              <w:rPr>
                <w:rFonts w:ascii="Times New Roman" w:hAnsi="Times New Roman"/>
                <w:bCs/>
                <w:sz w:val="20"/>
                <w:lang w:val="sr-Cyrl-CS"/>
              </w:rPr>
              <w:t xml:space="preserve"> </w:t>
            </w:r>
            <w:r w:rsidR="00A953E4" w:rsidRPr="005303F7">
              <w:rPr>
                <w:rFonts w:ascii="Times New Roman" w:hAnsi="Times New Roman"/>
                <w:bCs/>
                <w:sz w:val="20"/>
                <w:lang w:val="sr-Cyrl-CS"/>
              </w:rPr>
              <w:t xml:space="preserve">500 </w:t>
            </w:r>
            <w:r w:rsidR="00000561" w:rsidRPr="005303F7">
              <w:rPr>
                <w:rFonts w:ascii="Times New Roman" w:hAnsi="Times New Roman"/>
                <w:bCs/>
                <w:sz w:val="20"/>
                <w:lang w:val="sr-Cyrl-CS"/>
              </w:rPr>
              <w:t>h</w:t>
            </w:r>
            <w:r w:rsidRPr="005303F7">
              <w:rPr>
                <w:rFonts w:ascii="Times New Roman" w:hAnsi="Times New Roman"/>
                <w:bCs/>
                <w:sz w:val="20"/>
                <w:lang w:val="sr-Cyrl-CS"/>
              </w:rPr>
              <w:t>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годишње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за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садњу</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топола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и</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врба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као</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главних</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врсте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дрве</w:t>
            </w:r>
            <w:r w:rsidR="00016298" w:rsidRPr="005303F7">
              <w:rPr>
                <w:rFonts w:ascii="Times New Roman" w:hAnsi="Times New Roman"/>
                <w:bCs/>
                <w:sz w:val="20"/>
                <w:lang w:val="sr-Cyrl-CS"/>
              </w:rPr>
              <w:t>ћ</w:t>
            </w:r>
            <w:r w:rsidRPr="005303F7">
              <w:rPr>
                <w:rFonts w:ascii="Times New Roman" w:hAnsi="Times New Roman"/>
                <w:bCs/>
                <w:sz w:val="20"/>
                <w:lang w:val="sr-Cyrl-CS"/>
              </w:rPr>
              <w:t>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Годишњи</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прираст</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износи</w:t>
            </w:r>
            <w:r w:rsidR="00A953E4" w:rsidRPr="005303F7">
              <w:rPr>
                <w:rFonts w:ascii="Times New Roman" w:hAnsi="Times New Roman"/>
                <w:bCs/>
                <w:sz w:val="20"/>
                <w:lang w:val="sr-Cyrl-CS"/>
              </w:rPr>
              <w:t xml:space="preserve"> 10 </w:t>
            </w:r>
            <w:r w:rsidR="00000561" w:rsidRPr="005303F7">
              <w:rPr>
                <w:rFonts w:ascii="Times New Roman" w:hAnsi="Times New Roman"/>
                <w:bCs/>
                <w:sz w:val="20"/>
                <w:lang w:val="sr-Cyrl-CS"/>
              </w:rPr>
              <w:t>m</w:t>
            </w:r>
            <w:r w:rsidR="00A953E4" w:rsidRPr="005303F7">
              <w:rPr>
                <w:rFonts w:ascii="Times New Roman" w:hAnsi="Times New Roman"/>
                <w:bCs/>
                <w:sz w:val="20"/>
                <w:vertAlign w:val="superscript"/>
                <w:lang w:val="sr-Cyrl-CS"/>
              </w:rPr>
              <w:t>3</w:t>
            </w:r>
            <w:r w:rsidR="00A953E4" w:rsidRPr="005303F7">
              <w:rPr>
                <w:rFonts w:ascii="Times New Roman" w:hAnsi="Times New Roman"/>
                <w:bCs/>
                <w:sz w:val="20"/>
                <w:lang w:val="sr-Cyrl-CS"/>
              </w:rPr>
              <w:t>/</w:t>
            </w:r>
            <w:r w:rsidR="00000561" w:rsidRPr="005303F7">
              <w:rPr>
                <w:rFonts w:ascii="Times New Roman" w:hAnsi="Times New Roman"/>
                <w:bCs/>
                <w:sz w:val="20"/>
                <w:lang w:val="sr-Cyrl-CS"/>
              </w:rPr>
              <w:t>h</w:t>
            </w:r>
            <w:r w:rsidRPr="005303F7">
              <w:rPr>
                <w:rFonts w:ascii="Times New Roman" w:hAnsi="Times New Roman"/>
                <w:bCs/>
                <w:sz w:val="20"/>
                <w:lang w:val="sr-Cyrl-CS"/>
              </w:rPr>
              <w:t>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до</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старосне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доби</w:t>
            </w:r>
            <w:r w:rsidR="00415473" w:rsidRPr="005303F7">
              <w:rPr>
                <w:rFonts w:ascii="Times New Roman" w:hAnsi="Times New Roman"/>
                <w:bCs/>
                <w:sz w:val="20"/>
                <w:lang w:val="sr-Cyrl-CS"/>
              </w:rPr>
              <w:t xml:space="preserve"> </w:t>
            </w:r>
            <w:r w:rsidRPr="005303F7">
              <w:rPr>
                <w:rFonts w:ascii="Times New Roman" w:hAnsi="Times New Roman"/>
                <w:bCs/>
                <w:sz w:val="20"/>
                <w:lang w:val="sr-Cyrl-CS"/>
              </w:rPr>
              <w:t>од</w:t>
            </w:r>
            <w:r w:rsidR="009F0F36" w:rsidRPr="005303F7">
              <w:rPr>
                <w:rFonts w:ascii="Times New Roman" w:hAnsi="Times New Roman"/>
                <w:bCs/>
                <w:sz w:val="20"/>
                <w:lang w:val="sr-Cyrl-CS"/>
              </w:rPr>
              <w:t xml:space="preserve"> десет </w:t>
            </w:r>
            <w:r w:rsidRPr="005303F7">
              <w:rPr>
                <w:rFonts w:ascii="Times New Roman" w:hAnsi="Times New Roman"/>
                <w:bCs/>
                <w:sz w:val="20"/>
                <w:lang w:val="sr-Cyrl-CS"/>
              </w:rPr>
              <w:t>година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а</w:t>
            </w:r>
            <w:r w:rsidR="00A953E4" w:rsidRPr="005303F7">
              <w:rPr>
                <w:rFonts w:ascii="Times New Roman" w:hAnsi="Times New Roman"/>
                <w:bCs/>
                <w:sz w:val="20"/>
                <w:lang w:val="sr-Cyrl-CS"/>
              </w:rPr>
              <w:t xml:space="preserve"> </w:t>
            </w:r>
            <w:r w:rsidR="00BB0AA2" w:rsidRPr="005303F7">
              <w:rPr>
                <w:rFonts w:ascii="Times New Roman" w:hAnsi="Times New Roman"/>
                <w:bCs/>
                <w:sz w:val="20"/>
                <w:lang w:val="sr-Cyrl-CS"/>
              </w:rPr>
              <w:t>после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тога</w:t>
            </w:r>
            <w:r w:rsidR="00A953E4" w:rsidRPr="005303F7">
              <w:rPr>
                <w:rFonts w:ascii="Times New Roman" w:hAnsi="Times New Roman"/>
                <w:bCs/>
                <w:sz w:val="20"/>
                <w:lang w:val="sr-Cyrl-CS"/>
              </w:rPr>
              <w:t xml:space="preserve"> 18 </w:t>
            </w:r>
            <w:r w:rsidR="00000561" w:rsidRPr="005303F7">
              <w:rPr>
                <w:rFonts w:ascii="Times New Roman" w:hAnsi="Times New Roman"/>
                <w:bCs/>
                <w:sz w:val="20"/>
                <w:lang w:val="sr-Cyrl-CS"/>
              </w:rPr>
              <w:t>m</w:t>
            </w:r>
            <w:r w:rsidR="00A953E4" w:rsidRPr="005303F7">
              <w:rPr>
                <w:rFonts w:ascii="Times New Roman" w:hAnsi="Times New Roman"/>
                <w:bCs/>
                <w:sz w:val="20"/>
                <w:vertAlign w:val="superscript"/>
                <w:lang w:val="sr-Cyrl-CS"/>
              </w:rPr>
              <w:t>3</w:t>
            </w:r>
            <w:r w:rsidR="00A953E4" w:rsidRPr="005303F7">
              <w:rPr>
                <w:rFonts w:ascii="Times New Roman" w:hAnsi="Times New Roman"/>
                <w:bCs/>
                <w:sz w:val="20"/>
                <w:lang w:val="sr-Cyrl-CS"/>
              </w:rPr>
              <w:t>/</w:t>
            </w:r>
            <w:r w:rsidR="00000561" w:rsidRPr="005303F7">
              <w:rPr>
                <w:rFonts w:ascii="Times New Roman" w:hAnsi="Times New Roman"/>
                <w:bCs/>
                <w:sz w:val="20"/>
                <w:lang w:val="sr-Cyrl-CS"/>
              </w:rPr>
              <w:t>h</w:t>
            </w:r>
            <w:r w:rsidRPr="005303F7">
              <w:rPr>
                <w:rFonts w:ascii="Times New Roman" w:hAnsi="Times New Roman"/>
                <w:bCs/>
                <w:sz w:val="20"/>
                <w:lang w:val="sr-Cyrl-CS"/>
              </w:rPr>
              <w:t>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Биомаса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добијена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из</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шумских</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засади</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са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кратком</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опходњом</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послужи</w:t>
            </w:r>
            <w:r w:rsidR="00016298" w:rsidRPr="005303F7">
              <w:rPr>
                <w:rFonts w:ascii="Times New Roman" w:hAnsi="Times New Roman"/>
                <w:bCs/>
                <w:sz w:val="20"/>
                <w:lang w:val="sr-Cyrl-CS"/>
              </w:rPr>
              <w:t>ћ</w:t>
            </w:r>
            <w:r w:rsidRPr="005303F7">
              <w:rPr>
                <w:rFonts w:ascii="Times New Roman" w:hAnsi="Times New Roman"/>
                <w:bCs/>
                <w:sz w:val="20"/>
                <w:lang w:val="sr-Cyrl-CS"/>
              </w:rPr>
              <w:t>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као</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извор</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сировине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за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когенерацијска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постројења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за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производњу</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топлотне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и</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електричне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енергије</w:t>
            </w:r>
            <w:r w:rsidR="00A953E4" w:rsidRPr="005303F7">
              <w:rPr>
                <w:rFonts w:ascii="Times New Roman" w:hAnsi="Times New Roman"/>
                <w:bCs/>
                <w:sz w:val="20"/>
                <w:lang w:val="sr-Cyrl-CS"/>
              </w:rPr>
              <w:t>.</w:t>
            </w:r>
          </w:p>
          <w:p w14:paraId="74658CBD" w14:textId="61949AD5" w:rsidR="00A953E4" w:rsidRPr="005303F7" w:rsidRDefault="00CC6964" w:rsidP="00A953E4">
            <w:pPr>
              <w:overflowPunct/>
              <w:spacing w:before="240"/>
              <w:rPr>
                <w:rFonts w:ascii="Times New Roman" w:hAnsi="Times New Roman"/>
                <w:bCs/>
                <w:sz w:val="20"/>
                <w:lang w:val="sr-Cyrl-CS"/>
              </w:rPr>
            </w:pPr>
            <w:r w:rsidRPr="005303F7">
              <w:rPr>
                <w:rFonts w:ascii="Times New Roman" w:hAnsi="Times New Roman"/>
                <w:bCs/>
                <w:sz w:val="20"/>
                <w:lang w:val="sr-Cyrl-CS"/>
              </w:rPr>
              <w:lastRenderedPageBreak/>
              <w:t xml:space="preserve">       </w:t>
            </w:r>
            <w:r w:rsidR="008D69AF" w:rsidRPr="005303F7">
              <w:rPr>
                <w:rFonts w:ascii="Times New Roman" w:hAnsi="Times New Roman"/>
                <w:bCs/>
                <w:sz w:val="20"/>
                <w:lang w:val="sr-Cyrl-CS"/>
              </w:rPr>
              <w:t>Што</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се</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тиче</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мере</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пошум</w:t>
            </w:r>
            <w:r w:rsidR="00D553BE" w:rsidRPr="005303F7">
              <w:rPr>
                <w:rFonts w:ascii="Times New Roman" w:hAnsi="Times New Roman"/>
                <w:bCs/>
                <w:sz w:val="20"/>
                <w:lang w:val="sr-Cyrl-CS"/>
              </w:rPr>
              <w:t>љ</w:t>
            </w:r>
            <w:r w:rsidR="008D69AF" w:rsidRPr="005303F7">
              <w:rPr>
                <w:rFonts w:ascii="Times New Roman" w:hAnsi="Times New Roman"/>
                <w:bCs/>
                <w:sz w:val="20"/>
                <w:lang w:val="sr-Cyrl-CS"/>
              </w:rPr>
              <w:t>авања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ажурирања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катастра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усклађивања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кориш</w:t>
            </w:r>
            <w:r w:rsidR="00016298" w:rsidRPr="005303F7">
              <w:rPr>
                <w:rFonts w:ascii="Times New Roman" w:hAnsi="Times New Roman"/>
                <w:bCs/>
                <w:sz w:val="20"/>
                <w:lang w:val="sr-Cyrl-CS"/>
              </w:rPr>
              <w:t>ћ</w:t>
            </w:r>
            <w:r w:rsidR="008D69AF" w:rsidRPr="005303F7">
              <w:rPr>
                <w:rFonts w:ascii="Times New Roman" w:hAnsi="Times New Roman"/>
                <w:bCs/>
                <w:sz w:val="20"/>
                <w:lang w:val="sr-Cyrl-CS"/>
              </w:rPr>
              <w:t>ења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зем</w:t>
            </w:r>
            <w:r w:rsidR="00D553BE" w:rsidRPr="005303F7">
              <w:rPr>
                <w:rFonts w:ascii="Times New Roman" w:hAnsi="Times New Roman"/>
                <w:bCs/>
                <w:sz w:val="20"/>
                <w:lang w:val="sr-Cyrl-CS"/>
              </w:rPr>
              <w:t>љ</w:t>
            </w:r>
            <w:r w:rsidR="008D69AF" w:rsidRPr="005303F7">
              <w:rPr>
                <w:rFonts w:ascii="Times New Roman" w:hAnsi="Times New Roman"/>
                <w:bCs/>
                <w:sz w:val="20"/>
                <w:lang w:val="sr-Cyrl-CS"/>
              </w:rPr>
              <w:t>ишта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између</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различитих</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корисника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власника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предуслов</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је</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за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успешно</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подизање</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шумских</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плантажа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са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кратком</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опходњом</w:t>
            </w:r>
            <w:r w:rsidR="00415473"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уклањање</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свих</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међусекторских</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препрека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у</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вези</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са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спровођењем</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ове</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мере</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на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по</w:t>
            </w:r>
            <w:r w:rsidR="00D553BE" w:rsidRPr="005303F7">
              <w:rPr>
                <w:rFonts w:ascii="Times New Roman" w:hAnsi="Times New Roman"/>
                <w:bCs/>
                <w:sz w:val="20"/>
                <w:lang w:val="sr-Cyrl-CS"/>
              </w:rPr>
              <w:t>љ</w:t>
            </w:r>
            <w:r w:rsidR="008D69AF" w:rsidRPr="005303F7">
              <w:rPr>
                <w:rFonts w:ascii="Times New Roman" w:hAnsi="Times New Roman"/>
                <w:bCs/>
                <w:sz w:val="20"/>
                <w:lang w:val="sr-Cyrl-CS"/>
              </w:rPr>
              <w:t>опривредном</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зем</w:t>
            </w:r>
            <w:r w:rsidR="00D553BE" w:rsidRPr="005303F7">
              <w:rPr>
                <w:rFonts w:ascii="Times New Roman" w:hAnsi="Times New Roman"/>
                <w:bCs/>
                <w:sz w:val="20"/>
                <w:lang w:val="sr-Cyrl-CS"/>
              </w:rPr>
              <w:t>љ</w:t>
            </w:r>
            <w:r w:rsidR="008D69AF" w:rsidRPr="005303F7">
              <w:rPr>
                <w:rFonts w:ascii="Times New Roman" w:hAnsi="Times New Roman"/>
                <w:bCs/>
                <w:sz w:val="20"/>
                <w:lang w:val="sr-Cyrl-CS"/>
              </w:rPr>
              <w:t>ишту</w:t>
            </w:r>
            <w:r w:rsidR="00A953E4" w:rsidRPr="005303F7">
              <w:rPr>
                <w:rFonts w:ascii="Times New Roman" w:hAnsi="Times New Roman"/>
                <w:bCs/>
                <w:sz w:val="20"/>
                <w:lang w:val="sr-Cyrl-CS"/>
              </w:rPr>
              <w:t>.</w:t>
            </w:r>
          </w:p>
          <w:p w14:paraId="58384D97" w14:textId="5611C902" w:rsidR="00BD116A" w:rsidRPr="005303F7" w:rsidRDefault="008D69AF" w:rsidP="00707597">
            <w:pPr>
              <w:overflowPunct/>
              <w:spacing w:before="240"/>
              <w:rPr>
                <w:rFonts w:ascii="Times New Roman" w:hAnsi="Times New Roman"/>
                <w:b/>
                <w:bCs/>
                <w:sz w:val="20"/>
                <w:szCs w:val="18"/>
                <w:u w:val="single"/>
                <w:lang w:val="sr-Cyrl-CS"/>
              </w:rPr>
            </w:pPr>
            <w:r w:rsidRPr="005303F7">
              <w:rPr>
                <w:rFonts w:ascii="Times New Roman" w:hAnsi="Times New Roman"/>
                <w:b/>
                <w:bCs/>
                <w:sz w:val="20"/>
                <w:szCs w:val="18"/>
                <w:u w:val="single"/>
                <w:lang w:val="sr-Cyrl-CS"/>
              </w:rPr>
              <w:t>Процес</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преговора</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о</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приступању</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ЕУ</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Поглав</w:t>
            </w:r>
            <w:r w:rsidR="00D553BE" w:rsidRPr="005303F7">
              <w:rPr>
                <w:rFonts w:ascii="Times New Roman" w:hAnsi="Times New Roman"/>
                <w:b/>
                <w:bCs/>
                <w:sz w:val="20"/>
                <w:szCs w:val="18"/>
                <w:u w:val="single"/>
                <w:lang w:val="sr-Cyrl-CS"/>
              </w:rPr>
              <w:t>љ</w:t>
            </w:r>
            <w:r w:rsidRPr="005303F7">
              <w:rPr>
                <w:rFonts w:ascii="Times New Roman" w:hAnsi="Times New Roman"/>
                <w:b/>
                <w:bCs/>
                <w:sz w:val="20"/>
                <w:szCs w:val="18"/>
                <w:u w:val="single"/>
                <w:lang w:val="sr-Cyrl-CS"/>
              </w:rPr>
              <w:t>е</w:t>
            </w:r>
            <w:r w:rsidR="00A953E4" w:rsidRPr="005303F7">
              <w:rPr>
                <w:rFonts w:ascii="Times New Roman" w:hAnsi="Times New Roman"/>
                <w:b/>
                <w:bCs/>
                <w:sz w:val="20"/>
                <w:szCs w:val="18"/>
                <w:u w:val="single"/>
                <w:lang w:val="sr-Cyrl-CS"/>
              </w:rPr>
              <w:t xml:space="preserve"> 27 – </w:t>
            </w:r>
            <w:r w:rsidRPr="005303F7">
              <w:rPr>
                <w:rFonts w:ascii="Times New Roman" w:hAnsi="Times New Roman"/>
                <w:b/>
                <w:bCs/>
                <w:sz w:val="20"/>
                <w:szCs w:val="18"/>
                <w:u w:val="single"/>
                <w:lang w:val="sr-Cyrl-CS"/>
              </w:rPr>
              <w:t>Животна</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средина</w:t>
            </w:r>
          </w:p>
        </w:tc>
      </w:tr>
      <w:tr w:rsidR="00486ABE" w:rsidRPr="005303F7" w14:paraId="1C3A366C" w14:textId="77777777" w:rsidTr="00D519CC">
        <w:trPr>
          <w:trHeight w:val="442"/>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14:paraId="02E3C8F6" w14:textId="77777777" w:rsidR="00486ABE" w:rsidRPr="005303F7" w:rsidRDefault="00486ABE">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A138B1" w14:textId="12530409" w:rsidR="00486ABE" w:rsidRPr="005303F7" w:rsidRDefault="008D69AF">
            <w:pPr>
              <w:spacing w:after="0"/>
              <w:jc w:val="center"/>
              <w:rPr>
                <w:rFonts w:ascii="Times New Roman" w:hAnsi="Times New Roman"/>
                <w:b/>
                <w:bCs/>
                <w:sz w:val="20"/>
                <w:lang w:val="sr-Cyrl-CS"/>
              </w:rPr>
            </w:pPr>
            <w:r w:rsidRPr="005303F7">
              <w:rPr>
                <w:rFonts w:ascii="Times New Roman" w:hAnsi="Times New Roman"/>
                <w:b/>
                <w:sz w:val="20"/>
                <w:lang w:val="sr-Cyrl-CS"/>
              </w:rPr>
              <w:t>К</w:t>
            </w:r>
            <w:r w:rsidR="00D553BE" w:rsidRPr="005303F7">
              <w:rPr>
                <w:rFonts w:ascii="Times New Roman" w:hAnsi="Times New Roman"/>
                <w:b/>
                <w:sz w:val="20"/>
                <w:lang w:val="sr-Cyrl-CS"/>
              </w:rPr>
              <w:t>љ</w:t>
            </w:r>
            <w:r w:rsidRPr="005303F7">
              <w:rPr>
                <w:rFonts w:ascii="Times New Roman" w:hAnsi="Times New Roman"/>
                <w:b/>
                <w:sz w:val="20"/>
                <w:lang w:val="sr-Cyrl-CS"/>
              </w:rPr>
              <w:t>учни</w:t>
            </w:r>
            <w:r w:rsidR="00486ABE" w:rsidRPr="005303F7">
              <w:rPr>
                <w:rFonts w:ascii="Times New Roman" w:hAnsi="Times New Roman"/>
                <w:b/>
                <w:sz w:val="20"/>
                <w:lang w:val="sr-Cyrl-CS"/>
              </w:rPr>
              <w:t xml:space="preserve"> </w:t>
            </w:r>
            <w:r w:rsidRPr="005303F7">
              <w:rPr>
                <w:rFonts w:ascii="Times New Roman" w:hAnsi="Times New Roman"/>
                <w:b/>
                <w:sz w:val="20"/>
                <w:lang w:val="sr-Cyrl-CS"/>
              </w:rPr>
              <w:t>субјекат</w:t>
            </w:r>
            <w:r w:rsidR="00486ABE" w:rsidRPr="005303F7">
              <w:rPr>
                <w:rFonts w:ascii="Times New Roman" w:hAnsi="Times New Roman"/>
                <w:b/>
                <w:sz w:val="20"/>
                <w:lang w:val="sr-Cyrl-CS"/>
              </w:rPr>
              <w:t xml:space="preserve"> </w:t>
            </w:r>
            <w:r w:rsidRPr="005303F7">
              <w:rPr>
                <w:rFonts w:ascii="Times New Roman" w:hAnsi="Times New Roman"/>
                <w:b/>
                <w:sz w:val="20"/>
                <w:lang w:val="sr-Cyrl-CS"/>
              </w:rPr>
              <w:t>за</w:t>
            </w:r>
            <w:r w:rsidR="00486ABE" w:rsidRPr="005303F7">
              <w:rPr>
                <w:rFonts w:ascii="Times New Roman" w:hAnsi="Times New Roman"/>
                <w:b/>
                <w:sz w:val="20"/>
                <w:lang w:val="sr-Cyrl-CS"/>
              </w:rPr>
              <w:t xml:space="preserve"> </w:t>
            </w:r>
            <w:r w:rsidRPr="005303F7">
              <w:rPr>
                <w:rFonts w:ascii="Times New Roman" w:hAnsi="Times New Roman"/>
                <w:b/>
                <w:sz w:val="20"/>
                <w:lang w:val="sr-Cyrl-CS"/>
              </w:rPr>
              <w:t>спровођење</w:t>
            </w:r>
            <w:r w:rsidR="00486ABE" w:rsidRPr="005303F7">
              <w:rPr>
                <w:rFonts w:ascii="Times New Roman" w:hAnsi="Times New Roman"/>
                <w:b/>
                <w:sz w:val="20"/>
                <w:lang w:val="sr-Cyrl-CS"/>
              </w:rPr>
              <w:t xml:space="preserve"> </w:t>
            </w:r>
            <w:r w:rsidRPr="005303F7">
              <w:rPr>
                <w:rFonts w:ascii="Times New Roman" w:hAnsi="Times New Roman"/>
                <w:b/>
                <w:sz w:val="20"/>
                <w:lang w:val="sr-Cyrl-CS"/>
              </w:rPr>
              <w:t>мере</w:t>
            </w:r>
          </w:p>
        </w:tc>
        <w:tc>
          <w:tcPr>
            <w:tcW w:w="707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08DF65" w14:textId="7006F519" w:rsidR="00486ABE" w:rsidRPr="005303F7" w:rsidRDefault="008D69AF">
            <w:pPr>
              <w:overflowPunct/>
              <w:spacing w:after="0"/>
              <w:jc w:val="center"/>
              <w:rPr>
                <w:rFonts w:ascii="Times New Roman" w:hAnsi="Times New Roman"/>
                <w:b/>
                <w:bCs/>
                <w:sz w:val="20"/>
                <w:lang w:val="sr-Cyrl-CS"/>
              </w:rPr>
            </w:pPr>
            <w:r w:rsidRPr="005303F7">
              <w:rPr>
                <w:rFonts w:ascii="Times New Roman" w:hAnsi="Times New Roman"/>
                <w:b/>
                <w:sz w:val="20"/>
                <w:lang w:val="sr-Cyrl-CS"/>
              </w:rPr>
              <w:t>Партнери</w:t>
            </w:r>
          </w:p>
        </w:tc>
        <w:tc>
          <w:tcPr>
            <w:tcW w:w="127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BA6333" w14:textId="17E17B2B" w:rsidR="00486ABE" w:rsidRPr="005303F7" w:rsidRDefault="00D7102F" w:rsidP="0070650E">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ЕТS/</w:t>
            </w:r>
            <w:r w:rsidR="004A35C7" w:rsidRPr="005303F7">
              <w:rPr>
                <w:rFonts w:ascii="Times New Roman" w:hAnsi="Times New Roman"/>
                <w:b/>
                <w:sz w:val="20"/>
                <w:lang w:val="sr-Cyrl-CS"/>
              </w:rPr>
              <w:t>не-ЕТS</w:t>
            </w:r>
          </w:p>
        </w:tc>
        <w:tc>
          <w:tcPr>
            <w:tcW w:w="10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C6F72" w14:textId="0BA70B20" w:rsidR="00486ABE" w:rsidRPr="005303F7" w:rsidRDefault="008D69AF">
            <w:pPr>
              <w:overflowPunct/>
              <w:spacing w:after="0"/>
              <w:ind w:left="-99" w:right="-114"/>
              <w:jc w:val="center"/>
              <w:rPr>
                <w:rFonts w:ascii="Times New Roman" w:hAnsi="Times New Roman"/>
                <w:b/>
                <w:bCs/>
                <w:sz w:val="20"/>
                <w:lang w:val="sr-Cyrl-CS"/>
              </w:rPr>
            </w:pPr>
            <w:r w:rsidRPr="005303F7">
              <w:rPr>
                <w:rFonts w:ascii="Times New Roman" w:hAnsi="Times New Roman"/>
                <w:b/>
                <w:sz w:val="20"/>
                <w:lang w:val="sr-Cyrl-CS"/>
              </w:rPr>
              <w:t>Главни</w:t>
            </w:r>
            <w:r w:rsidR="00486ABE" w:rsidRPr="005303F7">
              <w:rPr>
                <w:rFonts w:ascii="Times New Roman" w:hAnsi="Times New Roman"/>
                <w:b/>
                <w:sz w:val="20"/>
                <w:lang w:val="sr-Cyrl-CS"/>
              </w:rPr>
              <w:t xml:space="preserve"> </w:t>
            </w:r>
            <w:r w:rsidRPr="005303F7">
              <w:rPr>
                <w:rFonts w:ascii="Times New Roman" w:hAnsi="Times New Roman"/>
                <w:b/>
                <w:sz w:val="20"/>
                <w:lang w:val="sr-Cyrl-CS"/>
              </w:rPr>
              <w:t>гасови</w:t>
            </w:r>
          </w:p>
        </w:tc>
        <w:tc>
          <w:tcPr>
            <w:tcW w:w="28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8ADD6C" w14:textId="57AA42F2" w:rsidR="00D7102F" w:rsidRPr="005303F7" w:rsidRDefault="00700C33"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Процењене у</w:t>
            </w:r>
            <w:r w:rsidR="00A754DD" w:rsidRPr="005303F7">
              <w:rPr>
                <w:rFonts w:ascii="Times New Roman" w:hAnsi="Times New Roman"/>
                <w:b/>
                <w:bCs/>
                <w:sz w:val="20"/>
                <w:lang w:val="sr-Cyrl-CS"/>
              </w:rPr>
              <w:t xml:space="preserve">клоњене количине </w:t>
            </w:r>
            <w:r w:rsidR="00D7102F" w:rsidRPr="005303F7">
              <w:rPr>
                <w:rFonts w:ascii="Times New Roman" w:hAnsi="Times New Roman"/>
                <w:b/>
                <w:bCs/>
                <w:sz w:val="20"/>
                <w:lang w:val="sr-Cyrl-CS"/>
              </w:rPr>
              <w:t xml:space="preserve">до 2030. </w:t>
            </w:r>
          </w:p>
          <w:p w14:paraId="019A6C52" w14:textId="5852B879" w:rsidR="00486ABE"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BD116A" w:rsidRPr="005303F7" w14:paraId="1DBFAB00" w14:textId="77777777" w:rsidTr="00D519CC">
        <w:trPr>
          <w:trHeight w:val="493"/>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14:paraId="00467C4B" w14:textId="77777777" w:rsidR="00BD116A" w:rsidRPr="005303F7" w:rsidRDefault="00BD116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1B0AEC" w14:textId="30169B13"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A1583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опривреде</w:t>
            </w:r>
            <w:r w:rsidR="00A1583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шумарства</w:t>
            </w:r>
            <w:r w:rsidR="00A1583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A1583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водопривреде</w:t>
            </w:r>
          </w:p>
        </w:tc>
        <w:tc>
          <w:tcPr>
            <w:tcW w:w="7072"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ECE5F" w14:textId="7079800F" w:rsidR="00BD116A" w:rsidRPr="005303F7" w:rsidRDefault="008D69AF" w:rsidP="00F850DD">
            <w:pPr>
              <w:overflowPunct/>
              <w:spacing w:after="0"/>
              <w:jc w:val="center"/>
              <w:rPr>
                <w:rFonts w:ascii="Times New Roman" w:hAnsi="Times New Roman"/>
                <w:bCs/>
                <w:sz w:val="20"/>
                <w:lang w:val="sr-Cyrl-CS"/>
              </w:rPr>
            </w:pPr>
            <w:r w:rsidRPr="005303F7">
              <w:rPr>
                <w:rFonts w:ascii="Times New Roman" w:hAnsi="Times New Roman"/>
                <w:bCs/>
                <w:sz w:val="20"/>
                <w:lang w:val="sr-Cyrl-CS"/>
              </w:rPr>
              <w:t>Истраживачке</w:t>
            </w:r>
            <w:r w:rsidR="00A15831" w:rsidRPr="005303F7">
              <w:rPr>
                <w:rFonts w:ascii="Times New Roman" w:hAnsi="Times New Roman"/>
                <w:bCs/>
                <w:sz w:val="20"/>
                <w:lang w:val="sr-Cyrl-CS"/>
              </w:rPr>
              <w:t xml:space="preserve"> </w:t>
            </w:r>
            <w:r w:rsidRPr="005303F7">
              <w:rPr>
                <w:rFonts w:ascii="Times New Roman" w:hAnsi="Times New Roman"/>
                <w:bCs/>
                <w:sz w:val="20"/>
                <w:lang w:val="sr-Cyrl-CS"/>
              </w:rPr>
              <w:t>институције</w:t>
            </w:r>
            <w:r w:rsidR="00A15831" w:rsidRPr="005303F7">
              <w:rPr>
                <w:rFonts w:ascii="Times New Roman" w:hAnsi="Times New Roman"/>
                <w:bCs/>
                <w:sz w:val="20"/>
                <w:lang w:val="sr-Cyrl-CS"/>
              </w:rPr>
              <w:t xml:space="preserve">, </w:t>
            </w:r>
            <w:r w:rsidR="00F850DD" w:rsidRPr="005303F7">
              <w:rPr>
                <w:rFonts w:ascii="Times New Roman" w:hAnsi="Times New Roman"/>
                <w:bCs/>
                <w:sz w:val="20"/>
                <w:lang w:val="sr-Cyrl-CS"/>
              </w:rPr>
              <w:t xml:space="preserve">Управа </w:t>
            </w:r>
            <w:r w:rsidRPr="005303F7">
              <w:rPr>
                <w:rFonts w:ascii="Times New Roman" w:hAnsi="Times New Roman"/>
                <w:bCs/>
                <w:sz w:val="20"/>
                <w:lang w:val="sr-Cyrl-CS"/>
              </w:rPr>
              <w:t>за</w:t>
            </w:r>
            <w:r w:rsidR="00A15831" w:rsidRPr="005303F7">
              <w:rPr>
                <w:rFonts w:ascii="Times New Roman" w:hAnsi="Times New Roman"/>
                <w:bCs/>
                <w:sz w:val="20"/>
                <w:lang w:val="sr-Cyrl-CS"/>
              </w:rPr>
              <w:t xml:space="preserve"> </w:t>
            </w:r>
            <w:r w:rsidRPr="005303F7">
              <w:rPr>
                <w:rFonts w:ascii="Times New Roman" w:hAnsi="Times New Roman"/>
                <w:bCs/>
                <w:sz w:val="20"/>
                <w:lang w:val="sr-Cyrl-CS"/>
              </w:rPr>
              <w:t>аграрна</w:t>
            </w:r>
            <w:r w:rsidR="00A15831" w:rsidRPr="005303F7">
              <w:rPr>
                <w:rFonts w:ascii="Times New Roman" w:hAnsi="Times New Roman"/>
                <w:bCs/>
                <w:sz w:val="20"/>
                <w:lang w:val="sr-Cyrl-CS"/>
              </w:rPr>
              <w:t xml:space="preserve"> </w:t>
            </w:r>
            <w:r w:rsidRPr="005303F7">
              <w:rPr>
                <w:rFonts w:ascii="Times New Roman" w:hAnsi="Times New Roman"/>
                <w:bCs/>
                <w:sz w:val="20"/>
                <w:lang w:val="sr-Cyrl-CS"/>
              </w:rPr>
              <w:t>плаћања</w:t>
            </w:r>
            <w:r w:rsidR="00A15831" w:rsidRPr="005303F7">
              <w:rPr>
                <w:rFonts w:ascii="Times New Roman" w:hAnsi="Times New Roman"/>
                <w:bCs/>
                <w:sz w:val="20"/>
                <w:lang w:val="sr-Cyrl-CS"/>
              </w:rPr>
              <w:t xml:space="preserve">, </w:t>
            </w:r>
            <w:r w:rsidRPr="005303F7">
              <w:rPr>
                <w:rFonts w:ascii="Times New Roman" w:hAnsi="Times New Roman"/>
                <w:bCs/>
                <w:sz w:val="20"/>
                <w:lang w:val="sr-Cyrl-CS"/>
              </w:rPr>
              <w:t>Организације</w:t>
            </w:r>
            <w:r w:rsidR="00A15831" w:rsidRPr="005303F7">
              <w:rPr>
                <w:rFonts w:ascii="Times New Roman" w:hAnsi="Times New Roman"/>
                <w:bCs/>
                <w:sz w:val="20"/>
                <w:lang w:val="sr-Cyrl-CS"/>
              </w:rPr>
              <w:t xml:space="preserve"> </w:t>
            </w:r>
            <w:r w:rsidRPr="005303F7">
              <w:rPr>
                <w:rFonts w:ascii="Times New Roman" w:hAnsi="Times New Roman"/>
                <w:bCs/>
                <w:sz w:val="20"/>
                <w:lang w:val="sr-Cyrl-CS"/>
              </w:rPr>
              <w:t>одговорне</w:t>
            </w:r>
            <w:r w:rsidR="00A15831" w:rsidRPr="005303F7">
              <w:rPr>
                <w:rFonts w:ascii="Times New Roman" w:hAnsi="Times New Roman"/>
                <w:bCs/>
                <w:sz w:val="20"/>
                <w:lang w:val="sr-Cyrl-CS"/>
              </w:rPr>
              <w:t xml:space="preserve"> </w:t>
            </w:r>
            <w:r w:rsidRPr="005303F7">
              <w:rPr>
                <w:rFonts w:ascii="Times New Roman" w:hAnsi="Times New Roman"/>
                <w:bCs/>
                <w:sz w:val="20"/>
                <w:lang w:val="sr-Cyrl-CS"/>
              </w:rPr>
              <w:t>за</w:t>
            </w:r>
            <w:r w:rsidR="00A15831" w:rsidRPr="005303F7">
              <w:rPr>
                <w:rFonts w:ascii="Times New Roman" w:hAnsi="Times New Roman"/>
                <w:bCs/>
                <w:sz w:val="20"/>
                <w:lang w:val="sr-Cyrl-CS"/>
              </w:rPr>
              <w:t xml:space="preserve"> </w:t>
            </w:r>
            <w:r w:rsidRPr="005303F7">
              <w:rPr>
                <w:rFonts w:ascii="Times New Roman" w:hAnsi="Times New Roman"/>
                <w:bCs/>
                <w:sz w:val="20"/>
                <w:lang w:val="sr-Cyrl-CS"/>
              </w:rPr>
              <w:t>газдовање</w:t>
            </w:r>
            <w:r w:rsidR="00A15831" w:rsidRPr="005303F7">
              <w:rPr>
                <w:rFonts w:ascii="Times New Roman" w:hAnsi="Times New Roman"/>
                <w:bCs/>
                <w:sz w:val="20"/>
                <w:lang w:val="sr-Cyrl-CS"/>
              </w:rPr>
              <w:t xml:space="preserve"> </w:t>
            </w:r>
            <w:r w:rsidRPr="005303F7">
              <w:rPr>
                <w:rFonts w:ascii="Times New Roman" w:hAnsi="Times New Roman"/>
                <w:bCs/>
                <w:sz w:val="20"/>
                <w:lang w:val="sr-Cyrl-CS"/>
              </w:rPr>
              <w:t>шумама</w:t>
            </w:r>
            <w:r w:rsidR="00A15831" w:rsidRPr="005303F7">
              <w:rPr>
                <w:rFonts w:ascii="Times New Roman" w:hAnsi="Times New Roman"/>
                <w:bCs/>
                <w:sz w:val="20"/>
                <w:lang w:val="sr-Cyrl-CS"/>
              </w:rPr>
              <w:t xml:space="preserve">, </w:t>
            </w:r>
            <w:r w:rsidRPr="005303F7">
              <w:rPr>
                <w:rFonts w:ascii="Times New Roman" w:hAnsi="Times New Roman"/>
                <w:bCs/>
                <w:sz w:val="20"/>
                <w:lang w:val="sr-Cyrl-CS"/>
              </w:rPr>
              <w:t>приватни</w:t>
            </w:r>
            <w:r w:rsidR="00A15831" w:rsidRPr="005303F7">
              <w:rPr>
                <w:rFonts w:ascii="Times New Roman" w:hAnsi="Times New Roman"/>
                <w:bCs/>
                <w:sz w:val="20"/>
                <w:lang w:val="sr-Cyrl-CS"/>
              </w:rPr>
              <w:t xml:space="preserve"> </w:t>
            </w:r>
            <w:r w:rsidRPr="005303F7">
              <w:rPr>
                <w:rFonts w:ascii="Times New Roman" w:hAnsi="Times New Roman"/>
                <w:bCs/>
                <w:sz w:val="20"/>
                <w:lang w:val="sr-Cyrl-CS"/>
              </w:rPr>
              <w:t>власници</w:t>
            </w:r>
            <w:r w:rsidR="00A15831" w:rsidRPr="005303F7">
              <w:rPr>
                <w:rFonts w:ascii="Times New Roman" w:hAnsi="Times New Roman"/>
                <w:bCs/>
                <w:sz w:val="20"/>
                <w:lang w:val="sr-Cyrl-CS"/>
              </w:rPr>
              <w:t xml:space="preserve"> </w:t>
            </w:r>
            <w:r w:rsidRPr="005303F7">
              <w:rPr>
                <w:rFonts w:ascii="Times New Roman" w:hAnsi="Times New Roman"/>
                <w:bCs/>
                <w:sz w:val="20"/>
                <w:lang w:val="sr-Cyrl-CS"/>
              </w:rPr>
              <w:t>шума</w:t>
            </w:r>
          </w:p>
        </w:tc>
        <w:tc>
          <w:tcPr>
            <w:tcW w:w="127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BFFFCB" w14:textId="46C5CFF6" w:rsidR="00BD116A" w:rsidRPr="005303F7" w:rsidRDefault="004A35C7">
            <w:pPr>
              <w:overflowPunct/>
              <w:spacing w:after="0"/>
              <w:jc w:val="center"/>
              <w:rPr>
                <w:rFonts w:ascii="Times New Roman" w:hAnsi="Times New Roman"/>
                <w:bCs/>
                <w:sz w:val="20"/>
                <w:lang w:val="sr-Cyrl-CS"/>
              </w:rPr>
            </w:pPr>
            <w:r w:rsidRPr="005303F7">
              <w:rPr>
                <w:rFonts w:ascii="Times New Roman" w:hAnsi="Times New Roman"/>
                <w:bCs/>
                <w:sz w:val="20"/>
                <w:lang w:val="sr-Cyrl-CS"/>
              </w:rPr>
              <w:t>не-ЕТS</w:t>
            </w:r>
          </w:p>
        </w:tc>
        <w:tc>
          <w:tcPr>
            <w:tcW w:w="10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C4F8D8" w14:textId="38765B2F" w:rsidR="00BD116A" w:rsidRPr="005303F7" w:rsidRDefault="00690489">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C</w:t>
            </w:r>
            <w:r w:rsidR="008D69AF" w:rsidRPr="005303F7">
              <w:rPr>
                <w:rFonts w:ascii="Times New Roman" w:hAnsi="Times New Roman"/>
                <w:bCs/>
                <w:color w:val="000000"/>
                <w:sz w:val="20"/>
                <w:lang w:val="sr-Cyrl-CS"/>
              </w:rPr>
              <w:t>О</w:t>
            </w:r>
            <w:r w:rsidR="00BD116A" w:rsidRPr="005303F7">
              <w:rPr>
                <w:rFonts w:ascii="Times New Roman" w:hAnsi="Times New Roman"/>
                <w:bCs/>
                <w:color w:val="000000"/>
                <w:sz w:val="20"/>
                <w:vertAlign w:val="subscript"/>
                <w:lang w:val="sr-Cyrl-CS"/>
              </w:rPr>
              <w:t>2</w:t>
            </w:r>
          </w:p>
        </w:tc>
        <w:tc>
          <w:tcPr>
            <w:tcW w:w="28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B581A" w14:textId="77777777" w:rsidR="00BD116A" w:rsidRPr="005303F7" w:rsidRDefault="00BD116A">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654,9</w:t>
            </w:r>
          </w:p>
        </w:tc>
      </w:tr>
      <w:tr w:rsidR="00BD116A" w:rsidRPr="005303F7" w14:paraId="126476C6" w14:textId="77777777" w:rsidTr="00D519CC">
        <w:trPr>
          <w:trHeight w:val="442"/>
        </w:trPr>
        <w:tc>
          <w:tcPr>
            <w:tcW w:w="696" w:type="dxa"/>
            <w:gridSpan w:val="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5D0FD266" w14:textId="00A60673" w:rsidR="00BD116A" w:rsidRPr="005303F7" w:rsidRDefault="008D69AF">
            <w:pPr>
              <w:overflowPunct/>
              <w:spacing w:after="0"/>
              <w:rPr>
                <w:rFonts w:ascii="Times New Roman" w:hAnsi="Times New Roman"/>
                <w:szCs w:val="22"/>
                <w:lang w:val="sr-Cyrl-CS"/>
              </w:rPr>
            </w:pPr>
            <w:r w:rsidRPr="005303F7">
              <w:rPr>
                <w:rFonts w:ascii="Times New Roman" w:hAnsi="Times New Roman"/>
                <w:szCs w:val="22"/>
                <w:lang w:val="sr-Cyrl-CS"/>
              </w:rPr>
              <w:t>Бр</w:t>
            </w:r>
            <w:r w:rsidR="00BD116A" w:rsidRPr="005303F7">
              <w:rPr>
                <w:rFonts w:ascii="Times New Roman" w:hAnsi="Times New Roman"/>
                <w:szCs w:val="22"/>
                <w:lang w:val="sr-Cyrl-CS"/>
              </w:rPr>
              <w:t>.</w:t>
            </w:r>
          </w:p>
        </w:tc>
        <w:tc>
          <w:tcPr>
            <w:tcW w:w="15365" w:type="dxa"/>
            <w:gridSpan w:val="24"/>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4307841F" w14:textId="73AA6A46" w:rsidR="00BD116A" w:rsidRPr="005303F7" w:rsidRDefault="008D69AF" w:rsidP="00652668">
            <w:pPr>
              <w:overflowPunct/>
              <w:jc w:val="left"/>
              <w:rPr>
                <w:rFonts w:ascii="Times New Roman" w:hAnsi="Times New Roman"/>
                <w:b/>
                <w:szCs w:val="22"/>
                <w:u w:val="single"/>
                <w:lang w:val="sr-Cyrl-CS"/>
              </w:rPr>
            </w:pPr>
            <w:r w:rsidRPr="005303F7">
              <w:rPr>
                <w:rFonts w:ascii="Times New Roman" w:hAnsi="Times New Roman"/>
                <w:b/>
                <w:bCs/>
                <w:sz w:val="20"/>
                <w:lang w:val="sr-Cyrl-CS"/>
              </w:rPr>
              <w:t>Назив</w:t>
            </w:r>
            <w:r w:rsidR="004137EC"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r w:rsidR="00BD116A" w:rsidRPr="005303F7">
              <w:rPr>
                <w:rFonts w:ascii="Times New Roman" w:hAnsi="Times New Roman"/>
                <w:b/>
                <w:bCs/>
                <w:sz w:val="20"/>
                <w:lang w:val="sr-Cyrl-CS"/>
              </w:rPr>
              <w:t xml:space="preserve">: </w:t>
            </w:r>
            <w:r w:rsidRPr="005303F7">
              <w:rPr>
                <w:rFonts w:ascii="Times New Roman" w:hAnsi="Times New Roman"/>
                <w:b/>
                <w:bCs/>
                <w:sz w:val="20"/>
                <w:u w:val="single"/>
                <w:lang w:val="sr-Cyrl-CS"/>
              </w:rPr>
              <w:t>Обнав</w:t>
            </w:r>
            <w:r w:rsidR="00D553BE" w:rsidRPr="005303F7">
              <w:rPr>
                <w:rFonts w:ascii="Times New Roman" w:hAnsi="Times New Roman"/>
                <w:b/>
                <w:bCs/>
                <w:sz w:val="20"/>
                <w:u w:val="single"/>
                <w:lang w:val="sr-Cyrl-CS"/>
              </w:rPr>
              <w:t>љ</w:t>
            </w:r>
            <w:r w:rsidRPr="005303F7">
              <w:rPr>
                <w:rFonts w:ascii="Times New Roman" w:hAnsi="Times New Roman"/>
                <w:b/>
                <w:bCs/>
                <w:sz w:val="20"/>
                <w:u w:val="single"/>
                <w:lang w:val="sr-Cyrl-CS"/>
              </w:rPr>
              <w:t>ање</w:t>
            </w:r>
            <w:r w:rsidR="008179B0"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презрелих</w:t>
            </w:r>
            <w:r w:rsidR="008179B0"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састојина</w:t>
            </w:r>
            <w:r w:rsidR="008179B0" w:rsidRPr="005303F7">
              <w:rPr>
                <w:rFonts w:ascii="Times New Roman" w:hAnsi="Times New Roman"/>
                <w:b/>
                <w:bCs/>
                <w:sz w:val="20"/>
                <w:u w:val="single"/>
                <w:lang w:val="sr-Cyrl-CS"/>
              </w:rPr>
              <w:t xml:space="preserve"> (</w:t>
            </w:r>
            <w:r w:rsidRPr="005303F7">
              <w:rPr>
                <w:rFonts w:ascii="Times New Roman" w:hAnsi="Times New Roman"/>
                <w:b/>
                <w:bCs/>
                <w:sz w:val="20"/>
                <w:u w:val="single"/>
                <w:lang w:val="sr-Cyrl-CS"/>
              </w:rPr>
              <w:t>буква</w:t>
            </w:r>
            <w:r w:rsidR="008179B0" w:rsidRPr="005303F7">
              <w:rPr>
                <w:rFonts w:ascii="Times New Roman" w:hAnsi="Times New Roman"/>
                <w:b/>
                <w:bCs/>
                <w:sz w:val="20"/>
                <w:u w:val="single"/>
                <w:lang w:val="sr-Cyrl-CS"/>
              </w:rPr>
              <w:t>)</w:t>
            </w:r>
          </w:p>
        </w:tc>
      </w:tr>
      <w:tr w:rsidR="00BD116A" w:rsidRPr="005303F7" w14:paraId="73FF0DF8" w14:textId="77777777" w:rsidTr="00D519CC">
        <w:trPr>
          <w:trHeight w:val="3356"/>
        </w:trPr>
        <w:tc>
          <w:tcPr>
            <w:tcW w:w="6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32D57C8" w14:textId="77777777" w:rsidR="00BD116A" w:rsidRPr="005303F7" w:rsidRDefault="00BD116A">
            <w:pPr>
              <w:overflowPunct/>
              <w:spacing w:after="0"/>
              <w:jc w:val="center"/>
              <w:rPr>
                <w:rFonts w:ascii="Times New Roman" w:hAnsi="Times New Roman"/>
                <w:b/>
                <w:color w:val="000000"/>
                <w:sz w:val="20"/>
                <w:lang w:val="sr-Cyrl-CS"/>
              </w:rPr>
            </w:pPr>
            <w:r w:rsidRPr="005303F7">
              <w:rPr>
                <w:rFonts w:ascii="Times New Roman" w:hAnsi="Times New Roman"/>
                <w:b/>
                <w:color w:val="000000"/>
                <w:sz w:val="20"/>
                <w:lang w:val="sr-Cyrl-CS"/>
              </w:rPr>
              <w:t>23</w:t>
            </w:r>
          </w:p>
        </w:tc>
        <w:tc>
          <w:tcPr>
            <w:tcW w:w="15365" w:type="dxa"/>
            <w:gridSpan w:val="24"/>
            <w:tcBorders>
              <w:top w:val="single" w:sz="4" w:space="0" w:color="auto"/>
              <w:left w:val="single" w:sz="4" w:space="0" w:color="auto"/>
              <w:bottom w:val="single" w:sz="4" w:space="0" w:color="auto"/>
              <w:right w:val="single" w:sz="4" w:space="0" w:color="auto"/>
            </w:tcBorders>
            <w:vAlign w:val="center"/>
          </w:tcPr>
          <w:p w14:paraId="41424EEF" w14:textId="36792EC8" w:rsidR="00A953E4" w:rsidRPr="005303F7" w:rsidRDefault="008D69AF" w:rsidP="00A953E4">
            <w:pPr>
              <w:overflowPunct/>
              <w:jc w:val="left"/>
              <w:rPr>
                <w:rFonts w:ascii="Times New Roman" w:hAnsi="Times New Roman"/>
                <w:b/>
                <w:sz w:val="20"/>
                <w:u w:val="single"/>
                <w:lang w:val="sr-Cyrl-CS"/>
              </w:rPr>
            </w:pPr>
            <w:r w:rsidRPr="005303F7">
              <w:rPr>
                <w:rFonts w:ascii="Times New Roman" w:hAnsi="Times New Roman"/>
                <w:b/>
                <w:sz w:val="20"/>
                <w:u w:val="single"/>
                <w:lang w:val="sr-Cyrl-CS"/>
              </w:rPr>
              <w:t>Врста</w:t>
            </w:r>
            <w:r w:rsidR="00A953E4"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мере</w:t>
            </w:r>
            <w:r w:rsidR="00A953E4" w:rsidRPr="005303F7">
              <w:rPr>
                <w:rFonts w:ascii="Times New Roman" w:hAnsi="Times New Roman"/>
                <w:b/>
                <w:sz w:val="20"/>
                <w:u w:val="single"/>
                <w:lang w:val="sr-Cyrl-CS"/>
              </w:rPr>
              <w:t>:</w:t>
            </w:r>
            <w:r w:rsidR="00A953E4" w:rsidRPr="005303F7">
              <w:rPr>
                <w:rFonts w:ascii="Times New Roman" w:hAnsi="Times New Roman"/>
                <w:b/>
                <w:sz w:val="20"/>
                <w:lang w:val="sr-Cyrl-CS"/>
              </w:rPr>
              <w:t xml:space="preserve"> </w:t>
            </w:r>
            <w:r w:rsidRPr="005303F7">
              <w:rPr>
                <w:rFonts w:ascii="Times New Roman" w:hAnsi="Times New Roman"/>
                <w:bCs/>
                <w:sz w:val="20"/>
                <w:lang w:val="sr-Cyrl-CS"/>
              </w:rPr>
              <w:t>Регулаторна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подстицајна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информативно</w:t>
            </w:r>
            <w:r w:rsidR="00A953E4" w:rsidRPr="005303F7">
              <w:rPr>
                <w:rFonts w:ascii="Times New Roman" w:hAnsi="Times New Roman"/>
                <w:bCs/>
                <w:sz w:val="20"/>
                <w:lang w:val="sr-Cyrl-CS"/>
              </w:rPr>
              <w:t>-</w:t>
            </w:r>
            <w:r w:rsidRPr="005303F7">
              <w:rPr>
                <w:rFonts w:ascii="Times New Roman" w:hAnsi="Times New Roman"/>
                <w:bCs/>
                <w:sz w:val="20"/>
                <w:lang w:val="sr-Cyrl-CS"/>
              </w:rPr>
              <w:t>едукативна</w:t>
            </w:r>
            <w:r w:rsidR="00415473" w:rsidRPr="005303F7">
              <w:rPr>
                <w:rFonts w:ascii="Times New Roman" w:hAnsi="Times New Roman"/>
                <w:bCs/>
                <w:sz w:val="20"/>
                <w:lang w:val="sr-Cyrl-CS"/>
              </w:rPr>
              <w:t xml:space="preserve"> </w:t>
            </w:r>
          </w:p>
          <w:p w14:paraId="27DB0AA1" w14:textId="6F9BE891" w:rsidR="00A953E4" w:rsidRPr="005303F7" w:rsidRDefault="008D69AF" w:rsidP="00A953E4">
            <w:pPr>
              <w:overflowPunct/>
              <w:spacing w:after="0"/>
              <w:rPr>
                <w:rFonts w:ascii="Times New Roman" w:hAnsi="Times New Roman"/>
                <w:bCs/>
                <w:sz w:val="20"/>
                <w:lang w:val="sr-Cyrl-CS"/>
              </w:rPr>
            </w:pPr>
            <w:r w:rsidRPr="005303F7">
              <w:rPr>
                <w:rFonts w:ascii="Times New Roman" w:hAnsi="Times New Roman"/>
                <w:b/>
                <w:sz w:val="20"/>
                <w:u w:val="single"/>
                <w:lang w:val="sr-Cyrl-CS"/>
              </w:rPr>
              <w:t>Опис</w:t>
            </w:r>
            <w:r w:rsidR="00A953E4" w:rsidRPr="005303F7">
              <w:rPr>
                <w:rFonts w:ascii="Times New Roman" w:hAnsi="Times New Roman"/>
                <w:b/>
                <w:sz w:val="20"/>
                <w:u w:val="single"/>
                <w:lang w:val="sr-Cyrl-CS"/>
              </w:rPr>
              <w:t xml:space="preserve"> </w:t>
            </w:r>
            <w:r w:rsidRPr="005303F7">
              <w:rPr>
                <w:rFonts w:ascii="Times New Roman" w:hAnsi="Times New Roman"/>
                <w:b/>
                <w:sz w:val="20"/>
                <w:u w:val="single"/>
                <w:lang w:val="sr-Cyrl-CS"/>
              </w:rPr>
              <w:t>мере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Ци</w:t>
            </w:r>
            <w:r w:rsidR="00D553BE" w:rsidRPr="005303F7">
              <w:rPr>
                <w:rFonts w:ascii="Times New Roman" w:hAnsi="Times New Roman"/>
                <w:bCs/>
                <w:sz w:val="20"/>
                <w:lang w:val="sr-Cyrl-CS"/>
              </w:rPr>
              <w:t>љ</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је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завршетак</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производног</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процеса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у</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зрелим</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и</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презрелим</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састојинама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који</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имају</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смањену</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производност</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чак</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и</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негативне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ефекте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у</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погледу</w:t>
            </w:r>
            <w:r w:rsidR="00A953E4" w:rsidRPr="005303F7">
              <w:rPr>
                <w:rFonts w:ascii="Times New Roman" w:hAnsi="Times New Roman"/>
                <w:bCs/>
                <w:sz w:val="20"/>
                <w:lang w:val="sr-Cyrl-CS"/>
              </w:rPr>
              <w:t xml:space="preserve"> </w:t>
            </w:r>
            <w:r w:rsidR="00000561" w:rsidRPr="005303F7">
              <w:rPr>
                <w:rFonts w:ascii="Times New Roman" w:hAnsi="Times New Roman"/>
                <w:bCs/>
                <w:sz w:val="20"/>
                <w:lang w:val="sr-Cyrl-CS"/>
              </w:rPr>
              <w:t>C</w:t>
            </w:r>
            <w:r w:rsidRPr="005303F7">
              <w:rPr>
                <w:rFonts w:ascii="Times New Roman" w:hAnsi="Times New Roman"/>
                <w:bCs/>
                <w:sz w:val="20"/>
                <w:lang w:val="sr-Cyrl-CS"/>
              </w:rPr>
              <w:t>О</w:t>
            </w:r>
            <w:r w:rsidR="00A953E4" w:rsidRPr="005303F7">
              <w:rPr>
                <w:rFonts w:ascii="Times New Roman" w:hAnsi="Times New Roman"/>
                <w:bCs/>
                <w:sz w:val="20"/>
                <w:vertAlign w:val="subscript"/>
                <w:lang w:val="sr-Cyrl-CS"/>
              </w:rPr>
              <w:t>2</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и</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успостав</w:t>
            </w:r>
            <w:r w:rsidR="00D553BE" w:rsidRPr="005303F7">
              <w:rPr>
                <w:rFonts w:ascii="Times New Roman" w:hAnsi="Times New Roman"/>
                <w:bCs/>
                <w:sz w:val="20"/>
                <w:lang w:val="sr-Cyrl-CS"/>
              </w:rPr>
              <w:t>љ</w:t>
            </w:r>
            <w:r w:rsidRPr="005303F7">
              <w:rPr>
                <w:rFonts w:ascii="Times New Roman" w:hAnsi="Times New Roman"/>
                <w:bCs/>
                <w:sz w:val="20"/>
                <w:lang w:val="sr-Cyrl-CS"/>
              </w:rPr>
              <w:t>ање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природних</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или</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вештачки</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нових</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шумских</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састојина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са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високом</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продуктивнош</w:t>
            </w:r>
            <w:r w:rsidR="00016298" w:rsidRPr="005303F7">
              <w:rPr>
                <w:rFonts w:ascii="Times New Roman" w:hAnsi="Times New Roman"/>
                <w:bCs/>
                <w:sz w:val="20"/>
                <w:lang w:val="sr-Cyrl-CS"/>
              </w:rPr>
              <w:t>ћ</w:t>
            </w:r>
            <w:r w:rsidRPr="005303F7">
              <w:rPr>
                <w:rFonts w:ascii="Times New Roman" w:hAnsi="Times New Roman"/>
                <w:bCs/>
                <w:sz w:val="20"/>
                <w:lang w:val="sr-Cyrl-CS"/>
              </w:rPr>
              <w:t>у</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групимично</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мешовите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састојине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где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је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то</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могу</w:t>
            </w:r>
            <w:r w:rsidR="00016298" w:rsidRPr="005303F7">
              <w:rPr>
                <w:rFonts w:ascii="Times New Roman" w:hAnsi="Times New Roman"/>
                <w:bCs/>
                <w:sz w:val="20"/>
                <w:lang w:val="sr-Cyrl-CS"/>
              </w:rPr>
              <w:t>ћ</w:t>
            </w:r>
            <w:r w:rsidRPr="005303F7">
              <w:rPr>
                <w:rFonts w:ascii="Times New Roman" w:hAnsi="Times New Roman"/>
                <w:bCs/>
                <w:sz w:val="20"/>
                <w:lang w:val="sr-Cyrl-CS"/>
              </w:rPr>
              <w:t>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Ово</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је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од</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великог</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значаја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за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шумарство</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и</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ефекте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климатских</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промена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јер</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годишњи</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прираст</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старих</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састојина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износи</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испод</w:t>
            </w:r>
            <w:r w:rsidR="00A953E4" w:rsidRPr="005303F7">
              <w:rPr>
                <w:rFonts w:ascii="Times New Roman" w:hAnsi="Times New Roman"/>
                <w:bCs/>
                <w:sz w:val="20"/>
                <w:lang w:val="sr-Cyrl-CS"/>
              </w:rPr>
              <w:t xml:space="preserve"> 3 </w:t>
            </w:r>
            <w:r w:rsidR="00000561" w:rsidRPr="005303F7">
              <w:rPr>
                <w:rFonts w:ascii="Times New Roman" w:hAnsi="Times New Roman"/>
                <w:bCs/>
                <w:sz w:val="20"/>
                <w:lang w:val="sr-Cyrl-CS"/>
              </w:rPr>
              <w:t>m</w:t>
            </w:r>
            <w:r w:rsidR="00A953E4" w:rsidRPr="005303F7">
              <w:rPr>
                <w:rFonts w:ascii="Times New Roman" w:hAnsi="Times New Roman"/>
                <w:bCs/>
                <w:sz w:val="20"/>
                <w:vertAlign w:val="superscript"/>
                <w:lang w:val="sr-Cyrl-CS"/>
              </w:rPr>
              <w:t>3</w:t>
            </w:r>
            <w:r w:rsidR="00A953E4" w:rsidRPr="005303F7">
              <w:rPr>
                <w:rFonts w:ascii="Times New Roman" w:hAnsi="Times New Roman"/>
                <w:bCs/>
                <w:sz w:val="20"/>
                <w:lang w:val="sr-Cyrl-CS"/>
              </w:rPr>
              <w:t>/</w:t>
            </w:r>
            <w:r w:rsidR="00000561" w:rsidRPr="005303F7">
              <w:rPr>
                <w:rFonts w:ascii="Times New Roman" w:hAnsi="Times New Roman"/>
                <w:bCs/>
                <w:sz w:val="20"/>
                <w:lang w:val="sr-Cyrl-CS"/>
              </w:rPr>
              <w:t>h</w:t>
            </w:r>
            <w:r w:rsidRPr="005303F7">
              <w:rPr>
                <w:rFonts w:ascii="Times New Roman" w:hAnsi="Times New Roman"/>
                <w:bCs/>
                <w:sz w:val="20"/>
                <w:lang w:val="sr-Cyrl-CS"/>
              </w:rPr>
              <w:t>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њихов</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капацитет</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абсорпције</w:t>
            </w:r>
            <w:r w:rsidR="00A953E4" w:rsidRPr="005303F7">
              <w:rPr>
                <w:rFonts w:ascii="Times New Roman" w:hAnsi="Times New Roman"/>
                <w:bCs/>
                <w:sz w:val="20"/>
                <w:lang w:val="sr-Cyrl-CS"/>
              </w:rPr>
              <w:t xml:space="preserve"> </w:t>
            </w:r>
            <w:r w:rsidR="00000561" w:rsidRPr="005303F7">
              <w:rPr>
                <w:rFonts w:ascii="Times New Roman" w:hAnsi="Times New Roman"/>
                <w:bCs/>
                <w:sz w:val="20"/>
                <w:lang w:val="sr-Cyrl-CS"/>
              </w:rPr>
              <w:t>C</w:t>
            </w:r>
            <w:r w:rsidRPr="005303F7">
              <w:rPr>
                <w:rFonts w:ascii="Times New Roman" w:hAnsi="Times New Roman"/>
                <w:bCs/>
                <w:sz w:val="20"/>
                <w:lang w:val="sr-Cyrl-CS"/>
              </w:rPr>
              <w:t>О</w:t>
            </w:r>
            <w:r w:rsidR="00A953E4" w:rsidRPr="005303F7">
              <w:rPr>
                <w:rFonts w:ascii="Times New Roman" w:hAnsi="Times New Roman"/>
                <w:bCs/>
                <w:sz w:val="20"/>
                <w:vertAlign w:val="subscript"/>
                <w:lang w:val="sr-Cyrl-CS"/>
              </w:rPr>
              <w:t>2</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је</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занемар</w:t>
            </w:r>
            <w:r w:rsidR="00D553BE" w:rsidRPr="005303F7">
              <w:rPr>
                <w:rFonts w:ascii="Times New Roman" w:hAnsi="Times New Roman"/>
                <w:bCs/>
                <w:sz w:val="20"/>
                <w:lang w:val="sr-Cyrl-CS"/>
              </w:rPr>
              <w:t>љ</w:t>
            </w:r>
            <w:r w:rsidRPr="005303F7">
              <w:rPr>
                <w:rFonts w:ascii="Times New Roman" w:hAnsi="Times New Roman"/>
                <w:bCs/>
                <w:sz w:val="20"/>
                <w:lang w:val="sr-Cyrl-CS"/>
              </w:rPr>
              <w:t>ив</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у</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поређењу</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са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прирастом</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младих</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састојина</w:t>
            </w:r>
            <w:r w:rsidR="00A953E4" w:rsidRPr="005303F7">
              <w:rPr>
                <w:rFonts w:ascii="Times New Roman" w:hAnsi="Times New Roman"/>
                <w:bCs/>
                <w:sz w:val="20"/>
                <w:lang w:val="sr-Cyrl-CS"/>
              </w:rPr>
              <w:t xml:space="preserve"> </w:t>
            </w:r>
            <w:r w:rsidRPr="005303F7">
              <w:rPr>
                <w:rFonts w:ascii="Times New Roman" w:hAnsi="Times New Roman"/>
                <w:bCs/>
                <w:sz w:val="20"/>
                <w:lang w:val="sr-Cyrl-CS"/>
              </w:rPr>
              <w:t>од</w:t>
            </w:r>
            <w:r w:rsidR="00A953E4" w:rsidRPr="005303F7">
              <w:rPr>
                <w:rFonts w:ascii="Times New Roman" w:hAnsi="Times New Roman"/>
                <w:bCs/>
                <w:sz w:val="20"/>
                <w:lang w:val="sr-Cyrl-CS"/>
              </w:rPr>
              <w:t xml:space="preserve"> 8 </w:t>
            </w:r>
            <w:r w:rsidR="00000561" w:rsidRPr="005303F7">
              <w:rPr>
                <w:rFonts w:ascii="Times New Roman" w:hAnsi="Times New Roman"/>
                <w:bCs/>
                <w:sz w:val="20"/>
                <w:lang w:val="sr-Cyrl-CS"/>
              </w:rPr>
              <w:t>m</w:t>
            </w:r>
            <w:r w:rsidR="00A953E4" w:rsidRPr="005303F7">
              <w:rPr>
                <w:rFonts w:ascii="Times New Roman" w:hAnsi="Times New Roman"/>
                <w:bCs/>
                <w:sz w:val="20"/>
                <w:vertAlign w:val="superscript"/>
                <w:lang w:val="sr-Cyrl-CS"/>
              </w:rPr>
              <w:t>3</w:t>
            </w:r>
            <w:r w:rsidR="00A953E4" w:rsidRPr="005303F7">
              <w:rPr>
                <w:rFonts w:ascii="Times New Roman" w:hAnsi="Times New Roman"/>
                <w:bCs/>
                <w:sz w:val="20"/>
                <w:lang w:val="sr-Cyrl-CS"/>
              </w:rPr>
              <w:t>/</w:t>
            </w:r>
            <w:r w:rsidR="00000561" w:rsidRPr="005303F7">
              <w:rPr>
                <w:rFonts w:ascii="Times New Roman" w:hAnsi="Times New Roman"/>
                <w:bCs/>
                <w:sz w:val="20"/>
                <w:lang w:val="sr-Cyrl-CS"/>
              </w:rPr>
              <w:t>h</w:t>
            </w:r>
            <w:r w:rsidRPr="005303F7">
              <w:rPr>
                <w:rFonts w:ascii="Times New Roman" w:hAnsi="Times New Roman"/>
                <w:bCs/>
                <w:sz w:val="20"/>
                <w:lang w:val="sr-Cyrl-CS"/>
              </w:rPr>
              <w:t>а</w:t>
            </w:r>
            <w:r w:rsidR="00A953E4" w:rsidRPr="005303F7">
              <w:rPr>
                <w:rFonts w:ascii="Times New Roman" w:hAnsi="Times New Roman"/>
                <w:bCs/>
                <w:sz w:val="20"/>
                <w:lang w:val="sr-Cyrl-CS"/>
              </w:rPr>
              <w:t>.</w:t>
            </w:r>
          </w:p>
          <w:p w14:paraId="19339A3B" w14:textId="3A35B06B" w:rsidR="00A953E4" w:rsidRPr="005303F7" w:rsidRDefault="00CC6964" w:rsidP="00A953E4">
            <w:pPr>
              <w:overflowPunct/>
              <w:spacing w:after="0"/>
              <w:jc w:val="left"/>
              <w:rPr>
                <w:rFonts w:ascii="Times New Roman" w:hAnsi="Times New Roman"/>
                <w:bCs/>
                <w:sz w:val="20"/>
                <w:lang w:val="sr-Cyrl-CS"/>
              </w:rPr>
            </w:pPr>
            <w:r w:rsidRPr="005303F7">
              <w:rPr>
                <w:rFonts w:ascii="Times New Roman" w:hAnsi="Times New Roman"/>
                <w:bCs/>
                <w:sz w:val="20"/>
                <w:lang w:val="sr-Cyrl-CS"/>
              </w:rPr>
              <w:t xml:space="preserve">     </w:t>
            </w:r>
            <w:r w:rsidR="008D69AF" w:rsidRPr="005303F7">
              <w:rPr>
                <w:rFonts w:ascii="Times New Roman" w:hAnsi="Times New Roman"/>
                <w:bCs/>
                <w:sz w:val="20"/>
                <w:lang w:val="sr-Cyrl-CS"/>
              </w:rPr>
              <w:t>Потребна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је</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производња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дово</w:t>
            </w:r>
            <w:r w:rsidR="00D553BE" w:rsidRPr="005303F7">
              <w:rPr>
                <w:rFonts w:ascii="Times New Roman" w:hAnsi="Times New Roman"/>
                <w:bCs/>
                <w:sz w:val="20"/>
                <w:lang w:val="sr-Cyrl-CS"/>
              </w:rPr>
              <w:t>љ</w:t>
            </w:r>
            <w:r w:rsidR="008D69AF" w:rsidRPr="005303F7">
              <w:rPr>
                <w:rFonts w:ascii="Times New Roman" w:hAnsi="Times New Roman"/>
                <w:bCs/>
                <w:sz w:val="20"/>
                <w:lang w:val="sr-Cyrl-CS"/>
              </w:rPr>
              <w:t>не</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количине</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садног</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материјала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станишту</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адекватних</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врста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дрвећа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за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пошум</w:t>
            </w:r>
            <w:r w:rsidR="00D553BE" w:rsidRPr="005303F7">
              <w:rPr>
                <w:rFonts w:ascii="Times New Roman" w:hAnsi="Times New Roman"/>
                <w:bCs/>
                <w:sz w:val="20"/>
                <w:lang w:val="sr-Cyrl-CS"/>
              </w:rPr>
              <w:t>љ</w:t>
            </w:r>
            <w:r w:rsidR="008D69AF" w:rsidRPr="005303F7">
              <w:rPr>
                <w:rFonts w:ascii="Times New Roman" w:hAnsi="Times New Roman"/>
                <w:bCs/>
                <w:sz w:val="20"/>
                <w:lang w:val="sr-Cyrl-CS"/>
              </w:rPr>
              <w:t>авање</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подручја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на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којима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природно</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подмлађивање</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није</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успело</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Пове</w:t>
            </w:r>
            <w:r w:rsidR="00016298" w:rsidRPr="005303F7">
              <w:rPr>
                <w:rFonts w:ascii="Times New Roman" w:hAnsi="Times New Roman"/>
                <w:bCs/>
                <w:sz w:val="20"/>
                <w:lang w:val="sr-Cyrl-CS"/>
              </w:rPr>
              <w:t>ћ</w:t>
            </w:r>
            <w:r w:rsidR="008D69AF" w:rsidRPr="005303F7">
              <w:rPr>
                <w:rFonts w:ascii="Times New Roman" w:hAnsi="Times New Roman"/>
                <w:bCs/>
                <w:sz w:val="20"/>
                <w:lang w:val="sr-Cyrl-CS"/>
              </w:rPr>
              <w:t>авање</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сече</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ће</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повећати</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потражњу</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за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квалификованом</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радном</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снагом</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и</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машинама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за</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рад</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у</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сектору</w:t>
            </w:r>
            <w:r w:rsidR="00A953E4" w:rsidRPr="005303F7">
              <w:rPr>
                <w:rFonts w:ascii="Times New Roman" w:hAnsi="Times New Roman"/>
                <w:bCs/>
                <w:sz w:val="20"/>
                <w:lang w:val="sr-Cyrl-CS"/>
              </w:rPr>
              <w:t xml:space="preserve"> </w:t>
            </w:r>
            <w:r w:rsidR="008D69AF" w:rsidRPr="005303F7">
              <w:rPr>
                <w:rFonts w:ascii="Times New Roman" w:hAnsi="Times New Roman"/>
                <w:bCs/>
                <w:sz w:val="20"/>
                <w:lang w:val="sr-Cyrl-CS"/>
              </w:rPr>
              <w:t>шумарства</w:t>
            </w:r>
            <w:r w:rsidR="00A953E4" w:rsidRPr="005303F7">
              <w:rPr>
                <w:rFonts w:ascii="Times New Roman" w:hAnsi="Times New Roman"/>
                <w:bCs/>
                <w:sz w:val="20"/>
                <w:lang w:val="sr-Cyrl-CS"/>
              </w:rPr>
              <w:t>.</w:t>
            </w:r>
          </w:p>
          <w:p w14:paraId="6BB097CE" w14:textId="1B3157F5" w:rsidR="00A953E4" w:rsidRPr="005303F7" w:rsidRDefault="008D69AF" w:rsidP="00353B06">
            <w:pPr>
              <w:overflowPunct/>
              <w:jc w:val="left"/>
              <w:rPr>
                <w:rFonts w:ascii="Times New Roman" w:hAnsi="Times New Roman"/>
                <w:b/>
                <w:bCs/>
                <w:sz w:val="20"/>
                <w:szCs w:val="18"/>
                <w:u w:val="single"/>
                <w:lang w:val="sr-Cyrl-CS"/>
              </w:rPr>
            </w:pPr>
            <w:r w:rsidRPr="005303F7">
              <w:rPr>
                <w:rFonts w:ascii="Times New Roman" w:hAnsi="Times New Roman"/>
                <w:b/>
                <w:bCs/>
                <w:sz w:val="20"/>
                <w:szCs w:val="18"/>
                <w:u w:val="single"/>
                <w:lang w:val="sr-Cyrl-CS"/>
              </w:rPr>
              <w:t>Процес</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преговора</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о</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приступању</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ЕУ</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Поглав</w:t>
            </w:r>
            <w:r w:rsidR="00D553BE" w:rsidRPr="005303F7">
              <w:rPr>
                <w:rFonts w:ascii="Times New Roman" w:hAnsi="Times New Roman"/>
                <w:b/>
                <w:bCs/>
                <w:sz w:val="20"/>
                <w:szCs w:val="18"/>
                <w:u w:val="single"/>
                <w:lang w:val="sr-Cyrl-CS"/>
              </w:rPr>
              <w:t>љ</w:t>
            </w:r>
            <w:r w:rsidRPr="005303F7">
              <w:rPr>
                <w:rFonts w:ascii="Times New Roman" w:hAnsi="Times New Roman"/>
                <w:b/>
                <w:bCs/>
                <w:sz w:val="20"/>
                <w:szCs w:val="18"/>
                <w:u w:val="single"/>
                <w:lang w:val="sr-Cyrl-CS"/>
              </w:rPr>
              <w:t>е</w:t>
            </w:r>
            <w:r w:rsidR="00A953E4" w:rsidRPr="005303F7">
              <w:rPr>
                <w:rFonts w:ascii="Times New Roman" w:hAnsi="Times New Roman"/>
                <w:b/>
                <w:bCs/>
                <w:sz w:val="20"/>
                <w:szCs w:val="18"/>
                <w:u w:val="single"/>
                <w:lang w:val="sr-Cyrl-CS"/>
              </w:rPr>
              <w:t xml:space="preserve"> 27 – </w:t>
            </w:r>
            <w:r w:rsidRPr="005303F7">
              <w:rPr>
                <w:rFonts w:ascii="Times New Roman" w:hAnsi="Times New Roman"/>
                <w:b/>
                <w:bCs/>
                <w:sz w:val="20"/>
                <w:szCs w:val="18"/>
                <w:u w:val="single"/>
                <w:lang w:val="sr-Cyrl-CS"/>
              </w:rPr>
              <w:t>Животна</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средина</w:t>
            </w:r>
            <w:r w:rsidR="00A953E4" w:rsidRPr="005303F7">
              <w:rPr>
                <w:rFonts w:ascii="Times New Roman" w:hAnsi="Times New Roman"/>
                <w:b/>
                <w:bCs/>
                <w:sz w:val="20"/>
                <w:szCs w:val="18"/>
                <w:u w:val="single"/>
                <w:lang w:val="sr-Cyrl-CS"/>
              </w:rPr>
              <w:t xml:space="preserve"> </w:t>
            </w:r>
          </w:p>
          <w:p w14:paraId="16E8973F" w14:textId="114121BC" w:rsidR="005461CA" w:rsidRPr="005303F7" w:rsidRDefault="005461CA">
            <w:pPr>
              <w:overflowPunct/>
              <w:spacing w:after="0"/>
              <w:jc w:val="left"/>
              <w:rPr>
                <w:rFonts w:ascii="Times New Roman" w:hAnsi="Times New Roman"/>
                <w:bCs/>
                <w:i/>
                <w:sz w:val="8"/>
                <w:szCs w:val="6"/>
                <w:lang w:val="sr-Cyrl-CS"/>
              </w:rPr>
            </w:pPr>
          </w:p>
        </w:tc>
      </w:tr>
      <w:tr w:rsidR="005461CA" w:rsidRPr="005303F7" w14:paraId="7B5DF0FE" w14:textId="77777777" w:rsidTr="00D519CC">
        <w:trPr>
          <w:trHeight w:val="409"/>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14:paraId="1AC7EB3E" w14:textId="77777777" w:rsidR="005461CA" w:rsidRPr="005303F7" w:rsidRDefault="005461C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985EA7" w14:textId="011D78FD" w:rsidR="005461CA" w:rsidRPr="005303F7" w:rsidRDefault="008D69AF">
            <w:pPr>
              <w:spacing w:after="0"/>
              <w:jc w:val="center"/>
              <w:rPr>
                <w:rFonts w:ascii="Times New Roman" w:hAnsi="Times New Roman"/>
                <w:b/>
                <w:bCs/>
                <w:sz w:val="20"/>
                <w:lang w:val="sr-Cyrl-CS"/>
              </w:rPr>
            </w:pPr>
            <w:r w:rsidRPr="005303F7">
              <w:rPr>
                <w:rFonts w:ascii="Times New Roman" w:hAnsi="Times New Roman"/>
                <w:b/>
                <w:sz w:val="20"/>
                <w:lang w:val="sr-Cyrl-CS"/>
              </w:rPr>
              <w:t>К</w:t>
            </w:r>
            <w:r w:rsidR="00D553BE" w:rsidRPr="005303F7">
              <w:rPr>
                <w:rFonts w:ascii="Times New Roman" w:hAnsi="Times New Roman"/>
                <w:b/>
                <w:sz w:val="20"/>
                <w:lang w:val="sr-Cyrl-CS"/>
              </w:rPr>
              <w:t>љ</w:t>
            </w:r>
            <w:r w:rsidRPr="005303F7">
              <w:rPr>
                <w:rFonts w:ascii="Times New Roman" w:hAnsi="Times New Roman"/>
                <w:b/>
                <w:sz w:val="20"/>
                <w:lang w:val="sr-Cyrl-CS"/>
              </w:rPr>
              <w:t>учни</w:t>
            </w:r>
            <w:r w:rsidR="005461CA" w:rsidRPr="005303F7">
              <w:rPr>
                <w:rFonts w:ascii="Times New Roman" w:hAnsi="Times New Roman"/>
                <w:b/>
                <w:sz w:val="20"/>
                <w:lang w:val="sr-Cyrl-CS"/>
              </w:rPr>
              <w:t xml:space="preserve"> </w:t>
            </w:r>
            <w:r w:rsidRPr="005303F7">
              <w:rPr>
                <w:rFonts w:ascii="Times New Roman" w:hAnsi="Times New Roman"/>
                <w:b/>
                <w:sz w:val="20"/>
                <w:lang w:val="sr-Cyrl-CS"/>
              </w:rPr>
              <w:t>субјекат</w:t>
            </w:r>
            <w:r w:rsidR="005461CA" w:rsidRPr="005303F7">
              <w:rPr>
                <w:rFonts w:ascii="Times New Roman" w:hAnsi="Times New Roman"/>
                <w:b/>
                <w:sz w:val="20"/>
                <w:lang w:val="sr-Cyrl-CS"/>
              </w:rPr>
              <w:t xml:space="preserve"> </w:t>
            </w:r>
            <w:r w:rsidRPr="005303F7">
              <w:rPr>
                <w:rFonts w:ascii="Times New Roman" w:hAnsi="Times New Roman"/>
                <w:b/>
                <w:sz w:val="20"/>
                <w:lang w:val="sr-Cyrl-CS"/>
              </w:rPr>
              <w:t>за</w:t>
            </w:r>
            <w:r w:rsidR="005461CA" w:rsidRPr="005303F7">
              <w:rPr>
                <w:rFonts w:ascii="Times New Roman" w:hAnsi="Times New Roman"/>
                <w:b/>
                <w:sz w:val="20"/>
                <w:lang w:val="sr-Cyrl-CS"/>
              </w:rPr>
              <w:t xml:space="preserve"> </w:t>
            </w:r>
            <w:r w:rsidRPr="005303F7">
              <w:rPr>
                <w:rFonts w:ascii="Times New Roman" w:hAnsi="Times New Roman"/>
                <w:b/>
                <w:sz w:val="20"/>
                <w:lang w:val="sr-Cyrl-CS"/>
              </w:rPr>
              <w:t>спровођење</w:t>
            </w:r>
            <w:r w:rsidR="005461CA" w:rsidRPr="005303F7">
              <w:rPr>
                <w:rFonts w:ascii="Times New Roman" w:hAnsi="Times New Roman"/>
                <w:b/>
                <w:sz w:val="20"/>
                <w:lang w:val="sr-Cyrl-CS"/>
              </w:rPr>
              <w:t xml:space="preserve"> </w:t>
            </w:r>
            <w:r w:rsidRPr="005303F7">
              <w:rPr>
                <w:rFonts w:ascii="Times New Roman" w:hAnsi="Times New Roman"/>
                <w:b/>
                <w:sz w:val="20"/>
                <w:lang w:val="sr-Cyrl-CS"/>
              </w:rPr>
              <w:t>мере</w:t>
            </w:r>
          </w:p>
        </w:tc>
        <w:tc>
          <w:tcPr>
            <w:tcW w:w="680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73D7D4" w14:textId="115B76F3" w:rsidR="005461CA" w:rsidRPr="005303F7" w:rsidRDefault="008D69AF">
            <w:pPr>
              <w:overflowPunct/>
              <w:spacing w:after="0"/>
              <w:jc w:val="center"/>
              <w:rPr>
                <w:rFonts w:ascii="Times New Roman" w:hAnsi="Times New Roman"/>
                <w:b/>
                <w:bCs/>
                <w:sz w:val="20"/>
                <w:lang w:val="sr-Cyrl-CS"/>
              </w:rPr>
            </w:pPr>
            <w:r w:rsidRPr="005303F7">
              <w:rPr>
                <w:rFonts w:ascii="Times New Roman" w:hAnsi="Times New Roman"/>
                <w:b/>
                <w:sz w:val="20"/>
                <w:lang w:val="sr-Cyrl-CS"/>
              </w:rPr>
              <w:t>Партнери</w:t>
            </w:r>
          </w:p>
        </w:tc>
        <w:tc>
          <w:tcPr>
            <w:tcW w:w="126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5E0810" w14:textId="687C6FEB" w:rsidR="005461CA" w:rsidRPr="005303F7" w:rsidRDefault="00D7102F" w:rsidP="0070650E">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ЕТS/</w:t>
            </w:r>
            <w:r w:rsidR="004A35C7" w:rsidRPr="005303F7">
              <w:rPr>
                <w:rFonts w:ascii="Times New Roman" w:hAnsi="Times New Roman"/>
                <w:b/>
                <w:sz w:val="20"/>
                <w:lang w:val="sr-Cyrl-CS"/>
              </w:rPr>
              <w:t>не-ЕТS</w:t>
            </w:r>
          </w:p>
        </w:tc>
        <w:tc>
          <w:tcPr>
            <w:tcW w:w="129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68361D" w14:textId="05DA8FAF" w:rsidR="005461CA" w:rsidRPr="005303F7" w:rsidRDefault="008D69AF">
            <w:pPr>
              <w:overflowPunct/>
              <w:spacing w:after="0"/>
              <w:jc w:val="center"/>
              <w:rPr>
                <w:rFonts w:ascii="Times New Roman" w:hAnsi="Times New Roman"/>
                <w:b/>
                <w:bCs/>
                <w:sz w:val="20"/>
                <w:lang w:val="sr-Cyrl-CS"/>
              </w:rPr>
            </w:pPr>
            <w:r w:rsidRPr="005303F7">
              <w:rPr>
                <w:rFonts w:ascii="Times New Roman" w:hAnsi="Times New Roman"/>
                <w:b/>
                <w:sz w:val="20"/>
                <w:lang w:val="sr-Cyrl-CS"/>
              </w:rPr>
              <w:t>Главни</w:t>
            </w:r>
            <w:r w:rsidR="005461CA" w:rsidRPr="005303F7">
              <w:rPr>
                <w:rFonts w:ascii="Times New Roman" w:hAnsi="Times New Roman"/>
                <w:b/>
                <w:sz w:val="20"/>
                <w:lang w:val="sr-Cyrl-CS"/>
              </w:rPr>
              <w:t xml:space="preserve"> </w:t>
            </w:r>
            <w:r w:rsidRPr="005303F7">
              <w:rPr>
                <w:rFonts w:ascii="Times New Roman" w:hAnsi="Times New Roman"/>
                <w:b/>
                <w:sz w:val="20"/>
                <w:lang w:val="sr-Cyrl-CS"/>
              </w:rPr>
              <w:t>гасови</w:t>
            </w:r>
          </w:p>
        </w:tc>
        <w:tc>
          <w:tcPr>
            <w:tcW w:w="28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80DDEC" w14:textId="39D7302E" w:rsidR="00D7102F" w:rsidRPr="005303F7" w:rsidRDefault="00700C33"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Процењене у</w:t>
            </w:r>
            <w:r w:rsidR="00A754DD" w:rsidRPr="005303F7">
              <w:rPr>
                <w:rFonts w:ascii="Times New Roman" w:hAnsi="Times New Roman"/>
                <w:b/>
                <w:bCs/>
                <w:sz w:val="20"/>
                <w:lang w:val="sr-Cyrl-CS"/>
              </w:rPr>
              <w:t xml:space="preserve">клоњене количине </w:t>
            </w:r>
            <w:r w:rsidR="00D7102F" w:rsidRPr="005303F7">
              <w:rPr>
                <w:rFonts w:ascii="Times New Roman" w:hAnsi="Times New Roman"/>
                <w:b/>
                <w:bCs/>
                <w:sz w:val="20"/>
                <w:lang w:val="sr-Cyrl-CS"/>
              </w:rPr>
              <w:t xml:space="preserve">до 2030. </w:t>
            </w:r>
          </w:p>
          <w:p w14:paraId="1190CEE5" w14:textId="225BD023" w:rsidR="005461CA"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BD116A" w:rsidRPr="005303F7" w14:paraId="07DD2D86" w14:textId="77777777" w:rsidTr="00D519CC">
        <w:trPr>
          <w:trHeight w:val="796"/>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14:paraId="5DF33D41" w14:textId="77777777" w:rsidR="00BD116A" w:rsidRPr="005303F7" w:rsidRDefault="00BD116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81BF8D" w14:textId="2B67F30B"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486C2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опривреде</w:t>
            </w:r>
            <w:r w:rsidR="00486C2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шумарства</w:t>
            </w:r>
            <w:r w:rsidR="00486C2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486C2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водопривреде</w:t>
            </w:r>
          </w:p>
        </w:tc>
        <w:tc>
          <w:tcPr>
            <w:tcW w:w="6801"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9E755E" w14:textId="0E64D5C5"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Организације</w:t>
            </w:r>
            <w:r w:rsidR="00486C2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одговорне</w:t>
            </w:r>
            <w:r w:rsidR="00486C2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486C2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газдовање</w:t>
            </w:r>
            <w:r w:rsidR="00486C2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шумама</w:t>
            </w:r>
            <w:r w:rsidR="00BD116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приватни</w:t>
            </w:r>
            <w:r w:rsidR="00486C2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власници</w:t>
            </w:r>
            <w:r w:rsidR="00486C23"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w:t>
            </w:r>
          </w:p>
        </w:tc>
        <w:tc>
          <w:tcPr>
            <w:tcW w:w="126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095545" w14:textId="57669566" w:rsidR="00BD116A" w:rsidRPr="005303F7" w:rsidRDefault="004A35C7">
            <w:pPr>
              <w:overflowPunct/>
              <w:spacing w:after="0"/>
              <w:jc w:val="center"/>
              <w:rPr>
                <w:rFonts w:ascii="Times New Roman" w:hAnsi="Times New Roman"/>
                <w:bCs/>
                <w:sz w:val="20"/>
                <w:lang w:val="sr-Cyrl-CS"/>
              </w:rPr>
            </w:pPr>
            <w:r w:rsidRPr="005303F7">
              <w:rPr>
                <w:rFonts w:ascii="Times New Roman" w:hAnsi="Times New Roman"/>
                <w:bCs/>
                <w:sz w:val="20"/>
                <w:lang w:val="sr-Cyrl-CS"/>
              </w:rPr>
              <w:t>не-ЕТS</w:t>
            </w:r>
          </w:p>
        </w:tc>
        <w:tc>
          <w:tcPr>
            <w:tcW w:w="129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8DB6F" w14:textId="3B3B3E5C" w:rsidR="00BD116A" w:rsidRPr="005303F7" w:rsidRDefault="00000561">
            <w:pPr>
              <w:overflowPunct/>
              <w:spacing w:after="0"/>
              <w:jc w:val="center"/>
              <w:rPr>
                <w:rFonts w:ascii="Times New Roman" w:hAnsi="Times New Roman"/>
                <w:bCs/>
                <w:sz w:val="20"/>
                <w:lang w:val="sr-Cyrl-CS"/>
              </w:rPr>
            </w:pPr>
            <w:r w:rsidRPr="005303F7">
              <w:rPr>
                <w:rFonts w:ascii="Times New Roman" w:hAnsi="Times New Roman"/>
                <w:bCs/>
                <w:sz w:val="20"/>
                <w:lang w:val="sr-Cyrl-CS"/>
              </w:rPr>
              <w:t>C</w:t>
            </w:r>
            <w:r w:rsidR="008D69AF" w:rsidRPr="005303F7">
              <w:rPr>
                <w:rFonts w:ascii="Times New Roman" w:hAnsi="Times New Roman"/>
                <w:bCs/>
                <w:sz w:val="20"/>
                <w:lang w:val="sr-Cyrl-CS"/>
              </w:rPr>
              <w:t>О</w:t>
            </w:r>
            <w:r w:rsidR="00BD116A" w:rsidRPr="005303F7">
              <w:rPr>
                <w:rFonts w:ascii="Times New Roman" w:hAnsi="Times New Roman"/>
                <w:bCs/>
                <w:sz w:val="20"/>
                <w:vertAlign w:val="subscript"/>
                <w:lang w:val="sr-Cyrl-CS"/>
              </w:rPr>
              <w:t>2</w:t>
            </w:r>
          </w:p>
        </w:tc>
        <w:tc>
          <w:tcPr>
            <w:tcW w:w="28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A700FA" w14:textId="77777777" w:rsidR="00BD116A" w:rsidRPr="005303F7" w:rsidRDefault="00BD116A">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545,74</w:t>
            </w:r>
          </w:p>
        </w:tc>
      </w:tr>
      <w:tr w:rsidR="00BD116A" w:rsidRPr="005303F7" w14:paraId="40FFE7CE" w14:textId="77777777" w:rsidTr="00D519CC">
        <w:trPr>
          <w:trHeight w:val="442"/>
        </w:trPr>
        <w:tc>
          <w:tcPr>
            <w:tcW w:w="696" w:type="dxa"/>
            <w:gridSpan w:val="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4B2811B8" w14:textId="68709ED0" w:rsidR="00BD116A" w:rsidRPr="005303F7" w:rsidRDefault="008D69AF">
            <w:pPr>
              <w:overflowPunct/>
              <w:spacing w:after="0"/>
              <w:rPr>
                <w:rFonts w:ascii="Times New Roman" w:hAnsi="Times New Roman"/>
                <w:sz w:val="20"/>
                <w:lang w:val="sr-Cyrl-CS"/>
              </w:rPr>
            </w:pPr>
            <w:r w:rsidRPr="005303F7">
              <w:rPr>
                <w:rFonts w:ascii="Times New Roman" w:hAnsi="Times New Roman"/>
                <w:sz w:val="20"/>
                <w:lang w:val="sr-Cyrl-CS"/>
              </w:rPr>
              <w:t>Бр</w:t>
            </w:r>
            <w:r w:rsidR="00BD116A" w:rsidRPr="005303F7">
              <w:rPr>
                <w:rFonts w:ascii="Times New Roman" w:hAnsi="Times New Roman"/>
                <w:sz w:val="20"/>
                <w:lang w:val="sr-Cyrl-CS"/>
              </w:rPr>
              <w:t>.</w:t>
            </w:r>
          </w:p>
        </w:tc>
        <w:tc>
          <w:tcPr>
            <w:tcW w:w="15365" w:type="dxa"/>
            <w:gridSpan w:val="24"/>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5B3CA7D8" w14:textId="5BDFA6D1" w:rsidR="00BD116A" w:rsidRPr="005303F7" w:rsidRDefault="008D69AF" w:rsidP="00652668">
            <w:pPr>
              <w:overflowPunct/>
              <w:jc w:val="left"/>
              <w:rPr>
                <w:rFonts w:ascii="Times New Roman" w:hAnsi="Times New Roman"/>
                <w:b/>
                <w:sz w:val="20"/>
                <w:u w:val="single"/>
                <w:lang w:val="sr-Cyrl-CS"/>
              </w:rPr>
            </w:pPr>
            <w:r w:rsidRPr="005303F7">
              <w:rPr>
                <w:rFonts w:ascii="Times New Roman" w:hAnsi="Times New Roman"/>
                <w:b/>
                <w:bCs/>
                <w:color w:val="FFFFFF" w:themeColor="background1"/>
                <w:sz w:val="20"/>
                <w:lang w:val="sr-Cyrl-CS"/>
              </w:rPr>
              <w:t>Назив</w:t>
            </w:r>
            <w:r w:rsidR="00486C23" w:rsidRPr="005303F7">
              <w:rPr>
                <w:rFonts w:ascii="Times New Roman" w:hAnsi="Times New Roman"/>
                <w:b/>
                <w:bCs/>
                <w:color w:val="FFFFFF" w:themeColor="background1"/>
                <w:sz w:val="20"/>
                <w:lang w:val="sr-Cyrl-CS"/>
              </w:rPr>
              <w:t xml:space="preserve"> </w:t>
            </w:r>
            <w:r w:rsidRPr="005303F7">
              <w:rPr>
                <w:rFonts w:ascii="Times New Roman" w:hAnsi="Times New Roman"/>
                <w:b/>
                <w:bCs/>
                <w:color w:val="FFFFFF" w:themeColor="background1"/>
                <w:sz w:val="20"/>
                <w:lang w:val="sr-Cyrl-CS"/>
              </w:rPr>
              <w:t>мере</w:t>
            </w:r>
            <w:r w:rsidR="00486C23" w:rsidRPr="005303F7">
              <w:rPr>
                <w:rFonts w:ascii="Times New Roman" w:hAnsi="Times New Roman"/>
                <w:b/>
                <w:bCs/>
                <w:color w:val="FFFFFF" w:themeColor="background1"/>
                <w:sz w:val="20"/>
                <w:lang w:val="sr-Cyrl-CS"/>
              </w:rPr>
              <w:t xml:space="preserve">: </w:t>
            </w:r>
            <w:r w:rsidRPr="005303F7">
              <w:rPr>
                <w:rFonts w:ascii="Times New Roman" w:hAnsi="Times New Roman"/>
                <w:b/>
                <w:color w:val="FFFFFF" w:themeColor="background1"/>
                <w:sz w:val="20"/>
                <w:u w:val="single"/>
                <w:lang w:val="sr-Cyrl-CS"/>
              </w:rPr>
              <w:t>Израда</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смерница</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за</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смањење</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негативних</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фактора</w:t>
            </w:r>
            <w:r w:rsidR="004837F7" w:rsidRPr="005303F7">
              <w:rPr>
                <w:rFonts w:ascii="Times New Roman" w:hAnsi="Times New Roman"/>
                <w:b/>
                <w:color w:val="FFFFFF" w:themeColor="background1"/>
                <w:sz w:val="20"/>
                <w:u w:val="single"/>
                <w:lang w:val="sr-Cyrl-CS"/>
              </w:rPr>
              <w:t xml:space="preserve"> </w:t>
            </w:r>
            <w:r w:rsidR="00F3345E"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ризика</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биоти</w:t>
            </w:r>
            <w:r w:rsidR="00864225" w:rsidRPr="005303F7">
              <w:rPr>
                <w:rFonts w:ascii="Times New Roman" w:hAnsi="Times New Roman"/>
                <w:b/>
                <w:color w:val="FFFFFF" w:themeColor="background1"/>
                <w:sz w:val="20"/>
                <w:u w:val="single"/>
                <w:lang w:val="sr-Cyrl-CS"/>
              </w:rPr>
              <w:t>ч</w:t>
            </w:r>
            <w:r w:rsidRPr="005303F7">
              <w:rPr>
                <w:rFonts w:ascii="Times New Roman" w:hAnsi="Times New Roman"/>
                <w:b/>
                <w:color w:val="FFFFFF" w:themeColor="background1"/>
                <w:sz w:val="20"/>
                <w:u w:val="single"/>
                <w:lang w:val="sr-Cyrl-CS"/>
              </w:rPr>
              <w:t>ког</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и</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абиоти</w:t>
            </w:r>
            <w:r w:rsidR="00864225" w:rsidRPr="005303F7">
              <w:rPr>
                <w:rFonts w:ascii="Times New Roman" w:hAnsi="Times New Roman"/>
                <w:b/>
                <w:color w:val="FFFFFF" w:themeColor="background1"/>
                <w:sz w:val="20"/>
                <w:u w:val="single"/>
                <w:lang w:val="sr-Cyrl-CS"/>
              </w:rPr>
              <w:t>ч</w:t>
            </w:r>
            <w:r w:rsidRPr="005303F7">
              <w:rPr>
                <w:rFonts w:ascii="Times New Roman" w:hAnsi="Times New Roman"/>
                <w:b/>
                <w:color w:val="FFFFFF" w:themeColor="background1"/>
                <w:sz w:val="20"/>
                <w:u w:val="single"/>
                <w:lang w:val="sr-Cyrl-CS"/>
              </w:rPr>
              <w:t>ког</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порекла</w:t>
            </w:r>
          </w:p>
        </w:tc>
      </w:tr>
      <w:tr w:rsidR="00BD116A" w:rsidRPr="005303F7" w14:paraId="7671612E" w14:textId="77777777" w:rsidTr="00D519CC">
        <w:trPr>
          <w:trHeight w:val="3655"/>
        </w:trPr>
        <w:tc>
          <w:tcPr>
            <w:tcW w:w="6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46C979D" w14:textId="77777777" w:rsidR="00BD116A" w:rsidRPr="005303F7" w:rsidRDefault="00BD116A">
            <w:pPr>
              <w:overflowPunct/>
              <w:spacing w:after="0"/>
              <w:jc w:val="center"/>
              <w:rPr>
                <w:rFonts w:ascii="Times New Roman" w:hAnsi="Times New Roman"/>
                <w:b/>
                <w:color w:val="000000"/>
                <w:sz w:val="20"/>
                <w:lang w:val="sr-Cyrl-CS"/>
              </w:rPr>
            </w:pPr>
            <w:r w:rsidRPr="005303F7">
              <w:rPr>
                <w:rFonts w:ascii="Times New Roman" w:hAnsi="Times New Roman"/>
                <w:b/>
                <w:color w:val="000000"/>
                <w:sz w:val="20"/>
                <w:lang w:val="sr-Cyrl-CS"/>
              </w:rPr>
              <w:lastRenderedPageBreak/>
              <w:t>24</w:t>
            </w:r>
          </w:p>
        </w:tc>
        <w:tc>
          <w:tcPr>
            <w:tcW w:w="15365" w:type="dxa"/>
            <w:gridSpan w:val="24"/>
            <w:tcBorders>
              <w:top w:val="single" w:sz="4" w:space="0" w:color="auto"/>
              <w:left w:val="single" w:sz="4" w:space="0" w:color="auto"/>
              <w:bottom w:val="single" w:sz="4" w:space="0" w:color="auto"/>
              <w:right w:val="single" w:sz="4" w:space="0" w:color="auto"/>
            </w:tcBorders>
            <w:vAlign w:val="center"/>
            <w:hideMark/>
          </w:tcPr>
          <w:p w14:paraId="52448ED8" w14:textId="328FBC9C" w:rsidR="00A953E4" w:rsidRPr="005303F7" w:rsidRDefault="008D69AF" w:rsidP="00A953E4">
            <w:pPr>
              <w:overflowPunct/>
              <w:jc w:val="left"/>
              <w:rPr>
                <w:rFonts w:ascii="Times New Roman" w:hAnsi="Times New Roman"/>
                <w:b/>
                <w:color w:val="000000"/>
                <w:sz w:val="20"/>
                <w:u w:val="single"/>
                <w:lang w:val="sr-Cyrl-CS"/>
              </w:rPr>
            </w:pPr>
            <w:r w:rsidRPr="005303F7">
              <w:rPr>
                <w:rFonts w:ascii="Times New Roman" w:hAnsi="Times New Roman"/>
                <w:b/>
                <w:color w:val="000000"/>
                <w:sz w:val="20"/>
                <w:u w:val="single"/>
                <w:lang w:val="sr-Cyrl-CS"/>
              </w:rPr>
              <w:t>Врста</w:t>
            </w:r>
            <w:r w:rsidR="00A953E4"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A953E4" w:rsidRPr="005303F7">
              <w:rPr>
                <w:rFonts w:ascii="Times New Roman" w:hAnsi="Times New Roman"/>
                <w:b/>
                <w:color w:val="000000"/>
                <w:sz w:val="20"/>
                <w:u w:val="single"/>
                <w:lang w:val="sr-Cyrl-CS"/>
              </w:rPr>
              <w:t xml:space="preserve">: </w:t>
            </w:r>
            <w:r w:rsidRPr="005303F7">
              <w:rPr>
                <w:rFonts w:ascii="Times New Roman" w:hAnsi="Times New Roman"/>
                <w:bCs/>
                <w:color w:val="000000"/>
                <w:sz w:val="20"/>
                <w:lang w:val="sr-Cyrl-CS"/>
              </w:rPr>
              <w:t>Информативно</w:t>
            </w:r>
            <w:r w:rsidR="00A953E4" w:rsidRPr="005303F7">
              <w:rPr>
                <w:rFonts w:ascii="Times New Roman" w:hAnsi="Times New Roman"/>
                <w:bCs/>
                <w:color w:val="000000"/>
                <w:sz w:val="20"/>
                <w:lang w:val="sr-Cyrl-CS"/>
              </w:rPr>
              <w:t>-</w:t>
            </w:r>
            <w:r w:rsidRPr="005303F7">
              <w:rPr>
                <w:rFonts w:ascii="Times New Roman" w:hAnsi="Times New Roman"/>
                <w:bCs/>
                <w:color w:val="000000"/>
                <w:sz w:val="20"/>
                <w:lang w:val="sr-Cyrl-CS"/>
              </w:rPr>
              <w:t>едукативна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организационо</w:t>
            </w:r>
            <w:r w:rsidR="00A953E4" w:rsidRPr="005303F7">
              <w:rPr>
                <w:rFonts w:ascii="Times New Roman" w:hAnsi="Times New Roman"/>
                <w:bCs/>
                <w:color w:val="000000"/>
                <w:sz w:val="20"/>
                <w:lang w:val="sr-Cyrl-CS"/>
              </w:rPr>
              <w:t>-</w:t>
            </w:r>
            <w:r w:rsidRPr="005303F7">
              <w:rPr>
                <w:rFonts w:ascii="Times New Roman" w:hAnsi="Times New Roman"/>
                <w:bCs/>
                <w:color w:val="000000"/>
                <w:sz w:val="20"/>
                <w:lang w:val="sr-Cyrl-CS"/>
              </w:rPr>
              <w:t>управ</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ачка</w:t>
            </w:r>
            <w:r w:rsidR="00A953E4" w:rsidRPr="005303F7">
              <w:rPr>
                <w:rFonts w:ascii="Times New Roman" w:hAnsi="Times New Roman"/>
                <w:bCs/>
                <w:color w:val="000000"/>
                <w:sz w:val="20"/>
                <w:lang w:val="sr-Cyrl-CS"/>
              </w:rPr>
              <w:t>-</w:t>
            </w:r>
            <w:r w:rsidRPr="005303F7">
              <w:rPr>
                <w:rFonts w:ascii="Times New Roman" w:hAnsi="Times New Roman"/>
                <w:bCs/>
                <w:color w:val="000000"/>
                <w:sz w:val="20"/>
                <w:lang w:val="sr-Cyrl-CS"/>
              </w:rPr>
              <w:t>институционална</w:t>
            </w:r>
          </w:p>
          <w:p w14:paraId="2B28E576" w14:textId="375BA1EC" w:rsidR="00A953E4" w:rsidRPr="005303F7" w:rsidRDefault="008D69AF" w:rsidP="00A953E4">
            <w:pPr>
              <w:overflowPunct/>
              <w:spacing w:after="0"/>
              <w:jc w:val="left"/>
              <w:rPr>
                <w:rFonts w:ascii="Times New Roman" w:hAnsi="Times New Roman"/>
                <w:bCs/>
                <w:color w:val="000000"/>
                <w:sz w:val="20"/>
                <w:lang w:val="sr-Cyrl-CS"/>
              </w:rPr>
            </w:pPr>
            <w:r w:rsidRPr="005303F7">
              <w:rPr>
                <w:rFonts w:ascii="Times New Roman" w:hAnsi="Times New Roman"/>
                <w:b/>
                <w:color w:val="000000"/>
                <w:sz w:val="20"/>
                <w:u w:val="single"/>
                <w:lang w:val="sr-Cyrl-CS"/>
              </w:rPr>
              <w:t>Опис</w:t>
            </w:r>
            <w:r w:rsidR="00A953E4"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A953E4" w:rsidRPr="005303F7">
              <w:rPr>
                <w:rFonts w:ascii="Times New Roman" w:hAnsi="Times New Roman"/>
                <w:bCs/>
                <w:color w:val="000000"/>
                <w:sz w:val="20"/>
                <w:lang w:val="sr-Cyrl-CS"/>
              </w:rPr>
              <w:t>:</w:t>
            </w:r>
            <w:r w:rsidR="00A953E4" w:rsidRPr="005303F7">
              <w:rPr>
                <w:rFonts w:ascii="Times New Roman" w:hAnsi="Times New Roman"/>
                <w:lang w:val="sr-Cyrl-CS"/>
              </w:rPr>
              <w:t xml:space="preserve"> </w:t>
            </w:r>
            <w:r w:rsidRPr="005303F7">
              <w:rPr>
                <w:rFonts w:ascii="Times New Roman" w:hAnsi="Times New Roman"/>
                <w:bCs/>
                <w:color w:val="000000"/>
                <w:sz w:val="20"/>
                <w:lang w:val="sr-Cyrl-CS"/>
              </w:rPr>
              <w:t>Ова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мера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подразумева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доношење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низа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техничких</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управ</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ачких</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смерница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смањење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површина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под</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утицајем</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негативних</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биот</w:t>
            </w:r>
            <w:r w:rsidR="00A754DD" w:rsidRPr="005303F7">
              <w:rPr>
                <w:rFonts w:ascii="Times New Roman" w:hAnsi="Times New Roman"/>
                <w:bCs/>
                <w:color w:val="000000"/>
                <w:sz w:val="20"/>
                <w:lang w:val="sr-Cyrl-CS"/>
              </w:rPr>
              <w:t>ич</w:t>
            </w:r>
            <w:r w:rsidRPr="005303F7">
              <w:rPr>
                <w:rFonts w:ascii="Times New Roman" w:hAnsi="Times New Roman"/>
                <w:bCs/>
                <w:color w:val="000000"/>
                <w:sz w:val="20"/>
                <w:lang w:val="sr-Cyrl-CS"/>
              </w:rPr>
              <w:t>ких</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абиот</w:t>
            </w:r>
            <w:r w:rsidR="00A754DD" w:rsidRPr="005303F7">
              <w:rPr>
                <w:rFonts w:ascii="Times New Roman" w:hAnsi="Times New Roman"/>
                <w:bCs/>
                <w:color w:val="000000"/>
                <w:sz w:val="20"/>
                <w:lang w:val="sr-Cyrl-CS"/>
              </w:rPr>
              <w:t>ич</w:t>
            </w:r>
            <w:r w:rsidRPr="005303F7">
              <w:rPr>
                <w:rFonts w:ascii="Times New Roman" w:hAnsi="Times New Roman"/>
                <w:bCs/>
                <w:color w:val="000000"/>
                <w:sz w:val="20"/>
                <w:lang w:val="sr-Cyrl-CS"/>
              </w:rPr>
              <w:t>ких</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фактора</w:t>
            </w:r>
            <w:r w:rsidR="00A953E4" w:rsidRPr="005303F7">
              <w:rPr>
                <w:rFonts w:ascii="Times New Roman" w:hAnsi="Times New Roman"/>
                <w:bCs/>
                <w:color w:val="000000"/>
                <w:sz w:val="20"/>
                <w:vertAlign w:val="superscript"/>
                <w:lang w:val="sr-Cyrl-CS"/>
              </w:rPr>
              <w:footnoteReference w:id="71"/>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Ове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смернице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пружају</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управ</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ачима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на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различитим</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нивоима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упутства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како</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поступају</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питањима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спречавања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или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санирања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таквих</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фактора</w:t>
            </w:r>
            <w:r w:rsidR="00A953E4" w:rsidRPr="005303F7">
              <w:rPr>
                <w:rFonts w:ascii="Times New Roman" w:hAnsi="Times New Roman"/>
                <w:bCs/>
                <w:color w:val="000000"/>
                <w:sz w:val="20"/>
                <w:lang w:val="sr-Cyrl-CS"/>
              </w:rPr>
              <w:t>.</w:t>
            </w:r>
          </w:p>
          <w:p w14:paraId="5AF7B668" w14:textId="04E8C1ED" w:rsidR="00A953E4" w:rsidRPr="005303F7" w:rsidRDefault="00CC6964" w:rsidP="00A953E4">
            <w:pPr>
              <w:overflowPunct/>
              <w:spacing w:after="0"/>
              <w:jc w:val="left"/>
              <w:rPr>
                <w:rFonts w:ascii="Times New Roman" w:hAnsi="Times New Roman"/>
                <w:bCs/>
                <w:color w:val="000000"/>
                <w:sz w:val="20"/>
                <w:lang w:val="sr-Cyrl-CS"/>
              </w:rPr>
            </w:pPr>
            <w:r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Потребне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смернице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следећа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питања</w:t>
            </w:r>
            <w:r w:rsidR="00A953E4" w:rsidRPr="005303F7">
              <w:rPr>
                <w:rFonts w:ascii="Times New Roman" w:hAnsi="Times New Roman"/>
                <w:bCs/>
                <w:color w:val="000000"/>
                <w:sz w:val="20"/>
                <w:lang w:val="sr-Cyrl-CS"/>
              </w:rPr>
              <w:t xml:space="preserve">: </w:t>
            </w:r>
          </w:p>
          <w:p w14:paraId="6C1DAC1D" w14:textId="38CE5489" w:rsidR="00A953E4" w:rsidRPr="005303F7" w:rsidRDefault="008D69AF" w:rsidP="00D93231">
            <w:pPr>
              <w:pStyle w:val="ListParagraph"/>
              <w:numPr>
                <w:ilvl w:val="0"/>
                <w:numId w:val="57"/>
              </w:numPr>
              <w:overflowPunct/>
              <w:spacing w:before="0" w:after="0"/>
              <w:jc w:val="left"/>
              <w:rPr>
                <w:rFonts w:ascii="Times New Roman" w:hAnsi="Times New Roman" w:cs="Times New Roman"/>
                <w:bCs/>
                <w:color w:val="000000"/>
                <w:lang w:val="sr-Cyrl-CS"/>
              </w:rPr>
            </w:pPr>
            <w:r w:rsidRPr="005303F7">
              <w:rPr>
                <w:rFonts w:ascii="Times New Roman" w:hAnsi="Times New Roman" w:cs="Times New Roman"/>
                <w:bCs/>
                <w:color w:val="000000"/>
                <w:lang w:val="sr-Cyrl-CS"/>
              </w:rPr>
              <w:t>побо</w:t>
            </w:r>
            <w:r w:rsidR="00D553BE" w:rsidRPr="005303F7">
              <w:rPr>
                <w:rFonts w:ascii="Times New Roman" w:hAnsi="Times New Roman" w:cs="Times New Roman"/>
                <w:bCs/>
                <w:lang w:val="sr-Cyrl-CS"/>
              </w:rPr>
              <w:t>љ</w:t>
            </w:r>
            <w:r w:rsidRPr="005303F7">
              <w:rPr>
                <w:rFonts w:ascii="Times New Roman" w:hAnsi="Times New Roman" w:cs="Times New Roman"/>
                <w:bCs/>
                <w:color w:val="000000"/>
                <w:lang w:val="sr-Cyrl-CS"/>
              </w:rPr>
              <w:t>шање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система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осматрања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и</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рано</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упозоравање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на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појаву</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шумских</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пожара</w:t>
            </w:r>
            <w:r w:rsidR="00A953E4" w:rsidRPr="005303F7">
              <w:rPr>
                <w:rFonts w:ascii="Times New Roman" w:hAnsi="Times New Roman" w:cs="Times New Roman"/>
                <w:bCs/>
                <w:color w:val="000000"/>
                <w:lang w:val="sr-Cyrl-CS"/>
              </w:rPr>
              <w:t xml:space="preserve">; </w:t>
            </w:r>
          </w:p>
          <w:p w14:paraId="4960C9CC" w14:textId="3E754A65" w:rsidR="00A953E4" w:rsidRPr="005303F7" w:rsidRDefault="008D69AF" w:rsidP="00D93231">
            <w:pPr>
              <w:pStyle w:val="ListParagraph"/>
              <w:numPr>
                <w:ilvl w:val="0"/>
                <w:numId w:val="57"/>
              </w:numPr>
              <w:overflowPunct/>
              <w:spacing w:before="0" w:after="0"/>
              <w:jc w:val="left"/>
              <w:rPr>
                <w:rFonts w:ascii="Times New Roman" w:hAnsi="Times New Roman" w:cs="Times New Roman"/>
                <w:bCs/>
                <w:color w:val="000000"/>
                <w:lang w:val="sr-Cyrl-CS"/>
              </w:rPr>
            </w:pPr>
            <w:r w:rsidRPr="005303F7">
              <w:rPr>
                <w:rFonts w:ascii="Times New Roman" w:hAnsi="Times New Roman" w:cs="Times New Roman"/>
                <w:bCs/>
                <w:color w:val="000000"/>
                <w:lang w:val="sr-Cyrl-CS"/>
              </w:rPr>
              <w:t>дефинисање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степена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угрожености</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шумских</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подручја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од</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пожара</w:t>
            </w:r>
            <w:r w:rsidR="00A953E4" w:rsidRPr="005303F7">
              <w:rPr>
                <w:rFonts w:ascii="Times New Roman" w:hAnsi="Times New Roman" w:cs="Times New Roman"/>
                <w:bCs/>
                <w:color w:val="000000"/>
                <w:lang w:val="sr-Cyrl-CS"/>
              </w:rPr>
              <w:t xml:space="preserve">; </w:t>
            </w:r>
          </w:p>
          <w:p w14:paraId="212A7B4A" w14:textId="03F38BC1" w:rsidR="00A953E4" w:rsidRPr="005303F7" w:rsidRDefault="008D69AF" w:rsidP="00D93231">
            <w:pPr>
              <w:pStyle w:val="ListParagraph"/>
              <w:numPr>
                <w:ilvl w:val="0"/>
                <w:numId w:val="57"/>
              </w:numPr>
              <w:overflowPunct/>
              <w:spacing w:before="0" w:after="0"/>
              <w:jc w:val="left"/>
              <w:rPr>
                <w:rFonts w:ascii="Times New Roman" w:hAnsi="Times New Roman" w:cs="Times New Roman"/>
                <w:bCs/>
                <w:color w:val="000000"/>
                <w:lang w:val="sr-Cyrl-CS"/>
              </w:rPr>
            </w:pPr>
            <w:r w:rsidRPr="005303F7">
              <w:rPr>
                <w:rFonts w:ascii="Times New Roman" w:hAnsi="Times New Roman" w:cs="Times New Roman"/>
                <w:bCs/>
                <w:color w:val="000000"/>
                <w:lang w:val="sr-Cyrl-CS"/>
              </w:rPr>
              <w:t>дефиниција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одговарају</w:t>
            </w:r>
            <w:r w:rsidR="00016298" w:rsidRPr="005303F7">
              <w:rPr>
                <w:rFonts w:ascii="Times New Roman" w:hAnsi="Times New Roman" w:cs="Times New Roman"/>
                <w:bCs/>
                <w:color w:val="000000"/>
                <w:lang w:val="sr-Cyrl-CS"/>
              </w:rPr>
              <w:t>ћ</w:t>
            </w:r>
            <w:r w:rsidRPr="005303F7">
              <w:rPr>
                <w:rFonts w:ascii="Times New Roman" w:hAnsi="Times New Roman" w:cs="Times New Roman"/>
                <w:bCs/>
                <w:color w:val="000000"/>
                <w:lang w:val="sr-Cyrl-CS"/>
              </w:rPr>
              <w:t>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опреме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за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тимове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за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гашење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пожара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ук</w:t>
            </w:r>
            <w:r w:rsidR="00D553BE" w:rsidRPr="005303F7">
              <w:rPr>
                <w:rFonts w:ascii="Times New Roman" w:hAnsi="Times New Roman" w:cs="Times New Roman"/>
                <w:bCs/>
                <w:lang w:val="sr-Cyrl-CS"/>
              </w:rPr>
              <w:t>љ</w:t>
            </w:r>
            <w:r w:rsidRPr="005303F7">
              <w:rPr>
                <w:rFonts w:ascii="Times New Roman" w:hAnsi="Times New Roman" w:cs="Times New Roman"/>
                <w:bCs/>
                <w:color w:val="000000"/>
                <w:lang w:val="sr-Cyrl-CS"/>
              </w:rPr>
              <w:t>учују</w:t>
            </w:r>
            <w:r w:rsidR="00016298" w:rsidRPr="005303F7">
              <w:rPr>
                <w:rFonts w:ascii="Times New Roman" w:hAnsi="Times New Roman" w:cs="Times New Roman"/>
                <w:bCs/>
                <w:color w:val="000000"/>
                <w:lang w:val="sr-Cyrl-CS"/>
              </w:rPr>
              <w:t>ћ</w:t>
            </w:r>
            <w:r w:rsidRPr="005303F7">
              <w:rPr>
                <w:rFonts w:ascii="Times New Roman" w:hAnsi="Times New Roman" w:cs="Times New Roman"/>
                <w:bCs/>
                <w:color w:val="000000"/>
                <w:lang w:val="sr-Cyrl-CS"/>
              </w:rPr>
              <w:t>и</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брзу</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интервенцију</w:t>
            </w:r>
            <w:r w:rsidR="00A953E4" w:rsidRPr="005303F7">
              <w:rPr>
                <w:rFonts w:ascii="Times New Roman" w:hAnsi="Times New Roman" w:cs="Times New Roman"/>
                <w:bCs/>
                <w:color w:val="000000"/>
                <w:lang w:val="sr-Cyrl-CS"/>
              </w:rPr>
              <w:t xml:space="preserve">; </w:t>
            </w:r>
          </w:p>
          <w:p w14:paraId="75C89A19" w14:textId="46019DEF" w:rsidR="00A953E4" w:rsidRPr="005303F7" w:rsidRDefault="008D69AF" w:rsidP="00D93231">
            <w:pPr>
              <w:pStyle w:val="ListParagraph"/>
              <w:numPr>
                <w:ilvl w:val="0"/>
                <w:numId w:val="57"/>
              </w:numPr>
              <w:overflowPunct/>
              <w:spacing w:before="0" w:after="0"/>
              <w:jc w:val="left"/>
              <w:rPr>
                <w:rFonts w:ascii="Times New Roman" w:hAnsi="Times New Roman" w:cs="Times New Roman"/>
                <w:bCs/>
                <w:color w:val="000000"/>
                <w:lang w:val="sr-Cyrl-CS"/>
              </w:rPr>
            </w:pPr>
            <w:r w:rsidRPr="005303F7">
              <w:rPr>
                <w:rFonts w:ascii="Times New Roman" w:hAnsi="Times New Roman" w:cs="Times New Roman"/>
                <w:bCs/>
                <w:color w:val="000000"/>
                <w:lang w:val="sr-Cyrl-CS"/>
              </w:rPr>
              <w:t>дефинисање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упутства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за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изградњу</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и</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одржавање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шумских</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путева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и</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шумских</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линија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од</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пожара</w:t>
            </w:r>
            <w:r w:rsidR="00A953E4" w:rsidRPr="005303F7">
              <w:rPr>
                <w:rFonts w:ascii="Times New Roman" w:hAnsi="Times New Roman" w:cs="Times New Roman"/>
                <w:bCs/>
                <w:color w:val="000000"/>
                <w:lang w:val="sr-Cyrl-CS"/>
              </w:rPr>
              <w:t xml:space="preserve">, </w:t>
            </w:r>
          </w:p>
          <w:p w14:paraId="2BCCB794" w14:textId="4496730C" w:rsidR="00A953E4" w:rsidRPr="005303F7" w:rsidRDefault="008D69AF" w:rsidP="00D93231">
            <w:pPr>
              <w:pStyle w:val="ListParagraph"/>
              <w:numPr>
                <w:ilvl w:val="0"/>
                <w:numId w:val="57"/>
              </w:numPr>
              <w:overflowPunct/>
              <w:spacing w:before="0" w:after="0"/>
              <w:jc w:val="left"/>
              <w:rPr>
                <w:rFonts w:ascii="Times New Roman" w:hAnsi="Times New Roman" w:cs="Times New Roman"/>
                <w:bCs/>
                <w:color w:val="000000"/>
                <w:lang w:val="sr-Cyrl-CS"/>
              </w:rPr>
            </w:pPr>
            <w:r w:rsidRPr="005303F7">
              <w:rPr>
                <w:rFonts w:ascii="Times New Roman" w:hAnsi="Times New Roman" w:cs="Times New Roman"/>
                <w:bCs/>
                <w:color w:val="000000"/>
                <w:lang w:val="sr-Cyrl-CS"/>
              </w:rPr>
              <w:t>упутство</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за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превенцију</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и</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санацију</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против</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инсеката</w:t>
            </w:r>
            <w:r w:rsidR="00A953E4" w:rsidRPr="005303F7">
              <w:rPr>
                <w:rFonts w:ascii="Times New Roman" w:hAnsi="Times New Roman" w:cs="Times New Roman"/>
                <w:bCs/>
                <w:color w:val="000000"/>
                <w:lang w:val="sr-Cyrl-CS"/>
              </w:rPr>
              <w:t>.</w:t>
            </w:r>
          </w:p>
          <w:p w14:paraId="67AB8467" w14:textId="5CC24EEF" w:rsidR="00A953E4" w:rsidRPr="005303F7" w:rsidRDefault="00CC6964" w:rsidP="00A953E4">
            <w:pPr>
              <w:overflowPunct/>
              <w:spacing w:before="240"/>
              <w:jc w:val="left"/>
              <w:rPr>
                <w:rFonts w:ascii="Times New Roman" w:hAnsi="Times New Roman"/>
                <w:bCs/>
                <w:color w:val="000000"/>
                <w:sz w:val="20"/>
                <w:lang w:val="sr-Cyrl-CS"/>
              </w:rPr>
            </w:pPr>
            <w:r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Треба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израдити</w:t>
            </w:r>
            <w:r w:rsidR="00AA4DA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упутства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управ</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ање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угроженим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шумама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националном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нивоу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уз</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интензивну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обуку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одговорног</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особ</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предузећима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газдовање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шумама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удружењима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приватних</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власника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превентивне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мере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против</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свих</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абиотских</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биотских</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негативних</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фактора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шумском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екосистему</w:t>
            </w:r>
            <w:r w:rsidR="00A953E4" w:rsidRPr="005303F7">
              <w:rPr>
                <w:rFonts w:ascii="Times New Roman" w:hAnsi="Times New Roman"/>
                <w:bCs/>
                <w:color w:val="000000"/>
                <w:sz w:val="20"/>
                <w:lang w:val="sr-Cyrl-CS"/>
              </w:rPr>
              <w:t>.</w:t>
            </w:r>
          </w:p>
          <w:p w14:paraId="359D812D" w14:textId="20743F34" w:rsidR="00BD116A" w:rsidRPr="005303F7" w:rsidRDefault="008D69AF" w:rsidP="00FF59B2">
            <w:pPr>
              <w:overflowPunct/>
              <w:spacing w:before="240"/>
              <w:jc w:val="left"/>
              <w:rPr>
                <w:rFonts w:ascii="Times New Roman" w:hAnsi="Times New Roman"/>
                <w:bCs/>
                <w:i/>
                <w:sz w:val="20"/>
                <w:szCs w:val="18"/>
                <w:lang w:val="sr-Cyrl-CS"/>
              </w:rPr>
            </w:pPr>
            <w:r w:rsidRPr="005303F7">
              <w:rPr>
                <w:rFonts w:ascii="Times New Roman" w:hAnsi="Times New Roman"/>
                <w:b/>
                <w:bCs/>
                <w:sz w:val="20"/>
                <w:szCs w:val="18"/>
                <w:u w:val="single"/>
                <w:lang w:val="sr-Cyrl-CS"/>
              </w:rPr>
              <w:t>Процес</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преговора</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о</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приступању</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ЕУ</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Поглав</w:t>
            </w:r>
            <w:r w:rsidR="00D553BE" w:rsidRPr="005303F7">
              <w:rPr>
                <w:rFonts w:ascii="Times New Roman" w:hAnsi="Times New Roman"/>
                <w:b/>
                <w:bCs/>
                <w:sz w:val="20"/>
                <w:szCs w:val="18"/>
                <w:u w:val="single"/>
                <w:lang w:val="sr-Cyrl-CS"/>
              </w:rPr>
              <w:t>љ</w:t>
            </w:r>
            <w:r w:rsidRPr="005303F7">
              <w:rPr>
                <w:rFonts w:ascii="Times New Roman" w:hAnsi="Times New Roman"/>
                <w:b/>
                <w:bCs/>
                <w:sz w:val="20"/>
                <w:szCs w:val="18"/>
                <w:u w:val="single"/>
                <w:lang w:val="sr-Cyrl-CS"/>
              </w:rPr>
              <w:t>е</w:t>
            </w:r>
            <w:r w:rsidR="00A953E4" w:rsidRPr="005303F7">
              <w:rPr>
                <w:rFonts w:ascii="Times New Roman" w:hAnsi="Times New Roman"/>
                <w:b/>
                <w:bCs/>
                <w:sz w:val="20"/>
                <w:szCs w:val="18"/>
                <w:u w:val="single"/>
                <w:lang w:val="sr-Cyrl-CS"/>
              </w:rPr>
              <w:t xml:space="preserve"> 27 – </w:t>
            </w:r>
            <w:r w:rsidRPr="005303F7">
              <w:rPr>
                <w:rFonts w:ascii="Times New Roman" w:hAnsi="Times New Roman"/>
                <w:b/>
                <w:bCs/>
                <w:sz w:val="20"/>
                <w:szCs w:val="18"/>
                <w:u w:val="single"/>
                <w:lang w:val="sr-Cyrl-CS"/>
              </w:rPr>
              <w:t>Животна</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средина</w:t>
            </w:r>
          </w:p>
        </w:tc>
      </w:tr>
      <w:tr w:rsidR="002C04C0" w:rsidRPr="005303F7" w14:paraId="26757A2A" w14:textId="77777777" w:rsidTr="00D519CC">
        <w:trPr>
          <w:trHeight w:val="562"/>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14:paraId="76AA06A3" w14:textId="77777777" w:rsidR="002C04C0" w:rsidRPr="005303F7" w:rsidRDefault="002C04C0">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5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CD8ED4" w14:textId="4DA126F2" w:rsidR="002C04C0" w:rsidRPr="005303F7" w:rsidRDefault="008D69AF" w:rsidP="002D1F70">
            <w:pPr>
              <w:spacing w:before="0" w:after="0"/>
              <w:jc w:val="center"/>
              <w:rPr>
                <w:rFonts w:ascii="Times New Roman" w:hAnsi="Times New Roman"/>
                <w:b/>
                <w:bCs/>
                <w:sz w:val="20"/>
                <w:lang w:val="sr-Cyrl-CS"/>
              </w:rPr>
            </w:pPr>
            <w:r w:rsidRPr="005303F7">
              <w:rPr>
                <w:rFonts w:ascii="Times New Roman" w:hAnsi="Times New Roman"/>
                <w:b/>
                <w:sz w:val="20"/>
                <w:lang w:val="sr-Cyrl-CS"/>
              </w:rPr>
              <w:t>К</w:t>
            </w:r>
            <w:r w:rsidR="00D553BE" w:rsidRPr="005303F7">
              <w:rPr>
                <w:rFonts w:ascii="Times New Roman" w:hAnsi="Times New Roman"/>
                <w:b/>
                <w:sz w:val="20"/>
                <w:lang w:val="sr-Cyrl-CS"/>
              </w:rPr>
              <w:t>љ</w:t>
            </w:r>
            <w:r w:rsidRPr="005303F7">
              <w:rPr>
                <w:rFonts w:ascii="Times New Roman" w:hAnsi="Times New Roman"/>
                <w:b/>
                <w:sz w:val="20"/>
                <w:lang w:val="sr-Cyrl-CS"/>
              </w:rPr>
              <w:t>учни</w:t>
            </w:r>
            <w:r w:rsidR="002C04C0" w:rsidRPr="005303F7">
              <w:rPr>
                <w:rFonts w:ascii="Times New Roman" w:hAnsi="Times New Roman"/>
                <w:b/>
                <w:sz w:val="20"/>
                <w:lang w:val="sr-Cyrl-CS"/>
              </w:rPr>
              <w:t xml:space="preserve"> </w:t>
            </w:r>
            <w:r w:rsidRPr="005303F7">
              <w:rPr>
                <w:rFonts w:ascii="Times New Roman" w:hAnsi="Times New Roman"/>
                <w:b/>
                <w:sz w:val="20"/>
                <w:lang w:val="sr-Cyrl-CS"/>
              </w:rPr>
              <w:t>субјекат</w:t>
            </w:r>
            <w:r w:rsidR="002C04C0" w:rsidRPr="005303F7">
              <w:rPr>
                <w:rFonts w:ascii="Times New Roman" w:hAnsi="Times New Roman"/>
                <w:b/>
                <w:sz w:val="20"/>
                <w:lang w:val="sr-Cyrl-CS"/>
              </w:rPr>
              <w:t xml:space="preserve"> </w:t>
            </w:r>
            <w:r w:rsidRPr="005303F7">
              <w:rPr>
                <w:rFonts w:ascii="Times New Roman" w:hAnsi="Times New Roman"/>
                <w:b/>
                <w:sz w:val="20"/>
                <w:lang w:val="sr-Cyrl-CS"/>
              </w:rPr>
              <w:t>за</w:t>
            </w:r>
            <w:r w:rsidR="002C04C0" w:rsidRPr="005303F7">
              <w:rPr>
                <w:rFonts w:ascii="Times New Roman" w:hAnsi="Times New Roman"/>
                <w:b/>
                <w:sz w:val="20"/>
                <w:lang w:val="sr-Cyrl-CS"/>
              </w:rPr>
              <w:t xml:space="preserve"> </w:t>
            </w:r>
            <w:r w:rsidRPr="005303F7">
              <w:rPr>
                <w:rFonts w:ascii="Times New Roman" w:hAnsi="Times New Roman"/>
                <w:b/>
                <w:sz w:val="20"/>
                <w:lang w:val="sr-Cyrl-CS"/>
              </w:rPr>
              <w:t>спровођење</w:t>
            </w:r>
            <w:r w:rsidR="002C04C0" w:rsidRPr="005303F7">
              <w:rPr>
                <w:rFonts w:ascii="Times New Roman" w:hAnsi="Times New Roman"/>
                <w:b/>
                <w:sz w:val="20"/>
                <w:lang w:val="sr-Cyrl-CS"/>
              </w:rPr>
              <w:t xml:space="preserve"> </w:t>
            </w:r>
            <w:r w:rsidRPr="005303F7">
              <w:rPr>
                <w:rFonts w:ascii="Times New Roman" w:hAnsi="Times New Roman"/>
                <w:b/>
                <w:sz w:val="20"/>
                <w:lang w:val="sr-Cyrl-CS"/>
              </w:rPr>
              <w:t>мере</w:t>
            </w:r>
          </w:p>
        </w:tc>
        <w:tc>
          <w:tcPr>
            <w:tcW w:w="63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ED3F59" w14:textId="59A557C9" w:rsidR="002C04C0" w:rsidRPr="005303F7" w:rsidRDefault="008D69AF" w:rsidP="002D1F70">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Партнери</w:t>
            </w:r>
          </w:p>
        </w:tc>
        <w:tc>
          <w:tcPr>
            <w:tcW w:w="12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028464" w14:textId="2A807D06" w:rsidR="002C04C0" w:rsidRPr="005303F7" w:rsidRDefault="00D7102F" w:rsidP="0070650E">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ЕТS/</w:t>
            </w:r>
            <w:r w:rsidR="004A35C7" w:rsidRPr="005303F7">
              <w:rPr>
                <w:rFonts w:ascii="Times New Roman" w:hAnsi="Times New Roman"/>
                <w:b/>
                <w:sz w:val="20"/>
                <w:lang w:val="sr-Cyrl-CS"/>
              </w:rPr>
              <w:t>не-ЕТS</w:t>
            </w:r>
          </w:p>
        </w:tc>
        <w:tc>
          <w:tcPr>
            <w:tcW w:w="129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9DA228" w14:textId="197BD523" w:rsidR="002C04C0" w:rsidRPr="005303F7" w:rsidRDefault="008D69AF" w:rsidP="002D1F70">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Главни</w:t>
            </w:r>
            <w:r w:rsidR="002C04C0" w:rsidRPr="005303F7">
              <w:rPr>
                <w:rFonts w:ascii="Times New Roman" w:hAnsi="Times New Roman"/>
                <w:b/>
                <w:sz w:val="20"/>
                <w:lang w:val="sr-Cyrl-CS"/>
              </w:rPr>
              <w:t xml:space="preserve"> </w:t>
            </w:r>
            <w:r w:rsidRPr="005303F7">
              <w:rPr>
                <w:rFonts w:ascii="Times New Roman" w:hAnsi="Times New Roman"/>
                <w:b/>
                <w:sz w:val="20"/>
                <w:lang w:val="sr-Cyrl-CS"/>
              </w:rPr>
              <w:t>гасови</w:t>
            </w:r>
          </w:p>
        </w:tc>
        <w:tc>
          <w:tcPr>
            <w:tcW w:w="28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214FE9" w14:textId="515FB03A" w:rsidR="00D7102F" w:rsidRPr="005303F7" w:rsidRDefault="00700C33"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Процењене ук</w:t>
            </w:r>
            <w:r w:rsidR="00A754DD" w:rsidRPr="005303F7">
              <w:rPr>
                <w:rFonts w:ascii="Times New Roman" w:hAnsi="Times New Roman"/>
                <w:b/>
                <w:bCs/>
                <w:sz w:val="20"/>
                <w:lang w:val="sr-Cyrl-CS"/>
              </w:rPr>
              <w:t xml:space="preserve">лоњене количине </w:t>
            </w:r>
            <w:r w:rsidR="00D7102F" w:rsidRPr="005303F7">
              <w:rPr>
                <w:rFonts w:ascii="Times New Roman" w:hAnsi="Times New Roman"/>
                <w:b/>
                <w:bCs/>
                <w:sz w:val="20"/>
                <w:lang w:val="sr-Cyrl-CS"/>
              </w:rPr>
              <w:t xml:space="preserve">до 2030. </w:t>
            </w:r>
          </w:p>
          <w:p w14:paraId="152E2606" w14:textId="69A16498" w:rsidR="002C04C0" w:rsidRPr="005303F7" w:rsidRDefault="00D7102F" w:rsidP="002D1F70">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BD116A" w:rsidRPr="005303F7" w14:paraId="64AE5E31" w14:textId="77777777" w:rsidTr="00D519CC">
        <w:trPr>
          <w:trHeight w:val="840"/>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14:paraId="03DC69C3" w14:textId="77777777" w:rsidR="00BD116A" w:rsidRPr="005303F7" w:rsidRDefault="00BD116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5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D222C6" w14:textId="0DE3F147" w:rsidR="00BD116A" w:rsidRPr="005303F7" w:rsidRDefault="008D69AF" w:rsidP="002D1F70">
            <w:pPr>
              <w:overflowPunct/>
              <w:spacing w:before="0"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2C04C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опривреде</w:t>
            </w:r>
            <w:r w:rsidR="002C04C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шумарства</w:t>
            </w:r>
            <w:r w:rsidR="002C04C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2C04C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водопривреде</w:t>
            </w:r>
          </w:p>
        </w:tc>
        <w:tc>
          <w:tcPr>
            <w:tcW w:w="6392"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8CE3F7" w14:textId="46952F2D" w:rsidR="00BD116A" w:rsidRPr="005303F7" w:rsidRDefault="008D69AF" w:rsidP="002D1F70">
            <w:pPr>
              <w:overflowPunct/>
              <w:spacing w:before="0"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2C04C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заштите</w:t>
            </w:r>
            <w:r w:rsidR="002C04C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животне</w:t>
            </w:r>
            <w:r w:rsidR="002C04C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средине</w:t>
            </w:r>
            <w:r w:rsidR="00BD116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истраживачке</w:t>
            </w:r>
            <w:r w:rsidR="002C04C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институције</w:t>
            </w:r>
            <w:r w:rsidR="00BD116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јавна</w:t>
            </w:r>
            <w:r w:rsidR="002C04C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предузећа</w:t>
            </w:r>
            <w:r w:rsidR="002C04C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одговорна</w:t>
            </w:r>
            <w:r w:rsidR="002C04C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2C04C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газдовање</w:t>
            </w:r>
            <w:r w:rsidR="002C04C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шумама</w:t>
            </w:r>
            <w:r w:rsidR="00BD116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приватни</w:t>
            </w:r>
            <w:r w:rsidR="002C04C0"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власници</w:t>
            </w:r>
          </w:p>
        </w:tc>
        <w:tc>
          <w:tcPr>
            <w:tcW w:w="125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1252FF" w14:textId="77E85449" w:rsidR="00BD116A" w:rsidRPr="005303F7" w:rsidRDefault="004A35C7" w:rsidP="002D1F70">
            <w:pPr>
              <w:overflowPunct/>
              <w:spacing w:before="0" w:after="0"/>
              <w:jc w:val="center"/>
              <w:rPr>
                <w:rFonts w:ascii="Times New Roman" w:hAnsi="Times New Roman"/>
                <w:bCs/>
                <w:sz w:val="20"/>
                <w:lang w:val="sr-Cyrl-CS"/>
              </w:rPr>
            </w:pPr>
            <w:r w:rsidRPr="005303F7">
              <w:rPr>
                <w:rFonts w:ascii="Times New Roman" w:hAnsi="Times New Roman"/>
                <w:bCs/>
                <w:sz w:val="20"/>
                <w:lang w:val="sr-Cyrl-CS"/>
              </w:rPr>
              <w:t>не-ЕТS</w:t>
            </w:r>
          </w:p>
        </w:tc>
        <w:tc>
          <w:tcPr>
            <w:tcW w:w="129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06D96E" w14:textId="4148A201" w:rsidR="00BD116A" w:rsidRPr="005303F7" w:rsidRDefault="00000561" w:rsidP="002D1F70">
            <w:pPr>
              <w:overflowPunct/>
              <w:spacing w:before="0" w:after="0"/>
              <w:jc w:val="center"/>
              <w:rPr>
                <w:rFonts w:ascii="Times New Roman" w:hAnsi="Times New Roman"/>
                <w:bCs/>
                <w:sz w:val="20"/>
                <w:lang w:val="sr-Cyrl-CS"/>
              </w:rPr>
            </w:pPr>
            <w:r w:rsidRPr="005303F7">
              <w:rPr>
                <w:rFonts w:ascii="Times New Roman" w:hAnsi="Times New Roman"/>
                <w:bCs/>
                <w:sz w:val="20"/>
                <w:lang w:val="sr-Cyrl-CS"/>
              </w:rPr>
              <w:t>C</w:t>
            </w:r>
            <w:r w:rsidR="008D69AF" w:rsidRPr="005303F7">
              <w:rPr>
                <w:rFonts w:ascii="Times New Roman" w:hAnsi="Times New Roman"/>
                <w:bCs/>
                <w:sz w:val="20"/>
                <w:lang w:val="sr-Cyrl-CS"/>
              </w:rPr>
              <w:t>О</w:t>
            </w:r>
            <w:r w:rsidR="00BD116A" w:rsidRPr="005303F7">
              <w:rPr>
                <w:rFonts w:ascii="Times New Roman" w:hAnsi="Times New Roman"/>
                <w:bCs/>
                <w:sz w:val="20"/>
                <w:vertAlign w:val="subscript"/>
                <w:lang w:val="sr-Cyrl-CS"/>
              </w:rPr>
              <w:t>2</w:t>
            </w:r>
          </w:p>
        </w:tc>
        <w:tc>
          <w:tcPr>
            <w:tcW w:w="28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D00DCD" w14:textId="7DFBFE0F" w:rsidR="00BD116A" w:rsidRPr="005303F7" w:rsidRDefault="00A953E4" w:rsidP="002D1F70">
            <w:pPr>
              <w:overflowPunct/>
              <w:spacing w:before="0"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w:t>
            </w:r>
          </w:p>
        </w:tc>
      </w:tr>
      <w:tr w:rsidR="00BD116A" w:rsidRPr="005303F7" w14:paraId="0B40FC00" w14:textId="77777777" w:rsidTr="00D519CC">
        <w:trPr>
          <w:trHeight w:val="442"/>
        </w:trPr>
        <w:tc>
          <w:tcPr>
            <w:tcW w:w="696" w:type="dxa"/>
            <w:gridSpan w:val="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10606D26" w14:textId="1D21068C" w:rsidR="00BD116A" w:rsidRPr="005303F7" w:rsidRDefault="008D69AF">
            <w:pPr>
              <w:overflowPunct/>
              <w:spacing w:after="0"/>
              <w:rPr>
                <w:rFonts w:ascii="Times New Roman" w:hAnsi="Times New Roman"/>
                <w:szCs w:val="22"/>
                <w:lang w:val="sr-Cyrl-CS"/>
              </w:rPr>
            </w:pPr>
            <w:r w:rsidRPr="005303F7">
              <w:rPr>
                <w:rFonts w:ascii="Times New Roman" w:hAnsi="Times New Roman"/>
                <w:szCs w:val="22"/>
                <w:lang w:val="sr-Cyrl-CS"/>
              </w:rPr>
              <w:t>Бр</w:t>
            </w:r>
            <w:r w:rsidR="00BD116A" w:rsidRPr="005303F7">
              <w:rPr>
                <w:rFonts w:ascii="Times New Roman" w:hAnsi="Times New Roman"/>
                <w:szCs w:val="22"/>
                <w:lang w:val="sr-Cyrl-CS"/>
              </w:rPr>
              <w:t>.</w:t>
            </w:r>
          </w:p>
        </w:tc>
        <w:tc>
          <w:tcPr>
            <w:tcW w:w="15365" w:type="dxa"/>
            <w:gridSpan w:val="24"/>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0A7A2743" w14:textId="2A210745" w:rsidR="00BD116A" w:rsidRPr="005303F7" w:rsidRDefault="008D69AF" w:rsidP="00652668">
            <w:pPr>
              <w:overflowPunct/>
              <w:jc w:val="left"/>
              <w:rPr>
                <w:rFonts w:ascii="Times New Roman" w:hAnsi="Times New Roman"/>
                <w:b/>
                <w:color w:val="FFFFFF" w:themeColor="background1"/>
                <w:sz w:val="20"/>
                <w:u w:val="single"/>
                <w:lang w:val="sr-Cyrl-CS"/>
              </w:rPr>
            </w:pPr>
            <w:r w:rsidRPr="005303F7">
              <w:rPr>
                <w:rFonts w:ascii="Times New Roman" w:hAnsi="Times New Roman"/>
                <w:b/>
                <w:bCs/>
                <w:color w:val="FFFFFF" w:themeColor="background1"/>
                <w:sz w:val="20"/>
                <w:lang w:val="sr-Cyrl-CS"/>
              </w:rPr>
              <w:t>Назив</w:t>
            </w:r>
            <w:r w:rsidR="00A07392" w:rsidRPr="005303F7">
              <w:rPr>
                <w:rFonts w:ascii="Times New Roman" w:hAnsi="Times New Roman"/>
                <w:b/>
                <w:bCs/>
                <w:color w:val="FFFFFF" w:themeColor="background1"/>
                <w:sz w:val="20"/>
                <w:lang w:val="sr-Cyrl-CS"/>
              </w:rPr>
              <w:t xml:space="preserve"> </w:t>
            </w:r>
            <w:r w:rsidRPr="005303F7">
              <w:rPr>
                <w:rFonts w:ascii="Times New Roman" w:hAnsi="Times New Roman"/>
                <w:b/>
                <w:bCs/>
                <w:color w:val="FFFFFF" w:themeColor="background1"/>
                <w:sz w:val="20"/>
                <w:lang w:val="sr-Cyrl-CS"/>
              </w:rPr>
              <w:t>мере</w:t>
            </w:r>
            <w:r w:rsidR="00A07392" w:rsidRPr="005303F7">
              <w:rPr>
                <w:rFonts w:ascii="Times New Roman" w:hAnsi="Times New Roman"/>
                <w:b/>
                <w:bCs/>
                <w:color w:val="FFFFFF" w:themeColor="background1"/>
                <w:sz w:val="20"/>
                <w:lang w:val="sr-Cyrl-CS"/>
              </w:rPr>
              <w:t>:</w:t>
            </w:r>
            <w:r w:rsidR="00321591" w:rsidRPr="005303F7">
              <w:rPr>
                <w:rFonts w:ascii="Times New Roman" w:hAnsi="Times New Roman"/>
                <w:b/>
                <w:color w:val="FFFFFF" w:themeColor="background1"/>
                <w:sz w:val="20"/>
                <w:lang w:val="sr-Cyrl-CS"/>
              </w:rPr>
              <w:t xml:space="preserve"> </w:t>
            </w:r>
            <w:r w:rsidRPr="005303F7">
              <w:rPr>
                <w:rFonts w:ascii="Times New Roman" w:hAnsi="Times New Roman"/>
                <w:b/>
                <w:color w:val="FFFFFF" w:themeColor="background1"/>
                <w:sz w:val="20"/>
                <w:u w:val="single"/>
                <w:lang w:val="sr-Cyrl-CS"/>
              </w:rPr>
              <w:t>Програм</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истраживања</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обуке</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и</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подизања</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свести</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са</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ци</w:t>
            </w:r>
            <w:r w:rsidR="00D553BE" w:rsidRPr="005303F7">
              <w:rPr>
                <w:rFonts w:ascii="Times New Roman" w:hAnsi="Times New Roman"/>
                <w:b/>
                <w:sz w:val="20"/>
                <w:u w:val="single"/>
                <w:lang w:val="sr-Cyrl-CS"/>
              </w:rPr>
              <w:t>љ</w:t>
            </w:r>
            <w:r w:rsidRPr="005303F7">
              <w:rPr>
                <w:rFonts w:ascii="Times New Roman" w:hAnsi="Times New Roman"/>
                <w:b/>
                <w:color w:val="FFFFFF" w:themeColor="background1"/>
                <w:sz w:val="20"/>
                <w:u w:val="single"/>
                <w:lang w:val="sr-Cyrl-CS"/>
              </w:rPr>
              <w:t>ем</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повећања</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понирања</w:t>
            </w:r>
            <w:r w:rsidR="004837F7" w:rsidRPr="005303F7">
              <w:rPr>
                <w:rFonts w:ascii="Times New Roman" w:hAnsi="Times New Roman"/>
                <w:b/>
                <w:color w:val="FFFFFF" w:themeColor="background1"/>
                <w:sz w:val="20"/>
                <w:u w:val="single"/>
                <w:lang w:val="sr-Cyrl-CS"/>
              </w:rPr>
              <w:t xml:space="preserve"> </w:t>
            </w:r>
            <w:r w:rsidR="00864225" w:rsidRPr="005303F7">
              <w:rPr>
                <w:rFonts w:ascii="Times New Roman" w:hAnsi="Times New Roman"/>
                <w:b/>
                <w:color w:val="FFFFFF" w:themeColor="background1"/>
                <w:sz w:val="20"/>
                <w:u w:val="single"/>
                <w:lang w:val="sr-Cyrl-CS"/>
              </w:rPr>
              <w:t>C</w:t>
            </w:r>
            <w:r w:rsidRPr="005303F7">
              <w:rPr>
                <w:rFonts w:ascii="Times New Roman" w:hAnsi="Times New Roman"/>
                <w:b/>
                <w:color w:val="FFFFFF" w:themeColor="background1"/>
                <w:sz w:val="20"/>
                <w:u w:val="single"/>
                <w:lang w:val="sr-Cyrl-CS"/>
              </w:rPr>
              <w:t>О</w:t>
            </w:r>
            <w:r w:rsidR="004837F7" w:rsidRPr="005303F7">
              <w:rPr>
                <w:rFonts w:ascii="Times New Roman" w:hAnsi="Times New Roman"/>
                <w:b/>
                <w:color w:val="FFFFFF" w:themeColor="background1"/>
                <w:sz w:val="20"/>
                <w:u w:val="single"/>
                <w:vertAlign w:val="subscript"/>
                <w:lang w:val="sr-Cyrl-CS"/>
              </w:rPr>
              <w:t>2</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и</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стварања</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веће</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отпорности</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шума</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у</w:t>
            </w:r>
            <w:r w:rsidR="004837F7" w:rsidRPr="005303F7">
              <w:rPr>
                <w:rFonts w:ascii="Times New Roman" w:hAnsi="Times New Roman"/>
                <w:b/>
                <w:color w:val="FFFFFF" w:themeColor="background1"/>
                <w:sz w:val="20"/>
                <w:u w:val="single"/>
                <w:lang w:val="sr-Cyrl-CS"/>
              </w:rPr>
              <w:t xml:space="preserve"> </w:t>
            </w:r>
            <w:r w:rsidR="00D73AAB" w:rsidRPr="005303F7">
              <w:rPr>
                <w:rFonts w:ascii="Times New Roman" w:hAnsi="Times New Roman"/>
                <w:b/>
                <w:color w:val="FFFFFF" w:themeColor="background1"/>
                <w:sz w:val="20"/>
                <w:u w:val="single"/>
                <w:lang w:val="sr-Cyrl-CS"/>
              </w:rPr>
              <w:t>Републици Србији</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на</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климатске</w:t>
            </w:r>
            <w:r w:rsidR="004837F7"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промене</w:t>
            </w:r>
          </w:p>
        </w:tc>
      </w:tr>
      <w:tr w:rsidR="00BD116A" w:rsidRPr="005303F7" w14:paraId="265C68D6" w14:textId="77777777" w:rsidTr="00D519CC">
        <w:trPr>
          <w:trHeight w:val="6915"/>
        </w:trPr>
        <w:tc>
          <w:tcPr>
            <w:tcW w:w="6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104A7D" w14:textId="77777777" w:rsidR="00BD116A" w:rsidRPr="005303F7" w:rsidRDefault="00BD116A">
            <w:pPr>
              <w:overflowPunct/>
              <w:spacing w:after="0"/>
              <w:jc w:val="center"/>
              <w:rPr>
                <w:rFonts w:ascii="Times New Roman" w:hAnsi="Times New Roman"/>
                <w:b/>
                <w:color w:val="000000"/>
                <w:sz w:val="20"/>
                <w:lang w:val="sr-Cyrl-CS"/>
              </w:rPr>
            </w:pPr>
            <w:r w:rsidRPr="005303F7">
              <w:rPr>
                <w:rFonts w:ascii="Times New Roman" w:hAnsi="Times New Roman"/>
                <w:b/>
                <w:color w:val="000000"/>
                <w:sz w:val="20"/>
                <w:lang w:val="sr-Cyrl-CS"/>
              </w:rPr>
              <w:lastRenderedPageBreak/>
              <w:t>25</w:t>
            </w:r>
          </w:p>
        </w:tc>
        <w:tc>
          <w:tcPr>
            <w:tcW w:w="15365" w:type="dxa"/>
            <w:gridSpan w:val="24"/>
            <w:tcBorders>
              <w:top w:val="single" w:sz="4" w:space="0" w:color="auto"/>
              <w:left w:val="single" w:sz="4" w:space="0" w:color="auto"/>
              <w:bottom w:val="single" w:sz="4" w:space="0" w:color="auto"/>
              <w:right w:val="single" w:sz="4" w:space="0" w:color="auto"/>
            </w:tcBorders>
            <w:vAlign w:val="center"/>
          </w:tcPr>
          <w:p w14:paraId="6E27246F" w14:textId="342F0767" w:rsidR="00A953E4" w:rsidRPr="005303F7" w:rsidRDefault="008D69AF" w:rsidP="00A953E4">
            <w:pPr>
              <w:overflowPunct/>
              <w:jc w:val="left"/>
              <w:rPr>
                <w:rFonts w:ascii="Times New Roman" w:hAnsi="Times New Roman"/>
                <w:b/>
                <w:color w:val="000000"/>
                <w:sz w:val="20"/>
                <w:u w:val="single"/>
                <w:lang w:val="sr-Cyrl-CS"/>
              </w:rPr>
            </w:pPr>
            <w:r w:rsidRPr="005303F7">
              <w:rPr>
                <w:rFonts w:ascii="Times New Roman" w:hAnsi="Times New Roman"/>
                <w:b/>
                <w:color w:val="000000"/>
                <w:sz w:val="20"/>
                <w:u w:val="single"/>
                <w:lang w:val="sr-Cyrl-CS"/>
              </w:rPr>
              <w:t>Врста</w:t>
            </w:r>
            <w:r w:rsidR="00A953E4"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A953E4" w:rsidRPr="005303F7">
              <w:rPr>
                <w:rFonts w:ascii="Times New Roman" w:hAnsi="Times New Roman"/>
                <w:b/>
                <w:color w:val="000000"/>
                <w:sz w:val="20"/>
                <w:u w:val="single"/>
                <w:lang w:val="sr-Cyrl-CS"/>
              </w:rPr>
              <w:t>:</w:t>
            </w:r>
            <w:r w:rsidR="00A953E4" w:rsidRPr="005303F7">
              <w:rPr>
                <w:rFonts w:ascii="Times New Roman" w:hAnsi="Times New Roman"/>
                <w:b/>
                <w:color w:val="000000"/>
                <w:sz w:val="20"/>
                <w:lang w:val="sr-Cyrl-CS"/>
              </w:rPr>
              <w:t xml:space="preserve"> </w:t>
            </w:r>
            <w:r w:rsidRPr="005303F7">
              <w:rPr>
                <w:rFonts w:ascii="Times New Roman" w:hAnsi="Times New Roman"/>
                <w:bCs/>
                <w:color w:val="000000"/>
                <w:sz w:val="20"/>
                <w:lang w:val="sr-Cyrl-CS"/>
              </w:rPr>
              <w:t>Информативно</w:t>
            </w:r>
            <w:r w:rsidR="00A953E4" w:rsidRPr="005303F7">
              <w:rPr>
                <w:rFonts w:ascii="Times New Roman" w:hAnsi="Times New Roman"/>
                <w:bCs/>
                <w:color w:val="000000"/>
                <w:sz w:val="20"/>
                <w:lang w:val="sr-Cyrl-CS"/>
              </w:rPr>
              <w:t>-</w:t>
            </w:r>
            <w:r w:rsidRPr="005303F7">
              <w:rPr>
                <w:rFonts w:ascii="Times New Roman" w:hAnsi="Times New Roman"/>
                <w:bCs/>
                <w:color w:val="000000"/>
                <w:sz w:val="20"/>
                <w:lang w:val="sr-Cyrl-CS"/>
              </w:rPr>
              <w:t>едукативна</w:t>
            </w:r>
          </w:p>
          <w:p w14:paraId="6EAD9A5A" w14:textId="42B23202" w:rsidR="00A953E4" w:rsidRPr="005303F7" w:rsidRDefault="008D69AF" w:rsidP="00A953E4">
            <w:pPr>
              <w:overflowPunct/>
              <w:spacing w:after="0"/>
              <w:jc w:val="left"/>
              <w:rPr>
                <w:rFonts w:ascii="Times New Roman" w:hAnsi="Times New Roman"/>
                <w:bCs/>
                <w:color w:val="000000"/>
                <w:sz w:val="20"/>
                <w:lang w:val="sr-Cyrl-CS"/>
              </w:rPr>
            </w:pPr>
            <w:r w:rsidRPr="005303F7">
              <w:rPr>
                <w:rFonts w:ascii="Times New Roman" w:hAnsi="Times New Roman"/>
                <w:b/>
                <w:color w:val="000000"/>
                <w:sz w:val="20"/>
                <w:u w:val="single"/>
                <w:lang w:val="sr-Cyrl-CS"/>
              </w:rPr>
              <w:t>Опис</w:t>
            </w:r>
            <w:r w:rsidR="00A953E4"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би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смањила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угроженост</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w:t>
            </w:r>
            <w:r w:rsidR="00A953E4" w:rsidRPr="005303F7">
              <w:rPr>
                <w:rFonts w:ascii="Times New Roman" w:hAnsi="Times New Roman"/>
                <w:bCs/>
                <w:color w:val="000000"/>
                <w:sz w:val="20"/>
                <w:lang w:val="sr-Cyrl-CS"/>
              </w:rPr>
              <w:t xml:space="preserve"> </w:t>
            </w:r>
            <w:r w:rsidR="00D73AAB" w:rsidRPr="005303F7">
              <w:rPr>
                <w:rFonts w:ascii="Times New Roman" w:hAnsi="Times New Roman"/>
                <w:bCs/>
                <w:color w:val="000000"/>
                <w:sz w:val="20"/>
                <w:lang w:val="sr-Cyrl-CS"/>
              </w:rPr>
              <w:t>Републике Србије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на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утицаје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климатских</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промена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би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истражио</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пуни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потенцијал</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мера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ублажавања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обухваћених</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ов</w:t>
            </w:r>
            <w:r w:rsidR="006B2914" w:rsidRPr="005303F7">
              <w:rPr>
                <w:rFonts w:ascii="Times New Roman" w:hAnsi="Times New Roman"/>
                <w:bCs/>
                <w:color w:val="000000"/>
                <w:sz w:val="20"/>
                <w:lang w:val="sr-Cyrl-CS"/>
              </w:rPr>
              <w:t>ом Стратегијом</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цео</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шумарски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систем</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00D73AAB" w:rsidRPr="005303F7">
              <w:rPr>
                <w:rFonts w:ascii="Times New Roman" w:hAnsi="Times New Roman"/>
                <w:bCs/>
                <w:color w:val="000000"/>
                <w:sz w:val="20"/>
                <w:lang w:val="sr-Cyrl-CS"/>
              </w:rPr>
              <w:t>Републици Србији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мора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значајно</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ојачати</w:t>
            </w:r>
            <w:r w:rsidR="00A953E4" w:rsidRPr="005303F7">
              <w:rPr>
                <w:rFonts w:ascii="Times New Roman" w:hAnsi="Times New Roman"/>
                <w:bCs/>
                <w:color w:val="000000"/>
                <w:sz w:val="20"/>
                <w:lang w:val="sr-Cyrl-CS"/>
              </w:rPr>
              <w:t>.</w:t>
            </w:r>
          </w:p>
          <w:p w14:paraId="15075B6B" w14:textId="03D06209" w:rsidR="00A953E4" w:rsidRPr="005303F7" w:rsidRDefault="00CC6964" w:rsidP="00A953E4">
            <w:pPr>
              <w:overflowPunct/>
              <w:spacing w:after="0"/>
              <w:jc w:val="left"/>
              <w:rPr>
                <w:rFonts w:ascii="Times New Roman" w:hAnsi="Times New Roman"/>
                <w:bCs/>
                <w:color w:val="000000"/>
                <w:sz w:val="20"/>
                <w:lang w:val="sr-Cyrl-CS"/>
              </w:rPr>
            </w:pPr>
            <w:r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Спровођење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ових</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мера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мора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бити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подржано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програмом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обуке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подизања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свести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који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пружа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како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опште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знање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климатским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променама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управ</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ању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шумама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тако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специфичне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техничке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вештине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потребне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успешно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спровођење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сваке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мере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Поред</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тога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постоји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потреба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научна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знања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ојачају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као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технике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које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користе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примени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мера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које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заснивају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таквим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сазнањима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како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би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обезбедила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пуна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интеграција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садашњих</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будућих</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мера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шумске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екосистеме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новим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климатским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условима</w:t>
            </w:r>
            <w:r w:rsidR="00A953E4" w:rsidRPr="005303F7">
              <w:rPr>
                <w:rFonts w:ascii="Times New Roman" w:hAnsi="Times New Roman"/>
                <w:bCs/>
                <w:color w:val="000000"/>
                <w:sz w:val="20"/>
                <w:lang w:val="sr-Cyrl-CS"/>
              </w:rPr>
              <w:t xml:space="preserve"> </w:t>
            </w:r>
            <w:r w:rsidR="00D73AAB" w:rsidRPr="005303F7">
              <w:rPr>
                <w:rFonts w:ascii="Times New Roman" w:hAnsi="Times New Roman"/>
                <w:bCs/>
                <w:color w:val="000000"/>
                <w:sz w:val="20"/>
                <w:lang w:val="sr-Cyrl-CS"/>
              </w:rPr>
              <w:t>Републике Србије</w:t>
            </w:r>
            <w:r w:rsidR="00A953E4" w:rsidRPr="005303F7">
              <w:rPr>
                <w:rFonts w:ascii="Times New Roman" w:hAnsi="Times New Roman"/>
                <w:bCs/>
                <w:color w:val="000000"/>
                <w:sz w:val="20"/>
                <w:lang w:val="sr-Cyrl-CS"/>
              </w:rPr>
              <w:t>.</w:t>
            </w:r>
          </w:p>
          <w:p w14:paraId="564AE0ED" w14:textId="462320EB" w:rsidR="00A953E4" w:rsidRPr="005303F7" w:rsidRDefault="00CC6964" w:rsidP="00A953E4">
            <w:pPr>
              <w:overflowPunct/>
              <w:spacing w:after="0"/>
              <w:jc w:val="left"/>
              <w:rPr>
                <w:rFonts w:ascii="Times New Roman" w:hAnsi="Times New Roman"/>
                <w:bCs/>
                <w:color w:val="000000"/>
                <w:sz w:val="20"/>
                <w:lang w:val="sr-Cyrl-CS"/>
              </w:rPr>
            </w:pPr>
            <w:r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Програм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обуке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подизања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свести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треба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буде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осмиш</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ен</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узимају</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обзир</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посебне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захтеве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сваке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мере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различите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аспекте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којима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обука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бави</w:t>
            </w:r>
            <w:r w:rsidR="00A953E4" w:rsidRPr="005303F7">
              <w:rPr>
                <w:rFonts w:ascii="Times New Roman" w:hAnsi="Times New Roman"/>
                <w:bCs/>
                <w:color w:val="000000"/>
                <w:sz w:val="20"/>
                <w:lang w:val="sr-Cyrl-CS"/>
              </w:rPr>
              <w:t>.</w:t>
            </w:r>
          </w:p>
          <w:p w14:paraId="11A3C1C3" w14:textId="4CD20919" w:rsidR="00A953E4" w:rsidRPr="005303F7" w:rsidRDefault="00CC6964" w:rsidP="00A953E4">
            <w:pPr>
              <w:overflowPunct/>
              <w:spacing w:after="0"/>
              <w:jc w:val="left"/>
              <w:rPr>
                <w:rFonts w:ascii="Times New Roman" w:hAnsi="Times New Roman"/>
                <w:bCs/>
                <w:color w:val="000000"/>
                <w:sz w:val="20"/>
                <w:lang w:val="sr-Cyrl-CS"/>
              </w:rPr>
            </w:pPr>
            <w:r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Следеће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теме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би</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требало</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да</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буду</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обухваћене</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програмом</w:t>
            </w:r>
            <w:r w:rsidR="00A953E4"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обуке</w:t>
            </w:r>
            <w:r w:rsidR="00A953E4" w:rsidRPr="005303F7">
              <w:rPr>
                <w:rFonts w:ascii="Times New Roman" w:hAnsi="Times New Roman"/>
                <w:bCs/>
                <w:color w:val="000000"/>
                <w:sz w:val="20"/>
                <w:lang w:val="sr-Cyrl-CS"/>
              </w:rPr>
              <w:t>:</w:t>
            </w:r>
          </w:p>
          <w:p w14:paraId="524D0B43" w14:textId="1620FA77" w:rsidR="00A953E4" w:rsidRPr="005303F7" w:rsidRDefault="008D69AF" w:rsidP="005C4B56">
            <w:pPr>
              <w:pStyle w:val="ListParagraph"/>
              <w:numPr>
                <w:ilvl w:val="0"/>
                <w:numId w:val="58"/>
              </w:numPr>
              <w:tabs>
                <w:tab w:val="clear" w:pos="3825"/>
              </w:tabs>
              <w:overflowPunct/>
              <w:spacing w:before="0" w:after="0"/>
              <w:ind w:left="46" w:firstLine="314"/>
              <w:jc w:val="left"/>
              <w:rPr>
                <w:rFonts w:ascii="Times New Roman" w:hAnsi="Times New Roman" w:cs="Times New Roman"/>
                <w:bCs/>
                <w:color w:val="000000"/>
                <w:lang w:val="sr-Cyrl-CS"/>
              </w:rPr>
            </w:pPr>
            <w:r w:rsidRPr="005303F7">
              <w:rPr>
                <w:rFonts w:ascii="Times New Roman" w:hAnsi="Times New Roman" w:cs="Times New Roman"/>
                <w:bCs/>
                <w:color w:val="000000"/>
                <w:lang w:val="sr-Cyrl-CS"/>
              </w:rPr>
              <w:t>за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меру</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пошум</w:t>
            </w:r>
            <w:r w:rsidR="00D553BE" w:rsidRPr="005303F7">
              <w:rPr>
                <w:rFonts w:ascii="Times New Roman" w:hAnsi="Times New Roman" w:cs="Times New Roman"/>
                <w:bCs/>
                <w:lang w:val="sr-Cyrl-CS"/>
              </w:rPr>
              <w:t>љ</w:t>
            </w:r>
            <w:r w:rsidRPr="005303F7">
              <w:rPr>
                <w:rFonts w:ascii="Times New Roman" w:hAnsi="Times New Roman" w:cs="Times New Roman"/>
                <w:bCs/>
                <w:color w:val="000000"/>
                <w:lang w:val="sr-Cyrl-CS"/>
              </w:rPr>
              <w:t>авања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припрема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терена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пошум</w:t>
            </w:r>
            <w:r w:rsidR="00D553BE" w:rsidRPr="005303F7">
              <w:rPr>
                <w:rFonts w:ascii="Times New Roman" w:hAnsi="Times New Roman" w:cs="Times New Roman"/>
                <w:bCs/>
                <w:lang w:val="sr-Cyrl-CS"/>
              </w:rPr>
              <w:t>љ</w:t>
            </w:r>
            <w:r w:rsidRPr="005303F7">
              <w:rPr>
                <w:rFonts w:ascii="Times New Roman" w:hAnsi="Times New Roman" w:cs="Times New Roman"/>
                <w:bCs/>
                <w:color w:val="000000"/>
                <w:lang w:val="sr-Cyrl-CS"/>
              </w:rPr>
              <w:t>авање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и</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гајење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шума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Додатна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истраживања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потенцијалне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продуктивности</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за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пошум</w:t>
            </w:r>
            <w:r w:rsidR="00D553BE" w:rsidRPr="005303F7">
              <w:rPr>
                <w:rFonts w:ascii="Times New Roman" w:hAnsi="Times New Roman" w:cs="Times New Roman"/>
                <w:bCs/>
                <w:lang w:val="sr-Cyrl-CS"/>
              </w:rPr>
              <w:t>љ</w:t>
            </w:r>
            <w:r w:rsidRPr="005303F7">
              <w:rPr>
                <w:rFonts w:ascii="Times New Roman" w:hAnsi="Times New Roman" w:cs="Times New Roman"/>
                <w:bCs/>
                <w:color w:val="000000"/>
                <w:lang w:val="sr-Cyrl-CS"/>
              </w:rPr>
              <w:t>авање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на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слатинама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посебно</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у</w:t>
            </w:r>
            <w:r w:rsidR="00A953E4" w:rsidRPr="005303F7">
              <w:rPr>
                <w:rFonts w:ascii="Times New Roman" w:hAnsi="Times New Roman" w:cs="Times New Roman"/>
                <w:bCs/>
                <w:color w:val="000000"/>
                <w:lang w:val="sr-Cyrl-CS"/>
              </w:rPr>
              <w:t xml:space="preserve"> </w:t>
            </w:r>
            <w:r w:rsidR="009F0F36" w:rsidRPr="005303F7">
              <w:rPr>
                <w:rFonts w:ascii="Times New Roman" w:hAnsi="Times New Roman" w:cs="Times New Roman"/>
                <w:bCs/>
                <w:color w:val="000000"/>
                <w:lang w:val="sr-Cyrl-CS"/>
              </w:rPr>
              <w:t xml:space="preserve">АП </w:t>
            </w:r>
            <w:r w:rsidRPr="005303F7">
              <w:rPr>
                <w:rFonts w:ascii="Times New Roman" w:hAnsi="Times New Roman" w:cs="Times New Roman"/>
                <w:bCs/>
                <w:color w:val="000000"/>
                <w:lang w:val="sr-Cyrl-CS"/>
              </w:rPr>
              <w:t>Војводини</w:t>
            </w:r>
            <w:r w:rsidR="00324CAA" w:rsidRPr="005303F7">
              <w:rPr>
                <w:rFonts w:ascii="Times New Roman" w:hAnsi="Times New Roman" w:cs="Times New Roman"/>
                <w:bCs/>
                <w:color w:val="000000"/>
                <w:lang w:val="sr-Cyrl-CS"/>
              </w:rPr>
              <w:t>;</w:t>
            </w:r>
          </w:p>
          <w:p w14:paraId="70B5F6BC" w14:textId="4FF87C9F" w:rsidR="00A953E4" w:rsidRPr="005303F7" w:rsidRDefault="00324CAA" w:rsidP="00D93231">
            <w:pPr>
              <w:pStyle w:val="ListParagraph"/>
              <w:numPr>
                <w:ilvl w:val="0"/>
                <w:numId w:val="58"/>
              </w:numPr>
              <w:overflowPunct/>
              <w:spacing w:before="0" w:after="0"/>
              <w:jc w:val="left"/>
              <w:rPr>
                <w:rFonts w:ascii="Times New Roman" w:hAnsi="Times New Roman" w:cs="Times New Roman"/>
                <w:bCs/>
                <w:color w:val="000000"/>
                <w:lang w:val="sr-Cyrl-CS"/>
              </w:rPr>
            </w:pPr>
            <w:r w:rsidRPr="005303F7">
              <w:rPr>
                <w:rFonts w:ascii="Times New Roman" w:hAnsi="Times New Roman" w:cs="Times New Roman"/>
                <w:bCs/>
                <w:color w:val="000000"/>
                <w:lang w:val="sr-Cyrl-CS"/>
              </w:rPr>
              <w:t>п</w:t>
            </w:r>
            <w:r w:rsidR="008D69AF" w:rsidRPr="005303F7">
              <w:rPr>
                <w:rFonts w:ascii="Times New Roman" w:hAnsi="Times New Roman" w:cs="Times New Roman"/>
                <w:bCs/>
                <w:color w:val="000000"/>
                <w:lang w:val="sr-Cyrl-CS"/>
              </w:rPr>
              <w:t>рироди</w:t>
            </w:r>
            <w:r w:rsidR="00A953E4" w:rsidRPr="005303F7">
              <w:rPr>
                <w:rFonts w:ascii="Times New Roman" w:hAnsi="Times New Roman" w:cs="Times New Roman"/>
                <w:bCs/>
                <w:color w:val="000000"/>
                <w:lang w:val="sr-Cyrl-CS"/>
              </w:rPr>
              <w:t xml:space="preserve"> </w:t>
            </w:r>
            <w:r w:rsidR="008D69AF" w:rsidRPr="005303F7">
              <w:rPr>
                <w:rFonts w:ascii="Times New Roman" w:hAnsi="Times New Roman" w:cs="Times New Roman"/>
                <w:bCs/>
                <w:color w:val="000000"/>
                <w:lang w:val="sr-Cyrl-CS"/>
              </w:rPr>
              <w:t>блиско</w:t>
            </w:r>
            <w:r w:rsidR="00A953E4" w:rsidRPr="005303F7">
              <w:rPr>
                <w:rFonts w:ascii="Times New Roman" w:hAnsi="Times New Roman" w:cs="Times New Roman"/>
                <w:bCs/>
                <w:color w:val="000000"/>
                <w:lang w:val="sr-Cyrl-CS"/>
              </w:rPr>
              <w:t xml:space="preserve"> </w:t>
            </w:r>
            <w:r w:rsidR="008D69AF" w:rsidRPr="005303F7">
              <w:rPr>
                <w:rFonts w:ascii="Times New Roman" w:hAnsi="Times New Roman" w:cs="Times New Roman"/>
                <w:bCs/>
                <w:color w:val="000000"/>
                <w:lang w:val="sr-Cyrl-CS"/>
              </w:rPr>
              <w:t>газдовање</w:t>
            </w:r>
            <w:r w:rsidR="00A953E4" w:rsidRPr="005303F7">
              <w:rPr>
                <w:rFonts w:ascii="Times New Roman" w:hAnsi="Times New Roman" w:cs="Times New Roman"/>
                <w:bCs/>
                <w:color w:val="000000"/>
                <w:lang w:val="sr-Cyrl-CS"/>
              </w:rPr>
              <w:t xml:space="preserve"> </w:t>
            </w:r>
            <w:r w:rsidR="008D69AF" w:rsidRPr="005303F7">
              <w:rPr>
                <w:rFonts w:ascii="Times New Roman" w:hAnsi="Times New Roman" w:cs="Times New Roman"/>
                <w:bCs/>
                <w:color w:val="000000"/>
                <w:lang w:val="sr-Cyrl-CS"/>
              </w:rPr>
              <w:t>шумама</w:t>
            </w:r>
            <w:r w:rsidR="00A953E4" w:rsidRPr="005303F7">
              <w:rPr>
                <w:rFonts w:ascii="Times New Roman" w:hAnsi="Times New Roman" w:cs="Times New Roman"/>
                <w:bCs/>
                <w:color w:val="000000"/>
                <w:lang w:val="sr-Cyrl-CS"/>
              </w:rPr>
              <w:t xml:space="preserve"> </w:t>
            </w:r>
            <w:r w:rsidR="008D69AF" w:rsidRPr="005303F7">
              <w:rPr>
                <w:rFonts w:ascii="Times New Roman" w:hAnsi="Times New Roman" w:cs="Times New Roman"/>
                <w:bCs/>
                <w:color w:val="000000"/>
                <w:lang w:val="sr-Cyrl-CS"/>
              </w:rPr>
              <w:t>и</w:t>
            </w:r>
            <w:r w:rsidR="00A953E4" w:rsidRPr="005303F7">
              <w:rPr>
                <w:rFonts w:ascii="Times New Roman" w:hAnsi="Times New Roman" w:cs="Times New Roman"/>
                <w:bCs/>
                <w:color w:val="000000"/>
                <w:lang w:val="sr-Cyrl-CS"/>
              </w:rPr>
              <w:t xml:space="preserve"> </w:t>
            </w:r>
            <w:r w:rsidR="008D69AF" w:rsidRPr="005303F7">
              <w:rPr>
                <w:rFonts w:ascii="Times New Roman" w:hAnsi="Times New Roman" w:cs="Times New Roman"/>
                <w:bCs/>
                <w:color w:val="000000"/>
                <w:lang w:val="sr-Cyrl-CS"/>
              </w:rPr>
              <w:t>климатским</w:t>
            </w:r>
            <w:r w:rsidR="00A953E4" w:rsidRPr="005303F7">
              <w:rPr>
                <w:rFonts w:ascii="Times New Roman" w:hAnsi="Times New Roman" w:cs="Times New Roman"/>
                <w:bCs/>
                <w:color w:val="000000"/>
                <w:lang w:val="sr-Cyrl-CS"/>
              </w:rPr>
              <w:t xml:space="preserve"> </w:t>
            </w:r>
            <w:r w:rsidR="008D69AF" w:rsidRPr="005303F7">
              <w:rPr>
                <w:rFonts w:ascii="Times New Roman" w:hAnsi="Times New Roman" w:cs="Times New Roman"/>
                <w:bCs/>
                <w:color w:val="000000"/>
                <w:lang w:val="sr-Cyrl-CS"/>
              </w:rPr>
              <w:t>паметан</w:t>
            </w:r>
            <w:r w:rsidR="00A953E4" w:rsidRPr="005303F7">
              <w:rPr>
                <w:rFonts w:ascii="Times New Roman" w:hAnsi="Times New Roman" w:cs="Times New Roman"/>
                <w:bCs/>
                <w:color w:val="000000"/>
                <w:lang w:val="sr-Cyrl-CS"/>
              </w:rPr>
              <w:t xml:space="preserve"> </w:t>
            </w:r>
            <w:r w:rsidR="008D69AF" w:rsidRPr="005303F7">
              <w:rPr>
                <w:rFonts w:ascii="Times New Roman" w:hAnsi="Times New Roman" w:cs="Times New Roman"/>
                <w:bCs/>
                <w:color w:val="000000"/>
                <w:lang w:val="sr-Cyrl-CS"/>
              </w:rPr>
              <w:t>приступ</w:t>
            </w:r>
            <w:r w:rsidR="00A953E4" w:rsidRPr="005303F7">
              <w:rPr>
                <w:rFonts w:ascii="Times New Roman" w:hAnsi="Times New Roman" w:cs="Times New Roman"/>
                <w:bCs/>
                <w:color w:val="000000"/>
                <w:lang w:val="sr-Cyrl-CS"/>
              </w:rPr>
              <w:t xml:space="preserve"> </w:t>
            </w:r>
            <w:r w:rsidR="008D69AF" w:rsidRPr="005303F7">
              <w:rPr>
                <w:rFonts w:ascii="Times New Roman" w:hAnsi="Times New Roman" w:cs="Times New Roman"/>
                <w:bCs/>
                <w:color w:val="000000"/>
                <w:lang w:val="sr-Cyrl-CS"/>
              </w:rPr>
              <w:t>шумарству</w:t>
            </w:r>
            <w:r w:rsidR="00A953E4" w:rsidRPr="005303F7">
              <w:rPr>
                <w:rFonts w:ascii="Times New Roman" w:hAnsi="Times New Roman" w:cs="Times New Roman"/>
                <w:bCs/>
                <w:color w:val="000000"/>
                <w:lang w:val="sr-Cyrl-CS"/>
              </w:rPr>
              <w:t xml:space="preserve">: </w:t>
            </w:r>
            <w:r w:rsidR="008D69AF" w:rsidRPr="005303F7">
              <w:rPr>
                <w:rFonts w:ascii="Times New Roman" w:hAnsi="Times New Roman" w:cs="Times New Roman"/>
                <w:bCs/>
                <w:color w:val="000000"/>
                <w:lang w:val="sr-Cyrl-CS"/>
              </w:rPr>
              <w:t>обука</w:t>
            </w:r>
            <w:r w:rsidR="00A953E4" w:rsidRPr="005303F7">
              <w:rPr>
                <w:rFonts w:ascii="Times New Roman" w:hAnsi="Times New Roman" w:cs="Times New Roman"/>
                <w:bCs/>
                <w:color w:val="000000"/>
                <w:lang w:val="sr-Cyrl-CS"/>
              </w:rPr>
              <w:t xml:space="preserve"> </w:t>
            </w:r>
            <w:r w:rsidR="008D69AF" w:rsidRPr="005303F7">
              <w:rPr>
                <w:rFonts w:ascii="Times New Roman" w:hAnsi="Times New Roman" w:cs="Times New Roman"/>
                <w:bCs/>
                <w:color w:val="000000"/>
                <w:lang w:val="sr-Cyrl-CS"/>
              </w:rPr>
              <w:t>о</w:t>
            </w:r>
            <w:r w:rsidR="00A953E4" w:rsidRPr="005303F7">
              <w:rPr>
                <w:rFonts w:ascii="Times New Roman" w:hAnsi="Times New Roman" w:cs="Times New Roman"/>
                <w:bCs/>
                <w:color w:val="000000"/>
                <w:lang w:val="sr-Cyrl-CS"/>
              </w:rPr>
              <w:t xml:space="preserve"> </w:t>
            </w:r>
            <w:r w:rsidR="008D69AF" w:rsidRPr="005303F7">
              <w:rPr>
                <w:rFonts w:ascii="Times New Roman" w:hAnsi="Times New Roman" w:cs="Times New Roman"/>
                <w:bCs/>
                <w:color w:val="000000"/>
                <w:lang w:val="sr-Cyrl-CS"/>
              </w:rPr>
              <w:t>специфичним</w:t>
            </w:r>
            <w:r w:rsidR="00A953E4" w:rsidRPr="005303F7">
              <w:rPr>
                <w:rFonts w:ascii="Times New Roman" w:hAnsi="Times New Roman" w:cs="Times New Roman"/>
                <w:bCs/>
                <w:color w:val="000000"/>
                <w:lang w:val="sr-Cyrl-CS"/>
              </w:rPr>
              <w:t xml:space="preserve"> </w:t>
            </w:r>
            <w:r w:rsidR="008D69AF" w:rsidRPr="005303F7">
              <w:rPr>
                <w:rFonts w:ascii="Times New Roman" w:hAnsi="Times New Roman" w:cs="Times New Roman"/>
                <w:bCs/>
                <w:color w:val="000000"/>
                <w:lang w:val="sr-Cyrl-CS"/>
              </w:rPr>
              <w:t>методама</w:t>
            </w:r>
            <w:r w:rsidR="00A953E4" w:rsidRPr="005303F7">
              <w:rPr>
                <w:rFonts w:ascii="Times New Roman" w:hAnsi="Times New Roman" w:cs="Times New Roman"/>
                <w:bCs/>
                <w:color w:val="000000"/>
                <w:lang w:val="sr-Cyrl-CS"/>
              </w:rPr>
              <w:t xml:space="preserve"> </w:t>
            </w:r>
            <w:r w:rsidR="008D69AF" w:rsidRPr="005303F7">
              <w:rPr>
                <w:rFonts w:ascii="Times New Roman" w:hAnsi="Times New Roman" w:cs="Times New Roman"/>
                <w:bCs/>
                <w:color w:val="000000"/>
                <w:lang w:val="sr-Cyrl-CS"/>
              </w:rPr>
              <w:t>и</w:t>
            </w:r>
            <w:r w:rsidR="00A953E4" w:rsidRPr="005303F7">
              <w:rPr>
                <w:rFonts w:ascii="Times New Roman" w:hAnsi="Times New Roman" w:cs="Times New Roman"/>
                <w:bCs/>
                <w:color w:val="000000"/>
                <w:lang w:val="sr-Cyrl-CS"/>
              </w:rPr>
              <w:t xml:space="preserve"> </w:t>
            </w:r>
            <w:r w:rsidR="008D69AF" w:rsidRPr="005303F7">
              <w:rPr>
                <w:rFonts w:ascii="Times New Roman" w:hAnsi="Times New Roman" w:cs="Times New Roman"/>
                <w:bCs/>
                <w:color w:val="000000"/>
                <w:lang w:val="sr-Cyrl-CS"/>
              </w:rPr>
              <w:t>приступима</w:t>
            </w:r>
            <w:r w:rsidR="00A953E4" w:rsidRPr="005303F7">
              <w:rPr>
                <w:rFonts w:ascii="Times New Roman" w:hAnsi="Times New Roman" w:cs="Times New Roman"/>
                <w:bCs/>
                <w:color w:val="000000"/>
                <w:lang w:val="sr-Cyrl-CS"/>
              </w:rPr>
              <w:t xml:space="preserve"> </w:t>
            </w:r>
            <w:r w:rsidR="008D69AF" w:rsidRPr="005303F7">
              <w:rPr>
                <w:rFonts w:ascii="Times New Roman" w:hAnsi="Times New Roman" w:cs="Times New Roman"/>
                <w:bCs/>
                <w:color w:val="000000"/>
                <w:lang w:val="sr-Cyrl-CS"/>
              </w:rPr>
              <w:t>у</w:t>
            </w:r>
            <w:r w:rsidR="00A953E4" w:rsidRPr="005303F7">
              <w:rPr>
                <w:rFonts w:ascii="Times New Roman" w:hAnsi="Times New Roman" w:cs="Times New Roman"/>
                <w:bCs/>
                <w:color w:val="000000"/>
                <w:lang w:val="sr-Cyrl-CS"/>
              </w:rPr>
              <w:t xml:space="preserve"> </w:t>
            </w:r>
            <w:r w:rsidR="008D69AF" w:rsidRPr="005303F7">
              <w:rPr>
                <w:rFonts w:ascii="Times New Roman" w:hAnsi="Times New Roman" w:cs="Times New Roman"/>
                <w:bCs/>
                <w:color w:val="000000"/>
                <w:lang w:val="sr-Cyrl-CS"/>
              </w:rPr>
              <w:t>газдовању</w:t>
            </w:r>
            <w:r w:rsidR="00A953E4" w:rsidRPr="005303F7">
              <w:rPr>
                <w:rFonts w:ascii="Times New Roman" w:hAnsi="Times New Roman" w:cs="Times New Roman"/>
                <w:bCs/>
                <w:color w:val="000000"/>
                <w:lang w:val="sr-Cyrl-CS"/>
              </w:rPr>
              <w:t xml:space="preserve"> </w:t>
            </w:r>
            <w:r w:rsidR="008D69AF" w:rsidRPr="005303F7">
              <w:rPr>
                <w:rFonts w:ascii="Times New Roman" w:hAnsi="Times New Roman" w:cs="Times New Roman"/>
                <w:bCs/>
                <w:color w:val="000000"/>
                <w:lang w:val="sr-Cyrl-CS"/>
              </w:rPr>
              <w:t>шумама</w:t>
            </w:r>
            <w:r w:rsidRPr="005303F7">
              <w:rPr>
                <w:rFonts w:ascii="Times New Roman" w:hAnsi="Times New Roman" w:cs="Times New Roman"/>
                <w:bCs/>
                <w:color w:val="000000"/>
                <w:lang w:val="sr-Cyrl-CS"/>
              </w:rPr>
              <w:t>;</w:t>
            </w:r>
          </w:p>
          <w:p w14:paraId="0FC76BA2" w14:textId="2DDEDB4B" w:rsidR="00A953E4" w:rsidRPr="005303F7" w:rsidRDefault="008D69AF" w:rsidP="00D93231">
            <w:pPr>
              <w:pStyle w:val="ListParagraph"/>
              <w:numPr>
                <w:ilvl w:val="0"/>
                <w:numId w:val="58"/>
              </w:numPr>
              <w:overflowPunct/>
              <w:spacing w:before="0" w:after="0"/>
              <w:jc w:val="left"/>
              <w:rPr>
                <w:rFonts w:ascii="Times New Roman" w:hAnsi="Times New Roman" w:cs="Times New Roman"/>
                <w:bCs/>
                <w:color w:val="000000"/>
                <w:lang w:val="sr-Cyrl-CS"/>
              </w:rPr>
            </w:pPr>
            <w:r w:rsidRPr="005303F7">
              <w:rPr>
                <w:rFonts w:ascii="Times New Roman" w:hAnsi="Times New Roman" w:cs="Times New Roman"/>
                <w:bCs/>
                <w:color w:val="000000"/>
                <w:lang w:val="sr-Cyrl-CS"/>
              </w:rPr>
              <w:t>конверзија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изданичких</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шума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у</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високе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различите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технике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обнав</w:t>
            </w:r>
            <w:r w:rsidR="00D553BE" w:rsidRPr="005303F7">
              <w:rPr>
                <w:rFonts w:ascii="Times New Roman" w:hAnsi="Times New Roman" w:cs="Times New Roman"/>
                <w:bCs/>
                <w:lang w:val="sr-Cyrl-CS"/>
              </w:rPr>
              <w:t>љ</w:t>
            </w:r>
            <w:r w:rsidRPr="005303F7">
              <w:rPr>
                <w:rFonts w:ascii="Times New Roman" w:hAnsi="Times New Roman" w:cs="Times New Roman"/>
                <w:bCs/>
                <w:color w:val="000000"/>
                <w:lang w:val="sr-Cyrl-CS"/>
              </w:rPr>
              <w:t>ања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шума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као</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и</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адекватне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мере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неге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шума</w:t>
            </w:r>
            <w:r w:rsidR="00A953E4" w:rsidRPr="005303F7">
              <w:rPr>
                <w:rFonts w:ascii="Times New Roman" w:hAnsi="Times New Roman" w:cs="Times New Roman"/>
                <w:bCs/>
                <w:color w:val="000000"/>
                <w:lang w:val="sr-Cyrl-CS"/>
              </w:rPr>
              <w:t xml:space="preserve"> </w:t>
            </w:r>
            <w:r w:rsidR="00BB0AA2" w:rsidRPr="005303F7">
              <w:rPr>
                <w:rFonts w:ascii="Times New Roman" w:hAnsi="Times New Roman" w:cs="Times New Roman"/>
                <w:bCs/>
                <w:color w:val="000000"/>
                <w:lang w:val="sr-Cyrl-CS"/>
              </w:rPr>
              <w:t>после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конверзије</w:t>
            </w:r>
            <w:r w:rsidR="00A953E4" w:rsidRPr="005303F7">
              <w:rPr>
                <w:rFonts w:ascii="Times New Roman" w:hAnsi="Times New Roman"/>
                <w:color w:val="000000"/>
                <w:lang w:val="sr-Cyrl-CS"/>
              </w:rPr>
              <w:t>;</w:t>
            </w:r>
          </w:p>
          <w:p w14:paraId="7078D787" w14:textId="753B22D6" w:rsidR="00A953E4" w:rsidRPr="005303F7" w:rsidRDefault="008D69AF" w:rsidP="00D93231">
            <w:pPr>
              <w:pStyle w:val="ListParagraph"/>
              <w:numPr>
                <w:ilvl w:val="0"/>
                <w:numId w:val="58"/>
              </w:numPr>
              <w:overflowPunct/>
              <w:spacing w:before="0" w:after="0"/>
              <w:jc w:val="left"/>
              <w:rPr>
                <w:rFonts w:ascii="Times New Roman" w:hAnsi="Times New Roman" w:cs="Times New Roman"/>
                <w:bCs/>
                <w:color w:val="000000"/>
                <w:lang w:val="sr-Cyrl-CS"/>
              </w:rPr>
            </w:pPr>
            <w:r w:rsidRPr="005303F7">
              <w:rPr>
                <w:rFonts w:ascii="Times New Roman" w:hAnsi="Times New Roman" w:cs="Times New Roman"/>
                <w:bCs/>
                <w:color w:val="000000"/>
                <w:lang w:val="sr-Cyrl-CS"/>
              </w:rPr>
              <w:t>шумске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плантаже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са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кратком</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опходњом</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припрема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терена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пошум</w:t>
            </w:r>
            <w:r w:rsidR="00D553BE" w:rsidRPr="005303F7">
              <w:rPr>
                <w:rFonts w:ascii="Times New Roman" w:hAnsi="Times New Roman" w:cs="Times New Roman"/>
                <w:bCs/>
                <w:lang w:val="sr-Cyrl-CS"/>
              </w:rPr>
              <w:t>љ</w:t>
            </w:r>
            <w:r w:rsidRPr="005303F7">
              <w:rPr>
                <w:rFonts w:ascii="Times New Roman" w:hAnsi="Times New Roman" w:cs="Times New Roman"/>
                <w:bCs/>
                <w:color w:val="000000"/>
                <w:lang w:val="sr-Cyrl-CS"/>
              </w:rPr>
              <w:t>авање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и</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гајење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шума</w:t>
            </w:r>
            <w:r w:rsidR="00A953E4" w:rsidRPr="005303F7">
              <w:rPr>
                <w:rFonts w:ascii="Times New Roman" w:hAnsi="Times New Roman" w:cs="Times New Roman"/>
                <w:bCs/>
                <w:color w:val="000000"/>
                <w:lang w:val="sr-Cyrl-CS"/>
              </w:rPr>
              <w:t>;</w:t>
            </w:r>
          </w:p>
          <w:p w14:paraId="66F1404A" w14:textId="598F868A" w:rsidR="00A953E4" w:rsidRPr="005303F7" w:rsidRDefault="008D69AF" w:rsidP="00D93231">
            <w:pPr>
              <w:pStyle w:val="ListParagraph"/>
              <w:numPr>
                <w:ilvl w:val="0"/>
                <w:numId w:val="58"/>
              </w:numPr>
              <w:overflowPunct/>
              <w:spacing w:before="0" w:after="0"/>
              <w:jc w:val="left"/>
              <w:rPr>
                <w:rFonts w:ascii="Times New Roman" w:hAnsi="Times New Roman" w:cs="Times New Roman"/>
                <w:bCs/>
                <w:color w:val="000000"/>
                <w:lang w:val="sr-Cyrl-CS"/>
              </w:rPr>
            </w:pPr>
            <w:r w:rsidRPr="005303F7">
              <w:rPr>
                <w:rFonts w:ascii="Times New Roman" w:hAnsi="Times New Roman" w:cs="Times New Roman"/>
                <w:bCs/>
                <w:color w:val="000000"/>
                <w:lang w:val="sr-Cyrl-CS"/>
              </w:rPr>
              <w:t>обнова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презрелих</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састојина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различите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технике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обнове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шума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као</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и</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адекватне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мере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неге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шума</w:t>
            </w:r>
            <w:r w:rsidR="00A953E4" w:rsidRPr="005303F7">
              <w:rPr>
                <w:rFonts w:ascii="Times New Roman" w:hAnsi="Times New Roman" w:cs="Times New Roman"/>
                <w:bCs/>
                <w:color w:val="000000"/>
                <w:lang w:val="sr-Cyrl-CS"/>
              </w:rPr>
              <w:t xml:space="preserve"> </w:t>
            </w:r>
            <w:r w:rsidR="00BB0AA2" w:rsidRPr="005303F7">
              <w:rPr>
                <w:rFonts w:ascii="Times New Roman" w:hAnsi="Times New Roman" w:cs="Times New Roman"/>
                <w:bCs/>
                <w:color w:val="000000"/>
                <w:lang w:val="sr-Cyrl-CS"/>
              </w:rPr>
              <w:t>после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обнове</w:t>
            </w:r>
            <w:r w:rsidR="00A953E4" w:rsidRPr="005303F7">
              <w:rPr>
                <w:rFonts w:ascii="Times New Roman" w:hAnsi="Times New Roman" w:cs="Times New Roman"/>
                <w:bCs/>
                <w:color w:val="000000"/>
                <w:lang w:val="sr-Cyrl-CS"/>
              </w:rPr>
              <w:t xml:space="preserve">; </w:t>
            </w:r>
          </w:p>
          <w:p w14:paraId="503C469A" w14:textId="3B8CE0DF" w:rsidR="00A953E4" w:rsidRPr="005303F7" w:rsidRDefault="008D69AF" w:rsidP="00D93231">
            <w:pPr>
              <w:pStyle w:val="ListParagraph"/>
              <w:numPr>
                <w:ilvl w:val="0"/>
                <w:numId w:val="58"/>
              </w:numPr>
              <w:overflowPunct/>
              <w:spacing w:before="0" w:after="0"/>
              <w:jc w:val="left"/>
              <w:rPr>
                <w:rFonts w:ascii="Times New Roman" w:hAnsi="Times New Roman" w:cs="Times New Roman"/>
                <w:bCs/>
                <w:color w:val="000000"/>
                <w:lang w:val="sr-Cyrl-CS"/>
              </w:rPr>
            </w:pPr>
            <w:r w:rsidRPr="005303F7">
              <w:rPr>
                <w:rFonts w:ascii="Times New Roman" w:hAnsi="Times New Roman" w:cs="Times New Roman"/>
                <w:bCs/>
                <w:color w:val="000000"/>
                <w:lang w:val="sr-Cyrl-CS"/>
              </w:rPr>
              <w:t>превентивне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мере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и</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њихова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примена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у</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управ</w:t>
            </w:r>
            <w:r w:rsidR="00D553BE" w:rsidRPr="005303F7">
              <w:rPr>
                <w:rFonts w:ascii="Times New Roman" w:hAnsi="Times New Roman" w:cs="Times New Roman"/>
                <w:bCs/>
                <w:lang w:val="sr-Cyrl-CS"/>
              </w:rPr>
              <w:t>љ</w:t>
            </w:r>
            <w:r w:rsidRPr="005303F7">
              <w:rPr>
                <w:rFonts w:ascii="Times New Roman" w:hAnsi="Times New Roman" w:cs="Times New Roman"/>
                <w:bCs/>
                <w:color w:val="000000"/>
                <w:lang w:val="sr-Cyrl-CS"/>
              </w:rPr>
              <w:t>ању</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шумама</w:t>
            </w:r>
            <w:r w:rsidR="00324CAA" w:rsidRPr="005303F7">
              <w:rPr>
                <w:rFonts w:ascii="Times New Roman" w:hAnsi="Times New Roman" w:cs="Times New Roman"/>
                <w:bCs/>
                <w:color w:val="000000"/>
                <w:lang w:val="sr-Cyrl-CS"/>
              </w:rPr>
              <w:t>;</w:t>
            </w:r>
          </w:p>
          <w:p w14:paraId="336D551E" w14:textId="1D57F7D4" w:rsidR="00A953E4" w:rsidRPr="005303F7" w:rsidRDefault="008D69AF" w:rsidP="00D93231">
            <w:pPr>
              <w:pStyle w:val="ListParagraph"/>
              <w:numPr>
                <w:ilvl w:val="0"/>
                <w:numId w:val="58"/>
              </w:numPr>
              <w:tabs>
                <w:tab w:val="clear" w:pos="3825"/>
                <w:tab w:val="left" w:pos="708"/>
              </w:tabs>
              <w:overflowPunct/>
              <w:spacing w:before="0" w:after="0"/>
              <w:jc w:val="left"/>
              <w:textAlignment w:val="auto"/>
              <w:rPr>
                <w:rFonts w:ascii="Times New Roman" w:hAnsi="Times New Roman" w:cs="Times New Roman"/>
                <w:bCs/>
                <w:color w:val="000000"/>
                <w:lang w:val="sr-Cyrl-CS"/>
              </w:rPr>
            </w:pPr>
            <w:r w:rsidRPr="005303F7">
              <w:rPr>
                <w:rFonts w:ascii="Times New Roman" w:hAnsi="Times New Roman" w:cs="Times New Roman"/>
                <w:bCs/>
                <w:color w:val="000000"/>
                <w:lang w:val="sr-Cyrl-CS"/>
              </w:rPr>
              <w:t>за</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све</w:t>
            </w:r>
            <w:r w:rsidR="00A953E4" w:rsidRPr="005303F7">
              <w:rPr>
                <w:rFonts w:ascii="Times New Roman" w:hAnsi="Times New Roman" w:cs="Times New Roman"/>
                <w:bCs/>
                <w:color w:val="000000"/>
                <w:lang w:val="sr-Cyrl-CS"/>
              </w:rPr>
              <w:t xml:space="preserve"> </w:t>
            </w:r>
            <w:r w:rsidRPr="005303F7">
              <w:rPr>
                <w:rFonts w:ascii="Times New Roman" w:hAnsi="Times New Roman" w:cs="Times New Roman"/>
                <w:bCs/>
                <w:color w:val="000000"/>
                <w:lang w:val="sr-Cyrl-CS"/>
              </w:rPr>
              <w:t>мере</w:t>
            </w:r>
            <w:r w:rsidR="00A953E4" w:rsidRPr="005303F7">
              <w:rPr>
                <w:rFonts w:ascii="Times New Roman" w:hAnsi="Times New Roman" w:cs="Times New Roman"/>
                <w:bCs/>
                <w:color w:val="000000"/>
                <w:lang w:val="sr-Cyrl-CS"/>
              </w:rPr>
              <w:t xml:space="preserve">: </w:t>
            </w:r>
          </w:p>
          <w:p w14:paraId="04672B35" w14:textId="467309F7" w:rsidR="00A953E4" w:rsidRPr="005303F7" w:rsidRDefault="008D69AF" w:rsidP="007E49F3">
            <w:pPr>
              <w:numPr>
                <w:ilvl w:val="1"/>
                <w:numId w:val="59"/>
              </w:numPr>
              <w:tabs>
                <w:tab w:val="clear" w:pos="3825"/>
                <w:tab w:val="left" w:pos="708"/>
                <w:tab w:val="left" w:pos="1464"/>
              </w:tabs>
              <w:overflowPunct/>
              <w:spacing w:before="0" w:after="0"/>
              <w:ind w:left="46" w:firstLine="1034"/>
              <w:jc w:val="left"/>
              <w:textAlignment w:val="auto"/>
              <w:rPr>
                <w:rFonts w:ascii="Times New Roman" w:hAnsi="Times New Roman"/>
                <w:bCs/>
                <w:color w:val="000000"/>
                <w:sz w:val="20"/>
                <w:lang w:val="sr-Cyrl-CS"/>
              </w:rPr>
            </w:pPr>
            <w:r w:rsidRPr="005303F7">
              <w:rPr>
                <w:rFonts w:ascii="Times New Roman" w:hAnsi="Times New Roman"/>
                <w:bCs/>
                <w:color w:val="000000"/>
                <w:sz w:val="20"/>
                <w:lang w:val="sr-Cyrl-CS"/>
              </w:rPr>
              <w:t>припрема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управ</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ање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пројектима</w:t>
            </w:r>
            <w:r w:rsidR="00A953E4" w:rsidRPr="005303F7">
              <w:rPr>
                <w:rFonts w:ascii="Times New Roman" w:hAnsi="Times New Roman"/>
                <w:bCs/>
                <w:color w:val="000000"/>
                <w:sz w:val="20"/>
                <w:lang w:val="sr-Cyrl-CS"/>
              </w:rPr>
              <w:t>(</w:t>
            </w:r>
            <w:r w:rsidRPr="005303F7">
              <w:rPr>
                <w:rFonts w:ascii="Times New Roman" w:hAnsi="Times New Roman"/>
                <w:bCs/>
                <w:color w:val="000000"/>
                <w:sz w:val="20"/>
                <w:lang w:val="sr-Cyrl-CS"/>
              </w:rPr>
              <w:t>промоција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обука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припрему</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управ</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ање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пројектима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финансираним</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из</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националних</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w:t>
            </w:r>
            <w:r w:rsidRPr="005303F7">
              <w:rPr>
                <w:rFonts w:ascii="Times New Roman" w:hAnsi="Times New Roman"/>
                <w:bCs/>
                <w:color w:val="000000"/>
                <w:sz w:val="20"/>
                <w:lang w:val="sr-Cyrl-CS"/>
              </w:rPr>
              <w:t>или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међународних</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програма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финансирања</w:t>
            </w:r>
            <w:r w:rsidR="00A953E4" w:rsidRPr="005303F7">
              <w:rPr>
                <w:rFonts w:ascii="Times New Roman" w:hAnsi="Times New Roman"/>
                <w:bCs/>
                <w:color w:val="000000"/>
                <w:sz w:val="20"/>
                <w:lang w:val="sr-Cyrl-CS"/>
              </w:rPr>
              <w:t>)</w:t>
            </w:r>
            <w:r w:rsidR="004E087C" w:rsidRPr="005303F7">
              <w:rPr>
                <w:rFonts w:ascii="Times New Roman" w:hAnsi="Times New Roman"/>
                <w:bCs/>
                <w:color w:val="000000"/>
                <w:sz w:val="20"/>
                <w:lang w:val="sr-Cyrl-CS"/>
              </w:rPr>
              <w:t>,</w:t>
            </w:r>
          </w:p>
          <w:p w14:paraId="04F1326D" w14:textId="422715E8" w:rsidR="00A953E4" w:rsidRPr="005303F7" w:rsidRDefault="008D69AF" w:rsidP="000F5D35">
            <w:pPr>
              <w:numPr>
                <w:ilvl w:val="1"/>
                <w:numId w:val="59"/>
              </w:numPr>
              <w:tabs>
                <w:tab w:val="clear" w:pos="3825"/>
                <w:tab w:val="left" w:pos="708"/>
                <w:tab w:val="left" w:pos="755"/>
              </w:tabs>
              <w:overflowPunct/>
              <w:spacing w:before="0" w:after="0"/>
              <w:ind w:left="46" w:firstLine="1034"/>
              <w:jc w:val="left"/>
              <w:textAlignment w:val="auto"/>
              <w:rPr>
                <w:rFonts w:ascii="Times New Roman" w:hAnsi="Times New Roman"/>
                <w:bCs/>
                <w:color w:val="000000"/>
                <w:sz w:val="20"/>
                <w:lang w:val="sr-Cyrl-CS"/>
              </w:rPr>
            </w:pPr>
            <w:r w:rsidRPr="005303F7">
              <w:rPr>
                <w:rFonts w:ascii="Times New Roman" w:hAnsi="Times New Roman"/>
                <w:bCs/>
                <w:color w:val="000000"/>
                <w:sz w:val="20"/>
                <w:lang w:val="sr-Cyrl-CS"/>
              </w:rPr>
              <w:t>успостав</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ање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сталних</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истраживачких</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демонстрационих</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пра</w:t>
            </w:r>
            <w:r w:rsidR="00016298" w:rsidRPr="005303F7">
              <w:rPr>
                <w:rFonts w:ascii="Times New Roman" w:hAnsi="Times New Roman"/>
                <w:bCs/>
                <w:color w:val="000000"/>
                <w:sz w:val="20"/>
                <w:lang w:val="sr-Cyrl-CS"/>
              </w:rPr>
              <w:t>ћ</w:t>
            </w:r>
            <w:r w:rsidRPr="005303F7">
              <w:rPr>
                <w:rFonts w:ascii="Times New Roman" w:hAnsi="Times New Roman"/>
                <w:bCs/>
                <w:color w:val="000000"/>
                <w:sz w:val="20"/>
                <w:lang w:val="sr-Cyrl-CS"/>
              </w:rPr>
              <w:t>ење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утицаја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климатских</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промена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на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газдовање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шумама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пра</w:t>
            </w:r>
            <w:r w:rsidR="00016298" w:rsidRPr="005303F7">
              <w:rPr>
                <w:rFonts w:ascii="Times New Roman" w:hAnsi="Times New Roman"/>
                <w:bCs/>
                <w:color w:val="000000"/>
                <w:sz w:val="20"/>
                <w:lang w:val="sr-Cyrl-CS"/>
              </w:rPr>
              <w:t>ћ</w:t>
            </w:r>
            <w:r w:rsidRPr="005303F7">
              <w:rPr>
                <w:rFonts w:ascii="Times New Roman" w:hAnsi="Times New Roman"/>
                <w:bCs/>
                <w:color w:val="000000"/>
                <w:sz w:val="20"/>
                <w:lang w:val="sr-Cyrl-CS"/>
              </w:rPr>
              <w:t>ење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различитих</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ци</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ева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мера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газдовање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шумама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ци</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у</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ублажавања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прилагођавања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климатским</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променама</w:t>
            </w:r>
            <w:r w:rsidR="00A953E4" w:rsidRPr="005303F7">
              <w:rPr>
                <w:rFonts w:ascii="Times New Roman" w:hAnsi="Times New Roman"/>
                <w:bCs/>
                <w:color w:val="000000"/>
                <w:sz w:val="20"/>
                <w:lang w:val="sr-Cyrl-CS"/>
              </w:rPr>
              <w:t>)</w:t>
            </w:r>
            <w:r w:rsidR="004E087C" w:rsidRPr="005303F7">
              <w:rPr>
                <w:rFonts w:ascii="Times New Roman" w:hAnsi="Times New Roman"/>
                <w:bCs/>
                <w:color w:val="000000"/>
                <w:sz w:val="20"/>
                <w:lang w:val="sr-Cyrl-CS"/>
              </w:rPr>
              <w:t>,</w:t>
            </w:r>
          </w:p>
          <w:p w14:paraId="34282C7B" w14:textId="16CBB810" w:rsidR="00A953E4" w:rsidRPr="005303F7" w:rsidRDefault="008D69AF" w:rsidP="000F5D35">
            <w:pPr>
              <w:numPr>
                <w:ilvl w:val="1"/>
                <w:numId w:val="59"/>
              </w:numPr>
              <w:tabs>
                <w:tab w:val="clear" w:pos="3825"/>
                <w:tab w:val="left" w:pos="708"/>
                <w:tab w:val="left" w:pos="755"/>
              </w:tabs>
              <w:overflowPunct/>
              <w:spacing w:before="0" w:after="0"/>
              <w:ind w:left="46" w:firstLine="1034"/>
              <w:jc w:val="left"/>
              <w:textAlignment w:val="auto"/>
              <w:rPr>
                <w:rFonts w:ascii="Times New Roman" w:hAnsi="Times New Roman"/>
                <w:bCs/>
                <w:color w:val="000000"/>
                <w:sz w:val="20"/>
                <w:lang w:val="sr-Cyrl-CS"/>
              </w:rPr>
            </w:pPr>
            <w:r w:rsidRPr="005303F7">
              <w:rPr>
                <w:rFonts w:ascii="Times New Roman" w:hAnsi="Times New Roman"/>
                <w:bCs/>
                <w:color w:val="000000"/>
                <w:sz w:val="20"/>
                <w:lang w:val="sr-Cyrl-CS"/>
              </w:rPr>
              <w:t>промовисање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правилне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ве</w:t>
            </w:r>
            <w:r w:rsidR="00016298" w:rsidRPr="005303F7">
              <w:rPr>
                <w:rFonts w:ascii="Times New Roman" w:hAnsi="Times New Roman"/>
                <w:bCs/>
                <w:color w:val="000000"/>
                <w:sz w:val="20"/>
                <w:lang w:val="sr-Cyrl-CS"/>
              </w:rPr>
              <w:t>ћ</w:t>
            </w:r>
            <w:r w:rsidRPr="005303F7">
              <w:rPr>
                <w:rFonts w:ascii="Times New Roman" w:hAnsi="Times New Roman"/>
                <w:bCs/>
                <w:color w:val="000000"/>
                <w:sz w:val="20"/>
                <w:lang w:val="sr-Cyrl-CS"/>
              </w:rPr>
              <w:t>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употребе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дрвета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ци</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ају</w:t>
            </w:r>
            <w:r w:rsidR="00016298" w:rsidRPr="005303F7">
              <w:rPr>
                <w:rFonts w:ascii="Times New Roman" w:hAnsi="Times New Roman"/>
                <w:bCs/>
                <w:color w:val="000000"/>
                <w:sz w:val="20"/>
                <w:lang w:val="sr-Cyrl-CS"/>
              </w:rPr>
              <w:t>ћ</w:t>
            </w:r>
            <w:r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различите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намене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дрвета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одговарају</w:t>
            </w:r>
            <w:r w:rsidR="00016298" w:rsidRPr="005303F7">
              <w:rPr>
                <w:rFonts w:ascii="Times New Roman" w:hAnsi="Times New Roman"/>
                <w:bCs/>
                <w:color w:val="000000"/>
                <w:sz w:val="20"/>
                <w:lang w:val="sr-Cyrl-CS"/>
              </w:rPr>
              <w:t>ћ</w:t>
            </w:r>
            <w:r w:rsidRPr="005303F7">
              <w:rPr>
                <w:rFonts w:ascii="Times New Roman" w:hAnsi="Times New Roman"/>
                <w:bCs/>
                <w:color w:val="000000"/>
                <w:sz w:val="20"/>
                <w:lang w:val="sr-Cyrl-CS"/>
              </w:rPr>
              <w:t>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кориснике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дома</w:t>
            </w:r>
            <w:r w:rsidR="00016298" w:rsidRPr="005303F7">
              <w:rPr>
                <w:rFonts w:ascii="Times New Roman" w:hAnsi="Times New Roman"/>
                <w:bCs/>
                <w:color w:val="000000"/>
                <w:sz w:val="20"/>
                <w:lang w:val="sr-Cyrl-CS"/>
              </w:rPr>
              <w:t>ћ</w:t>
            </w:r>
            <w:r w:rsidRPr="005303F7">
              <w:rPr>
                <w:rFonts w:ascii="Times New Roman" w:hAnsi="Times New Roman"/>
                <w:bCs/>
                <w:color w:val="000000"/>
                <w:sz w:val="20"/>
                <w:lang w:val="sr-Cyrl-CS"/>
              </w:rPr>
              <w:t>инства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дрво</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енергију</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грађевински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сектор</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употреба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дрвета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као</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грађевинског</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материјала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друге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секторе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који</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користе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дрво</w:t>
            </w:r>
            <w:r w:rsidR="004E087C" w:rsidRPr="005303F7">
              <w:rPr>
                <w:rFonts w:ascii="Times New Roman" w:hAnsi="Times New Roman"/>
                <w:bCs/>
                <w:color w:val="000000"/>
                <w:sz w:val="20"/>
                <w:lang w:val="sr-Cyrl-CS"/>
              </w:rPr>
              <w:t>,</w:t>
            </w:r>
          </w:p>
          <w:p w14:paraId="043F3CF5" w14:textId="0A10B10B" w:rsidR="00A953E4" w:rsidRPr="005303F7" w:rsidRDefault="008D69AF" w:rsidP="00D93231">
            <w:pPr>
              <w:numPr>
                <w:ilvl w:val="1"/>
                <w:numId w:val="59"/>
              </w:numPr>
              <w:tabs>
                <w:tab w:val="clear" w:pos="3825"/>
                <w:tab w:val="left" w:pos="708"/>
              </w:tabs>
              <w:overflowPunct/>
              <w:spacing w:before="0" w:after="0"/>
              <w:jc w:val="left"/>
              <w:textAlignment w:val="auto"/>
              <w:rPr>
                <w:rFonts w:ascii="Times New Roman" w:hAnsi="Times New Roman"/>
                <w:bCs/>
                <w:color w:val="000000"/>
                <w:sz w:val="20"/>
                <w:lang w:val="sr-Cyrl-CS"/>
              </w:rPr>
            </w:pPr>
            <w:r w:rsidRPr="005303F7">
              <w:rPr>
                <w:rFonts w:ascii="Times New Roman" w:hAnsi="Times New Roman"/>
                <w:bCs/>
                <w:color w:val="000000"/>
                <w:sz w:val="20"/>
                <w:lang w:val="sr-Cyrl-CS"/>
              </w:rPr>
              <w:t>унапређење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газдовања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приватним</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шумама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промовисање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удруживања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приватних</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власника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ци</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ем</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пове</w:t>
            </w:r>
            <w:r w:rsidR="00016298" w:rsidRPr="005303F7">
              <w:rPr>
                <w:rFonts w:ascii="Times New Roman" w:hAnsi="Times New Roman"/>
                <w:bCs/>
                <w:color w:val="000000"/>
                <w:sz w:val="20"/>
                <w:lang w:val="sr-Cyrl-CS"/>
              </w:rPr>
              <w:t>ћ</w:t>
            </w:r>
            <w:r w:rsidRPr="005303F7">
              <w:rPr>
                <w:rFonts w:ascii="Times New Roman" w:hAnsi="Times New Roman"/>
                <w:bCs/>
                <w:color w:val="000000"/>
                <w:sz w:val="20"/>
                <w:lang w:val="sr-Cyrl-CS"/>
              </w:rPr>
              <w:t>ања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знања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одрживо</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газдовање</w:t>
            </w:r>
            <w:r w:rsidR="00A953E4"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шумама</w:t>
            </w:r>
            <w:r w:rsidR="00A953E4" w:rsidRPr="005303F7">
              <w:rPr>
                <w:rFonts w:ascii="Times New Roman" w:hAnsi="Times New Roman"/>
                <w:bCs/>
                <w:color w:val="000000"/>
                <w:sz w:val="20"/>
                <w:lang w:val="sr-Cyrl-CS"/>
              </w:rPr>
              <w:t>.</w:t>
            </w:r>
          </w:p>
          <w:p w14:paraId="47A52A81" w14:textId="5930C32E" w:rsidR="00562E9A" w:rsidRPr="005303F7" w:rsidRDefault="008D69AF" w:rsidP="00353B06">
            <w:pPr>
              <w:overflowPunct/>
              <w:jc w:val="left"/>
              <w:rPr>
                <w:rFonts w:ascii="Times New Roman" w:hAnsi="Times New Roman"/>
                <w:b/>
                <w:bCs/>
                <w:sz w:val="20"/>
                <w:szCs w:val="18"/>
                <w:u w:val="single"/>
                <w:lang w:val="sr-Cyrl-CS"/>
              </w:rPr>
            </w:pPr>
            <w:r w:rsidRPr="005303F7">
              <w:rPr>
                <w:rFonts w:ascii="Times New Roman" w:hAnsi="Times New Roman"/>
                <w:b/>
                <w:bCs/>
                <w:sz w:val="20"/>
                <w:szCs w:val="18"/>
                <w:u w:val="single"/>
                <w:lang w:val="sr-Cyrl-CS"/>
              </w:rPr>
              <w:t>Процес</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преговора</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о</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приступању</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ЕУ</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Поглав</w:t>
            </w:r>
            <w:r w:rsidR="00D553BE" w:rsidRPr="005303F7">
              <w:rPr>
                <w:rFonts w:ascii="Times New Roman" w:hAnsi="Times New Roman"/>
                <w:b/>
                <w:bCs/>
                <w:sz w:val="20"/>
                <w:szCs w:val="18"/>
                <w:u w:val="single"/>
                <w:lang w:val="sr-Cyrl-CS"/>
              </w:rPr>
              <w:t>љ</w:t>
            </w:r>
            <w:r w:rsidRPr="005303F7">
              <w:rPr>
                <w:rFonts w:ascii="Times New Roman" w:hAnsi="Times New Roman"/>
                <w:b/>
                <w:bCs/>
                <w:sz w:val="20"/>
                <w:szCs w:val="18"/>
                <w:u w:val="single"/>
                <w:lang w:val="sr-Cyrl-CS"/>
              </w:rPr>
              <w:t>е</w:t>
            </w:r>
            <w:r w:rsidR="00A953E4" w:rsidRPr="005303F7">
              <w:rPr>
                <w:rFonts w:ascii="Times New Roman" w:hAnsi="Times New Roman"/>
                <w:b/>
                <w:bCs/>
                <w:sz w:val="20"/>
                <w:szCs w:val="18"/>
                <w:u w:val="single"/>
                <w:lang w:val="sr-Cyrl-CS"/>
              </w:rPr>
              <w:t xml:space="preserve"> 27 – </w:t>
            </w:r>
            <w:r w:rsidRPr="005303F7">
              <w:rPr>
                <w:rFonts w:ascii="Times New Roman" w:hAnsi="Times New Roman"/>
                <w:b/>
                <w:bCs/>
                <w:sz w:val="20"/>
                <w:szCs w:val="18"/>
                <w:u w:val="single"/>
                <w:lang w:val="sr-Cyrl-CS"/>
              </w:rPr>
              <w:t>Животна</w:t>
            </w:r>
            <w:r w:rsidR="00A953E4"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средина</w:t>
            </w:r>
          </w:p>
        </w:tc>
      </w:tr>
      <w:tr w:rsidR="00AF3EA9" w:rsidRPr="005303F7" w14:paraId="09C15EA7" w14:textId="77777777" w:rsidTr="00D519CC">
        <w:trPr>
          <w:trHeight w:val="442"/>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14:paraId="422EA8A4" w14:textId="77777777" w:rsidR="00AF3EA9" w:rsidRPr="005303F7" w:rsidRDefault="00AF3EA9">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5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87FAF" w14:textId="655A4187" w:rsidR="00AF3EA9" w:rsidRPr="005303F7" w:rsidRDefault="008D69AF" w:rsidP="00353B06">
            <w:pPr>
              <w:spacing w:before="0" w:after="0"/>
              <w:jc w:val="center"/>
              <w:rPr>
                <w:rFonts w:ascii="Times New Roman" w:hAnsi="Times New Roman"/>
                <w:b/>
                <w:bCs/>
                <w:sz w:val="20"/>
                <w:lang w:val="sr-Cyrl-CS"/>
              </w:rPr>
            </w:pPr>
            <w:r w:rsidRPr="005303F7">
              <w:rPr>
                <w:rFonts w:ascii="Times New Roman" w:hAnsi="Times New Roman"/>
                <w:b/>
                <w:sz w:val="20"/>
                <w:lang w:val="sr-Cyrl-CS"/>
              </w:rPr>
              <w:t>К</w:t>
            </w:r>
            <w:r w:rsidR="00D553BE" w:rsidRPr="005303F7">
              <w:rPr>
                <w:rFonts w:ascii="Times New Roman" w:hAnsi="Times New Roman"/>
                <w:b/>
                <w:sz w:val="20"/>
                <w:lang w:val="sr-Cyrl-CS"/>
              </w:rPr>
              <w:t>љ</w:t>
            </w:r>
            <w:r w:rsidRPr="005303F7">
              <w:rPr>
                <w:rFonts w:ascii="Times New Roman" w:hAnsi="Times New Roman"/>
                <w:b/>
                <w:sz w:val="20"/>
                <w:lang w:val="sr-Cyrl-CS"/>
              </w:rPr>
              <w:t>учни</w:t>
            </w:r>
            <w:r w:rsidR="00AF3EA9" w:rsidRPr="005303F7">
              <w:rPr>
                <w:rFonts w:ascii="Times New Roman" w:hAnsi="Times New Roman"/>
                <w:b/>
                <w:sz w:val="20"/>
                <w:lang w:val="sr-Cyrl-CS"/>
              </w:rPr>
              <w:t xml:space="preserve"> </w:t>
            </w:r>
            <w:r w:rsidRPr="005303F7">
              <w:rPr>
                <w:rFonts w:ascii="Times New Roman" w:hAnsi="Times New Roman"/>
                <w:b/>
                <w:sz w:val="20"/>
                <w:lang w:val="sr-Cyrl-CS"/>
              </w:rPr>
              <w:t>субјекат</w:t>
            </w:r>
            <w:r w:rsidR="00AF3EA9" w:rsidRPr="005303F7">
              <w:rPr>
                <w:rFonts w:ascii="Times New Roman" w:hAnsi="Times New Roman"/>
                <w:b/>
                <w:sz w:val="20"/>
                <w:lang w:val="sr-Cyrl-CS"/>
              </w:rPr>
              <w:t xml:space="preserve"> </w:t>
            </w:r>
            <w:r w:rsidRPr="005303F7">
              <w:rPr>
                <w:rFonts w:ascii="Times New Roman" w:hAnsi="Times New Roman"/>
                <w:b/>
                <w:sz w:val="20"/>
                <w:lang w:val="sr-Cyrl-CS"/>
              </w:rPr>
              <w:t>за</w:t>
            </w:r>
            <w:r w:rsidR="00AF3EA9" w:rsidRPr="005303F7">
              <w:rPr>
                <w:rFonts w:ascii="Times New Roman" w:hAnsi="Times New Roman"/>
                <w:b/>
                <w:sz w:val="20"/>
                <w:lang w:val="sr-Cyrl-CS"/>
              </w:rPr>
              <w:t xml:space="preserve"> </w:t>
            </w:r>
            <w:r w:rsidRPr="005303F7">
              <w:rPr>
                <w:rFonts w:ascii="Times New Roman" w:hAnsi="Times New Roman"/>
                <w:b/>
                <w:sz w:val="20"/>
                <w:lang w:val="sr-Cyrl-CS"/>
              </w:rPr>
              <w:t>спровођење</w:t>
            </w:r>
            <w:r w:rsidR="00AF3EA9" w:rsidRPr="005303F7">
              <w:rPr>
                <w:rFonts w:ascii="Times New Roman" w:hAnsi="Times New Roman"/>
                <w:b/>
                <w:sz w:val="20"/>
                <w:lang w:val="sr-Cyrl-CS"/>
              </w:rPr>
              <w:t xml:space="preserve"> </w:t>
            </w:r>
            <w:r w:rsidRPr="005303F7">
              <w:rPr>
                <w:rFonts w:ascii="Times New Roman" w:hAnsi="Times New Roman"/>
                <w:b/>
                <w:sz w:val="20"/>
                <w:lang w:val="sr-Cyrl-CS"/>
              </w:rPr>
              <w:t>мере</w:t>
            </w:r>
          </w:p>
        </w:tc>
        <w:tc>
          <w:tcPr>
            <w:tcW w:w="63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1729D3" w14:textId="6EE1C997" w:rsidR="00AF3EA9" w:rsidRPr="005303F7" w:rsidRDefault="008D69AF" w:rsidP="00353B06">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Партнери</w:t>
            </w:r>
          </w:p>
        </w:tc>
        <w:tc>
          <w:tcPr>
            <w:tcW w:w="11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7B5BC0" w14:textId="77777777" w:rsidR="00D7102F" w:rsidRPr="005303F7" w:rsidRDefault="00D7102F" w:rsidP="00D7102F">
            <w:pPr>
              <w:overflowPunct/>
              <w:spacing w:before="0" w:after="0"/>
              <w:jc w:val="center"/>
              <w:rPr>
                <w:rFonts w:ascii="Times New Roman" w:hAnsi="Times New Roman"/>
                <w:b/>
                <w:sz w:val="20"/>
                <w:lang w:val="sr-Cyrl-CS"/>
              </w:rPr>
            </w:pPr>
            <w:r w:rsidRPr="005303F7">
              <w:rPr>
                <w:rFonts w:ascii="Times New Roman" w:hAnsi="Times New Roman"/>
                <w:b/>
                <w:sz w:val="20"/>
                <w:lang w:val="sr-Cyrl-CS"/>
              </w:rPr>
              <w:t>ЕТS/</w:t>
            </w:r>
          </w:p>
          <w:p w14:paraId="601B0A78" w14:textId="58D7444B" w:rsidR="00AF3EA9" w:rsidRPr="005303F7" w:rsidRDefault="004A35C7" w:rsidP="00D7102F">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не-ЕТS</w:t>
            </w:r>
          </w:p>
        </w:tc>
        <w:tc>
          <w:tcPr>
            <w:tcW w:w="142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6D799C" w14:textId="3384660F" w:rsidR="00AF3EA9" w:rsidRPr="005303F7" w:rsidRDefault="008D69AF" w:rsidP="00353B06">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Главни</w:t>
            </w:r>
            <w:r w:rsidR="00AF3EA9" w:rsidRPr="005303F7">
              <w:rPr>
                <w:rFonts w:ascii="Times New Roman" w:hAnsi="Times New Roman"/>
                <w:b/>
                <w:sz w:val="20"/>
                <w:lang w:val="sr-Cyrl-CS"/>
              </w:rPr>
              <w:t xml:space="preserve"> </w:t>
            </w:r>
            <w:r w:rsidRPr="005303F7">
              <w:rPr>
                <w:rFonts w:ascii="Times New Roman" w:hAnsi="Times New Roman"/>
                <w:b/>
                <w:sz w:val="20"/>
                <w:lang w:val="sr-Cyrl-CS"/>
              </w:rPr>
              <w:t>гасови</w:t>
            </w:r>
          </w:p>
        </w:tc>
        <w:tc>
          <w:tcPr>
            <w:tcW w:w="28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BCEF85" w14:textId="7F02DDA1" w:rsidR="00D7102F" w:rsidRPr="005303F7" w:rsidRDefault="00C52A7D"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 xml:space="preserve">Процењен утицај ублажавања </w:t>
            </w:r>
            <w:r w:rsidR="00D7102F" w:rsidRPr="005303F7">
              <w:rPr>
                <w:rFonts w:ascii="Times New Roman" w:hAnsi="Times New Roman"/>
                <w:b/>
                <w:bCs/>
                <w:sz w:val="20"/>
                <w:lang w:val="sr-Cyrl-CS"/>
              </w:rPr>
              <w:t xml:space="preserve">до 2030. </w:t>
            </w:r>
          </w:p>
          <w:p w14:paraId="09BF44DC" w14:textId="3A7F6622" w:rsidR="00AF3EA9" w:rsidRPr="005303F7" w:rsidRDefault="00D7102F" w:rsidP="00353B06">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BD116A" w:rsidRPr="005303F7" w14:paraId="6DA0B98A" w14:textId="77777777" w:rsidTr="00D519CC">
        <w:trPr>
          <w:trHeight w:val="1237"/>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14:paraId="5A58DF05" w14:textId="77777777" w:rsidR="00BD116A" w:rsidRPr="005303F7" w:rsidRDefault="00BD116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5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709F0E" w14:textId="183DCC26" w:rsidR="00BD116A" w:rsidRPr="005303F7" w:rsidRDefault="008D69AF">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AF3EA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опривреде</w:t>
            </w:r>
            <w:r w:rsidR="00AF3EA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шумарства</w:t>
            </w:r>
            <w:r w:rsidR="00AF3EA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AF3EA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водопривреде</w:t>
            </w:r>
          </w:p>
        </w:tc>
        <w:tc>
          <w:tcPr>
            <w:tcW w:w="6392"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92A690" w14:textId="1BE99B7C" w:rsidR="00BD116A" w:rsidRPr="005303F7" w:rsidRDefault="008D69AF" w:rsidP="00AF3EA9">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Истраживачке</w:t>
            </w:r>
            <w:r w:rsidR="00AF3EA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институције</w:t>
            </w:r>
            <w:r w:rsidR="00AF3EA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јавна</w:t>
            </w:r>
            <w:r w:rsidR="00AF3EA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предузећа</w:t>
            </w:r>
            <w:r w:rsidR="00AF3EA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одговорна</w:t>
            </w:r>
            <w:r w:rsidR="00AF3EA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AF3EA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газдовање</w:t>
            </w:r>
            <w:r w:rsidR="00AF3EA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шумама</w:t>
            </w:r>
            <w:r w:rsidR="00AF3EA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приватни</w:t>
            </w:r>
            <w:r w:rsidR="00AF3EA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власници</w:t>
            </w:r>
            <w:r w:rsidR="00AF3EA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w:t>
            </w:r>
            <w:r w:rsidR="00AF3EA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AF3EA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сектори</w:t>
            </w:r>
            <w:r w:rsidR="00AF3EA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који</w:t>
            </w:r>
            <w:r w:rsidR="00AF3EA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су</w:t>
            </w:r>
            <w:r w:rsidR="00AF3EA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упућени</w:t>
            </w:r>
            <w:r w:rsidR="00AF3EA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на</w:t>
            </w:r>
            <w:r w:rsidR="000965C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шумарство</w:t>
            </w:r>
            <w:r w:rsidR="00AF3EA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AF3EA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грађевински</w:t>
            </w:r>
            <w:r w:rsidR="00AF3EA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сектор</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0CD148" w14:textId="72F3DFD2" w:rsidR="00BD116A" w:rsidRPr="005303F7" w:rsidRDefault="004A35C7">
            <w:pPr>
              <w:overflowPunct/>
              <w:spacing w:after="0"/>
              <w:jc w:val="center"/>
              <w:rPr>
                <w:rFonts w:ascii="Times New Roman" w:hAnsi="Times New Roman"/>
                <w:bCs/>
                <w:sz w:val="20"/>
                <w:lang w:val="sr-Cyrl-CS"/>
              </w:rPr>
            </w:pPr>
            <w:r w:rsidRPr="005303F7">
              <w:rPr>
                <w:rFonts w:ascii="Times New Roman" w:hAnsi="Times New Roman"/>
                <w:bCs/>
                <w:sz w:val="20"/>
                <w:lang w:val="sr-Cyrl-CS"/>
              </w:rPr>
              <w:t>не-ЕТS</w:t>
            </w:r>
          </w:p>
        </w:tc>
        <w:tc>
          <w:tcPr>
            <w:tcW w:w="14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C5915F" w14:textId="1B3EE701" w:rsidR="00BD116A" w:rsidRPr="005303F7" w:rsidRDefault="00690489">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C</w:t>
            </w:r>
            <w:r w:rsidR="008D69AF" w:rsidRPr="005303F7">
              <w:rPr>
                <w:rFonts w:ascii="Times New Roman" w:hAnsi="Times New Roman"/>
                <w:bCs/>
                <w:color w:val="000000"/>
                <w:sz w:val="20"/>
                <w:lang w:val="sr-Cyrl-CS"/>
              </w:rPr>
              <w:t>О</w:t>
            </w:r>
            <w:r w:rsidR="00BD116A" w:rsidRPr="005303F7">
              <w:rPr>
                <w:rFonts w:ascii="Times New Roman" w:hAnsi="Times New Roman"/>
                <w:bCs/>
                <w:color w:val="000000"/>
                <w:sz w:val="20"/>
                <w:vertAlign w:val="subscript"/>
                <w:lang w:val="sr-Cyrl-CS"/>
              </w:rPr>
              <w:t>2</w:t>
            </w:r>
          </w:p>
        </w:tc>
        <w:tc>
          <w:tcPr>
            <w:tcW w:w="28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66B7A9" w14:textId="5AB8E520" w:rsidR="00BD116A" w:rsidRPr="005303F7" w:rsidRDefault="00D26266">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w:t>
            </w:r>
          </w:p>
        </w:tc>
      </w:tr>
      <w:tr w:rsidR="00BD116A" w:rsidRPr="005303F7" w14:paraId="377A7CCD" w14:textId="77777777" w:rsidTr="00D519CC">
        <w:trPr>
          <w:trHeight w:val="321"/>
        </w:trPr>
        <w:tc>
          <w:tcPr>
            <w:tcW w:w="16061" w:type="dxa"/>
            <w:gridSpan w:val="26"/>
            <w:tcBorders>
              <w:top w:val="single" w:sz="4" w:space="0" w:color="auto"/>
              <w:left w:val="single" w:sz="4" w:space="0" w:color="auto"/>
              <w:bottom w:val="single" w:sz="4" w:space="0" w:color="auto"/>
              <w:right w:val="single" w:sz="4" w:space="0" w:color="auto"/>
            </w:tcBorders>
            <w:shd w:val="solid" w:color="FFCC00" w:fill="auto"/>
            <w:vAlign w:val="center"/>
            <w:hideMark/>
          </w:tcPr>
          <w:p w14:paraId="49FAD998" w14:textId="0B551142" w:rsidR="00BD116A" w:rsidRPr="005303F7" w:rsidRDefault="008D69AF">
            <w:pPr>
              <w:overflowPunct/>
              <w:jc w:val="left"/>
              <w:rPr>
                <w:rFonts w:ascii="Times New Roman" w:hAnsi="Times New Roman"/>
                <w:b/>
                <w:bCs/>
                <w:color w:val="000000"/>
                <w:sz w:val="18"/>
                <w:szCs w:val="18"/>
                <w:lang w:val="sr-Cyrl-CS"/>
              </w:rPr>
            </w:pPr>
            <w:r w:rsidRPr="005303F7">
              <w:rPr>
                <w:rFonts w:ascii="Times New Roman" w:hAnsi="Times New Roman"/>
                <w:b/>
                <w:bCs/>
                <w:color w:val="000000"/>
                <w:sz w:val="18"/>
                <w:szCs w:val="18"/>
                <w:lang w:val="sr-Cyrl-CS"/>
              </w:rPr>
              <w:lastRenderedPageBreak/>
              <w:t>Посебан</w:t>
            </w:r>
            <w:r w:rsidR="00AF3EA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ци</w:t>
            </w:r>
            <w:r w:rsidR="00D553BE" w:rsidRPr="005303F7">
              <w:rPr>
                <w:rFonts w:ascii="Times New Roman" w:hAnsi="Times New Roman"/>
                <w:b/>
                <w:bCs/>
                <w:sz w:val="18"/>
                <w:szCs w:val="18"/>
                <w:lang w:val="sr-Cyrl-CS"/>
              </w:rPr>
              <w:t>љ</w:t>
            </w:r>
            <w:r w:rsidR="00BD116A" w:rsidRPr="005303F7">
              <w:rPr>
                <w:rFonts w:ascii="Times New Roman" w:hAnsi="Times New Roman"/>
                <w:b/>
                <w:bCs/>
                <w:color w:val="000000"/>
                <w:sz w:val="18"/>
                <w:szCs w:val="18"/>
                <w:lang w:val="sr-Cyrl-CS"/>
              </w:rPr>
              <w:t xml:space="preserve"> 4: </w:t>
            </w:r>
            <w:r w:rsidRPr="005303F7">
              <w:rPr>
                <w:rFonts w:ascii="Times New Roman" w:hAnsi="Times New Roman"/>
                <w:b/>
                <w:bCs/>
                <w:color w:val="000000"/>
                <w:sz w:val="18"/>
                <w:szCs w:val="18"/>
                <w:lang w:val="sr-Cyrl-CS"/>
              </w:rPr>
              <w:t>Очување</w:t>
            </w:r>
            <w:r w:rsidR="00AF3EA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потенцијала</w:t>
            </w:r>
            <w:r w:rsidR="00AF3EA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мера</w:t>
            </w:r>
            <w:r w:rsidR="00AF3EA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ублажавања</w:t>
            </w:r>
            <w:r w:rsidR="00AF3EA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повећањем</w:t>
            </w:r>
            <w:r w:rsidR="00AF3EA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отпорности</w:t>
            </w:r>
            <w:r w:rsidR="00AF3EA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на</w:t>
            </w:r>
            <w:r w:rsidR="00AF3EA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климатске</w:t>
            </w:r>
            <w:r w:rsidR="00AF3EA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промене</w:t>
            </w:r>
            <w:r w:rsidR="00AF3EA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у</w:t>
            </w:r>
            <w:r w:rsidR="00AF3EA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приоритетним</w:t>
            </w:r>
            <w:r w:rsidR="00AF3EA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секторима</w:t>
            </w:r>
          </w:p>
        </w:tc>
      </w:tr>
      <w:tr w:rsidR="00BD116A" w:rsidRPr="005303F7" w14:paraId="42FE7438" w14:textId="77777777" w:rsidTr="00D519CC">
        <w:trPr>
          <w:trHeight w:val="442"/>
        </w:trPr>
        <w:tc>
          <w:tcPr>
            <w:tcW w:w="565" w:type="dxa"/>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7112A37B" w14:textId="6801875B" w:rsidR="00BD116A" w:rsidRPr="005303F7" w:rsidRDefault="008D69AF">
            <w:pPr>
              <w:overflowPunct/>
              <w:spacing w:after="0"/>
              <w:rPr>
                <w:rFonts w:ascii="Times New Roman" w:hAnsi="Times New Roman"/>
                <w:sz w:val="20"/>
                <w:lang w:val="sr-Cyrl-CS"/>
              </w:rPr>
            </w:pPr>
            <w:r w:rsidRPr="005303F7">
              <w:rPr>
                <w:rFonts w:ascii="Times New Roman" w:hAnsi="Times New Roman"/>
                <w:sz w:val="20"/>
                <w:lang w:val="sr-Cyrl-CS"/>
              </w:rPr>
              <w:t>Бр</w:t>
            </w:r>
            <w:r w:rsidR="00BD116A" w:rsidRPr="005303F7">
              <w:rPr>
                <w:rFonts w:ascii="Times New Roman" w:hAnsi="Times New Roman"/>
                <w:sz w:val="20"/>
                <w:lang w:val="sr-Cyrl-CS"/>
              </w:rPr>
              <w:t>.</w:t>
            </w:r>
          </w:p>
        </w:tc>
        <w:tc>
          <w:tcPr>
            <w:tcW w:w="15496" w:type="dxa"/>
            <w:gridSpan w:val="25"/>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73168BCF" w14:textId="7EA998A0" w:rsidR="00BD116A" w:rsidRPr="005303F7" w:rsidRDefault="008D69AF" w:rsidP="00652668">
            <w:pPr>
              <w:overflowPunct/>
              <w:jc w:val="left"/>
              <w:rPr>
                <w:rFonts w:ascii="Times New Roman" w:hAnsi="Times New Roman"/>
                <w:b/>
                <w:sz w:val="20"/>
                <w:u w:val="single"/>
                <w:lang w:val="sr-Cyrl-CS"/>
              </w:rPr>
            </w:pPr>
            <w:r w:rsidRPr="005303F7">
              <w:rPr>
                <w:rFonts w:ascii="Times New Roman" w:hAnsi="Times New Roman"/>
                <w:b/>
                <w:bCs/>
                <w:sz w:val="20"/>
                <w:lang w:val="sr-Cyrl-CS"/>
              </w:rPr>
              <w:t>Назив</w:t>
            </w:r>
            <w:r w:rsidR="00AF3EA9" w:rsidRPr="005303F7">
              <w:rPr>
                <w:rFonts w:ascii="Times New Roman" w:hAnsi="Times New Roman"/>
                <w:b/>
                <w:bCs/>
                <w:sz w:val="20"/>
                <w:lang w:val="sr-Cyrl-CS"/>
              </w:rPr>
              <w:t xml:space="preserve"> </w:t>
            </w:r>
            <w:r w:rsidRPr="005303F7">
              <w:rPr>
                <w:rFonts w:ascii="Times New Roman" w:hAnsi="Times New Roman"/>
                <w:b/>
                <w:bCs/>
                <w:sz w:val="20"/>
                <w:lang w:val="sr-Cyrl-CS"/>
              </w:rPr>
              <w:t>мере</w:t>
            </w:r>
            <w:r w:rsidR="00AF3EA9" w:rsidRPr="005303F7">
              <w:rPr>
                <w:rFonts w:ascii="Times New Roman" w:hAnsi="Times New Roman"/>
                <w:b/>
                <w:bCs/>
                <w:sz w:val="20"/>
                <w:lang w:val="sr-Cyrl-CS"/>
              </w:rPr>
              <w:t xml:space="preserve">: </w:t>
            </w:r>
            <w:r w:rsidRPr="005303F7">
              <w:rPr>
                <w:rFonts w:ascii="Times New Roman" w:hAnsi="Times New Roman"/>
                <w:b/>
                <w:color w:val="FFFFFF" w:themeColor="background1"/>
                <w:sz w:val="20"/>
                <w:u w:val="single"/>
                <w:lang w:val="sr-Cyrl-CS"/>
              </w:rPr>
              <w:t>Прилагођавање</w:t>
            </w:r>
            <w:r w:rsidR="00331612"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техника</w:t>
            </w:r>
            <w:r w:rsidR="00331612"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узгајања</w:t>
            </w:r>
            <w:r w:rsidR="00331612"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на</w:t>
            </w:r>
            <w:r w:rsidR="00331612"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климатске</w:t>
            </w:r>
            <w:r w:rsidR="00331612"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промене</w:t>
            </w:r>
            <w:r w:rsidR="00331612"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избор</w:t>
            </w:r>
            <w:r w:rsidR="00782BD9"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врста</w:t>
            </w:r>
            <w:r w:rsidR="00331612"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и</w:t>
            </w:r>
            <w:r w:rsidR="00331612"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агротехничких</w:t>
            </w:r>
            <w:r w:rsidR="00331612"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мера</w:t>
            </w:r>
            <w:r w:rsidR="00331612" w:rsidRPr="005303F7">
              <w:rPr>
                <w:rFonts w:ascii="Times New Roman" w:hAnsi="Times New Roman"/>
                <w:b/>
                <w:color w:val="FFFFFF" w:themeColor="background1"/>
                <w:sz w:val="20"/>
                <w:u w:val="single"/>
                <w:lang w:val="sr-Cyrl-CS"/>
              </w:rPr>
              <w:t>)</w:t>
            </w:r>
          </w:p>
        </w:tc>
      </w:tr>
      <w:tr w:rsidR="00BD116A" w:rsidRPr="005303F7" w14:paraId="0D4FB9CC" w14:textId="77777777" w:rsidTr="00D519CC">
        <w:trPr>
          <w:trHeight w:val="1387"/>
        </w:trPr>
        <w:tc>
          <w:tcPr>
            <w:tcW w:w="565" w:type="dxa"/>
            <w:vMerge w:val="restart"/>
            <w:tcBorders>
              <w:top w:val="single" w:sz="4" w:space="0" w:color="auto"/>
              <w:left w:val="single" w:sz="4" w:space="0" w:color="auto"/>
              <w:bottom w:val="single" w:sz="4" w:space="0" w:color="auto"/>
              <w:right w:val="single" w:sz="4" w:space="0" w:color="auto"/>
            </w:tcBorders>
            <w:vAlign w:val="center"/>
            <w:hideMark/>
          </w:tcPr>
          <w:p w14:paraId="36BD511A" w14:textId="77777777" w:rsidR="00BD116A" w:rsidRPr="005303F7" w:rsidRDefault="00BD116A">
            <w:pPr>
              <w:overflowPunct/>
              <w:spacing w:after="0"/>
              <w:jc w:val="center"/>
              <w:rPr>
                <w:rFonts w:ascii="Times New Roman" w:hAnsi="Times New Roman"/>
                <w:b/>
                <w:color w:val="000000"/>
                <w:sz w:val="20"/>
                <w:lang w:val="sr-Cyrl-CS"/>
              </w:rPr>
            </w:pPr>
            <w:r w:rsidRPr="005303F7">
              <w:rPr>
                <w:rFonts w:ascii="Times New Roman" w:hAnsi="Times New Roman"/>
                <w:b/>
                <w:color w:val="000000"/>
                <w:sz w:val="20"/>
                <w:lang w:val="sr-Cyrl-CS"/>
              </w:rPr>
              <w:t>26</w:t>
            </w:r>
          </w:p>
        </w:tc>
        <w:tc>
          <w:tcPr>
            <w:tcW w:w="15496" w:type="dxa"/>
            <w:gridSpan w:val="25"/>
            <w:tcBorders>
              <w:top w:val="single" w:sz="4" w:space="0" w:color="auto"/>
              <w:left w:val="single" w:sz="4" w:space="0" w:color="auto"/>
              <w:bottom w:val="single" w:sz="4" w:space="0" w:color="auto"/>
              <w:right w:val="single" w:sz="4" w:space="0" w:color="auto"/>
            </w:tcBorders>
            <w:vAlign w:val="center"/>
            <w:hideMark/>
          </w:tcPr>
          <w:p w14:paraId="17DD143C" w14:textId="2FC0E00E" w:rsidR="00BD116A" w:rsidRPr="005303F7" w:rsidRDefault="008D69AF">
            <w:pPr>
              <w:overflowPunct/>
              <w:jc w:val="left"/>
              <w:rPr>
                <w:rFonts w:ascii="Times New Roman" w:hAnsi="Times New Roman"/>
                <w:b/>
                <w:color w:val="000000"/>
                <w:sz w:val="20"/>
                <w:lang w:val="sr-Cyrl-CS"/>
              </w:rPr>
            </w:pPr>
            <w:r w:rsidRPr="005303F7">
              <w:rPr>
                <w:rFonts w:ascii="Times New Roman" w:hAnsi="Times New Roman"/>
                <w:b/>
                <w:color w:val="000000"/>
                <w:sz w:val="20"/>
                <w:u w:val="single"/>
                <w:lang w:val="sr-Cyrl-CS"/>
              </w:rPr>
              <w:t>Врста</w:t>
            </w:r>
            <w:r w:rsidR="000202A1"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BD116A" w:rsidRPr="005303F7">
              <w:rPr>
                <w:rFonts w:ascii="Times New Roman" w:hAnsi="Times New Roman"/>
                <w:b/>
                <w:color w:val="000000"/>
                <w:sz w:val="20"/>
                <w:u w:val="single"/>
                <w:lang w:val="sr-Cyrl-CS"/>
              </w:rPr>
              <w:t>:</w:t>
            </w:r>
            <w:r w:rsidR="00BD116A" w:rsidRPr="005303F7">
              <w:rPr>
                <w:rFonts w:ascii="Times New Roman" w:hAnsi="Times New Roman"/>
                <w:b/>
                <w:color w:val="000000"/>
                <w:sz w:val="20"/>
                <w:lang w:val="sr-Cyrl-CS"/>
              </w:rPr>
              <w:t xml:space="preserve"> </w:t>
            </w:r>
            <w:r w:rsidRPr="005303F7">
              <w:rPr>
                <w:rFonts w:ascii="Times New Roman" w:hAnsi="Times New Roman"/>
                <w:bCs/>
                <w:color w:val="000000"/>
                <w:sz w:val="20"/>
                <w:lang w:val="sr-Cyrl-CS"/>
              </w:rPr>
              <w:t>Информативно</w:t>
            </w:r>
            <w:r w:rsidR="000202A1" w:rsidRPr="005303F7">
              <w:rPr>
                <w:rFonts w:ascii="Times New Roman" w:hAnsi="Times New Roman"/>
                <w:bCs/>
                <w:color w:val="000000"/>
                <w:sz w:val="20"/>
                <w:lang w:val="sr-Cyrl-CS"/>
              </w:rPr>
              <w:t>-</w:t>
            </w:r>
            <w:r w:rsidRPr="005303F7">
              <w:rPr>
                <w:rFonts w:ascii="Times New Roman" w:hAnsi="Times New Roman"/>
                <w:bCs/>
                <w:color w:val="000000"/>
                <w:sz w:val="20"/>
                <w:lang w:val="sr-Cyrl-CS"/>
              </w:rPr>
              <w:t>едукативна</w:t>
            </w:r>
            <w:r w:rsidR="000202A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организационо</w:t>
            </w:r>
            <w:r w:rsidR="000202A1" w:rsidRPr="005303F7">
              <w:rPr>
                <w:rFonts w:ascii="Times New Roman" w:hAnsi="Times New Roman"/>
                <w:bCs/>
                <w:color w:val="000000"/>
                <w:sz w:val="20"/>
                <w:lang w:val="sr-Cyrl-CS"/>
              </w:rPr>
              <w:t>-</w:t>
            </w:r>
            <w:r w:rsidRPr="005303F7">
              <w:rPr>
                <w:rFonts w:ascii="Times New Roman" w:hAnsi="Times New Roman"/>
                <w:bCs/>
                <w:color w:val="000000"/>
                <w:sz w:val="20"/>
                <w:lang w:val="sr-Cyrl-CS"/>
              </w:rPr>
              <w:t>управ</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ачка</w:t>
            </w:r>
            <w:r w:rsidR="000202A1" w:rsidRPr="005303F7">
              <w:rPr>
                <w:rFonts w:ascii="Times New Roman" w:hAnsi="Times New Roman"/>
                <w:bCs/>
                <w:color w:val="000000"/>
                <w:sz w:val="20"/>
                <w:lang w:val="sr-Cyrl-CS"/>
              </w:rPr>
              <w:t>-</w:t>
            </w:r>
            <w:r w:rsidRPr="005303F7">
              <w:rPr>
                <w:rFonts w:ascii="Times New Roman" w:hAnsi="Times New Roman"/>
                <w:bCs/>
                <w:color w:val="000000"/>
                <w:sz w:val="20"/>
                <w:lang w:val="sr-Cyrl-CS"/>
              </w:rPr>
              <w:t>институционална</w:t>
            </w:r>
          </w:p>
          <w:p w14:paraId="00BAA026" w14:textId="2D6ABC5B" w:rsidR="00324CAA" w:rsidRPr="005303F7" w:rsidRDefault="008D69AF" w:rsidP="00324CAA">
            <w:pPr>
              <w:overflowPunct/>
              <w:spacing w:after="0"/>
              <w:jc w:val="left"/>
              <w:rPr>
                <w:rFonts w:ascii="Times New Roman" w:hAnsi="Times New Roman"/>
                <w:sz w:val="20"/>
                <w:lang w:val="sr-Cyrl-CS"/>
              </w:rPr>
            </w:pPr>
            <w:r w:rsidRPr="005303F7">
              <w:rPr>
                <w:rFonts w:ascii="Times New Roman" w:hAnsi="Times New Roman"/>
                <w:b/>
                <w:color w:val="000000"/>
                <w:sz w:val="20"/>
                <w:u w:val="single"/>
                <w:lang w:val="sr-Cyrl-CS"/>
              </w:rPr>
              <w:t>Опис</w:t>
            </w:r>
            <w:r w:rsidR="000202A1"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BD116A" w:rsidRPr="005303F7">
              <w:rPr>
                <w:rFonts w:ascii="Times New Roman" w:hAnsi="Times New Roman"/>
                <w:bCs/>
                <w:color w:val="000000"/>
                <w:sz w:val="20"/>
                <w:lang w:val="sr-Cyrl-CS"/>
              </w:rPr>
              <w:t>:</w:t>
            </w:r>
            <w:r w:rsidR="000202A1" w:rsidRPr="005303F7">
              <w:rPr>
                <w:rFonts w:ascii="Times New Roman" w:hAnsi="Times New Roman"/>
                <w:sz w:val="20"/>
                <w:lang w:val="sr-Cyrl-CS"/>
              </w:rPr>
              <w:t xml:space="preserve"> </w:t>
            </w:r>
          </w:p>
          <w:p w14:paraId="2BBDBD8F" w14:textId="7C0B3977" w:rsidR="00BF3033" w:rsidRPr="005303F7" w:rsidRDefault="00CC6964" w:rsidP="00BF3033">
            <w:pPr>
              <w:framePr w:hSpace="180" w:wrap="around" w:vAnchor="text" w:hAnchor="text" w:x="-856" w:y="135"/>
              <w:overflowPunct/>
              <w:spacing w:before="240"/>
              <w:rPr>
                <w:rFonts w:ascii="Times New Roman" w:hAnsi="Times New Roman"/>
                <w:sz w:val="20"/>
                <w:lang w:val="sr-Cyrl-CS"/>
              </w:rPr>
            </w:pPr>
            <w:r w:rsidRPr="005303F7">
              <w:rPr>
                <w:rFonts w:ascii="Times New Roman" w:hAnsi="Times New Roman"/>
                <w:sz w:val="20"/>
                <w:lang w:val="sr-Cyrl-CS"/>
              </w:rPr>
              <w:t xml:space="preserve">       </w:t>
            </w:r>
            <w:r w:rsidR="00BF3033" w:rsidRPr="005303F7">
              <w:rPr>
                <w:rFonts w:ascii="Times New Roman" w:hAnsi="Times New Roman"/>
                <w:sz w:val="20"/>
                <w:lang w:val="sr-Cyrl-CS"/>
              </w:rPr>
              <w:t xml:space="preserve">Мера се може постићи, између осталог, правилним избором хибрида и сорти, увођењем нових усева и плодова за узгој, засењивањем усева ради уштеде воде и заштите од повреда од сунца, хлађењем усева, стаја, кокошарника и рибњака, одређивањем одговарајућих датума сетве, очувањем воде у тлу, новом контролом штеточина или болести итд. </w:t>
            </w:r>
          </w:p>
          <w:p w14:paraId="291DED91" w14:textId="7C0DBB80" w:rsidR="00BF3033" w:rsidRPr="005303F7" w:rsidRDefault="00CC6964" w:rsidP="00BF3033">
            <w:pPr>
              <w:framePr w:hSpace="180" w:wrap="around" w:vAnchor="text" w:hAnchor="text" w:x="-856" w:y="135"/>
              <w:overflowPunct/>
              <w:spacing w:before="240"/>
              <w:rPr>
                <w:rFonts w:ascii="Times New Roman" w:hAnsi="Times New Roman"/>
                <w:sz w:val="20"/>
                <w:lang w:val="sr-Cyrl-CS"/>
              </w:rPr>
            </w:pPr>
            <w:r w:rsidRPr="005303F7">
              <w:rPr>
                <w:rFonts w:ascii="Times New Roman" w:hAnsi="Times New Roman"/>
                <w:sz w:val="20"/>
                <w:lang w:val="sr-Cyrl-CS"/>
              </w:rPr>
              <w:t xml:space="preserve">       </w:t>
            </w:r>
            <w:r w:rsidR="00BF3033" w:rsidRPr="005303F7">
              <w:rPr>
                <w:rFonts w:ascii="Times New Roman" w:hAnsi="Times New Roman"/>
                <w:sz w:val="20"/>
                <w:lang w:val="sr-Cyrl-CS"/>
              </w:rPr>
              <w:t>Што се тиче дела који се односи на истраживање и развој, више факултета (попут Пољопривредног факултета у Новом Саду и Земуну) и истраживачких института (Институт за ратарство и повртарство у Новом Саду, Институт за кукуруз у Земуну, Институт за воћарство у Чачку) имају важна подручја истраживања посвећена пољопривреди, па чак и пољопривреди и климатским променама.</w:t>
            </w:r>
          </w:p>
          <w:p w14:paraId="15CDC448" w14:textId="6C4320F1" w:rsidR="00BF3033" w:rsidRPr="005303F7" w:rsidRDefault="00CC6964" w:rsidP="00BF3033">
            <w:pPr>
              <w:framePr w:hSpace="180" w:wrap="around" w:vAnchor="text" w:hAnchor="text" w:x="-856" w:y="135"/>
              <w:overflowPunct/>
              <w:spacing w:before="240"/>
              <w:rPr>
                <w:rFonts w:ascii="Times New Roman" w:hAnsi="Times New Roman"/>
                <w:sz w:val="20"/>
                <w:lang w:val="sr-Cyrl-CS"/>
              </w:rPr>
            </w:pPr>
            <w:r w:rsidRPr="005303F7">
              <w:rPr>
                <w:rFonts w:ascii="Times New Roman" w:hAnsi="Times New Roman"/>
                <w:sz w:val="20"/>
                <w:lang w:val="sr-Cyrl-CS"/>
              </w:rPr>
              <w:t xml:space="preserve">       </w:t>
            </w:r>
            <w:r w:rsidR="00BF3033" w:rsidRPr="005303F7">
              <w:rPr>
                <w:rFonts w:ascii="Times New Roman" w:hAnsi="Times New Roman"/>
                <w:sz w:val="20"/>
                <w:lang w:val="sr-Cyrl-CS"/>
              </w:rPr>
              <w:t xml:space="preserve">Са аспекта информисања, Саветодавна служба за пољопривреду је кључни инструмент за пренос знања у пољопривреди кроз неформално образовање. Од 2013. годне број саветодаваца је растао скоро сваке годне. У Централној </w:t>
            </w:r>
            <w:r w:rsidR="00D73AAB" w:rsidRPr="005303F7">
              <w:rPr>
                <w:rFonts w:ascii="Times New Roman" w:hAnsi="Times New Roman"/>
                <w:sz w:val="20"/>
                <w:lang w:val="sr-Cyrl-CS"/>
              </w:rPr>
              <w:t>Републици Србији</w:t>
            </w:r>
            <w:r w:rsidR="00BF3033" w:rsidRPr="005303F7">
              <w:rPr>
                <w:rFonts w:ascii="Times New Roman" w:hAnsi="Times New Roman"/>
                <w:sz w:val="20"/>
                <w:lang w:val="sr-Cyrl-CS"/>
              </w:rPr>
              <w:t xml:space="preserve"> 2013. годне саветодавне послове обављало је 158 саветодаваца, а 2022. године 208. Са растом броја саветодаваца, као и са фокусом на групне методе саветодавног рада, број корисника саветодавних услуга, пружених савета и помоћи је растао.</w:t>
            </w:r>
            <w:r w:rsidR="0014744B" w:rsidRPr="005303F7">
              <w:rPr>
                <w:rFonts w:ascii="Times New Roman" w:hAnsi="Times New Roman"/>
                <w:sz w:val="20"/>
                <w:lang w:val="sr-Cyrl-CS"/>
              </w:rPr>
              <w:t xml:space="preserve"> </w:t>
            </w:r>
            <w:r w:rsidR="00BF3033" w:rsidRPr="005303F7">
              <w:rPr>
                <w:rFonts w:ascii="Times New Roman" w:hAnsi="Times New Roman"/>
                <w:sz w:val="20"/>
                <w:lang w:val="sr-Cyrl-CS"/>
              </w:rPr>
              <w:t xml:space="preserve">Према доступним подацима из софтвера </w:t>
            </w:r>
            <w:r w:rsidR="007423FD" w:rsidRPr="005303F7">
              <w:rPr>
                <w:rFonts w:ascii="Times New Roman" w:hAnsi="Times New Roman"/>
                <w:sz w:val="20"/>
                <w:lang w:val="sr-Cyrl-CS"/>
              </w:rPr>
              <w:t>„</w:t>
            </w:r>
            <w:r w:rsidR="00BF3033" w:rsidRPr="005303F7">
              <w:rPr>
                <w:rFonts w:ascii="Times New Roman" w:hAnsi="Times New Roman"/>
                <w:sz w:val="20"/>
                <w:lang w:val="sr-Cyrl-CS"/>
              </w:rPr>
              <w:t>Пољосавет</w:t>
            </w:r>
            <w:r w:rsidR="0035174D" w:rsidRPr="005303F7">
              <w:rPr>
                <w:rFonts w:ascii="Times New Roman" w:hAnsi="Times New Roman"/>
                <w:sz w:val="20"/>
                <w:lang w:val="sr-Cyrl-CS"/>
              </w:rPr>
              <w:t>”</w:t>
            </w:r>
            <w:r w:rsidR="00BF3033" w:rsidRPr="005303F7">
              <w:rPr>
                <w:rFonts w:ascii="Times New Roman" w:hAnsi="Times New Roman"/>
                <w:sz w:val="20"/>
                <w:lang w:val="sr-Cyrl-CS"/>
              </w:rPr>
              <w:t xml:space="preserve"> 2022. године, број пољопривредних произвођача који су били обухваћени саветодавним радом је износио 82</w:t>
            </w:r>
            <w:r w:rsidR="0014744B" w:rsidRPr="005303F7">
              <w:rPr>
                <w:rFonts w:ascii="Times New Roman" w:hAnsi="Times New Roman"/>
                <w:sz w:val="20"/>
                <w:lang w:val="sr-Cyrl-CS"/>
              </w:rPr>
              <w:t xml:space="preserve"> </w:t>
            </w:r>
            <w:r w:rsidR="00BF3033" w:rsidRPr="005303F7">
              <w:rPr>
                <w:rFonts w:ascii="Times New Roman" w:hAnsi="Times New Roman"/>
                <w:sz w:val="20"/>
                <w:lang w:val="sr-Cyrl-CS"/>
              </w:rPr>
              <w:t>511, што представља 24,67% од укупног броја регистрованих пољопривредних газдинстава у 2022. години на територији РС без територије АПВ (334,396).</w:t>
            </w:r>
          </w:p>
          <w:p w14:paraId="2760D516" w14:textId="567EA7EB" w:rsidR="00BF3033" w:rsidRPr="005303F7" w:rsidRDefault="00CC6964" w:rsidP="00BF3033">
            <w:pPr>
              <w:framePr w:hSpace="180" w:wrap="around" w:vAnchor="text" w:hAnchor="text" w:x="-856" w:y="135"/>
              <w:overflowPunct/>
              <w:spacing w:before="240"/>
              <w:rPr>
                <w:rFonts w:ascii="Times New Roman" w:hAnsi="Times New Roman"/>
                <w:sz w:val="20"/>
                <w:lang w:val="sr-Cyrl-CS"/>
              </w:rPr>
            </w:pPr>
            <w:r w:rsidRPr="005303F7">
              <w:rPr>
                <w:rFonts w:ascii="Times New Roman" w:hAnsi="Times New Roman"/>
                <w:sz w:val="20"/>
                <w:lang w:val="sr-Cyrl-CS"/>
              </w:rPr>
              <w:t xml:space="preserve">       </w:t>
            </w:r>
            <w:r w:rsidR="00BF3033" w:rsidRPr="005303F7">
              <w:rPr>
                <w:rFonts w:ascii="Times New Roman" w:hAnsi="Times New Roman"/>
                <w:sz w:val="20"/>
                <w:lang w:val="sr-Cyrl-CS"/>
              </w:rPr>
              <w:t xml:space="preserve">Национална стратегија за пољопривреду и рурални развој поставља као циљ повећање групе клијената саветодавне службе за пољопривреду у </w:t>
            </w:r>
            <w:r w:rsidR="00D73AAB" w:rsidRPr="005303F7">
              <w:rPr>
                <w:rFonts w:ascii="Times New Roman" w:hAnsi="Times New Roman"/>
                <w:sz w:val="20"/>
                <w:lang w:val="sr-Cyrl-CS"/>
              </w:rPr>
              <w:t>Републици Србији</w:t>
            </w:r>
            <w:r w:rsidR="00BF3033" w:rsidRPr="005303F7">
              <w:rPr>
                <w:rFonts w:ascii="Times New Roman" w:hAnsi="Times New Roman"/>
                <w:sz w:val="20"/>
                <w:lang w:val="sr-Cyrl-CS"/>
              </w:rPr>
              <w:t xml:space="preserve"> на 30% до 2024. године.</w:t>
            </w:r>
            <w:r w:rsidR="00BF3033" w:rsidRPr="005303F7">
              <w:rPr>
                <w:lang w:val="sr-Cyrl-CS"/>
              </w:rPr>
              <w:t xml:space="preserve"> </w:t>
            </w:r>
            <w:r w:rsidR="00BF3033" w:rsidRPr="005303F7">
              <w:rPr>
                <w:rFonts w:ascii="Times New Roman" w:hAnsi="Times New Roman"/>
                <w:sz w:val="20"/>
                <w:lang w:val="sr-Cyrl-CS"/>
              </w:rPr>
              <w:t>Основно је да се тај циљ постигне како би се олакшала примена ове мере.</w:t>
            </w:r>
          </w:p>
          <w:p w14:paraId="3C07AB9F" w14:textId="095A8112" w:rsidR="00BD116A" w:rsidRPr="005303F7" w:rsidRDefault="008D69AF" w:rsidP="00307CC6">
            <w:pPr>
              <w:framePr w:hSpace="180" w:wrap="around" w:vAnchor="text" w:hAnchor="text" w:x="-856" w:y="135"/>
              <w:overflowPunct/>
              <w:spacing w:before="240"/>
              <w:rPr>
                <w:rFonts w:ascii="Times New Roman" w:hAnsi="Times New Roman"/>
                <w:bCs/>
                <w:color w:val="000000"/>
                <w:sz w:val="20"/>
                <w:lang w:val="sr-Cyrl-CS"/>
              </w:rPr>
            </w:pPr>
            <w:r w:rsidRPr="005303F7">
              <w:rPr>
                <w:rFonts w:ascii="Times New Roman" w:hAnsi="Times New Roman"/>
                <w:b/>
                <w:bCs/>
                <w:sz w:val="20"/>
                <w:szCs w:val="18"/>
                <w:u w:val="single"/>
                <w:lang w:val="sr-Cyrl-CS"/>
              </w:rPr>
              <w:t>Процес</w:t>
            </w:r>
            <w:r w:rsidR="009507DA"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преговора</w:t>
            </w:r>
            <w:r w:rsidR="009507DA"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о</w:t>
            </w:r>
            <w:r w:rsidR="009507DA"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приступању</w:t>
            </w:r>
            <w:r w:rsidR="009507DA"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ЕУ</w:t>
            </w:r>
            <w:r w:rsidR="009507DA"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Поглав</w:t>
            </w:r>
            <w:r w:rsidR="00D553BE" w:rsidRPr="005303F7">
              <w:rPr>
                <w:rFonts w:ascii="Times New Roman" w:hAnsi="Times New Roman"/>
                <w:b/>
                <w:bCs/>
                <w:sz w:val="20"/>
                <w:szCs w:val="18"/>
                <w:u w:val="single"/>
                <w:lang w:val="sr-Cyrl-CS"/>
              </w:rPr>
              <w:t>љ</w:t>
            </w:r>
            <w:r w:rsidRPr="005303F7">
              <w:rPr>
                <w:rFonts w:ascii="Times New Roman" w:hAnsi="Times New Roman"/>
                <w:b/>
                <w:bCs/>
                <w:sz w:val="20"/>
                <w:szCs w:val="18"/>
                <w:u w:val="single"/>
                <w:lang w:val="sr-Cyrl-CS"/>
              </w:rPr>
              <w:t>е</w:t>
            </w:r>
            <w:r w:rsidR="009507DA" w:rsidRPr="005303F7">
              <w:rPr>
                <w:rFonts w:ascii="Times New Roman" w:hAnsi="Times New Roman"/>
                <w:b/>
                <w:bCs/>
                <w:sz w:val="20"/>
                <w:szCs w:val="18"/>
                <w:u w:val="single"/>
                <w:lang w:val="sr-Cyrl-CS"/>
              </w:rPr>
              <w:t xml:space="preserve"> </w:t>
            </w:r>
            <w:r w:rsidR="00BD116A" w:rsidRPr="005303F7">
              <w:rPr>
                <w:rFonts w:ascii="Times New Roman" w:hAnsi="Times New Roman"/>
                <w:b/>
                <w:bCs/>
                <w:sz w:val="20"/>
                <w:szCs w:val="18"/>
                <w:u w:val="single"/>
                <w:lang w:val="sr-Cyrl-CS"/>
              </w:rPr>
              <w:t xml:space="preserve">11 – </w:t>
            </w:r>
            <w:r w:rsidRPr="005303F7">
              <w:rPr>
                <w:rFonts w:ascii="Times New Roman" w:hAnsi="Times New Roman"/>
                <w:b/>
                <w:bCs/>
                <w:sz w:val="20"/>
                <w:szCs w:val="18"/>
                <w:u w:val="single"/>
                <w:lang w:val="sr-Cyrl-CS"/>
              </w:rPr>
              <w:t>По</w:t>
            </w:r>
            <w:r w:rsidR="00D553BE" w:rsidRPr="005303F7">
              <w:rPr>
                <w:rFonts w:ascii="Times New Roman" w:hAnsi="Times New Roman"/>
                <w:b/>
                <w:bCs/>
                <w:sz w:val="20"/>
                <w:szCs w:val="18"/>
                <w:u w:val="single"/>
                <w:lang w:val="sr-Cyrl-CS"/>
              </w:rPr>
              <w:t>љ</w:t>
            </w:r>
            <w:r w:rsidRPr="005303F7">
              <w:rPr>
                <w:rFonts w:ascii="Times New Roman" w:hAnsi="Times New Roman"/>
                <w:b/>
                <w:bCs/>
                <w:sz w:val="20"/>
                <w:szCs w:val="18"/>
                <w:u w:val="single"/>
                <w:lang w:val="sr-Cyrl-CS"/>
              </w:rPr>
              <w:t>опривреда</w:t>
            </w:r>
            <w:r w:rsidR="009507DA"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и</w:t>
            </w:r>
            <w:r w:rsidR="009507DA"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рурални</w:t>
            </w:r>
            <w:r w:rsidR="009507DA"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развој</w:t>
            </w:r>
          </w:p>
        </w:tc>
      </w:tr>
      <w:tr w:rsidR="009507DA" w:rsidRPr="005303F7" w14:paraId="6F2D308A" w14:textId="77777777" w:rsidTr="00D519CC">
        <w:trPr>
          <w:trHeight w:val="44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6978214" w14:textId="77777777" w:rsidR="009507DA" w:rsidRPr="005303F7" w:rsidRDefault="009507D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411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6113B" w14:textId="1FE22FF7" w:rsidR="009507DA" w:rsidRPr="005303F7" w:rsidRDefault="008D69AF" w:rsidP="0029378D">
            <w:pPr>
              <w:spacing w:before="0" w:after="0"/>
              <w:jc w:val="center"/>
              <w:rPr>
                <w:rFonts w:ascii="Times New Roman" w:hAnsi="Times New Roman"/>
                <w:b/>
                <w:bCs/>
                <w:sz w:val="20"/>
                <w:lang w:val="sr-Cyrl-CS"/>
              </w:rPr>
            </w:pPr>
            <w:r w:rsidRPr="005303F7">
              <w:rPr>
                <w:rFonts w:ascii="Times New Roman" w:hAnsi="Times New Roman"/>
                <w:b/>
                <w:sz w:val="20"/>
                <w:lang w:val="sr-Cyrl-CS"/>
              </w:rPr>
              <w:t>К</w:t>
            </w:r>
            <w:r w:rsidR="00D553BE" w:rsidRPr="005303F7">
              <w:rPr>
                <w:rFonts w:ascii="Times New Roman" w:hAnsi="Times New Roman"/>
                <w:b/>
                <w:sz w:val="20"/>
                <w:lang w:val="sr-Cyrl-CS"/>
              </w:rPr>
              <w:t>љ</w:t>
            </w:r>
            <w:r w:rsidRPr="005303F7">
              <w:rPr>
                <w:rFonts w:ascii="Times New Roman" w:hAnsi="Times New Roman"/>
                <w:b/>
                <w:sz w:val="20"/>
                <w:lang w:val="sr-Cyrl-CS"/>
              </w:rPr>
              <w:t>учни</w:t>
            </w:r>
            <w:r w:rsidR="009507DA" w:rsidRPr="005303F7">
              <w:rPr>
                <w:rFonts w:ascii="Times New Roman" w:hAnsi="Times New Roman"/>
                <w:b/>
                <w:sz w:val="20"/>
                <w:lang w:val="sr-Cyrl-CS"/>
              </w:rPr>
              <w:t xml:space="preserve"> </w:t>
            </w:r>
            <w:r w:rsidRPr="005303F7">
              <w:rPr>
                <w:rFonts w:ascii="Times New Roman" w:hAnsi="Times New Roman"/>
                <w:b/>
                <w:sz w:val="20"/>
                <w:lang w:val="sr-Cyrl-CS"/>
              </w:rPr>
              <w:t>субјекат</w:t>
            </w:r>
            <w:r w:rsidR="009507DA" w:rsidRPr="005303F7">
              <w:rPr>
                <w:rFonts w:ascii="Times New Roman" w:hAnsi="Times New Roman"/>
                <w:b/>
                <w:sz w:val="20"/>
                <w:lang w:val="sr-Cyrl-CS"/>
              </w:rPr>
              <w:t xml:space="preserve"> </w:t>
            </w:r>
            <w:r w:rsidRPr="005303F7">
              <w:rPr>
                <w:rFonts w:ascii="Times New Roman" w:hAnsi="Times New Roman"/>
                <w:b/>
                <w:sz w:val="20"/>
                <w:lang w:val="sr-Cyrl-CS"/>
              </w:rPr>
              <w:t>за</w:t>
            </w:r>
            <w:r w:rsidR="009507DA" w:rsidRPr="005303F7">
              <w:rPr>
                <w:rFonts w:ascii="Times New Roman" w:hAnsi="Times New Roman"/>
                <w:b/>
                <w:sz w:val="20"/>
                <w:lang w:val="sr-Cyrl-CS"/>
              </w:rPr>
              <w:t xml:space="preserve"> </w:t>
            </w:r>
            <w:r w:rsidRPr="005303F7">
              <w:rPr>
                <w:rFonts w:ascii="Times New Roman" w:hAnsi="Times New Roman"/>
                <w:b/>
                <w:sz w:val="20"/>
                <w:lang w:val="sr-Cyrl-CS"/>
              </w:rPr>
              <w:t>спровођење</w:t>
            </w:r>
            <w:r w:rsidR="009507DA" w:rsidRPr="005303F7">
              <w:rPr>
                <w:rFonts w:ascii="Times New Roman" w:hAnsi="Times New Roman"/>
                <w:b/>
                <w:sz w:val="20"/>
                <w:lang w:val="sr-Cyrl-CS"/>
              </w:rPr>
              <w:t xml:space="preserve"> </w:t>
            </w:r>
            <w:r w:rsidRPr="005303F7">
              <w:rPr>
                <w:rFonts w:ascii="Times New Roman" w:hAnsi="Times New Roman"/>
                <w:b/>
                <w:sz w:val="20"/>
                <w:lang w:val="sr-Cyrl-CS"/>
              </w:rPr>
              <w:t>мере</w:t>
            </w:r>
          </w:p>
        </w:tc>
        <w:tc>
          <w:tcPr>
            <w:tcW w:w="58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AFE7B8" w14:textId="6CBF3A59" w:rsidR="009507DA"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Партнери</w:t>
            </w:r>
          </w:p>
        </w:tc>
        <w:tc>
          <w:tcPr>
            <w:tcW w:w="141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EC412A" w14:textId="77777777" w:rsidR="00D7102F" w:rsidRPr="005303F7" w:rsidRDefault="00D7102F" w:rsidP="00D7102F">
            <w:pPr>
              <w:overflowPunct/>
              <w:spacing w:before="0" w:after="0"/>
              <w:jc w:val="center"/>
              <w:rPr>
                <w:rFonts w:ascii="Times New Roman" w:hAnsi="Times New Roman"/>
                <w:b/>
                <w:sz w:val="20"/>
                <w:lang w:val="sr-Cyrl-CS"/>
              </w:rPr>
            </w:pPr>
            <w:r w:rsidRPr="005303F7">
              <w:rPr>
                <w:rFonts w:ascii="Times New Roman" w:hAnsi="Times New Roman"/>
                <w:b/>
                <w:sz w:val="20"/>
                <w:lang w:val="sr-Cyrl-CS"/>
              </w:rPr>
              <w:t>ЕТS/</w:t>
            </w:r>
          </w:p>
          <w:p w14:paraId="78E5DE0E" w14:textId="4265403F" w:rsidR="009507DA" w:rsidRPr="005303F7" w:rsidRDefault="004A35C7" w:rsidP="00D7102F">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не-ЕТS</w:t>
            </w:r>
          </w:p>
        </w:tc>
        <w:tc>
          <w:tcPr>
            <w:tcW w:w="141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84BC85" w14:textId="60E3764A" w:rsidR="009507DA"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Главни</w:t>
            </w:r>
            <w:r w:rsidR="009507DA" w:rsidRPr="005303F7">
              <w:rPr>
                <w:rFonts w:ascii="Times New Roman" w:hAnsi="Times New Roman"/>
                <w:b/>
                <w:sz w:val="20"/>
                <w:lang w:val="sr-Cyrl-CS"/>
              </w:rPr>
              <w:t xml:space="preserve"> </w:t>
            </w:r>
            <w:r w:rsidRPr="005303F7">
              <w:rPr>
                <w:rFonts w:ascii="Times New Roman" w:hAnsi="Times New Roman"/>
                <w:b/>
                <w:sz w:val="20"/>
                <w:lang w:val="sr-Cyrl-CS"/>
              </w:rPr>
              <w:t>гасови</w:t>
            </w:r>
          </w:p>
        </w:tc>
        <w:tc>
          <w:tcPr>
            <w:tcW w:w="27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2B6A0A" w14:textId="2BFD6EB6" w:rsidR="00D7102F" w:rsidRPr="005303F7" w:rsidRDefault="00C52A7D"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 xml:space="preserve">Процењен утицај ублажавања </w:t>
            </w:r>
            <w:r w:rsidR="00D7102F" w:rsidRPr="005303F7">
              <w:rPr>
                <w:rFonts w:ascii="Times New Roman" w:hAnsi="Times New Roman"/>
                <w:b/>
                <w:bCs/>
                <w:sz w:val="20"/>
                <w:lang w:val="sr-Cyrl-CS"/>
              </w:rPr>
              <w:t xml:space="preserve">до 2030. </w:t>
            </w:r>
          </w:p>
          <w:p w14:paraId="06511206" w14:textId="3EE91E39" w:rsidR="009507DA" w:rsidRPr="005303F7" w:rsidRDefault="00D7102F"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BD116A" w:rsidRPr="005303F7" w14:paraId="112D210A" w14:textId="77777777" w:rsidTr="00D519CC">
        <w:trPr>
          <w:trHeight w:val="60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3AC1F76" w14:textId="77777777" w:rsidR="00BD116A" w:rsidRPr="005303F7" w:rsidRDefault="00BD116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411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FB8F9" w14:textId="766104DA" w:rsidR="00BD116A" w:rsidRPr="005303F7" w:rsidRDefault="008D69AF">
            <w:pPr>
              <w:overflowPunct/>
              <w:spacing w:after="0"/>
              <w:jc w:val="center"/>
              <w:rPr>
                <w:rFonts w:ascii="Times New Roman" w:hAnsi="Times New Roman"/>
                <w:bCs/>
                <w:color w:val="000000"/>
                <w:sz w:val="16"/>
                <w:szCs w:val="16"/>
                <w:lang w:val="sr-Cyrl-CS"/>
              </w:rPr>
            </w:pPr>
            <w:r w:rsidRPr="005303F7">
              <w:rPr>
                <w:rFonts w:ascii="Times New Roman" w:hAnsi="Times New Roman"/>
                <w:bCs/>
                <w:color w:val="000000"/>
                <w:sz w:val="20"/>
                <w:lang w:val="sr-Cyrl-CS"/>
              </w:rPr>
              <w:t>Министарство</w:t>
            </w:r>
            <w:r w:rsidR="00DC4287"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опривреде</w:t>
            </w:r>
            <w:r w:rsidR="00DC4287"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шумарства</w:t>
            </w:r>
            <w:r w:rsidR="00DC4287"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DC4287"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водопривреде</w:t>
            </w:r>
          </w:p>
        </w:tc>
        <w:tc>
          <w:tcPr>
            <w:tcW w:w="580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810C2" w14:textId="23A1C036" w:rsidR="00BD116A" w:rsidRPr="005303F7" w:rsidRDefault="00AC7773" w:rsidP="00B059F0">
            <w:pPr>
              <w:overflowPunct/>
              <w:spacing w:after="0"/>
              <w:rPr>
                <w:rFonts w:ascii="Times New Roman" w:hAnsi="Times New Roman"/>
                <w:bCs/>
                <w:color w:val="000000"/>
                <w:sz w:val="20"/>
                <w:lang w:val="sr-Cyrl-CS"/>
              </w:rPr>
            </w:pPr>
            <w:r w:rsidRPr="005303F7">
              <w:rPr>
                <w:rFonts w:ascii="Times New Roman" w:hAnsi="Times New Roman"/>
                <w:sz w:val="20"/>
                <w:lang w:val="sr-Cyrl-CS"/>
              </w:rPr>
              <w:t>Пољопривредне стручне и саветодавне службе,</w:t>
            </w:r>
            <w:r w:rsidR="00BD116A" w:rsidRPr="005303F7">
              <w:rPr>
                <w:rFonts w:ascii="Times New Roman" w:hAnsi="Times New Roman"/>
                <w:sz w:val="20"/>
                <w:lang w:val="sr-Cyrl-CS"/>
              </w:rPr>
              <w:t xml:space="preserve"> </w:t>
            </w:r>
            <w:r w:rsidR="008D69AF" w:rsidRPr="005303F7">
              <w:rPr>
                <w:rFonts w:ascii="Times New Roman" w:hAnsi="Times New Roman"/>
                <w:sz w:val="20"/>
                <w:lang w:val="sr-Cyrl-CS"/>
              </w:rPr>
              <w:t>истраживачке</w:t>
            </w:r>
            <w:r w:rsidR="00DC4287" w:rsidRPr="005303F7">
              <w:rPr>
                <w:rFonts w:ascii="Times New Roman" w:hAnsi="Times New Roman"/>
                <w:sz w:val="20"/>
                <w:lang w:val="sr-Cyrl-CS"/>
              </w:rPr>
              <w:t xml:space="preserve"> </w:t>
            </w:r>
            <w:r w:rsidR="008D69AF" w:rsidRPr="005303F7">
              <w:rPr>
                <w:rFonts w:ascii="Times New Roman" w:hAnsi="Times New Roman"/>
                <w:sz w:val="20"/>
                <w:lang w:val="sr-Cyrl-CS"/>
              </w:rPr>
              <w:t>институције</w:t>
            </w:r>
          </w:p>
        </w:tc>
        <w:tc>
          <w:tcPr>
            <w:tcW w:w="1414"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97B653" w14:textId="7ECBCCF7" w:rsidR="00BD116A" w:rsidRPr="005303F7" w:rsidRDefault="0064136C">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w:t>
            </w:r>
          </w:p>
        </w:tc>
        <w:tc>
          <w:tcPr>
            <w:tcW w:w="141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3A4B71" w14:textId="6B832806" w:rsidR="00BD116A" w:rsidRPr="005303F7" w:rsidRDefault="0064136C">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w:t>
            </w:r>
          </w:p>
        </w:tc>
        <w:tc>
          <w:tcPr>
            <w:tcW w:w="27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6D1E38" w14:textId="21A3579B" w:rsidR="00BD116A" w:rsidRPr="005303F7" w:rsidRDefault="0064136C">
            <w:pPr>
              <w:overflowPunct/>
              <w:spacing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w:t>
            </w:r>
          </w:p>
        </w:tc>
      </w:tr>
      <w:tr w:rsidR="00BD116A" w:rsidRPr="005303F7" w14:paraId="7880495D" w14:textId="77777777" w:rsidTr="00D519CC">
        <w:trPr>
          <w:trHeight w:val="490"/>
        </w:trPr>
        <w:tc>
          <w:tcPr>
            <w:tcW w:w="16061" w:type="dxa"/>
            <w:gridSpan w:val="26"/>
            <w:tcBorders>
              <w:top w:val="single" w:sz="4" w:space="0" w:color="auto"/>
              <w:left w:val="single" w:sz="4" w:space="0" w:color="auto"/>
              <w:bottom w:val="single" w:sz="4" w:space="0" w:color="auto"/>
              <w:right w:val="single" w:sz="4" w:space="0" w:color="auto"/>
            </w:tcBorders>
            <w:shd w:val="clear" w:color="auto" w:fill="FFC000"/>
            <w:vAlign w:val="center"/>
            <w:hideMark/>
          </w:tcPr>
          <w:p w14:paraId="0B59362E" w14:textId="679165C3" w:rsidR="00BD116A" w:rsidRPr="005303F7" w:rsidRDefault="008D69AF" w:rsidP="003D0500">
            <w:pPr>
              <w:overflowPunct/>
              <w:jc w:val="left"/>
              <w:rPr>
                <w:rFonts w:ascii="Times New Roman" w:hAnsi="Times New Roman"/>
                <w:b/>
                <w:bCs/>
                <w:color w:val="000000"/>
                <w:sz w:val="18"/>
                <w:szCs w:val="18"/>
                <w:lang w:val="sr-Cyrl-CS" w:eastAsia="en-US"/>
              </w:rPr>
            </w:pPr>
            <w:r w:rsidRPr="005303F7">
              <w:rPr>
                <w:rFonts w:ascii="Times New Roman" w:hAnsi="Times New Roman"/>
                <w:b/>
                <w:bCs/>
                <w:color w:val="000000"/>
                <w:sz w:val="18"/>
                <w:szCs w:val="18"/>
                <w:lang w:val="sr-Cyrl-CS"/>
              </w:rPr>
              <w:t>Посебан</w:t>
            </w:r>
            <w:r w:rsidR="00DE25F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ци</w:t>
            </w:r>
            <w:r w:rsidR="00D553BE" w:rsidRPr="005303F7">
              <w:rPr>
                <w:rFonts w:ascii="Times New Roman" w:hAnsi="Times New Roman"/>
                <w:b/>
                <w:bCs/>
                <w:sz w:val="18"/>
                <w:szCs w:val="18"/>
                <w:lang w:val="sr-Cyrl-CS"/>
              </w:rPr>
              <w:t>љ</w:t>
            </w:r>
            <w:r w:rsidR="00BD116A" w:rsidRPr="005303F7">
              <w:rPr>
                <w:rFonts w:ascii="Times New Roman" w:hAnsi="Times New Roman"/>
                <w:b/>
                <w:bCs/>
                <w:color w:val="000000"/>
                <w:sz w:val="18"/>
                <w:szCs w:val="18"/>
                <w:lang w:val="sr-Cyrl-CS"/>
              </w:rPr>
              <w:t xml:space="preserve"> 5: </w:t>
            </w:r>
            <w:r w:rsidRPr="005303F7">
              <w:rPr>
                <w:rFonts w:ascii="Times New Roman" w:hAnsi="Times New Roman"/>
                <w:b/>
                <w:bCs/>
                <w:color w:val="000000"/>
                <w:sz w:val="18"/>
                <w:szCs w:val="18"/>
                <w:lang w:val="sr-Cyrl-CS"/>
              </w:rPr>
              <w:t>Промовисање</w:t>
            </w:r>
            <w:r w:rsidR="00DE25F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преласка</w:t>
            </w:r>
            <w:r w:rsidR="00DE25F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на</w:t>
            </w:r>
            <w:r w:rsidR="00DE25F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климатски</w:t>
            </w:r>
            <w:r w:rsidR="00DE25F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неутралну</w:t>
            </w:r>
            <w:r w:rsidR="00DE25F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економију</w:t>
            </w:r>
            <w:r w:rsidR="00DE25F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и</w:t>
            </w:r>
            <w:r w:rsidR="00DE25F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друштво</w:t>
            </w:r>
            <w:r w:rsidR="00DE25F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отпорно</w:t>
            </w:r>
            <w:r w:rsidR="00DE25F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на</w:t>
            </w:r>
            <w:r w:rsidR="00DE25F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климатске</w:t>
            </w:r>
            <w:r w:rsidR="00DE25F9" w:rsidRPr="005303F7">
              <w:rPr>
                <w:rFonts w:ascii="Times New Roman" w:hAnsi="Times New Roman"/>
                <w:b/>
                <w:bCs/>
                <w:color w:val="000000"/>
                <w:sz w:val="18"/>
                <w:szCs w:val="18"/>
                <w:lang w:val="sr-Cyrl-CS"/>
              </w:rPr>
              <w:t xml:space="preserve"> </w:t>
            </w:r>
            <w:r w:rsidRPr="005303F7">
              <w:rPr>
                <w:rFonts w:ascii="Times New Roman" w:hAnsi="Times New Roman"/>
                <w:b/>
                <w:bCs/>
                <w:color w:val="000000"/>
                <w:sz w:val="18"/>
                <w:szCs w:val="18"/>
                <w:lang w:val="sr-Cyrl-CS"/>
              </w:rPr>
              <w:t>промене</w:t>
            </w:r>
          </w:p>
        </w:tc>
      </w:tr>
      <w:tr w:rsidR="00BD116A" w:rsidRPr="005303F7" w14:paraId="10E3FE86" w14:textId="77777777" w:rsidTr="00D519CC">
        <w:trPr>
          <w:trHeight w:val="442"/>
        </w:trPr>
        <w:tc>
          <w:tcPr>
            <w:tcW w:w="696" w:type="dxa"/>
            <w:gridSpan w:val="2"/>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6C8B8000" w14:textId="1D54DBCD" w:rsidR="00BD116A" w:rsidRPr="005303F7" w:rsidRDefault="008D69AF">
            <w:pPr>
              <w:overflowPunct/>
              <w:spacing w:after="0"/>
              <w:rPr>
                <w:rFonts w:ascii="Times New Roman" w:hAnsi="Times New Roman"/>
                <w:sz w:val="20"/>
                <w:lang w:val="sr-Cyrl-CS"/>
              </w:rPr>
            </w:pPr>
            <w:r w:rsidRPr="005303F7">
              <w:rPr>
                <w:rFonts w:ascii="Times New Roman" w:hAnsi="Times New Roman"/>
                <w:sz w:val="20"/>
                <w:lang w:val="sr-Cyrl-CS"/>
              </w:rPr>
              <w:t>Бр</w:t>
            </w:r>
            <w:r w:rsidR="00B346C5" w:rsidRPr="005303F7">
              <w:rPr>
                <w:rFonts w:ascii="Times New Roman" w:hAnsi="Times New Roman"/>
                <w:sz w:val="20"/>
                <w:lang w:val="sr-Cyrl-CS"/>
              </w:rPr>
              <w:t>.</w:t>
            </w:r>
          </w:p>
        </w:tc>
        <w:tc>
          <w:tcPr>
            <w:tcW w:w="15365" w:type="dxa"/>
            <w:gridSpan w:val="24"/>
            <w:tcBorders>
              <w:top w:val="single" w:sz="4" w:space="0" w:color="auto"/>
              <w:left w:val="single" w:sz="4" w:space="0" w:color="auto"/>
              <w:bottom w:val="single" w:sz="4" w:space="0" w:color="auto"/>
              <w:right w:val="single" w:sz="4" w:space="0" w:color="auto"/>
            </w:tcBorders>
            <w:shd w:val="clear" w:color="auto" w:fill="023A79" w:themeFill="accent6" w:themeFillShade="BF"/>
            <w:vAlign w:val="center"/>
            <w:hideMark/>
          </w:tcPr>
          <w:p w14:paraId="3EBA6C92" w14:textId="71D62211" w:rsidR="00BD116A" w:rsidRPr="005303F7" w:rsidRDefault="008D69AF" w:rsidP="00652668">
            <w:pPr>
              <w:overflowPunct/>
              <w:jc w:val="left"/>
              <w:rPr>
                <w:rFonts w:ascii="Times New Roman" w:hAnsi="Times New Roman"/>
                <w:b/>
                <w:sz w:val="20"/>
                <w:u w:val="single"/>
                <w:lang w:val="sr-Cyrl-CS"/>
              </w:rPr>
            </w:pPr>
            <w:r w:rsidRPr="005303F7">
              <w:rPr>
                <w:rFonts w:ascii="Times New Roman" w:hAnsi="Times New Roman"/>
                <w:b/>
                <w:bCs/>
                <w:color w:val="FFFFFF" w:themeColor="background1"/>
                <w:sz w:val="20"/>
                <w:lang w:val="sr-Cyrl-CS"/>
              </w:rPr>
              <w:t>Назив</w:t>
            </w:r>
            <w:r w:rsidR="00DE25F9" w:rsidRPr="005303F7">
              <w:rPr>
                <w:rFonts w:ascii="Times New Roman" w:hAnsi="Times New Roman"/>
                <w:b/>
                <w:bCs/>
                <w:color w:val="FFFFFF" w:themeColor="background1"/>
                <w:sz w:val="20"/>
                <w:lang w:val="sr-Cyrl-CS"/>
              </w:rPr>
              <w:t xml:space="preserve"> </w:t>
            </w:r>
            <w:r w:rsidRPr="005303F7">
              <w:rPr>
                <w:rFonts w:ascii="Times New Roman" w:hAnsi="Times New Roman"/>
                <w:b/>
                <w:bCs/>
                <w:color w:val="FFFFFF" w:themeColor="background1"/>
                <w:sz w:val="20"/>
                <w:lang w:val="sr-Cyrl-CS"/>
              </w:rPr>
              <w:t>мере</w:t>
            </w:r>
            <w:r w:rsidR="00DE25F9" w:rsidRPr="005303F7">
              <w:rPr>
                <w:rFonts w:ascii="Times New Roman" w:hAnsi="Times New Roman"/>
                <w:b/>
                <w:bCs/>
                <w:color w:val="FFFFFF" w:themeColor="background1"/>
                <w:sz w:val="20"/>
                <w:lang w:val="sr-Cyrl-CS"/>
              </w:rPr>
              <w:t>:</w:t>
            </w:r>
            <w:r w:rsidR="00BD116A"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Образовање</w:t>
            </w:r>
            <w:r w:rsidR="00DE25F9"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обука</w:t>
            </w:r>
            <w:r w:rsidR="00DE25F9"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за</w:t>
            </w:r>
            <w:r w:rsidR="00DE25F9"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нове</w:t>
            </w:r>
            <w:r w:rsidR="00DE25F9"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вештине</w:t>
            </w:r>
            <w:r w:rsidR="00DE25F9"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и</w:t>
            </w:r>
            <w:r w:rsidR="00DE25F9"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подизање</w:t>
            </w:r>
            <w:r w:rsidR="00DE25F9"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свести</w:t>
            </w:r>
            <w:r w:rsidR="00F70A41"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у</w:t>
            </w:r>
            <w:r w:rsidR="00F70A41"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области</w:t>
            </w:r>
            <w:r w:rsidR="00F70A41"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климатских</w:t>
            </w:r>
            <w:r w:rsidR="00F70A41" w:rsidRPr="005303F7">
              <w:rPr>
                <w:rFonts w:ascii="Times New Roman" w:hAnsi="Times New Roman"/>
                <w:b/>
                <w:color w:val="FFFFFF" w:themeColor="background1"/>
                <w:sz w:val="20"/>
                <w:u w:val="single"/>
                <w:lang w:val="sr-Cyrl-CS"/>
              </w:rPr>
              <w:t xml:space="preserve"> </w:t>
            </w:r>
            <w:r w:rsidRPr="005303F7">
              <w:rPr>
                <w:rFonts w:ascii="Times New Roman" w:hAnsi="Times New Roman"/>
                <w:b/>
                <w:color w:val="FFFFFF" w:themeColor="background1"/>
                <w:sz w:val="20"/>
                <w:u w:val="single"/>
                <w:lang w:val="sr-Cyrl-CS"/>
              </w:rPr>
              <w:t>промена</w:t>
            </w:r>
          </w:p>
        </w:tc>
      </w:tr>
      <w:tr w:rsidR="00BD116A" w:rsidRPr="005303F7" w14:paraId="388B769F" w14:textId="77777777" w:rsidTr="00D519CC">
        <w:trPr>
          <w:trHeight w:val="1387"/>
        </w:trPr>
        <w:tc>
          <w:tcPr>
            <w:tcW w:w="6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A81A39" w14:textId="77777777" w:rsidR="00BD116A" w:rsidRPr="005303F7" w:rsidRDefault="00BD116A">
            <w:pPr>
              <w:overflowPunct/>
              <w:spacing w:after="0"/>
              <w:rPr>
                <w:rFonts w:ascii="Times New Roman" w:hAnsi="Times New Roman"/>
                <w:b/>
                <w:color w:val="000000"/>
                <w:sz w:val="20"/>
                <w:lang w:val="sr-Cyrl-CS"/>
              </w:rPr>
            </w:pPr>
            <w:r w:rsidRPr="005303F7">
              <w:rPr>
                <w:rFonts w:ascii="Times New Roman" w:hAnsi="Times New Roman"/>
                <w:b/>
                <w:color w:val="000000"/>
                <w:sz w:val="20"/>
                <w:lang w:val="sr-Cyrl-CS"/>
              </w:rPr>
              <w:lastRenderedPageBreak/>
              <w:t>27</w:t>
            </w:r>
          </w:p>
        </w:tc>
        <w:tc>
          <w:tcPr>
            <w:tcW w:w="15365" w:type="dxa"/>
            <w:gridSpan w:val="24"/>
            <w:tcBorders>
              <w:top w:val="single" w:sz="4" w:space="0" w:color="auto"/>
              <w:left w:val="single" w:sz="4" w:space="0" w:color="auto"/>
              <w:bottom w:val="single" w:sz="4" w:space="0" w:color="auto"/>
              <w:right w:val="single" w:sz="4" w:space="0" w:color="auto"/>
            </w:tcBorders>
            <w:vAlign w:val="center"/>
            <w:hideMark/>
          </w:tcPr>
          <w:p w14:paraId="6D02B161" w14:textId="5FC60E93" w:rsidR="00BD116A" w:rsidRPr="005303F7" w:rsidRDefault="008D69AF">
            <w:pPr>
              <w:overflowPunct/>
              <w:jc w:val="left"/>
              <w:rPr>
                <w:rFonts w:ascii="Times New Roman" w:hAnsi="Times New Roman"/>
                <w:b/>
                <w:color w:val="000000"/>
                <w:sz w:val="20"/>
                <w:u w:val="single"/>
                <w:lang w:val="sr-Cyrl-CS"/>
              </w:rPr>
            </w:pPr>
            <w:r w:rsidRPr="005303F7">
              <w:rPr>
                <w:rFonts w:ascii="Times New Roman" w:hAnsi="Times New Roman"/>
                <w:b/>
                <w:color w:val="000000"/>
                <w:sz w:val="20"/>
                <w:u w:val="single"/>
                <w:lang w:val="sr-Cyrl-CS"/>
              </w:rPr>
              <w:t>Врста</w:t>
            </w:r>
            <w:r w:rsidR="00502F30"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BD116A" w:rsidRPr="005303F7">
              <w:rPr>
                <w:rFonts w:ascii="Times New Roman" w:hAnsi="Times New Roman"/>
                <w:b/>
                <w:color w:val="000000"/>
                <w:sz w:val="20"/>
                <w:u w:val="single"/>
                <w:lang w:val="sr-Cyrl-CS"/>
              </w:rPr>
              <w:t>:</w:t>
            </w:r>
            <w:r w:rsidR="00BD116A" w:rsidRPr="005303F7">
              <w:rPr>
                <w:rFonts w:ascii="Times New Roman" w:hAnsi="Times New Roman"/>
                <w:b/>
                <w:color w:val="000000"/>
                <w:sz w:val="20"/>
                <w:lang w:val="sr-Cyrl-CS"/>
              </w:rPr>
              <w:t xml:space="preserve"> </w:t>
            </w:r>
            <w:r w:rsidRPr="005303F7">
              <w:rPr>
                <w:rFonts w:ascii="Times New Roman" w:hAnsi="Times New Roman"/>
                <w:bCs/>
                <w:color w:val="000000"/>
                <w:sz w:val="20"/>
                <w:lang w:val="sr-Cyrl-CS"/>
              </w:rPr>
              <w:t>Информативно</w:t>
            </w:r>
            <w:r w:rsidR="00DE25F9" w:rsidRPr="005303F7">
              <w:rPr>
                <w:rFonts w:ascii="Times New Roman" w:hAnsi="Times New Roman"/>
                <w:bCs/>
                <w:color w:val="000000"/>
                <w:sz w:val="20"/>
                <w:lang w:val="sr-Cyrl-CS"/>
              </w:rPr>
              <w:t>-</w:t>
            </w:r>
            <w:r w:rsidRPr="005303F7">
              <w:rPr>
                <w:rFonts w:ascii="Times New Roman" w:hAnsi="Times New Roman"/>
                <w:bCs/>
                <w:color w:val="000000"/>
                <w:sz w:val="20"/>
                <w:lang w:val="sr-Cyrl-CS"/>
              </w:rPr>
              <w:t>едукативна</w:t>
            </w:r>
          </w:p>
          <w:p w14:paraId="62D37A7F" w14:textId="677AA4E4" w:rsidR="002054E9" w:rsidRPr="005303F7" w:rsidRDefault="008D69AF">
            <w:pPr>
              <w:overflowPunct/>
              <w:spacing w:after="0"/>
              <w:rPr>
                <w:rFonts w:ascii="Times New Roman" w:hAnsi="Times New Roman"/>
                <w:bCs/>
                <w:color w:val="000000"/>
                <w:sz w:val="20"/>
                <w:lang w:val="sr-Cyrl-CS"/>
              </w:rPr>
            </w:pPr>
            <w:r w:rsidRPr="005303F7">
              <w:rPr>
                <w:rFonts w:ascii="Times New Roman" w:hAnsi="Times New Roman"/>
                <w:b/>
                <w:color w:val="000000"/>
                <w:sz w:val="20"/>
                <w:u w:val="single"/>
                <w:lang w:val="sr-Cyrl-CS"/>
              </w:rPr>
              <w:t>Опис</w:t>
            </w:r>
            <w:r w:rsidR="00502F30" w:rsidRPr="005303F7">
              <w:rPr>
                <w:rFonts w:ascii="Times New Roman" w:hAnsi="Times New Roman"/>
                <w:b/>
                <w:color w:val="000000"/>
                <w:sz w:val="20"/>
                <w:u w:val="single"/>
                <w:lang w:val="sr-Cyrl-CS"/>
              </w:rPr>
              <w:t xml:space="preserve"> </w:t>
            </w:r>
            <w:r w:rsidRPr="005303F7">
              <w:rPr>
                <w:rFonts w:ascii="Times New Roman" w:hAnsi="Times New Roman"/>
                <w:b/>
                <w:color w:val="000000"/>
                <w:sz w:val="20"/>
                <w:u w:val="single"/>
                <w:lang w:val="sr-Cyrl-CS"/>
              </w:rPr>
              <w:t>мере</w:t>
            </w:r>
            <w:r w:rsidR="00BD116A" w:rsidRPr="005303F7">
              <w:rPr>
                <w:rFonts w:ascii="Times New Roman" w:hAnsi="Times New Roman"/>
                <w:bCs/>
                <w:color w:val="000000"/>
                <w:sz w:val="20"/>
                <w:lang w:val="sr-Cyrl-CS"/>
              </w:rPr>
              <w:t>:</w:t>
            </w:r>
            <w:r w:rsidR="00BD116A" w:rsidRPr="005303F7">
              <w:rPr>
                <w:rFonts w:ascii="Times New Roman" w:hAnsi="Times New Roman"/>
                <w:lang w:val="sr-Cyrl-CS"/>
              </w:rPr>
              <w:t xml:space="preserve"> </w:t>
            </w:r>
            <w:r w:rsidRPr="005303F7">
              <w:rPr>
                <w:rFonts w:ascii="Times New Roman" w:hAnsi="Times New Roman"/>
                <w:bCs/>
                <w:color w:val="000000"/>
                <w:sz w:val="20"/>
                <w:lang w:val="sr-Cyrl-CS"/>
              </w:rPr>
              <w:t>Борба</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против</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климатских</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промена</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захтева</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промене</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понашању</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свих</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друштвених</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чинилаца</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од</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доношења</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одлука</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на</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највишем</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нивоу</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јавном</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приватном</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сектору</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до</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образаца</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свакодневне</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потрошње</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Променама</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најбо</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е</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управ</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а</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кроз</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мноштво</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подстицаја</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који</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се</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ефикасно</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могу</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пружити</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кроз</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образовање</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обуку</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нове</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вештине</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подизање</w:t>
            </w:r>
            <w:r w:rsidR="002054E9"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свести</w:t>
            </w:r>
            <w:r w:rsidR="002054E9" w:rsidRPr="005303F7">
              <w:rPr>
                <w:rFonts w:ascii="Times New Roman" w:hAnsi="Times New Roman"/>
                <w:bCs/>
                <w:color w:val="000000"/>
                <w:sz w:val="20"/>
                <w:lang w:val="sr-Cyrl-CS"/>
              </w:rPr>
              <w:t>.</w:t>
            </w:r>
          </w:p>
          <w:p w14:paraId="5A46AE45" w14:textId="339D3F31" w:rsidR="002054E9" w:rsidRPr="005303F7" w:rsidRDefault="00CC6964">
            <w:pPr>
              <w:overflowPunct/>
              <w:spacing w:after="0"/>
              <w:rPr>
                <w:rFonts w:ascii="Times New Roman" w:hAnsi="Times New Roman"/>
                <w:bCs/>
                <w:color w:val="000000"/>
                <w:sz w:val="20"/>
                <w:lang w:val="sr-Cyrl-CS"/>
              </w:rPr>
            </w:pPr>
            <w:r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Спровођење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мера</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обухва</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ених</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овим</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планом</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постизање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општих</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посебних</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ци</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ева</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из</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Стратегије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одредиће</w:t>
            </w:r>
            <w:r w:rsidR="001874F1"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смањење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активности</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неким</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секторима</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пове</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ање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активности</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другим</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То</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значи</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да</w:t>
            </w:r>
            <w:r w:rsidR="002054E9" w:rsidRPr="005303F7">
              <w:rPr>
                <w:rFonts w:ascii="Times New Roman" w:hAnsi="Times New Roman"/>
                <w:bCs/>
                <w:color w:val="000000"/>
                <w:sz w:val="20"/>
                <w:lang w:val="sr-Cyrl-CS"/>
              </w:rPr>
              <w:t xml:space="preserve"> </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сектори</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са</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смањењем</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активности</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имати</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вишак</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радне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снаге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док</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би</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сектори</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са</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пове</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аним</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активностима</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могли</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суочити</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са</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недостатком</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исте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Овде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треба</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да</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обрати</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посебна</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пажња</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промовисање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стицања</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вештина</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релевантних</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секторе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са</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пове</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аним</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активностима</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што</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посебно</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односи</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запослене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секторима</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којима</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очекује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вишак</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радне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снаге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Примена</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ове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мере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доприне</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е</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друштвеној</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правичности</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преласка</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економију</w:t>
            </w:r>
            <w:r w:rsidR="002054E9"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праћену</w:t>
            </w:r>
            <w:r w:rsidR="00A1722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ниским</w:t>
            </w:r>
            <w:r w:rsidR="00A1722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садржајем</w:t>
            </w:r>
            <w:r w:rsidR="00A1722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уг</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еника</w:t>
            </w:r>
            <w:r w:rsidR="002054E9" w:rsidRPr="005303F7">
              <w:rPr>
                <w:rFonts w:ascii="Times New Roman" w:hAnsi="Times New Roman"/>
                <w:bCs/>
                <w:color w:val="000000"/>
                <w:sz w:val="20"/>
                <w:lang w:val="sr-Cyrl-CS"/>
              </w:rPr>
              <w:t>.</w:t>
            </w:r>
          </w:p>
          <w:p w14:paraId="306167C3" w14:textId="3B1C737C" w:rsidR="00BD116A" w:rsidRPr="005303F7" w:rsidRDefault="00CC6964">
            <w:pPr>
              <w:overflowPunct/>
              <w:spacing w:after="0"/>
              <w:rPr>
                <w:rFonts w:ascii="Times New Roman" w:hAnsi="Times New Roman"/>
                <w:bCs/>
                <w:color w:val="000000"/>
                <w:sz w:val="20"/>
                <w:lang w:val="sr-Cyrl-CS"/>
              </w:rPr>
            </w:pPr>
            <w:r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Предложени</w:t>
            </w:r>
            <w:r w:rsidR="00A54BA7"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национални</w:t>
            </w:r>
            <w:r w:rsidR="00A54BA7"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план</w:t>
            </w:r>
            <w:r w:rsidR="00A54BA7"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треба</w:t>
            </w:r>
            <w:r w:rsidR="00A54BA7"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да</w:t>
            </w:r>
            <w:r w:rsidR="00A54BA7"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обухвати</w:t>
            </w:r>
            <w:r w:rsidR="00A54BA7"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следеће</w:t>
            </w:r>
            <w:r w:rsidR="00A54BA7"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области</w:t>
            </w:r>
            <w:r w:rsidR="00BD116A" w:rsidRPr="005303F7">
              <w:rPr>
                <w:rFonts w:ascii="Times New Roman" w:hAnsi="Times New Roman"/>
                <w:bCs/>
                <w:color w:val="000000"/>
                <w:sz w:val="20"/>
                <w:lang w:val="sr-Cyrl-CS"/>
              </w:rPr>
              <w:t xml:space="preserve">: </w:t>
            </w:r>
          </w:p>
          <w:p w14:paraId="23D683FA" w14:textId="133361A4" w:rsidR="00BD116A" w:rsidRPr="005303F7" w:rsidRDefault="00776F54" w:rsidP="0055073A">
            <w:pPr>
              <w:numPr>
                <w:ilvl w:val="0"/>
                <w:numId w:val="60"/>
              </w:numPr>
              <w:tabs>
                <w:tab w:val="clear" w:pos="3825"/>
              </w:tabs>
              <w:overflowPunct/>
              <w:spacing w:before="0" w:after="0"/>
              <w:ind w:left="0" w:firstLine="360"/>
              <w:textAlignment w:val="auto"/>
              <w:rPr>
                <w:rFonts w:ascii="Times New Roman" w:hAnsi="Times New Roman"/>
                <w:bCs/>
                <w:color w:val="000000"/>
                <w:sz w:val="20"/>
                <w:lang w:val="sr-Cyrl-CS"/>
              </w:rPr>
            </w:pPr>
            <w:r w:rsidRPr="005303F7">
              <w:rPr>
                <w:rFonts w:ascii="Times New Roman" w:hAnsi="Times New Roman"/>
                <w:bCs/>
                <w:color w:val="000000"/>
                <w:sz w:val="20"/>
                <w:lang w:val="sr-Cyrl-CS"/>
              </w:rPr>
              <w:t>о</w:t>
            </w:r>
            <w:r w:rsidR="008D69AF" w:rsidRPr="005303F7">
              <w:rPr>
                <w:rFonts w:ascii="Times New Roman" w:hAnsi="Times New Roman"/>
                <w:bCs/>
                <w:color w:val="000000"/>
                <w:sz w:val="20"/>
                <w:lang w:val="sr-Cyrl-CS"/>
              </w:rPr>
              <w:t>бразовање</w:t>
            </w:r>
            <w:r w:rsidR="00BD116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усресредити</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раздоб</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е</w:t>
            </w:r>
            <w:r w:rsidR="004E7212" w:rsidRPr="005303F7">
              <w:rPr>
                <w:rFonts w:ascii="Times New Roman" w:hAnsi="Times New Roman"/>
                <w:bCs/>
                <w:color w:val="000000"/>
                <w:sz w:val="20"/>
                <w:lang w:val="sr-Cyrl-CS"/>
              </w:rPr>
              <w:t xml:space="preserve"> </w:t>
            </w:r>
            <w:r w:rsidR="007C538B" w:rsidRPr="005303F7">
              <w:rPr>
                <w:rFonts w:ascii="Times New Roman" w:hAnsi="Times New Roman"/>
                <w:bCs/>
                <w:color w:val="000000"/>
                <w:sz w:val="20"/>
                <w:lang w:val="sr-Cyrl-CS"/>
              </w:rPr>
              <w:t xml:space="preserve"> од нивоа предшколског васпитања и образовања до завршетка средњег образовања и васпитања (вртићи, основне и средње школе) </w:t>
            </w:r>
            <w:r w:rsidR="008D69AF" w:rsidRPr="005303F7">
              <w:rPr>
                <w:rFonts w:ascii="Times New Roman" w:hAnsi="Times New Roman"/>
                <w:bCs/>
                <w:color w:val="000000"/>
                <w:sz w:val="20"/>
                <w:lang w:val="sr-Cyrl-CS"/>
              </w:rPr>
              <w:t>са</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ци</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ем</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да</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идентификују</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могу</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ности</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издају</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препоруке</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интеграцију</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питања</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климатских</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промена</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7C538B" w:rsidRPr="005303F7">
              <w:rPr>
                <w:rFonts w:ascii="Times New Roman" w:hAnsi="Times New Roman"/>
                <w:bCs/>
                <w:color w:val="000000"/>
                <w:sz w:val="20"/>
                <w:lang w:val="sr-Cyrl-CS"/>
              </w:rPr>
              <w:t xml:space="preserve"> програме наставе и учења</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препоруке</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универзитетским</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студијама</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такође</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могу</w:t>
            </w:r>
            <w:r w:rsidR="004E721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уврстити</w:t>
            </w:r>
            <w:r w:rsidR="004E7212" w:rsidRPr="005303F7">
              <w:rPr>
                <w:rFonts w:ascii="Times New Roman" w:hAnsi="Times New Roman"/>
                <w:bCs/>
                <w:color w:val="000000"/>
                <w:sz w:val="20"/>
                <w:lang w:val="sr-Cyrl-CS"/>
              </w:rPr>
              <w:t xml:space="preserve"> </w:t>
            </w:r>
            <w:r w:rsidR="001D4DF3" w:rsidRPr="005303F7">
              <w:rPr>
                <w:rFonts w:ascii="Times New Roman" w:hAnsi="Times New Roman"/>
                <w:bCs/>
                <w:color w:val="000000"/>
                <w:sz w:val="20"/>
                <w:lang w:val="sr-Cyrl-CS"/>
              </w:rPr>
              <w:t xml:space="preserve">у </w:t>
            </w:r>
            <w:r w:rsidR="00BF5F8A" w:rsidRPr="005303F7">
              <w:rPr>
                <w:rFonts w:ascii="Times New Roman" w:hAnsi="Times New Roman"/>
                <w:bCs/>
                <w:color w:val="000000"/>
                <w:sz w:val="20"/>
                <w:lang w:val="sr-Cyrl-CS"/>
              </w:rPr>
              <w:t>овај п</w:t>
            </w:r>
            <w:r w:rsidR="008D69AF" w:rsidRPr="005303F7">
              <w:rPr>
                <w:rFonts w:ascii="Times New Roman" w:hAnsi="Times New Roman"/>
                <w:bCs/>
                <w:color w:val="000000"/>
                <w:sz w:val="20"/>
                <w:lang w:val="sr-Cyrl-CS"/>
              </w:rPr>
              <w:t>лан</w:t>
            </w:r>
            <w:r w:rsidR="00335CBB" w:rsidRPr="005303F7">
              <w:rPr>
                <w:rFonts w:ascii="Times New Roman" w:hAnsi="Times New Roman"/>
                <w:bCs/>
                <w:color w:val="000000"/>
                <w:sz w:val="20"/>
                <w:lang w:val="sr-Cyrl-CS"/>
              </w:rPr>
              <w:t>;</w:t>
            </w:r>
          </w:p>
          <w:p w14:paraId="7791C304" w14:textId="4DB51039" w:rsidR="00BD116A" w:rsidRPr="005303F7" w:rsidRDefault="00776F54" w:rsidP="0055073A">
            <w:pPr>
              <w:numPr>
                <w:ilvl w:val="0"/>
                <w:numId w:val="60"/>
              </w:numPr>
              <w:tabs>
                <w:tab w:val="clear" w:pos="3825"/>
              </w:tabs>
              <w:overflowPunct/>
              <w:spacing w:before="0" w:after="0"/>
              <w:ind w:left="0" w:firstLine="360"/>
              <w:textAlignment w:val="auto"/>
              <w:rPr>
                <w:rFonts w:ascii="Times New Roman" w:hAnsi="Times New Roman"/>
                <w:bCs/>
                <w:color w:val="000000"/>
                <w:sz w:val="20"/>
                <w:lang w:val="sr-Cyrl-CS"/>
              </w:rPr>
            </w:pPr>
            <w:r w:rsidRPr="005303F7">
              <w:rPr>
                <w:rFonts w:ascii="Times New Roman" w:hAnsi="Times New Roman"/>
                <w:bCs/>
                <w:color w:val="000000"/>
                <w:sz w:val="20"/>
                <w:lang w:val="sr-Cyrl-CS"/>
              </w:rPr>
              <w:t>о</w:t>
            </w:r>
            <w:r w:rsidR="008D69AF" w:rsidRPr="005303F7">
              <w:rPr>
                <w:rFonts w:ascii="Times New Roman" w:hAnsi="Times New Roman"/>
                <w:bCs/>
                <w:color w:val="000000"/>
                <w:sz w:val="20"/>
                <w:lang w:val="sr-Cyrl-CS"/>
              </w:rPr>
              <w:t>бука</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стицање</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нових</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вештина</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потребних</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транзицију</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ка</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економији</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са</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ограниченим</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емисијама</w:t>
            </w:r>
            <w:r w:rsidR="00BD116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усредсредити</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се</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образовање</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одраслих</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што</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има</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ци</w:t>
            </w:r>
            <w:r w:rsidR="00D553BE" w:rsidRPr="005303F7">
              <w:rPr>
                <w:rFonts w:ascii="Times New Roman" w:hAnsi="Times New Roman"/>
                <w:bCs/>
                <w:sz w:val="20"/>
                <w:lang w:val="sr-Cyrl-CS"/>
              </w:rPr>
              <w:t>љ</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идентификовање</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техничких</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потреба</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битних</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борбу</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против</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климатских</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промена</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нарочито</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спровођење</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мера</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ук</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учених</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w:t>
            </w:r>
            <w:r w:rsidR="004465F0"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ов</w:t>
            </w:r>
            <w:r w:rsidR="006B2914" w:rsidRPr="005303F7">
              <w:rPr>
                <w:rFonts w:ascii="Times New Roman" w:hAnsi="Times New Roman"/>
                <w:bCs/>
                <w:color w:val="000000"/>
                <w:sz w:val="20"/>
                <w:lang w:val="sr-Cyrl-CS"/>
              </w:rPr>
              <w:t>у</w:t>
            </w:r>
            <w:r w:rsidR="004465F0" w:rsidRPr="005303F7">
              <w:rPr>
                <w:rFonts w:ascii="Times New Roman" w:hAnsi="Times New Roman"/>
                <w:bCs/>
                <w:color w:val="000000"/>
                <w:sz w:val="20"/>
                <w:lang w:val="sr-Cyrl-CS"/>
              </w:rPr>
              <w:t xml:space="preserve"> </w:t>
            </w:r>
            <w:r w:rsidR="00335CBB" w:rsidRPr="005303F7">
              <w:rPr>
                <w:rFonts w:ascii="Times New Roman" w:hAnsi="Times New Roman"/>
                <w:bCs/>
                <w:color w:val="000000"/>
                <w:sz w:val="20"/>
                <w:lang w:val="sr-Cyrl-CS"/>
              </w:rPr>
              <w:t>с</w:t>
            </w:r>
            <w:r w:rsidR="006B2914" w:rsidRPr="005303F7">
              <w:rPr>
                <w:rFonts w:ascii="Times New Roman" w:hAnsi="Times New Roman"/>
                <w:bCs/>
                <w:color w:val="000000"/>
                <w:sz w:val="20"/>
                <w:lang w:val="sr-Cyrl-CS"/>
              </w:rPr>
              <w:t>тратегију</w:t>
            </w:r>
            <w:r w:rsidR="00335CBB" w:rsidRPr="005303F7">
              <w:rPr>
                <w:rFonts w:ascii="Times New Roman" w:hAnsi="Times New Roman"/>
                <w:bCs/>
                <w:color w:val="000000"/>
                <w:sz w:val="20"/>
                <w:lang w:val="sr-Cyrl-CS"/>
              </w:rPr>
              <w:t>;</w:t>
            </w:r>
          </w:p>
          <w:p w14:paraId="2DF36F4F" w14:textId="30183694" w:rsidR="00BD116A" w:rsidRPr="005303F7" w:rsidRDefault="00776F54" w:rsidP="0055073A">
            <w:pPr>
              <w:numPr>
                <w:ilvl w:val="0"/>
                <w:numId w:val="60"/>
              </w:numPr>
              <w:tabs>
                <w:tab w:val="clear" w:pos="3825"/>
                <w:tab w:val="left" w:pos="708"/>
              </w:tabs>
              <w:overflowPunct/>
              <w:spacing w:before="0" w:after="0"/>
              <w:ind w:left="46" w:firstLine="314"/>
              <w:textAlignment w:val="auto"/>
              <w:rPr>
                <w:rFonts w:ascii="Times New Roman" w:hAnsi="Times New Roman"/>
                <w:bCs/>
                <w:color w:val="000000"/>
                <w:sz w:val="20"/>
                <w:lang w:val="sr-Cyrl-CS"/>
              </w:rPr>
            </w:pPr>
            <w:r w:rsidRPr="005303F7">
              <w:rPr>
                <w:rFonts w:ascii="Times New Roman" w:hAnsi="Times New Roman"/>
                <w:bCs/>
                <w:color w:val="000000"/>
                <w:sz w:val="20"/>
                <w:lang w:val="sr-Cyrl-CS"/>
              </w:rPr>
              <w:t>п</w:t>
            </w:r>
            <w:r w:rsidR="008D69AF" w:rsidRPr="005303F7">
              <w:rPr>
                <w:rFonts w:ascii="Times New Roman" w:hAnsi="Times New Roman"/>
                <w:bCs/>
                <w:color w:val="000000"/>
                <w:sz w:val="20"/>
                <w:lang w:val="sr-Cyrl-CS"/>
              </w:rPr>
              <w:t>одизање</w:t>
            </w:r>
            <w:r w:rsidR="00BD116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свести</w:t>
            </w:r>
            <w:r w:rsidR="009A076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које</w:t>
            </w:r>
            <w:r w:rsidR="009A076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има</w:t>
            </w:r>
            <w:r w:rsidR="009A076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за</w:t>
            </w:r>
            <w:r w:rsidR="009A076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ци</w:t>
            </w:r>
            <w:r w:rsidR="00D553BE" w:rsidRPr="005303F7">
              <w:rPr>
                <w:rFonts w:ascii="Times New Roman" w:hAnsi="Times New Roman"/>
                <w:bCs/>
                <w:sz w:val="20"/>
                <w:lang w:val="sr-Cyrl-CS"/>
              </w:rPr>
              <w:t>љ</w:t>
            </w:r>
            <w:r w:rsidR="009A076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да</w:t>
            </w:r>
            <w:r w:rsidR="00D238E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обухвати</w:t>
            </w:r>
            <w:r w:rsidR="00D238E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што</w:t>
            </w:r>
            <w:r w:rsidR="00D238E2"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ширу</w:t>
            </w:r>
            <w:r w:rsidR="009A076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јавност</w:t>
            </w:r>
            <w:r w:rsidR="009A076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усресређеност</w:t>
            </w:r>
            <w:r w:rsidR="009A076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на</w:t>
            </w:r>
            <w:r w:rsidR="009A076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w:t>
            </w:r>
            <w:r w:rsidR="00D553BE" w:rsidRPr="005303F7">
              <w:rPr>
                <w:rFonts w:ascii="Times New Roman" w:hAnsi="Times New Roman"/>
                <w:bCs/>
                <w:sz w:val="20"/>
                <w:lang w:val="sr-Cyrl-CS"/>
              </w:rPr>
              <w:t>љ</w:t>
            </w:r>
            <w:r w:rsidR="008D69AF" w:rsidRPr="005303F7">
              <w:rPr>
                <w:rFonts w:ascii="Times New Roman" w:hAnsi="Times New Roman"/>
                <w:bCs/>
                <w:color w:val="000000"/>
                <w:sz w:val="20"/>
                <w:lang w:val="sr-Cyrl-CS"/>
              </w:rPr>
              <w:t>учне</w:t>
            </w:r>
            <w:r w:rsidR="009A076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аспекте</w:t>
            </w:r>
            <w:r w:rsidR="009A076A" w:rsidRPr="005303F7">
              <w:rPr>
                <w:rFonts w:ascii="Times New Roman" w:hAnsi="Times New Roman"/>
                <w:bCs/>
                <w:color w:val="000000"/>
                <w:sz w:val="20"/>
                <w:lang w:val="sr-Cyrl-CS"/>
              </w:rPr>
              <w:t xml:space="preserve"> </w:t>
            </w:r>
            <w:r w:rsidR="00BD116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понашања</w:t>
            </w:r>
            <w:r w:rsidR="009A076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која</w:t>
            </w:r>
            <w:r w:rsidR="009A076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могу</w:t>
            </w:r>
            <w:r w:rsidR="009A076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допринети</w:t>
            </w:r>
            <w:r w:rsidR="009A076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успешном</w:t>
            </w:r>
            <w:r w:rsidR="009A076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спровођењу</w:t>
            </w:r>
            <w:r w:rsidR="009A076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мера</w:t>
            </w:r>
            <w:r w:rsidR="009A076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обухва</w:t>
            </w:r>
            <w:r w:rsidR="00016298" w:rsidRPr="005303F7">
              <w:rPr>
                <w:rFonts w:ascii="Times New Roman" w:hAnsi="Times New Roman"/>
                <w:bCs/>
                <w:color w:val="000000"/>
                <w:sz w:val="20"/>
                <w:lang w:val="sr-Cyrl-CS"/>
              </w:rPr>
              <w:t>ћ</w:t>
            </w:r>
            <w:r w:rsidR="008D69AF" w:rsidRPr="005303F7">
              <w:rPr>
                <w:rFonts w:ascii="Times New Roman" w:hAnsi="Times New Roman"/>
                <w:bCs/>
                <w:color w:val="000000"/>
                <w:sz w:val="20"/>
                <w:lang w:val="sr-Cyrl-CS"/>
              </w:rPr>
              <w:t>ених</w:t>
            </w:r>
            <w:r w:rsidR="009A076A" w:rsidRPr="005303F7">
              <w:rPr>
                <w:rFonts w:ascii="Times New Roman" w:hAnsi="Times New Roman"/>
                <w:bCs/>
                <w:color w:val="000000"/>
                <w:sz w:val="20"/>
                <w:lang w:val="sr-Cyrl-CS"/>
              </w:rPr>
              <w:t xml:space="preserve"> </w:t>
            </w:r>
            <w:r w:rsidR="008D69AF" w:rsidRPr="005303F7">
              <w:rPr>
                <w:rFonts w:ascii="Times New Roman" w:hAnsi="Times New Roman"/>
                <w:bCs/>
                <w:color w:val="000000"/>
                <w:sz w:val="20"/>
                <w:lang w:val="sr-Cyrl-CS"/>
              </w:rPr>
              <w:t>овом</w:t>
            </w:r>
            <w:r w:rsidR="009A076A" w:rsidRPr="005303F7">
              <w:rPr>
                <w:rFonts w:ascii="Times New Roman" w:hAnsi="Times New Roman"/>
                <w:bCs/>
                <w:color w:val="000000"/>
                <w:sz w:val="20"/>
                <w:lang w:val="sr-Cyrl-CS"/>
              </w:rPr>
              <w:t xml:space="preserve"> </w:t>
            </w:r>
            <w:r w:rsidR="00380012" w:rsidRPr="005303F7">
              <w:rPr>
                <w:rFonts w:ascii="Times New Roman" w:hAnsi="Times New Roman"/>
                <w:bCs/>
                <w:color w:val="000000"/>
                <w:sz w:val="20"/>
                <w:lang w:val="sr-Cyrl-CS"/>
              </w:rPr>
              <w:t>с</w:t>
            </w:r>
            <w:r w:rsidR="008D69AF" w:rsidRPr="005303F7">
              <w:rPr>
                <w:rFonts w:ascii="Times New Roman" w:hAnsi="Times New Roman"/>
                <w:bCs/>
                <w:color w:val="000000"/>
                <w:sz w:val="20"/>
                <w:lang w:val="sr-Cyrl-CS"/>
              </w:rPr>
              <w:t>тратегијом</w:t>
            </w:r>
            <w:r w:rsidR="00BD116A" w:rsidRPr="005303F7">
              <w:rPr>
                <w:rFonts w:ascii="Times New Roman" w:hAnsi="Times New Roman"/>
                <w:bCs/>
                <w:color w:val="000000"/>
                <w:sz w:val="20"/>
                <w:lang w:val="sr-Cyrl-CS"/>
              </w:rPr>
              <w:t>.</w:t>
            </w:r>
          </w:p>
          <w:p w14:paraId="6F01F11A" w14:textId="4C4FDF78" w:rsidR="00BD116A" w:rsidRPr="005303F7" w:rsidRDefault="008D69AF">
            <w:pPr>
              <w:overflowPunct/>
              <w:spacing w:before="240"/>
              <w:rPr>
                <w:rFonts w:ascii="Times New Roman" w:hAnsi="Times New Roman"/>
                <w:bCs/>
                <w:color w:val="000000"/>
                <w:sz w:val="20"/>
                <w:lang w:val="sr-Cyrl-CS"/>
              </w:rPr>
            </w:pPr>
            <w:r w:rsidRPr="005303F7">
              <w:rPr>
                <w:rFonts w:ascii="Times New Roman" w:hAnsi="Times New Roman"/>
                <w:b/>
                <w:bCs/>
                <w:sz w:val="20"/>
                <w:szCs w:val="18"/>
                <w:u w:val="single"/>
                <w:lang w:val="sr-Cyrl-CS"/>
              </w:rPr>
              <w:t>Процес</w:t>
            </w:r>
            <w:r w:rsidR="00562E9A"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преговора</w:t>
            </w:r>
            <w:r w:rsidR="00562E9A"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о</w:t>
            </w:r>
            <w:r w:rsidR="00562E9A"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приступању</w:t>
            </w:r>
            <w:r w:rsidR="00562E9A"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ЕУ</w:t>
            </w:r>
            <w:r w:rsidR="00562E9A"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Поглав</w:t>
            </w:r>
            <w:r w:rsidR="00D553BE" w:rsidRPr="005303F7">
              <w:rPr>
                <w:rFonts w:ascii="Times New Roman" w:hAnsi="Times New Roman"/>
                <w:b/>
                <w:bCs/>
                <w:sz w:val="20"/>
                <w:szCs w:val="18"/>
                <w:u w:val="single"/>
                <w:lang w:val="sr-Cyrl-CS"/>
              </w:rPr>
              <w:t>љ</w:t>
            </w:r>
            <w:r w:rsidRPr="005303F7">
              <w:rPr>
                <w:rFonts w:ascii="Times New Roman" w:hAnsi="Times New Roman"/>
                <w:b/>
                <w:bCs/>
                <w:sz w:val="20"/>
                <w:szCs w:val="18"/>
                <w:u w:val="single"/>
                <w:lang w:val="sr-Cyrl-CS"/>
              </w:rPr>
              <w:t>е</w:t>
            </w:r>
            <w:r w:rsidR="00562E9A" w:rsidRPr="005303F7">
              <w:rPr>
                <w:rFonts w:ascii="Times New Roman" w:hAnsi="Times New Roman"/>
                <w:b/>
                <w:bCs/>
                <w:sz w:val="20"/>
                <w:szCs w:val="18"/>
                <w:u w:val="single"/>
                <w:lang w:val="sr-Cyrl-CS"/>
              </w:rPr>
              <w:t xml:space="preserve"> 27 – </w:t>
            </w:r>
            <w:r w:rsidRPr="005303F7">
              <w:rPr>
                <w:rFonts w:ascii="Times New Roman" w:hAnsi="Times New Roman"/>
                <w:b/>
                <w:bCs/>
                <w:sz w:val="20"/>
                <w:szCs w:val="18"/>
                <w:u w:val="single"/>
                <w:lang w:val="sr-Cyrl-CS"/>
              </w:rPr>
              <w:t>Животна</w:t>
            </w:r>
            <w:r w:rsidR="00562E9A" w:rsidRPr="005303F7">
              <w:rPr>
                <w:rFonts w:ascii="Times New Roman" w:hAnsi="Times New Roman"/>
                <w:b/>
                <w:bCs/>
                <w:sz w:val="20"/>
                <w:szCs w:val="18"/>
                <w:u w:val="single"/>
                <w:lang w:val="sr-Cyrl-CS"/>
              </w:rPr>
              <w:t xml:space="preserve"> </w:t>
            </w:r>
            <w:r w:rsidRPr="005303F7">
              <w:rPr>
                <w:rFonts w:ascii="Times New Roman" w:hAnsi="Times New Roman"/>
                <w:b/>
                <w:bCs/>
                <w:sz w:val="20"/>
                <w:szCs w:val="18"/>
                <w:u w:val="single"/>
                <w:lang w:val="sr-Cyrl-CS"/>
              </w:rPr>
              <w:t>средина</w:t>
            </w:r>
          </w:p>
        </w:tc>
      </w:tr>
      <w:tr w:rsidR="006C2A00" w:rsidRPr="005303F7" w14:paraId="65B78534" w14:textId="77777777" w:rsidTr="00D519CC">
        <w:trPr>
          <w:trHeight w:val="611"/>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14:paraId="5952751F" w14:textId="77777777" w:rsidR="006C2A00" w:rsidRPr="005303F7" w:rsidRDefault="006C2A00">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5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640B6A" w14:textId="4C040E86" w:rsidR="006C2A00" w:rsidRPr="005303F7" w:rsidRDefault="008D69AF" w:rsidP="0029378D">
            <w:pPr>
              <w:spacing w:before="0" w:after="0"/>
              <w:jc w:val="center"/>
              <w:rPr>
                <w:rFonts w:ascii="Times New Roman" w:hAnsi="Times New Roman"/>
                <w:b/>
                <w:bCs/>
                <w:sz w:val="20"/>
                <w:lang w:val="sr-Cyrl-CS"/>
              </w:rPr>
            </w:pPr>
            <w:r w:rsidRPr="005303F7">
              <w:rPr>
                <w:rFonts w:ascii="Times New Roman" w:hAnsi="Times New Roman"/>
                <w:b/>
                <w:sz w:val="20"/>
                <w:lang w:val="sr-Cyrl-CS"/>
              </w:rPr>
              <w:t>К</w:t>
            </w:r>
            <w:r w:rsidR="00D553BE" w:rsidRPr="005303F7">
              <w:rPr>
                <w:rFonts w:ascii="Times New Roman" w:hAnsi="Times New Roman"/>
                <w:b/>
                <w:sz w:val="20"/>
                <w:lang w:val="sr-Cyrl-CS"/>
              </w:rPr>
              <w:t>љ</w:t>
            </w:r>
            <w:r w:rsidRPr="005303F7">
              <w:rPr>
                <w:rFonts w:ascii="Times New Roman" w:hAnsi="Times New Roman"/>
                <w:b/>
                <w:sz w:val="20"/>
                <w:lang w:val="sr-Cyrl-CS"/>
              </w:rPr>
              <w:t>учни</w:t>
            </w:r>
            <w:r w:rsidR="006C2A00" w:rsidRPr="005303F7">
              <w:rPr>
                <w:rFonts w:ascii="Times New Roman" w:hAnsi="Times New Roman"/>
                <w:b/>
                <w:sz w:val="20"/>
                <w:lang w:val="sr-Cyrl-CS"/>
              </w:rPr>
              <w:t xml:space="preserve"> </w:t>
            </w:r>
            <w:r w:rsidRPr="005303F7">
              <w:rPr>
                <w:rFonts w:ascii="Times New Roman" w:hAnsi="Times New Roman"/>
                <w:b/>
                <w:sz w:val="20"/>
                <w:lang w:val="sr-Cyrl-CS"/>
              </w:rPr>
              <w:t>субјекат</w:t>
            </w:r>
            <w:r w:rsidR="006C2A00" w:rsidRPr="005303F7">
              <w:rPr>
                <w:rFonts w:ascii="Times New Roman" w:hAnsi="Times New Roman"/>
                <w:b/>
                <w:sz w:val="20"/>
                <w:lang w:val="sr-Cyrl-CS"/>
              </w:rPr>
              <w:t xml:space="preserve"> </w:t>
            </w:r>
            <w:r w:rsidRPr="005303F7">
              <w:rPr>
                <w:rFonts w:ascii="Times New Roman" w:hAnsi="Times New Roman"/>
                <w:b/>
                <w:sz w:val="20"/>
                <w:lang w:val="sr-Cyrl-CS"/>
              </w:rPr>
              <w:t>за</w:t>
            </w:r>
            <w:r w:rsidR="006C2A00" w:rsidRPr="005303F7">
              <w:rPr>
                <w:rFonts w:ascii="Times New Roman" w:hAnsi="Times New Roman"/>
                <w:b/>
                <w:sz w:val="20"/>
                <w:lang w:val="sr-Cyrl-CS"/>
              </w:rPr>
              <w:t xml:space="preserve"> </w:t>
            </w:r>
            <w:r w:rsidRPr="005303F7">
              <w:rPr>
                <w:rFonts w:ascii="Times New Roman" w:hAnsi="Times New Roman"/>
                <w:b/>
                <w:sz w:val="20"/>
                <w:lang w:val="sr-Cyrl-CS"/>
              </w:rPr>
              <w:t>спровођење</w:t>
            </w:r>
            <w:r w:rsidR="006C2A00" w:rsidRPr="005303F7">
              <w:rPr>
                <w:rFonts w:ascii="Times New Roman" w:hAnsi="Times New Roman"/>
                <w:b/>
                <w:sz w:val="20"/>
                <w:lang w:val="sr-Cyrl-CS"/>
              </w:rPr>
              <w:t xml:space="preserve"> </w:t>
            </w:r>
            <w:r w:rsidRPr="005303F7">
              <w:rPr>
                <w:rFonts w:ascii="Times New Roman" w:hAnsi="Times New Roman"/>
                <w:b/>
                <w:sz w:val="20"/>
                <w:lang w:val="sr-Cyrl-CS"/>
              </w:rPr>
              <w:t>мере</w:t>
            </w:r>
          </w:p>
        </w:tc>
        <w:tc>
          <w:tcPr>
            <w:tcW w:w="59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16C396" w14:textId="09690AF7" w:rsidR="006C2A00"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Партнери</w:t>
            </w:r>
          </w:p>
        </w:tc>
        <w:tc>
          <w:tcPr>
            <w:tcW w:w="125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C5D46" w14:textId="1DD65AEF" w:rsidR="00D7102F" w:rsidRPr="005303F7" w:rsidRDefault="008D69AF" w:rsidP="0029378D">
            <w:pPr>
              <w:overflowPunct/>
              <w:spacing w:before="0" w:after="0"/>
              <w:jc w:val="center"/>
              <w:rPr>
                <w:rFonts w:ascii="Times New Roman" w:hAnsi="Times New Roman"/>
                <w:b/>
                <w:sz w:val="20"/>
                <w:lang w:val="sr-Cyrl-CS"/>
              </w:rPr>
            </w:pPr>
            <w:r w:rsidRPr="005303F7">
              <w:rPr>
                <w:rFonts w:ascii="Times New Roman" w:hAnsi="Times New Roman"/>
                <w:b/>
                <w:sz w:val="20"/>
                <w:lang w:val="sr-Cyrl-CS"/>
              </w:rPr>
              <w:t>ЕТ</w:t>
            </w:r>
            <w:r w:rsidR="00D7102F" w:rsidRPr="005303F7">
              <w:rPr>
                <w:rFonts w:ascii="Times New Roman" w:hAnsi="Times New Roman"/>
                <w:b/>
                <w:sz w:val="20"/>
                <w:lang w:val="sr-Cyrl-CS"/>
              </w:rPr>
              <w:t>S</w:t>
            </w:r>
            <w:r w:rsidR="006C2A00" w:rsidRPr="005303F7">
              <w:rPr>
                <w:rFonts w:ascii="Times New Roman" w:hAnsi="Times New Roman"/>
                <w:b/>
                <w:sz w:val="20"/>
                <w:lang w:val="sr-Cyrl-CS"/>
              </w:rPr>
              <w:t>/</w:t>
            </w:r>
          </w:p>
          <w:p w14:paraId="2EA6DABA" w14:textId="63EB6882" w:rsidR="006C2A00" w:rsidRPr="005303F7" w:rsidRDefault="004A35C7" w:rsidP="0029378D">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не-ЕТS</w:t>
            </w:r>
          </w:p>
        </w:tc>
        <w:tc>
          <w:tcPr>
            <w:tcW w:w="158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21E2B8" w14:textId="0E844A27" w:rsidR="006C2A00" w:rsidRPr="005303F7" w:rsidRDefault="008D69AF" w:rsidP="0029378D">
            <w:pPr>
              <w:overflowPunct/>
              <w:spacing w:before="0" w:after="0"/>
              <w:jc w:val="center"/>
              <w:rPr>
                <w:rFonts w:ascii="Times New Roman" w:hAnsi="Times New Roman"/>
                <w:b/>
                <w:bCs/>
                <w:sz w:val="20"/>
                <w:lang w:val="sr-Cyrl-CS"/>
              </w:rPr>
            </w:pPr>
            <w:r w:rsidRPr="005303F7">
              <w:rPr>
                <w:rFonts w:ascii="Times New Roman" w:hAnsi="Times New Roman"/>
                <w:b/>
                <w:sz w:val="20"/>
                <w:lang w:val="sr-Cyrl-CS"/>
              </w:rPr>
              <w:t>Главни</w:t>
            </w:r>
            <w:r w:rsidR="006C2A00" w:rsidRPr="005303F7">
              <w:rPr>
                <w:rFonts w:ascii="Times New Roman" w:hAnsi="Times New Roman"/>
                <w:b/>
                <w:sz w:val="20"/>
                <w:lang w:val="sr-Cyrl-CS"/>
              </w:rPr>
              <w:t xml:space="preserve"> </w:t>
            </w:r>
            <w:r w:rsidRPr="005303F7">
              <w:rPr>
                <w:rFonts w:ascii="Times New Roman" w:hAnsi="Times New Roman"/>
                <w:b/>
                <w:sz w:val="20"/>
                <w:lang w:val="sr-Cyrl-CS"/>
              </w:rPr>
              <w:t>гасови</w:t>
            </w:r>
          </w:p>
        </w:tc>
        <w:tc>
          <w:tcPr>
            <w:tcW w:w="302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D9EFE7" w14:textId="348D1475" w:rsidR="00D7102F" w:rsidRPr="005303F7" w:rsidRDefault="00C52A7D" w:rsidP="00D7102F">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 xml:space="preserve">Процењен утицај ублажавања </w:t>
            </w:r>
            <w:r w:rsidR="00D7102F" w:rsidRPr="005303F7">
              <w:rPr>
                <w:rFonts w:ascii="Times New Roman" w:hAnsi="Times New Roman"/>
                <w:b/>
                <w:bCs/>
                <w:sz w:val="20"/>
                <w:lang w:val="sr-Cyrl-CS"/>
              </w:rPr>
              <w:t xml:space="preserve">до 2030. </w:t>
            </w:r>
          </w:p>
          <w:p w14:paraId="15B1EC00" w14:textId="60B011EB" w:rsidR="006C2A00" w:rsidRPr="005303F7" w:rsidRDefault="00D7102F" w:rsidP="0029378D">
            <w:pPr>
              <w:overflowPunct/>
              <w:spacing w:before="0" w:after="0"/>
              <w:jc w:val="center"/>
              <w:rPr>
                <w:rFonts w:ascii="Times New Roman" w:hAnsi="Times New Roman"/>
                <w:b/>
                <w:bCs/>
                <w:sz w:val="20"/>
                <w:lang w:val="sr-Cyrl-CS"/>
              </w:rPr>
            </w:pPr>
            <w:r w:rsidRPr="005303F7">
              <w:rPr>
                <w:rFonts w:ascii="Times New Roman" w:hAnsi="Times New Roman"/>
                <w:b/>
                <w:bCs/>
                <w:sz w:val="20"/>
                <w:lang w:val="sr-Cyrl-CS"/>
              </w:rPr>
              <w:t>[kt CО</w:t>
            </w:r>
            <w:r w:rsidRPr="005303F7">
              <w:rPr>
                <w:rFonts w:ascii="Times New Roman" w:hAnsi="Times New Roman"/>
                <w:b/>
                <w:bCs/>
                <w:sz w:val="20"/>
                <w:vertAlign w:val="subscript"/>
                <w:lang w:val="sr-Cyrl-CS"/>
              </w:rPr>
              <w:t>2</w:t>
            </w:r>
            <w:r w:rsidRPr="005303F7">
              <w:rPr>
                <w:rFonts w:ascii="Times New Roman" w:hAnsi="Times New Roman"/>
                <w:b/>
                <w:bCs/>
                <w:sz w:val="20"/>
                <w:lang w:val="sr-Cyrl-CS"/>
              </w:rPr>
              <w:t xml:space="preserve"> еq.]</w:t>
            </w:r>
          </w:p>
        </w:tc>
      </w:tr>
      <w:tr w:rsidR="00BD116A" w:rsidRPr="005303F7" w14:paraId="79F5E8A1" w14:textId="77777777" w:rsidTr="00D519CC">
        <w:trPr>
          <w:trHeight w:val="604"/>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14:paraId="4C7E077D" w14:textId="77777777" w:rsidR="00BD116A" w:rsidRPr="005303F7" w:rsidRDefault="00BD116A">
            <w:pPr>
              <w:tabs>
                <w:tab w:val="clear" w:pos="3825"/>
              </w:tabs>
              <w:overflowPunct/>
              <w:autoSpaceDE/>
              <w:autoSpaceDN/>
              <w:adjustRightInd/>
              <w:spacing w:before="0" w:after="0"/>
              <w:jc w:val="left"/>
              <w:rPr>
                <w:rFonts w:ascii="Times New Roman" w:hAnsi="Times New Roman"/>
                <w:b/>
                <w:color w:val="000000"/>
                <w:sz w:val="20"/>
                <w:lang w:val="sr-Cyrl-CS"/>
              </w:rPr>
            </w:pPr>
          </w:p>
        </w:tc>
        <w:tc>
          <w:tcPr>
            <w:tcW w:w="35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F219F5" w14:textId="0629FB04" w:rsidR="00BD116A" w:rsidRPr="005303F7" w:rsidRDefault="008D69AF" w:rsidP="00353B06">
            <w:pPr>
              <w:overflowPunct/>
              <w:spacing w:before="0"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51086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заштите</w:t>
            </w:r>
            <w:r w:rsidR="0051086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животне</w:t>
            </w:r>
            <w:r w:rsidR="0051086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средине</w:t>
            </w:r>
          </w:p>
        </w:tc>
        <w:tc>
          <w:tcPr>
            <w:tcW w:w="59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646050" w14:textId="69C77D25" w:rsidR="00BD116A" w:rsidRPr="005303F7" w:rsidRDefault="008D69AF" w:rsidP="00353B06">
            <w:pPr>
              <w:overflowPunct/>
              <w:spacing w:before="0"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Министарство</w:t>
            </w:r>
            <w:r w:rsidR="0051086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просвете</w:t>
            </w:r>
            <w:r w:rsidR="0051086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Министарство</w:t>
            </w:r>
            <w:r w:rsidR="0051086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w:t>
            </w:r>
            <w:r w:rsidR="0051086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рад</w:t>
            </w:r>
            <w:r w:rsidR="0051086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запош</w:t>
            </w:r>
            <w:r w:rsidR="00D553BE" w:rsidRPr="005303F7">
              <w:rPr>
                <w:rFonts w:ascii="Times New Roman" w:hAnsi="Times New Roman"/>
                <w:bCs/>
                <w:sz w:val="20"/>
                <w:lang w:val="sr-Cyrl-CS"/>
              </w:rPr>
              <w:t>љ</w:t>
            </w:r>
            <w:r w:rsidRPr="005303F7">
              <w:rPr>
                <w:rFonts w:ascii="Times New Roman" w:hAnsi="Times New Roman"/>
                <w:bCs/>
                <w:color w:val="000000"/>
                <w:sz w:val="20"/>
                <w:lang w:val="sr-Cyrl-CS"/>
              </w:rPr>
              <w:t>авање</w:t>
            </w:r>
            <w:r w:rsidR="0051086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борачка</w:t>
            </w:r>
            <w:r w:rsidR="0051086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и</w:t>
            </w:r>
            <w:r w:rsidR="0051086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социјална</w:t>
            </w:r>
            <w:r w:rsidR="00510861"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питања</w:t>
            </w:r>
            <w:r w:rsidR="003C1445" w:rsidRPr="005303F7">
              <w:rPr>
                <w:rFonts w:ascii="Times New Roman" w:hAnsi="Times New Roman"/>
                <w:bCs/>
                <w:color w:val="000000"/>
                <w:sz w:val="20"/>
                <w:lang w:val="sr-Cyrl-CS"/>
              </w:rPr>
              <w:t xml:space="preserve">, Привредна комора </w:t>
            </w:r>
            <w:r w:rsidR="00D73AAB" w:rsidRPr="005303F7">
              <w:rPr>
                <w:rFonts w:ascii="Times New Roman" w:hAnsi="Times New Roman"/>
                <w:bCs/>
                <w:color w:val="000000"/>
                <w:sz w:val="20"/>
                <w:lang w:val="sr-Cyrl-CS"/>
              </w:rPr>
              <w:t>Србије</w:t>
            </w:r>
          </w:p>
        </w:tc>
        <w:tc>
          <w:tcPr>
            <w:tcW w:w="125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CF8BE6" w14:textId="293086B1" w:rsidR="00BD116A" w:rsidRPr="005303F7" w:rsidRDefault="008D69AF" w:rsidP="00353B06">
            <w:pPr>
              <w:overflowPunct/>
              <w:spacing w:before="0" w:after="0"/>
              <w:jc w:val="center"/>
              <w:rPr>
                <w:rFonts w:ascii="Times New Roman" w:hAnsi="Times New Roman"/>
                <w:bCs/>
                <w:sz w:val="20"/>
                <w:lang w:val="sr-Cyrl-CS"/>
              </w:rPr>
            </w:pPr>
            <w:r w:rsidRPr="005303F7">
              <w:rPr>
                <w:rFonts w:ascii="Times New Roman" w:hAnsi="Times New Roman"/>
                <w:bCs/>
                <w:sz w:val="20"/>
                <w:lang w:val="sr-Cyrl-CS"/>
              </w:rPr>
              <w:t>ЕТ</w:t>
            </w:r>
            <w:r w:rsidR="00D7102F" w:rsidRPr="005303F7">
              <w:rPr>
                <w:rFonts w:ascii="Times New Roman" w:hAnsi="Times New Roman"/>
                <w:bCs/>
                <w:sz w:val="20"/>
                <w:lang w:val="sr-Cyrl-CS"/>
              </w:rPr>
              <w:t>S</w:t>
            </w:r>
            <w:r w:rsidR="00BD116A" w:rsidRPr="005303F7">
              <w:rPr>
                <w:rFonts w:ascii="Times New Roman" w:hAnsi="Times New Roman"/>
                <w:bCs/>
                <w:sz w:val="20"/>
                <w:lang w:val="sr-Cyrl-CS"/>
              </w:rPr>
              <w:t xml:space="preserve">, </w:t>
            </w:r>
          </w:p>
          <w:p w14:paraId="353697D3" w14:textId="1A734211" w:rsidR="00BD116A" w:rsidRPr="005303F7" w:rsidRDefault="004A35C7" w:rsidP="00353B06">
            <w:pPr>
              <w:overflowPunct/>
              <w:spacing w:before="0" w:after="0"/>
              <w:jc w:val="center"/>
              <w:rPr>
                <w:rFonts w:ascii="Times New Roman" w:hAnsi="Times New Roman"/>
                <w:bCs/>
                <w:sz w:val="20"/>
                <w:lang w:val="sr-Cyrl-CS"/>
              </w:rPr>
            </w:pPr>
            <w:r w:rsidRPr="005303F7">
              <w:rPr>
                <w:rFonts w:ascii="Times New Roman" w:hAnsi="Times New Roman"/>
                <w:bCs/>
                <w:sz w:val="20"/>
                <w:lang w:val="sr-Cyrl-CS"/>
              </w:rPr>
              <w:t>не-ЕТS</w:t>
            </w:r>
          </w:p>
        </w:tc>
        <w:tc>
          <w:tcPr>
            <w:tcW w:w="158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6B4602" w14:textId="1AEBAB10" w:rsidR="00BD116A" w:rsidRPr="005303F7" w:rsidRDefault="00D7102F" w:rsidP="00353B06">
            <w:pPr>
              <w:overflowPunct/>
              <w:spacing w:before="0" w:after="0"/>
              <w:jc w:val="center"/>
              <w:rPr>
                <w:rFonts w:ascii="Times New Roman" w:hAnsi="Times New Roman"/>
                <w:bCs/>
                <w:sz w:val="20"/>
                <w:lang w:val="sr-Cyrl-CS"/>
              </w:rPr>
            </w:pPr>
            <w:r w:rsidRPr="005303F7">
              <w:rPr>
                <w:rFonts w:ascii="Times New Roman" w:hAnsi="Times New Roman"/>
                <w:bCs/>
                <w:color w:val="000000"/>
                <w:sz w:val="20"/>
                <w:lang w:val="sr-Cyrl-CS"/>
              </w:rPr>
              <w:t>C</w:t>
            </w:r>
            <w:r w:rsidR="008D69AF" w:rsidRPr="005303F7">
              <w:rPr>
                <w:rFonts w:ascii="Times New Roman" w:hAnsi="Times New Roman"/>
                <w:bCs/>
                <w:color w:val="000000"/>
                <w:sz w:val="20"/>
                <w:lang w:val="sr-Cyrl-CS"/>
              </w:rPr>
              <w:t>О</w:t>
            </w:r>
            <w:r w:rsidR="00BD116A" w:rsidRPr="005303F7">
              <w:rPr>
                <w:rFonts w:ascii="Times New Roman" w:hAnsi="Times New Roman"/>
                <w:bCs/>
                <w:color w:val="000000"/>
                <w:sz w:val="20"/>
                <w:vertAlign w:val="subscript"/>
                <w:lang w:val="sr-Cyrl-CS"/>
              </w:rPr>
              <w:t>2</w:t>
            </w:r>
            <w:r w:rsidR="00BD116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CH</w:t>
            </w:r>
            <w:r w:rsidR="00BD116A" w:rsidRPr="005303F7">
              <w:rPr>
                <w:rFonts w:ascii="Times New Roman" w:hAnsi="Times New Roman"/>
                <w:bCs/>
                <w:color w:val="000000"/>
                <w:sz w:val="20"/>
                <w:vertAlign w:val="subscript"/>
                <w:lang w:val="sr-Cyrl-CS"/>
              </w:rPr>
              <w:t>4</w:t>
            </w:r>
            <w:r w:rsidR="00BD116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N</w:t>
            </w:r>
            <w:r w:rsidR="00BD116A" w:rsidRPr="005303F7">
              <w:rPr>
                <w:rFonts w:ascii="Times New Roman" w:hAnsi="Times New Roman"/>
                <w:bCs/>
                <w:color w:val="000000"/>
                <w:sz w:val="20"/>
                <w:vertAlign w:val="subscript"/>
                <w:lang w:val="sr-Cyrl-CS"/>
              </w:rPr>
              <w:t>2</w:t>
            </w:r>
            <w:r w:rsidR="008D69AF" w:rsidRPr="005303F7">
              <w:rPr>
                <w:rFonts w:ascii="Times New Roman" w:hAnsi="Times New Roman"/>
                <w:bCs/>
                <w:color w:val="000000"/>
                <w:sz w:val="20"/>
                <w:lang w:val="sr-Cyrl-CS"/>
              </w:rPr>
              <w:t>О</w:t>
            </w:r>
            <w:r w:rsidR="00BD116A" w:rsidRPr="005303F7">
              <w:rPr>
                <w:rFonts w:ascii="Times New Roman" w:hAnsi="Times New Roman"/>
                <w:bCs/>
                <w:color w:val="000000"/>
                <w:sz w:val="20"/>
                <w:lang w:val="sr-Cyrl-CS"/>
              </w:rPr>
              <w:t xml:space="preserve">, </w:t>
            </w:r>
            <w:r w:rsidRPr="005303F7">
              <w:rPr>
                <w:rFonts w:ascii="Times New Roman" w:hAnsi="Times New Roman"/>
                <w:bCs/>
                <w:color w:val="000000"/>
                <w:sz w:val="20"/>
                <w:lang w:val="sr-Cyrl-CS"/>
              </w:rPr>
              <w:t>F</w:t>
            </w:r>
            <w:r w:rsidR="00BD116A" w:rsidRPr="005303F7">
              <w:rPr>
                <w:rFonts w:ascii="Times New Roman" w:hAnsi="Times New Roman"/>
                <w:bCs/>
                <w:color w:val="000000"/>
                <w:sz w:val="20"/>
                <w:lang w:val="sr-Cyrl-CS"/>
              </w:rPr>
              <w:t>-</w:t>
            </w:r>
            <w:r w:rsidR="008D69AF" w:rsidRPr="005303F7">
              <w:rPr>
                <w:rFonts w:ascii="Times New Roman" w:hAnsi="Times New Roman"/>
                <w:bCs/>
                <w:color w:val="000000"/>
                <w:sz w:val="20"/>
                <w:lang w:val="sr-Cyrl-CS"/>
              </w:rPr>
              <w:t>гасови</w:t>
            </w:r>
          </w:p>
        </w:tc>
        <w:tc>
          <w:tcPr>
            <w:tcW w:w="302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697D3A" w14:textId="4F2483C4" w:rsidR="00BD116A" w:rsidRPr="005303F7" w:rsidRDefault="00D26266" w:rsidP="00353B06">
            <w:pPr>
              <w:overflowPunct/>
              <w:spacing w:before="0" w:after="0"/>
              <w:jc w:val="center"/>
              <w:rPr>
                <w:rFonts w:ascii="Times New Roman" w:hAnsi="Times New Roman"/>
                <w:bCs/>
                <w:color w:val="000000"/>
                <w:sz w:val="20"/>
                <w:lang w:val="sr-Cyrl-CS"/>
              </w:rPr>
            </w:pPr>
            <w:r w:rsidRPr="005303F7">
              <w:rPr>
                <w:rFonts w:ascii="Times New Roman" w:hAnsi="Times New Roman"/>
                <w:bCs/>
                <w:color w:val="000000"/>
                <w:sz w:val="20"/>
                <w:lang w:val="sr-Cyrl-CS"/>
              </w:rPr>
              <w:t>-</w:t>
            </w:r>
          </w:p>
        </w:tc>
      </w:tr>
    </w:tbl>
    <w:p w14:paraId="063CCFAD" w14:textId="77777777" w:rsidR="000D522B" w:rsidRPr="005303F7" w:rsidRDefault="000D522B" w:rsidP="0029378D">
      <w:pPr>
        <w:rPr>
          <w:rFonts w:ascii="Times New Roman" w:hAnsi="Times New Roman"/>
          <w:lang w:val="sr-Cyrl-CS"/>
        </w:rPr>
      </w:pPr>
    </w:p>
    <w:p w14:paraId="6FFA02BE" w14:textId="77777777" w:rsidR="000D522B" w:rsidRPr="005303F7" w:rsidRDefault="000D522B">
      <w:pPr>
        <w:tabs>
          <w:tab w:val="clear" w:pos="3825"/>
        </w:tabs>
        <w:overflowPunct/>
        <w:autoSpaceDE/>
        <w:autoSpaceDN/>
        <w:adjustRightInd/>
        <w:spacing w:before="0" w:after="0"/>
        <w:jc w:val="left"/>
        <w:textAlignment w:val="auto"/>
        <w:rPr>
          <w:rFonts w:ascii="Times New Roman" w:hAnsi="Times New Roman"/>
          <w:b/>
          <w:bCs/>
          <w:lang w:val="sr-Cyrl-CS"/>
        </w:rPr>
      </w:pPr>
      <w:r w:rsidRPr="005303F7">
        <w:rPr>
          <w:rFonts w:ascii="Times New Roman" w:hAnsi="Times New Roman"/>
          <w:b/>
          <w:bCs/>
          <w:lang w:val="sr-Cyrl-CS"/>
        </w:rPr>
        <w:br w:type="page"/>
      </w:r>
    </w:p>
    <w:p w14:paraId="3400A5D6" w14:textId="7883F756" w:rsidR="00345F0A" w:rsidRPr="005303F7" w:rsidRDefault="00345F0A" w:rsidP="00FE004C">
      <w:pPr>
        <w:pStyle w:val="Einzug1"/>
        <w:numPr>
          <w:ilvl w:val="0"/>
          <w:numId w:val="0"/>
        </w:numPr>
        <w:ind w:left="720" w:hanging="360"/>
        <w:rPr>
          <w:rFonts w:ascii="Times New Roman" w:hAnsi="Times New Roman"/>
          <w:lang w:val="sr-Cyrl-CS"/>
        </w:rPr>
        <w:sectPr w:rsidR="00345F0A" w:rsidRPr="005303F7" w:rsidSect="0014169E">
          <w:headerReference w:type="default" r:id="rId28"/>
          <w:pgSz w:w="16834" w:h="11909" w:orient="landscape" w:code="9"/>
          <w:pgMar w:top="821" w:right="1440" w:bottom="1247" w:left="1440" w:header="284" w:footer="167" w:gutter="0"/>
          <w:cols w:space="720"/>
          <w:docGrid w:linePitch="360"/>
        </w:sectPr>
      </w:pPr>
    </w:p>
    <w:p w14:paraId="549E7AB4" w14:textId="12268BF6" w:rsidR="00962130" w:rsidRPr="005303F7" w:rsidRDefault="00962130" w:rsidP="00962130">
      <w:pPr>
        <w:pStyle w:val="Einzug1"/>
        <w:numPr>
          <w:ilvl w:val="0"/>
          <w:numId w:val="0"/>
        </w:numPr>
        <w:ind w:left="1701" w:hanging="1701"/>
        <w:rPr>
          <w:rFonts w:ascii="Times New Roman" w:hAnsi="Times New Roman" w:cs="Times New Roman"/>
          <w:bCs/>
          <w:lang w:val="sr-Cyrl-CS"/>
        </w:rPr>
      </w:pPr>
      <w:bookmarkStart w:id="408" w:name="_Ref13045856"/>
      <w:bookmarkStart w:id="409" w:name="_Toc26686121"/>
      <w:bookmarkStart w:id="410" w:name="_Ref27164957"/>
      <w:bookmarkStart w:id="411" w:name="_Ref11759896"/>
      <w:bookmarkStart w:id="412" w:name="_Ref11759903"/>
      <w:bookmarkStart w:id="413" w:name="_Ref11759918"/>
      <w:r w:rsidRPr="005303F7">
        <w:rPr>
          <w:rFonts w:ascii="Times New Roman" w:hAnsi="Times New Roman" w:cs="Times New Roman"/>
          <w:bCs/>
          <w:caps/>
          <w:lang w:val="sr-Cyrl-CS"/>
        </w:rPr>
        <w:lastRenderedPageBreak/>
        <w:t>9.</w:t>
      </w:r>
      <w:r w:rsidRPr="005303F7">
        <w:rPr>
          <w:rFonts w:ascii="Times New Roman" w:hAnsi="Times New Roman" w:cs="Times New Roman"/>
          <w:bCs/>
          <w:lang w:val="sr-Cyrl-CS"/>
        </w:rPr>
        <w:t xml:space="preserve"> ЗАВРШН</w:t>
      </w:r>
      <w:r w:rsidR="00BB6BB4" w:rsidRPr="005303F7">
        <w:rPr>
          <w:rFonts w:ascii="Times New Roman" w:hAnsi="Times New Roman" w:cs="Times New Roman"/>
          <w:bCs/>
          <w:lang w:val="sr-Cyrl-CS"/>
        </w:rPr>
        <w:t>И ДЕО</w:t>
      </w:r>
    </w:p>
    <w:p w14:paraId="19885A95" w14:textId="77777777" w:rsidR="00962130" w:rsidRPr="005303F7" w:rsidRDefault="00962130" w:rsidP="00962130">
      <w:pPr>
        <w:pStyle w:val="Einzug1"/>
        <w:numPr>
          <w:ilvl w:val="0"/>
          <w:numId w:val="0"/>
        </w:numPr>
        <w:rPr>
          <w:rFonts w:ascii="Times New Roman" w:hAnsi="Times New Roman" w:cs="Times New Roman"/>
          <w:b w:val="0"/>
          <w:caps/>
          <w:lang w:val="sr-Cyrl-CS"/>
        </w:rPr>
      </w:pPr>
    </w:p>
    <w:p w14:paraId="79A0E421" w14:textId="77777777" w:rsidR="00BB6BB4" w:rsidRPr="005303F7" w:rsidRDefault="00B05959" w:rsidP="00B05959">
      <w:pPr>
        <w:rPr>
          <w:rFonts w:ascii="Times New Roman" w:hAnsi="Times New Roman"/>
          <w:sz w:val="24"/>
          <w:lang w:val="sr-Cyrl-CS"/>
        </w:rPr>
      </w:pPr>
      <w:r w:rsidRPr="005303F7">
        <w:rPr>
          <w:rFonts w:ascii="Times New Roman" w:hAnsi="Times New Roman"/>
          <w:sz w:val="24"/>
          <w:lang w:val="sr-Cyrl-CS"/>
        </w:rPr>
        <w:t xml:space="preserve">            </w:t>
      </w:r>
      <w:r w:rsidR="00BB6BB4" w:rsidRPr="005303F7">
        <w:rPr>
          <w:rFonts w:ascii="Times New Roman" w:hAnsi="Times New Roman"/>
          <w:sz w:val="24"/>
          <w:lang w:val="sr-Cyrl-CS"/>
        </w:rPr>
        <w:t>9.1. Акциони план</w:t>
      </w:r>
    </w:p>
    <w:p w14:paraId="301AFF1D" w14:textId="65237BAB" w:rsidR="00B05959" w:rsidRPr="005303F7" w:rsidRDefault="00BB6BB4" w:rsidP="00B05959">
      <w:pPr>
        <w:rPr>
          <w:rFonts w:ascii="Times New Roman" w:hAnsi="Times New Roman"/>
          <w:sz w:val="24"/>
          <w:lang w:val="sr-Cyrl-CS"/>
        </w:rPr>
      </w:pPr>
      <w:r w:rsidRPr="005303F7">
        <w:rPr>
          <w:rFonts w:ascii="Times New Roman" w:hAnsi="Times New Roman"/>
          <w:sz w:val="24"/>
          <w:lang w:val="sr-Cyrl-CS"/>
        </w:rPr>
        <w:t xml:space="preserve">          </w:t>
      </w:r>
      <w:r w:rsidR="00B05959" w:rsidRPr="005303F7">
        <w:rPr>
          <w:rFonts w:ascii="Times New Roman" w:hAnsi="Times New Roman"/>
          <w:sz w:val="24"/>
          <w:lang w:val="sr-Cyrl-CS"/>
        </w:rPr>
        <w:t xml:space="preserve"> Акциони план за спровођење Стратегије нискоугљеничног развоја за период </w:t>
      </w:r>
      <w:r w:rsidR="00C866FF" w:rsidRPr="005303F7">
        <w:rPr>
          <w:rFonts w:ascii="Times New Roman" w:hAnsi="Times New Roman"/>
          <w:sz w:val="24"/>
          <w:lang w:val="sr-Cyrl-CS"/>
        </w:rPr>
        <w:t xml:space="preserve"> </w:t>
      </w:r>
      <w:r w:rsidR="00B05959" w:rsidRPr="005303F7">
        <w:rPr>
          <w:rFonts w:ascii="Times New Roman" w:hAnsi="Times New Roman"/>
          <w:sz w:val="24"/>
          <w:lang w:val="sr-Cyrl-CS"/>
        </w:rPr>
        <w:t>202</w:t>
      </w:r>
      <w:r w:rsidR="00050C95" w:rsidRPr="005303F7">
        <w:rPr>
          <w:rFonts w:ascii="Times New Roman" w:hAnsi="Times New Roman"/>
          <w:sz w:val="24"/>
          <w:lang w:val="sr-Cyrl-CS"/>
        </w:rPr>
        <w:t>4-</w:t>
      </w:r>
      <w:r w:rsidR="00C866FF" w:rsidRPr="005303F7">
        <w:rPr>
          <w:rFonts w:ascii="Times New Roman" w:hAnsi="Times New Roman"/>
          <w:sz w:val="24"/>
          <w:lang w:val="sr-Cyrl-CS"/>
        </w:rPr>
        <w:t xml:space="preserve"> </w:t>
      </w:r>
      <w:r w:rsidR="00050C95" w:rsidRPr="005303F7">
        <w:rPr>
          <w:rFonts w:ascii="Times New Roman" w:hAnsi="Times New Roman"/>
          <w:sz w:val="24"/>
          <w:lang w:val="sr-Cyrl-CS"/>
        </w:rPr>
        <w:t>2030. година</w:t>
      </w:r>
      <w:r w:rsidRPr="005303F7">
        <w:rPr>
          <w:rFonts w:ascii="Times New Roman" w:hAnsi="Times New Roman"/>
          <w:sz w:val="24"/>
          <w:lang w:val="sr-Cyrl-CS"/>
        </w:rPr>
        <w:t xml:space="preserve"> донеће се у року од годину дана од дана доношења ов</w:t>
      </w:r>
      <w:r w:rsidR="00B2418F" w:rsidRPr="005303F7">
        <w:rPr>
          <w:rFonts w:ascii="Times New Roman" w:hAnsi="Times New Roman"/>
          <w:sz w:val="24"/>
          <w:lang w:val="sr-Cyrl-CS"/>
        </w:rPr>
        <w:t>е стратегије</w:t>
      </w:r>
      <w:r w:rsidRPr="005303F7">
        <w:rPr>
          <w:rFonts w:ascii="Times New Roman" w:hAnsi="Times New Roman"/>
          <w:sz w:val="24"/>
          <w:lang w:val="sr-Cyrl-CS"/>
        </w:rPr>
        <w:t>.</w:t>
      </w:r>
    </w:p>
    <w:p w14:paraId="6EB4FB56" w14:textId="77777777" w:rsidR="00B05959" w:rsidRPr="005303F7" w:rsidRDefault="00B05959" w:rsidP="00962130">
      <w:pPr>
        <w:rPr>
          <w:rFonts w:ascii="Times New Roman" w:hAnsi="Times New Roman"/>
          <w:sz w:val="24"/>
          <w:szCs w:val="22"/>
          <w:lang w:val="sr-Cyrl-CS"/>
        </w:rPr>
      </w:pPr>
    </w:p>
    <w:p w14:paraId="6F1FF45B" w14:textId="33CEB34E" w:rsidR="00BB6BB4" w:rsidRPr="005303F7" w:rsidRDefault="00BB6BB4" w:rsidP="00962130">
      <w:pPr>
        <w:rPr>
          <w:rFonts w:ascii="Times New Roman" w:hAnsi="Times New Roman"/>
          <w:sz w:val="24"/>
          <w:szCs w:val="22"/>
          <w:lang w:val="sr-Cyrl-CS"/>
        </w:rPr>
      </w:pPr>
      <w:r w:rsidRPr="005303F7">
        <w:rPr>
          <w:rFonts w:ascii="Times New Roman" w:hAnsi="Times New Roman"/>
          <w:sz w:val="24"/>
          <w:szCs w:val="22"/>
          <w:lang w:val="sr-Cyrl-CS"/>
        </w:rPr>
        <w:t xml:space="preserve">            9.2. Објављивање</w:t>
      </w:r>
    </w:p>
    <w:p w14:paraId="1A5351CE" w14:textId="3F541A01" w:rsidR="00BB6BB4" w:rsidRPr="005303F7" w:rsidRDefault="00BB6BB4" w:rsidP="00962130">
      <w:pPr>
        <w:rPr>
          <w:rFonts w:ascii="Times New Roman" w:hAnsi="Times New Roman"/>
          <w:sz w:val="24"/>
          <w:szCs w:val="22"/>
          <w:lang w:val="sr-Cyrl-CS"/>
        </w:rPr>
      </w:pPr>
      <w:r w:rsidRPr="005303F7">
        <w:rPr>
          <w:rFonts w:ascii="Times New Roman" w:hAnsi="Times New Roman"/>
          <w:sz w:val="24"/>
          <w:szCs w:val="22"/>
          <w:lang w:val="sr-Cyrl-CS"/>
        </w:rPr>
        <w:t xml:space="preserve">           Ову стратегију објавити на интернет страници Владе и Министарства заштите животне средине</w:t>
      </w:r>
      <w:r w:rsidR="005C68B0" w:rsidRPr="005303F7">
        <w:rPr>
          <w:rFonts w:ascii="Times New Roman" w:hAnsi="Times New Roman"/>
          <w:sz w:val="24"/>
          <w:szCs w:val="22"/>
          <w:lang w:val="sr-Cyrl-CS"/>
        </w:rPr>
        <w:t xml:space="preserve"> и на порталу е-Управа</w:t>
      </w:r>
      <w:r w:rsidR="005C68B0" w:rsidRPr="005303F7">
        <w:rPr>
          <w:rFonts w:ascii="Times New Roman" w:hAnsi="Times New Roman"/>
          <w:sz w:val="24"/>
          <w:szCs w:val="24"/>
          <w:lang w:val="sr-Cyrl-CS"/>
        </w:rPr>
        <w:t>, у року од седам радних дана од дана доношења.</w:t>
      </w:r>
      <w:r w:rsidR="00B05959" w:rsidRPr="005303F7">
        <w:rPr>
          <w:rFonts w:ascii="Times New Roman" w:hAnsi="Times New Roman"/>
          <w:sz w:val="24"/>
          <w:szCs w:val="22"/>
          <w:lang w:val="sr-Cyrl-CS"/>
        </w:rPr>
        <w:t xml:space="preserve">        </w:t>
      </w:r>
    </w:p>
    <w:p w14:paraId="1D17C886" w14:textId="2959B49B" w:rsidR="00962130" w:rsidRPr="005303F7" w:rsidRDefault="00BB6BB4" w:rsidP="00962130">
      <w:pPr>
        <w:rPr>
          <w:rFonts w:ascii="Times New Roman" w:hAnsi="Times New Roman"/>
          <w:sz w:val="24"/>
          <w:szCs w:val="22"/>
          <w:lang w:val="sr-Cyrl-CS"/>
        </w:rPr>
      </w:pPr>
      <w:r w:rsidRPr="005303F7">
        <w:rPr>
          <w:rFonts w:ascii="Times New Roman" w:hAnsi="Times New Roman"/>
          <w:sz w:val="24"/>
          <w:szCs w:val="22"/>
          <w:lang w:val="sr-Cyrl-CS"/>
        </w:rPr>
        <w:t xml:space="preserve">           </w:t>
      </w:r>
      <w:r w:rsidR="00962130" w:rsidRPr="005303F7">
        <w:rPr>
          <w:rFonts w:ascii="Times New Roman" w:hAnsi="Times New Roman"/>
          <w:sz w:val="24"/>
          <w:szCs w:val="22"/>
          <w:lang w:val="sr-Cyrl-CS"/>
        </w:rPr>
        <w:t xml:space="preserve">Ову стратегију објавити у </w:t>
      </w:r>
      <w:r w:rsidR="00B2418F" w:rsidRPr="005303F7">
        <w:rPr>
          <w:rFonts w:ascii="Times New Roman" w:hAnsi="Times New Roman"/>
          <w:sz w:val="24"/>
          <w:szCs w:val="22"/>
          <w:lang w:val="sr-Cyrl-CS"/>
        </w:rPr>
        <w:t>„</w:t>
      </w:r>
      <w:r w:rsidR="00962130" w:rsidRPr="005303F7">
        <w:rPr>
          <w:rFonts w:ascii="Times New Roman" w:hAnsi="Times New Roman"/>
          <w:sz w:val="24"/>
          <w:szCs w:val="22"/>
          <w:lang w:val="sr-Cyrl-CS"/>
        </w:rPr>
        <w:t>Службеном гласнику Републике Србије</w:t>
      </w:r>
      <w:r w:rsidR="000110B2" w:rsidRPr="005303F7">
        <w:rPr>
          <w:rFonts w:ascii="Times New Roman" w:hAnsi="Times New Roman"/>
          <w:sz w:val="24"/>
          <w:szCs w:val="22"/>
          <w:lang w:val="sr-Cyrl-CS"/>
        </w:rPr>
        <w:t>ˮ</w:t>
      </w:r>
      <w:r w:rsidR="00962130" w:rsidRPr="005303F7">
        <w:rPr>
          <w:rFonts w:ascii="Times New Roman" w:hAnsi="Times New Roman"/>
          <w:sz w:val="24"/>
          <w:szCs w:val="22"/>
          <w:lang w:val="sr-Cyrl-CS"/>
        </w:rPr>
        <w:t>.</w:t>
      </w:r>
    </w:p>
    <w:p w14:paraId="28F30D17" w14:textId="77777777" w:rsidR="00962130" w:rsidRPr="005303F7" w:rsidRDefault="00962130" w:rsidP="00962130">
      <w:pPr>
        <w:rPr>
          <w:rFonts w:ascii="Times New Roman" w:hAnsi="Times New Roman"/>
          <w:sz w:val="24"/>
          <w:szCs w:val="22"/>
          <w:lang w:val="sr-Cyrl-CS"/>
        </w:rPr>
      </w:pPr>
    </w:p>
    <w:p w14:paraId="5CEE0F02" w14:textId="77777777" w:rsidR="00962130" w:rsidRPr="005303F7" w:rsidRDefault="00962130" w:rsidP="00962130">
      <w:pPr>
        <w:rPr>
          <w:rFonts w:ascii="Times New Roman" w:hAnsi="Times New Roman"/>
          <w:sz w:val="24"/>
          <w:szCs w:val="22"/>
          <w:lang w:val="sr-Cyrl-CS"/>
        </w:rPr>
      </w:pPr>
    </w:p>
    <w:p w14:paraId="2F60E7FE" w14:textId="77777777" w:rsidR="00962130" w:rsidRPr="005303F7" w:rsidRDefault="00962130" w:rsidP="00962130">
      <w:pPr>
        <w:rPr>
          <w:rFonts w:ascii="Times New Roman" w:hAnsi="Times New Roman"/>
          <w:sz w:val="24"/>
          <w:szCs w:val="22"/>
          <w:lang w:val="sr-Cyrl-CS"/>
        </w:rPr>
      </w:pPr>
    </w:p>
    <w:p w14:paraId="2E6396AB" w14:textId="77777777" w:rsidR="00962130" w:rsidRPr="005303F7" w:rsidRDefault="00962130" w:rsidP="00962130">
      <w:pPr>
        <w:rPr>
          <w:rFonts w:ascii="Times New Roman" w:hAnsi="Times New Roman"/>
          <w:sz w:val="24"/>
          <w:szCs w:val="22"/>
          <w:lang w:val="sr-Cyrl-CS"/>
        </w:rPr>
      </w:pPr>
    </w:p>
    <w:p w14:paraId="09A487B2" w14:textId="77777777" w:rsidR="00962130" w:rsidRPr="005303F7" w:rsidRDefault="00962130" w:rsidP="00962130">
      <w:pPr>
        <w:rPr>
          <w:rFonts w:ascii="Times New Roman" w:hAnsi="Times New Roman"/>
          <w:sz w:val="24"/>
          <w:szCs w:val="22"/>
          <w:lang w:val="sr-Cyrl-CS"/>
        </w:rPr>
      </w:pPr>
    </w:p>
    <w:p w14:paraId="38372FF1" w14:textId="77777777" w:rsidR="00962130" w:rsidRPr="005303F7" w:rsidRDefault="00962130" w:rsidP="00962130">
      <w:pPr>
        <w:rPr>
          <w:rFonts w:ascii="Times New Roman" w:hAnsi="Times New Roman"/>
          <w:sz w:val="24"/>
          <w:szCs w:val="22"/>
          <w:lang w:val="sr-Cyrl-CS"/>
        </w:rPr>
      </w:pPr>
    </w:p>
    <w:p w14:paraId="5E17A0BD" w14:textId="0FB144C0" w:rsidR="00962130" w:rsidRPr="005A5F27" w:rsidRDefault="00962130" w:rsidP="00962130">
      <w:pPr>
        <w:rPr>
          <w:rFonts w:ascii="Times New Roman" w:hAnsi="Times New Roman"/>
          <w:sz w:val="24"/>
          <w:szCs w:val="22"/>
          <w:lang w:val="en-US"/>
        </w:rPr>
      </w:pPr>
      <w:r w:rsidRPr="005303F7">
        <w:rPr>
          <w:rFonts w:ascii="Times New Roman" w:hAnsi="Times New Roman"/>
          <w:sz w:val="24"/>
          <w:szCs w:val="22"/>
          <w:lang w:val="sr-Cyrl-CS"/>
        </w:rPr>
        <w:t>05 Број:</w:t>
      </w:r>
      <w:r w:rsidR="005A5F27">
        <w:rPr>
          <w:rFonts w:ascii="Times New Roman" w:hAnsi="Times New Roman"/>
          <w:sz w:val="24"/>
          <w:szCs w:val="22"/>
          <w:lang w:val="en-US"/>
        </w:rPr>
        <w:t xml:space="preserve"> 353-4730/2023</w:t>
      </w:r>
    </w:p>
    <w:p w14:paraId="4B7E6779" w14:textId="7C657A7D" w:rsidR="00962130" w:rsidRPr="005A5F27" w:rsidRDefault="00962130" w:rsidP="00962130">
      <w:pPr>
        <w:rPr>
          <w:rFonts w:ascii="Times New Roman" w:hAnsi="Times New Roman"/>
          <w:sz w:val="24"/>
          <w:szCs w:val="22"/>
          <w:lang w:val="sr-Cyrl-RS"/>
        </w:rPr>
      </w:pPr>
      <w:r w:rsidRPr="005303F7">
        <w:rPr>
          <w:rFonts w:ascii="Times New Roman" w:hAnsi="Times New Roman"/>
          <w:sz w:val="24"/>
          <w:szCs w:val="22"/>
          <w:lang w:val="sr-Cyrl-CS"/>
        </w:rPr>
        <w:t>У Београду,</w:t>
      </w:r>
      <w:r w:rsidR="005A5F27">
        <w:rPr>
          <w:rFonts w:ascii="Times New Roman" w:hAnsi="Times New Roman"/>
          <w:sz w:val="24"/>
          <w:szCs w:val="22"/>
          <w:lang w:val="en-US"/>
        </w:rPr>
        <w:t xml:space="preserve"> 1</w:t>
      </w:r>
      <w:r w:rsidR="005A5F27">
        <w:rPr>
          <w:rFonts w:ascii="Times New Roman" w:hAnsi="Times New Roman"/>
          <w:sz w:val="24"/>
          <w:szCs w:val="22"/>
          <w:lang w:val="sr-Cyrl-RS"/>
        </w:rPr>
        <w:t>. јуна 2023. године</w:t>
      </w:r>
    </w:p>
    <w:p w14:paraId="4B546D9D" w14:textId="411BF1CE" w:rsidR="00962130" w:rsidRPr="005303F7" w:rsidRDefault="00962130" w:rsidP="00962130">
      <w:pPr>
        <w:ind w:left="2880" w:firstLine="720"/>
        <w:rPr>
          <w:rFonts w:ascii="Times New Roman" w:hAnsi="Times New Roman"/>
          <w:sz w:val="24"/>
          <w:szCs w:val="22"/>
          <w:lang w:val="sr-Cyrl-CS"/>
        </w:rPr>
      </w:pPr>
      <w:r w:rsidRPr="005303F7">
        <w:rPr>
          <w:rFonts w:ascii="Times New Roman" w:hAnsi="Times New Roman"/>
          <w:sz w:val="24"/>
          <w:szCs w:val="22"/>
          <w:lang w:val="sr-Cyrl-CS"/>
        </w:rPr>
        <w:tab/>
        <w:t>В</w:t>
      </w:r>
      <w:r w:rsidR="00D069BF" w:rsidRPr="005303F7">
        <w:rPr>
          <w:rFonts w:ascii="Times New Roman" w:hAnsi="Times New Roman"/>
          <w:sz w:val="24"/>
          <w:szCs w:val="22"/>
          <w:lang w:val="sr-Cyrl-CS"/>
        </w:rPr>
        <w:t xml:space="preserve"> </w:t>
      </w:r>
      <w:r w:rsidRPr="005303F7">
        <w:rPr>
          <w:rFonts w:ascii="Times New Roman" w:hAnsi="Times New Roman"/>
          <w:sz w:val="24"/>
          <w:szCs w:val="22"/>
          <w:lang w:val="sr-Cyrl-CS"/>
        </w:rPr>
        <w:t>Л</w:t>
      </w:r>
      <w:r w:rsidR="00D069BF" w:rsidRPr="005303F7">
        <w:rPr>
          <w:rFonts w:ascii="Times New Roman" w:hAnsi="Times New Roman"/>
          <w:sz w:val="24"/>
          <w:szCs w:val="22"/>
          <w:lang w:val="sr-Cyrl-CS"/>
        </w:rPr>
        <w:t xml:space="preserve"> </w:t>
      </w:r>
      <w:r w:rsidRPr="005303F7">
        <w:rPr>
          <w:rFonts w:ascii="Times New Roman" w:hAnsi="Times New Roman"/>
          <w:sz w:val="24"/>
          <w:szCs w:val="22"/>
          <w:lang w:val="sr-Cyrl-CS"/>
        </w:rPr>
        <w:t>А</w:t>
      </w:r>
      <w:r w:rsidR="00D069BF" w:rsidRPr="005303F7">
        <w:rPr>
          <w:rFonts w:ascii="Times New Roman" w:hAnsi="Times New Roman"/>
          <w:sz w:val="24"/>
          <w:szCs w:val="22"/>
          <w:lang w:val="sr-Cyrl-CS"/>
        </w:rPr>
        <w:t xml:space="preserve"> </w:t>
      </w:r>
      <w:r w:rsidRPr="005303F7">
        <w:rPr>
          <w:rFonts w:ascii="Times New Roman" w:hAnsi="Times New Roman"/>
          <w:sz w:val="24"/>
          <w:szCs w:val="22"/>
          <w:lang w:val="sr-Cyrl-CS"/>
        </w:rPr>
        <w:t>Д</w:t>
      </w:r>
      <w:r w:rsidR="00D069BF" w:rsidRPr="005303F7">
        <w:rPr>
          <w:rFonts w:ascii="Times New Roman" w:hAnsi="Times New Roman"/>
          <w:sz w:val="24"/>
          <w:szCs w:val="22"/>
          <w:lang w:val="sr-Cyrl-CS"/>
        </w:rPr>
        <w:t xml:space="preserve"> </w:t>
      </w:r>
      <w:r w:rsidRPr="005303F7">
        <w:rPr>
          <w:rFonts w:ascii="Times New Roman" w:hAnsi="Times New Roman"/>
          <w:sz w:val="24"/>
          <w:szCs w:val="22"/>
          <w:lang w:val="sr-Cyrl-CS"/>
        </w:rPr>
        <w:t xml:space="preserve">А </w:t>
      </w:r>
    </w:p>
    <w:p w14:paraId="00FE0604" w14:textId="76D954CA" w:rsidR="00962130" w:rsidRDefault="00962130" w:rsidP="00962130">
      <w:pPr>
        <w:jc w:val="right"/>
        <w:rPr>
          <w:rFonts w:ascii="Times New Roman" w:hAnsi="Times New Roman"/>
          <w:sz w:val="24"/>
          <w:szCs w:val="22"/>
          <w:lang w:val="sr-Cyrl-CS"/>
        </w:rPr>
      </w:pPr>
      <w:r w:rsidRPr="005303F7">
        <w:rPr>
          <w:rFonts w:ascii="Times New Roman" w:hAnsi="Times New Roman"/>
          <w:sz w:val="24"/>
          <w:szCs w:val="22"/>
          <w:lang w:val="sr-Cyrl-CS"/>
        </w:rPr>
        <w:t>ПРЕДСЕДНИК</w:t>
      </w:r>
    </w:p>
    <w:p w14:paraId="0A96CCA9" w14:textId="75036594" w:rsidR="005A5F27" w:rsidRPr="005303F7" w:rsidRDefault="005A5F27" w:rsidP="00962130">
      <w:pPr>
        <w:jc w:val="right"/>
        <w:rPr>
          <w:rFonts w:ascii="Times New Roman" w:hAnsi="Times New Roman"/>
          <w:sz w:val="24"/>
          <w:szCs w:val="22"/>
          <w:lang w:val="sr-Cyrl-CS"/>
        </w:rPr>
      </w:pPr>
      <w:r>
        <w:rPr>
          <w:rFonts w:ascii="Times New Roman" w:hAnsi="Times New Roman"/>
          <w:sz w:val="24"/>
          <w:szCs w:val="22"/>
          <w:lang w:val="sr-Cyrl-CS"/>
        </w:rPr>
        <w:t>Ана Брнабић, с.р.</w:t>
      </w:r>
    </w:p>
    <w:p w14:paraId="5C80EA83" w14:textId="75493548" w:rsidR="00962130" w:rsidRPr="005303F7" w:rsidRDefault="00962130">
      <w:pPr>
        <w:tabs>
          <w:tab w:val="clear" w:pos="3825"/>
        </w:tabs>
        <w:overflowPunct/>
        <w:autoSpaceDE/>
        <w:autoSpaceDN/>
        <w:adjustRightInd/>
        <w:spacing w:before="0" w:after="0"/>
        <w:jc w:val="left"/>
        <w:textAlignment w:val="auto"/>
        <w:rPr>
          <w:rFonts w:ascii="Times New Roman" w:hAnsi="Times New Roman"/>
          <w:lang w:val="sr-Cyrl-CS"/>
        </w:rPr>
      </w:pPr>
    </w:p>
    <w:p w14:paraId="148DF316" w14:textId="44566506" w:rsidR="00D0501F" w:rsidRPr="005303F7" w:rsidRDefault="00D0501F">
      <w:pPr>
        <w:tabs>
          <w:tab w:val="clear" w:pos="3825"/>
        </w:tabs>
        <w:overflowPunct/>
        <w:autoSpaceDE/>
        <w:autoSpaceDN/>
        <w:adjustRightInd/>
        <w:spacing w:before="0" w:after="0"/>
        <w:jc w:val="left"/>
        <w:textAlignment w:val="auto"/>
        <w:rPr>
          <w:rFonts w:ascii="Times New Roman" w:hAnsi="Times New Roman"/>
          <w:lang w:val="sr-Cyrl-CS"/>
        </w:rPr>
      </w:pPr>
    </w:p>
    <w:p w14:paraId="416E5FB6" w14:textId="613AF494" w:rsidR="00D0501F" w:rsidRPr="005303F7" w:rsidRDefault="00D0501F">
      <w:pPr>
        <w:tabs>
          <w:tab w:val="clear" w:pos="3825"/>
        </w:tabs>
        <w:overflowPunct/>
        <w:autoSpaceDE/>
        <w:autoSpaceDN/>
        <w:adjustRightInd/>
        <w:spacing w:before="0" w:after="0"/>
        <w:jc w:val="left"/>
        <w:textAlignment w:val="auto"/>
        <w:rPr>
          <w:rFonts w:ascii="Times New Roman" w:hAnsi="Times New Roman"/>
          <w:lang w:val="sr-Cyrl-CS"/>
        </w:rPr>
      </w:pPr>
    </w:p>
    <w:p w14:paraId="2DC5B559" w14:textId="5991E61F" w:rsidR="00D0501F" w:rsidRPr="005303F7" w:rsidRDefault="00D0501F">
      <w:pPr>
        <w:tabs>
          <w:tab w:val="clear" w:pos="3825"/>
        </w:tabs>
        <w:overflowPunct/>
        <w:autoSpaceDE/>
        <w:autoSpaceDN/>
        <w:adjustRightInd/>
        <w:spacing w:before="0" w:after="0"/>
        <w:jc w:val="left"/>
        <w:textAlignment w:val="auto"/>
        <w:rPr>
          <w:rFonts w:ascii="Times New Roman" w:hAnsi="Times New Roman"/>
          <w:lang w:val="sr-Cyrl-CS"/>
        </w:rPr>
      </w:pPr>
    </w:p>
    <w:p w14:paraId="4D362AC6" w14:textId="288A0936" w:rsidR="00D0501F" w:rsidRPr="005303F7" w:rsidRDefault="00D0501F">
      <w:pPr>
        <w:tabs>
          <w:tab w:val="clear" w:pos="3825"/>
        </w:tabs>
        <w:overflowPunct/>
        <w:autoSpaceDE/>
        <w:autoSpaceDN/>
        <w:adjustRightInd/>
        <w:spacing w:before="0" w:after="0"/>
        <w:jc w:val="left"/>
        <w:textAlignment w:val="auto"/>
        <w:rPr>
          <w:rFonts w:ascii="Times New Roman" w:hAnsi="Times New Roman"/>
          <w:lang w:val="sr-Cyrl-CS"/>
        </w:rPr>
      </w:pPr>
    </w:p>
    <w:p w14:paraId="52901ABB" w14:textId="4F5E004B" w:rsidR="00D0501F" w:rsidRPr="005303F7" w:rsidRDefault="00D0501F">
      <w:pPr>
        <w:tabs>
          <w:tab w:val="clear" w:pos="3825"/>
        </w:tabs>
        <w:overflowPunct/>
        <w:autoSpaceDE/>
        <w:autoSpaceDN/>
        <w:adjustRightInd/>
        <w:spacing w:before="0" w:after="0"/>
        <w:jc w:val="left"/>
        <w:textAlignment w:val="auto"/>
        <w:rPr>
          <w:rFonts w:ascii="Times New Roman" w:hAnsi="Times New Roman"/>
          <w:lang w:val="sr-Cyrl-CS"/>
        </w:rPr>
      </w:pPr>
    </w:p>
    <w:p w14:paraId="643E2FCF" w14:textId="5F5762D4" w:rsidR="00D0501F" w:rsidRPr="005303F7" w:rsidRDefault="00D0501F">
      <w:pPr>
        <w:tabs>
          <w:tab w:val="clear" w:pos="3825"/>
        </w:tabs>
        <w:overflowPunct/>
        <w:autoSpaceDE/>
        <w:autoSpaceDN/>
        <w:adjustRightInd/>
        <w:spacing w:before="0" w:after="0"/>
        <w:jc w:val="left"/>
        <w:textAlignment w:val="auto"/>
        <w:rPr>
          <w:rFonts w:ascii="Times New Roman" w:hAnsi="Times New Roman"/>
          <w:lang w:val="sr-Cyrl-CS"/>
        </w:rPr>
      </w:pPr>
    </w:p>
    <w:p w14:paraId="36773EA0" w14:textId="4FEFC78E" w:rsidR="00D0501F" w:rsidRPr="005303F7" w:rsidRDefault="00D0501F">
      <w:pPr>
        <w:tabs>
          <w:tab w:val="clear" w:pos="3825"/>
        </w:tabs>
        <w:overflowPunct/>
        <w:autoSpaceDE/>
        <w:autoSpaceDN/>
        <w:adjustRightInd/>
        <w:spacing w:before="0" w:after="0"/>
        <w:jc w:val="left"/>
        <w:textAlignment w:val="auto"/>
        <w:rPr>
          <w:rFonts w:ascii="Times New Roman" w:hAnsi="Times New Roman"/>
          <w:lang w:val="sr-Cyrl-CS"/>
        </w:rPr>
      </w:pPr>
    </w:p>
    <w:p w14:paraId="3CC77AF6" w14:textId="6E22C06D" w:rsidR="00D0501F" w:rsidRPr="005303F7" w:rsidRDefault="00D0501F">
      <w:pPr>
        <w:tabs>
          <w:tab w:val="clear" w:pos="3825"/>
        </w:tabs>
        <w:overflowPunct/>
        <w:autoSpaceDE/>
        <w:autoSpaceDN/>
        <w:adjustRightInd/>
        <w:spacing w:before="0" w:after="0"/>
        <w:jc w:val="left"/>
        <w:textAlignment w:val="auto"/>
        <w:rPr>
          <w:rFonts w:ascii="Times New Roman" w:hAnsi="Times New Roman"/>
          <w:lang w:val="sr-Cyrl-CS"/>
        </w:rPr>
      </w:pPr>
    </w:p>
    <w:p w14:paraId="463D11C1" w14:textId="7530205F" w:rsidR="00D0501F" w:rsidRPr="005303F7" w:rsidRDefault="00D0501F">
      <w:pPr>
        <w:tabs>
          <w:tab w:val="clear" w:pos="3825"/>
        </w:tabs>
        <w:overflowPunct/>
        <w:autoSpaceDE/>
        <w:autoSpaceDN/>
        <w:adjustRightInd/>
        <w:spacing w:before="0" w:after="0"/>
        <w:jc w:val="left"/>
        <w:textAlignment w:val="auto"/>
        <w:rPr>
          <w:rFonts w:ascii="Times New Roman" w:hAnsi="Times New Roman"/>
          <w:lang w:val="sr-Cyrl-CS"/>
        </w:rPr>
      </w:pPr>
    </w:p>
    <w:p w14:paraId="5256CEB4" w14:textId="31BE8C12" w:rsidR="00D0501F" w:rsidRPr="005303F7" w:rsidRDefault="00D0501F">
      <w:pPr>
        <w:tabs>
          <w:tab w:val="clear" w:pos="3825"/>
        </w:tabs>
        <w:overflowPunct/>
        <w:autoSpaceDE/>
        <w:autoSpaceDN/>
        <w:adjustRightInd/>
        <w:spacing w:before="0" w:after="0"/>
        <w:jc w:val="left"/>
        <w:textAlignment w:val="auto"/>
        <w:rPr>
          <w:rFonts w:ascii="Times New Roman" w:hAnsi="Times New Roman"/>
          <w:lang w:val="sr-Cyrl-CS"/>
        </w:rPr>
      </w:pPr>
    </w:p>
    <w:p w14:paraId="76106AC6" w14:textId="7F3AC912" w:rsidR="00D0501F" w:rsidRPr="005303F7" w:rsidRDefault="00D0501F">
      <w:pPr>
        <w:tabs>
          <w:tab w:val="clear" w:pos="3825"/>
        </w:tabs>
        <w:overflowPunct/>
        <w:autoSpaceDE/>
        <w:autoSpaceDN/>
        <w:adjustRightInd/>
        <w:spacing w:before="0" w:after="0"/>
        <w:jc w:val="left"/>
        <w:textAlignment w:val="auto"/>
        <w:rPr>
          <w:rFonts w:ascii="Times New Roman" w:hAnsi="Times New Roman"/>
          <w:lang w:val="sr-Cyrl-CS"/>
        </w:rPr>
      </w:pPr>
    </w:p>
    <w:p w14:paraId="0D40C528" w14:textId="5475F071" w:rsidR="00D0501F" w:rsidRPr="005303F7" w:rsidRDefault="00D0501F">
      <w:pPr>
        <w:tabs>
          <w:tab w:val="clear" w:pos="3825"/>
        </w:tabs>
        <w:overflowPunct/>
        <w:autoSpaceDE/>
        <w:autoSpaceDN/>
        <w:adjustRightInd/>
        <w:spacing w:before="0" w:after="0"/>
        <w:jc w:val="left"/>
        <w:textAlignment w:val="auto"/>
        <w:rPr>
          <w:rFonts w:ascii="Times New Roman" w:hAnsi="Times New Roman"/>
          <w:lang w:val="sr-Cyrl-CS"/>
        </w:rPr>
      </w:pPr>
    </w:p>
    <w:p w14:paraId="4B95FFA2" w14:textId="5C2DCCD5" w:rsidR="00D0501F" w:rsidRPr="005303F7" w:rsidRDefault="00D0501F">
      <w:pPr>
        <w:tabs>
          <w:tab w:val="clear" w:pos="3825"/>
        </w:tabs>
        <w:overflowPunct/>
        <w:autoSpaceDE/>
        <w:autoSpaceDN/>
        <w:adjustRightInd/>
        <w:spacing w:before="0" w:after="0"/>
        <w:jc w:val="left"/>
        <w:textAlignment w:val="auto"/>
        <w:rPr>
          <w:rFonts w:ascii="Times New Roman" w:hAnsi="Times New Roman"/>
          <w:lang w:val="sr-Cyrl-CS"/>
        </w:rPr>
      </w:pPr>
    </w:p>
    <w:p w14:paraId="3D5FEFAD" w14:textId="77777777" w:rsidR="001D4DF3" w:rsidRPr="005303F7" w:rsidRDefault="001D4DF3">
      <w:pPr>
        <w:tabs>
          <w:tab w:val="clear" w:pos="3825"/>
        </w:tabs>
        <w:overflowPunct/>
        <w:autoSpaceDE/>
        <w:autoSpaceDN/>
        <w:adjustRightInd/>
        <w:spacing w:before="0" w:after="0"/>
        <w:jc w:val="left"/>
        <w:textAlignment w:val="auto"/>
        <w:rPr>
          <w:rFonts w:ascii="Times New Roman" w:hAnsi="Times New Roman"/>
          <w:lang w:val="sr-Cyrl-CS"/>
        </w:rPr>
      </w:pPr>
    </w:p>
    <w:p w14:paraId="6417E543" w14:textId="3F74F4C3" w:rsidR="00D0501F" w:rsidRPr="005303F7" w:rsidRDefault="00D0501F">
      <w:pPr>
        <w:tabs>
          <w:tab w:val="clear" w:pos="3825"/>
        </w:tabs>
        <w:overflowPunct/>
        <w:autoSpaceDE/>
        <w:autoSpaceDN/>
        <w:adjustRightInd/>
        <w:spacing w:before="0" w:after="0"/>
        <w:jc w:val="left"/>
        <w:textAlignment w:val="auto"/>
        <w:rPr>
          <w:rFonts w:ascii="Times New Roman" w:hAnsi="Times New Roman"/>
          <w:lang w:val="sr-Cyrl-CS"/>
        </w:rPr>
      </w:pPr>
    </w:p>
    <w:p w14:paraId="04DEA06E" w14:textId="4F2C56C8" w:rsidR="00D0501F" w:rsidRPr="005303F7" w:rsidRDefault="00D0501F">
      <w:pPr>
        <w:tabs>
          <w:tab w:val="clear" w:pos="3825"/>
        </w:tabs>
        <w:overflowPunct/>
        <w:autoSpaceDE/>
        <w:autoSpaceDN/>
        <w:adjustRightInd/>
        <w:spacing w:before="0" w:after="0"/>
        <w:jc w:val="left"/>
        <w:textAlignment w:val="auto"/>
        <w:rPr>
          <w:rFonts w:ascii="Times New Roman" w:hAnsi="Times New Roman"/>
          <w:lang w:val="sr-Cyrl-CS"/>
        </w:rPr>
      </w:pPr>
    </w:p>
    <w:p w14:paraId="730A1E0E" w14:textId="11351E2E" w:rsidR="00D0501F" w:rsidRPr="005303F7" w:rsidRDefault="00D0501F">
      <w:pPr>
        <w:tabs>
          <w:tab w:val="clear" w:pos="3825"/>
        </w:tabs>
        <w:overflowPunct/>
        <w:autoSpaceDE/>
        <w:autoSpaceDN/>
        <w:adjustRightInd/>
        <w:spacing w:before="0" w:after="0"/>
        <w:jc w:val="left"/>
        <w:textAlignment w:val="auto"/>
        <w:rPr>
          <w:rFonts w:ascii="Times New Roman" w:hAnsi="Times New Roman"/>
          <w:lang w:val="sr-Cyrl-CS"/>
        </w:rPr>
      </w:pPr>
    </w:p>
    <w:p w14:paraId="558056A4" w14:textId="79DF58C3" w:rsidR="00D0501F" w:rsidRPr="005303F7" w:rsidRDefault="00D0501F">
      <w:pPr>
        <w:tabs>
          <w:tab w:val="clear" w:pos="3825"/>
        </w:tabs>
        <w:overflowPunct/>
        <w:autoSpaceDE/>
        <w:autoSpaceDN/>
        <w:adjustRightInd/>
        <w:spacing w:before="0" w:after="0"/>
        <w:jc w:val="left"/>
        <w:textAlignment w:val="auto"/>
        <w:rPr>
          <w:rFonts w:ascii="Times New Roman" w:hAnsi="Times New Roman"/>
          <w:lang w:val="sr-Cyrl-CS"/>
        </w:rPr>
      </w:pPr>
    </w:p>
    <w:p w14:paraId="59F418E1" w14:textId="6E4AFA05" w:rsidR="00D0501F" w:rsidRPr="005303F7" w:rsidRDefault="00D0501F" w:rsidP="00D0501F">
      <w:pPr>
        <w:pStyle w:val="Heading1"/>
        <w:numPr>
          <w:ilvl w:val="0"/>
          <w:numId w:val="0"/>
        </w:numPr>
        <w:spacing w:after="120"/>
        <w:ind w:left="1134" w:hanging="1134"/>
        <w:rPr>
          <w:rFonts w:ascii="Times New Roman" w:hAnsi="Times New Roman" w:cs="Times New Roman"/>
          <w:lang w:val="sr-Cyrl-CS"/>
        </w:rPr>
      </w:pPr>
      <w:r w:rsidRPr="005303F7">
        <w:rPr>
          <w:rFonts w:ascii="Times New Roman" w:hAnsi="Times New Roman" w:cs="Times New Roman"/>
          <w:lang w:val="sr-Cyrl-CS"/>
        </w:rPr>
        <w:tab/>
      </w:r>
      <w:r w:rsidRPr="005303F7">
        <w:rPr>
          <w:rFonts w:ascii="Times New Roman" w:hAnsi="Times New Roman" w:cs="Times New Roman"/>
          <w:lang w:val="sr-Cyrl-CS"/>
        </w:rPr>
        <w:tab/>
      </w:r>
      <w:r w:rsidRPr="005303F7">
        <w:rPr>
          <w:rFonts w:ascii="Times New Roman" w:hAnsi="Times New Roman" w:cs="Times New Roman"/>
          <w:lang w:val="sr-Cyrl-CS"/>
        </w:rPr>
        <w:tab/>
      </w:r>
      <w:r w:rsidRPr="005303F7">
        <w:rPr>
          <w:rFonts w:ascii="Times New Roman" w:hAnsi="Times New Roman" w:cs="Times New Roman"/>
          <w:lang w:val="sr-Cyrl-CS"/>
        </w:rPr>
        <w:tab/>
      </w:r>
      <w:r w:rsidRPr="005303F7">
        <w:rPr>
          <w:rFonts w:ascii="Times New Roman" w:hAnsi="Times New Roman" w:cs="Times New Roman"/>
          <w:lang w:val="sr-Cyrl-CS"/>
        </w:rPr>
        <w:tab/>
      </w:r>
      <w:r w:rsidRPr="005303F7">
        <w:rPr>
          <w:rFonts w:ascii="Times New Roman" w:hAnsi="Times New Roman" w:cs="Times New Roman"/>
          <w:lang w:val="sr-Cyrl-CS"/>
        </w:rPr>
        <w:tab/>
      </w:r>
      <w:r w:rsidRPr="005303F7">
        <w:rPr>
          <w:rFonts w:ascii="Times New Roman" w:hAnsi="Times New Roman" w:cs="Times New Roman"/>
          <w:lang w:val="sr-Cyrl-CS"/>
        </w:rPr>
        <w:tab/>
      </w:r>
      <w:r w:rsidR="00B05959" w:rsidRPr="005303F7">
        <w:rPr>
          <w:rFonts w:ascii="Times New Roman" w:hAnsi="Times New Roman" w:cs="Times New Roman"/>
          <w:lang w:val="sr-Cyrl-CS"/>
        </w:rPr>
        <w:t>ПРИЛОГ 1</w:t>
      </w:r>
    </w:p>
    <w:p w14:paraId="4D66777E" w14:textId="77777777" w:rsidR="00D0501F" w:rsidRPr="005303F7" w:rsidRDefault="00D0501F" w:rsidP="00D0501F">
      <w:pPr>
        <w:rPr>
          <w:lang w:val="sr-Cyrl-CS"/>
        </w:rPr>
      </w:pPr>
    </w:p>
    <w:p w14:paraId="58D40FF0" w14:textId="77777777" w:rsidR="00D0501F" w:rsidRPr="005303F7" w:rsidRDefault="008D69AF" w:rsidP="00D0501F">
      <w:pPr>
        <w:pStyle w:val="Heading1"/>
        <w:numPr>
          <w:ilvl w:val="0"/>
          <w:numId w:val="0"/>
        </w:numPr>
        <w:spacing w:after="120"/>
        <w:ind w:left="1701" w:hanging="1701"/>
        <w:jc w:val="center"/>
        <w:rPr>
          <w:rFonts w:ascii="Times New Roman" w:hAnsi="Times New Roman" w:cs="Times New Roman"/>
          <w:sz w:val="24"/>
          <w:szCs w:val="24"/>
          <w:lang w:val="sr-Cyrl-CS"/>
        </w:rPr>
      </w:pPr>
      <w:r w:rsidRPr="005303F7">
        <w:rPr>
          <w:rFonts w:ascii="Times New Roman" w:hAnsi="Times New Roman" w:cs="Times New Roman"/>
          <w:sz w:val="24"/>
          <w:szCs w:val="24"/>
          <w:lang w:val="sr-Cyrl-CS"/>
        </w:rPr>
        <w:t>Осмотрене</w:t>
      </w:r>
      <w:r w:rsidR="00443933" w:rsidRPr="005303F7">
        <w:rPr>
          <w:rFonts w:ascii="Times New Roman" w:hAnsi="Times New Roman" w:cs="Times New Roman"/>
          <w:sz w:val="24"/>
          <w:szCs w:val="24"/>
          <w:lang w:val="sr-Cyrl-CS"/>
        </w:rPr>
        <w:t xml:space="preserve"> </w:t>
      </w:r>
      <w:r w:rsidRPr="005303F7">
        <w:rPr>
          <w:rFonts w:ascii="Times New Roman" w:hAnsi="Times New Roman" w:cs="Times New Roman"/>
          <w:sz w:val="24"/>
          <w:szCs w:val="24"/>
          <w:lang w:val="sr-Cyrl-CS"/>
        </w:rPr>
        <w:t>промене</w:t>
      </w:r>
      <w:r w:rsidR="00443933" w:rsidRPr="005303F7">
        <w:rPr>
          <w:rFonts w:ascii="Times New Roman" w:hAnsi="Times New Roman" w:cs="Times New Roman"/>
          <w:sz w:val="24"/>
          <w:szCs w:val="24"/>
          <w:lang w:val="sr-Cyrl-CS"/>
        </w:rPr>
        <w:t xml:space="preserve"> </w:t>
      </w:r>
      <w:r w:rsidRPr="005303F7">
        <w:rPr>
          <w:rFonts w:ascii="Times New Roman" w:hAnsi="Times New Roman" w:cs="Times New Roman"/>
          <w:sz w:val="24"/>
          <w:szCs w:val="24"/>
          <w:lang w:val="sr-Cyrl-CS"/>
        </w:rPr>
        <w:t>климе</w:t>
      </w:r>
      <w:r w:rsidR="00443933" w:rsidRPr="005303F7">
        <w:rPr>
          <w:rFonts w:ascii="Times New Roman" w:hAnsi="Times New Roman" w:cs="Times New Roman"/>
          <w:sz w:val="24"/>
          <w:szCs w:val="24"/>
          <w:lang w:val="sr-Cyrl-CS"/>
        </w:rPr>
        <w:t xml:space="preserve"> </w:t>
      </w:r>
      <w:r w:rsidRPr="005303F7">
        <w:rPr>
          <w:rFonts w:ascii="Times New Roman" w:hAnsi="Times New Roman" w:cs="Times New Roman"/>
          <w:sz w:val="24"/>
          <w:szCs w:val="24"/>
          <w:lang w:val="sr-Cyrl-CS"/>
        </w:rPr>
        <w:t>и</w:t>
      </w:r>
      <w:r w:rsidR="00443933" w:rsidRPr="005303F7">
        <w:rPr>
          <w:rFonts w:ascii="Times New Roman" w:hAnsi="Times New Roman" w:cs="Times New Roman"/>
          <w:sz w:val="24"/>
          <w:szCs w:val="24"/>
          <w:lang w:val="sr-Cyrl-CS"/>
        </w:rPr>
        <w:t xml:space="preserve"> </w:t>
      </w:r>
      <w:r w:rsidRPr="005303F7">
        <w:rPr>
          <w:rFonts w:ascii="Times New Roman" w:hAnsi="Times New Roman" w:cs="Times New Roman"/>
          <w:sz w:val="24"/>
          <w:szCs w:val="24"/>
          <w:lang w:val="sr-Cyrl-CS"/>
        </w:rPr>
        <w:t>пројекције</w:t>
      </w:r>
      <w:r w:rsidR="00443933" w:rsidRPr="005303F7">
        <w:rPr>
          <w:rFonts w:ascii="Times New Roman" w:hAnsi="Times New Roman" w:cs="Times New Roman"/>
          <w:sz w:val="24"/>
          <w:szCs w:val="24"/>
          <w:lang w:val="sr-Cyrl-CS"/>
        </w:rPr>
        <w:t xml:space="preserve"> </w:t>
      </w:r>
    </w:p>
    <w:p w14:paraId="20E1F115" w14:textId="598B8758" w:rsidR="009237A2" w:rsidRPr="005303F7" w:rsidRDefault="008D69AF" w:rsidP="00D0501F">
      <w:pPr>
        <w:pStyle w:val="Heading1"/>
        <w:numPr>
          <w:ilvl w:val="0"/>
          <w:numId w:val="0"/>
        </w:numPr>
        <w:spacing w:after="120"/>
        <w:ind w:left="1701" w:hanging="1701"/>
        <w:jc w:val="center"/>
        <w:rPr>
          <w:rFonts w:ascii="Times New Roman" w:hAnsi="Times New Roman" w:cs="Times New Roman"/>
          <w:sz w:val="24"/>
          <w:szCs w:val="24"/>
          <w:lang w:val="sr-Cyrl-CS"/>
        </w:rPr>
      </w:pPr>
      <w:r w:rsidRPr="005303F7">
        <w:rPr>
          <w:rFonts w:ascii="Times New Roman" w:hAnsi="Times New Roman" w:cs="Times New Roman"/>
          <w:sz w:val="24"/>
          <w:szCs w:val="24"/>
          <w:lang w:val="sr-Cyrl-CS"/>
        </w:rPr>
        <w:t>будуће</w:t>
      </w:r>
      <w:r w:rsidR="00443933" w:rsidRPr="005303F7">
        <w:rPr>
          <w:rFonts w:ascii="Times New Roman" w:hAnsi="Times New Roman" w:cs="Times New Roman"/>
          <w:sz w:val="24"/>
          <w:szCs w:val="24"/>
          <w:lang w:val="sr-Cyrl-CS"/>
        </w:rPr>
        <w:t xml:space="preserve"> </w:t>
      </w:r>
      <w:r w:rsidRPr="005303F7">
        <w:rPr>
          <w:rFonts w:ascii="Times New Roman" w:hAnsi="Times New Roman" w:cs="Times New Roman"/>
          <w:sz w:val="24"/>
          <w:szCs w:val="24"/>
          <w:lang w:val="sr-Cyrl-CS"/>
        </w:rPr>
        <w:t>климе</w:t>
      </w:r>
      <w:r w:rsidR="00443933" w:rsidRPr="005303F7">
        <w:rPr>
          <w:rFonts w:ascii="Times New Roman" w:hAnsi="Times New Roman" w:cs="Times New Roman"/>
          <w:sz w:val="24"/>
          <w:szCs w:val="24"/>
          <w:lang w:val="sr-Cyrl-CS"/>
        </w:rPr>
        <w:t xml:space="preserve"> </w:t>
      </w:r>
      <w:r w:rsidRPr="005303F7">
        <w:rPr>
          <w:rFonts w:ascii="Times New Roman" w:hAnsi="Times New Roman" w:cs="Times New Roman"/>
          <w:sz w:val="24"/>
          <w:szCs w:val="24"/>
          <w:lang w:val="sr-Cyrl-CS"/>
        </w:rPr>
        <w:t>у</w:t>
      </w:r>
      <w:r w:rsidR="00A634A3" w:rsidRPr="005303F7">
        <w:rPr>
          <w:rFonts w:ascii="Times New Roman" w:hAnsi="Times New Roman" w:cs="Times New Roman"/>
          <w:sz w:val="24"/>
          <w:szCs w:val="24"/>
          <w:lang w:val="sr-Cyrl-CS"/>
        </w:rPr>
        <w:t xml:space="preserve"> </w:t>
      </w:r>
      <w:bookmarkEnd w:id="408"/>
      <w:bookmarkEnd w:id="409"/>
      <w:bookmarkEnd w:id="410"/>
      <w:r w:rsidR="00D73AAB" w:rsidRPr="005303F7">
        <w:rPr>
          <w:rFonts w:ascii="Times New Roman" w:hAnsi="Times New Roman" w:cs="Times New Roman"/>
          <w:sz w:val="24"/>
          <w:szCs w:val="24"/>
          <w:lang w:val="sr-Cyrl-CS"/>
        </w:rPr>
        <w:t>Републици Србији</w:t>
      </w:r>
    </w:p>
    <w:p w14:paraId="4B82A2E1" w14:textId="77777777" w:rsidR="00D0501F" w:rsidRPr="005303F7" w:rsidRDefault="00D0501F" w:rsidP="00D0501F">
      <w:pPr>
        <w:rPr>
          <w:lang w:val="sr-Cyrl-CS"/>
        </w:rPr>
      </w:pPr>
    </w:p>
    <w:p w14:paraId="03290B7C" w14:textId="1D5ED10A" w:rsidR="007C4CD3" w:rsidRPr="005303F7" w:rsidRDefault="00CC6964" w:rsidP="009F7017">
      <w:pPr>
        <w:rPr>
          <w:rFonts w:ascii="Times New Roman" w:hAnsi="Times New Roman"/>
          <w:sz w:val="24"/>
          <w:lang w:val="sr-Cyrl-CS"/>
        </w:rPr>
      </w:pPr>
      <w:bookmarkStart w:id="414" w:name="_Hlk12903692"/>
      <w:r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складу</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са</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студијама</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произведеним</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оквиру</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припреме</w:t>
      </w:r>
      <w:r w:rsidR="00443933" w:rsidRPr="005303F7">
        <w:rPr>
          <w:rFonts w:ascii="Times New Roman" w:hAnsi="Times New Roman"/>
          <w:sz w:val="24"/>
          <w:lang w:val="sr-Cyrl-CS"/>
        </w:rPr>
        <w:t xml:space="preserve"> </w:t>
      </w:r>
      <w:r w:rsidR="008D69AF" w:rsidRPr="005303F7">
        <w:rPr>
          <w:rFonts w:ascii="Times New Roman" w:hAnsi="Times New Roman"/>
          <w:sz w:val="24"/>
          <w:lang w:val="sr-Cyrl-CS"/>
        </w:rPr>
        <w:t>Тре</w:t>
      </w:r>
      <w:r w:rsidR="00016298" w:rsidRPr="005303F7">
        <w:rPr>
          <w:rFonts w:ascii="Times New Roman" w:hAnsi="Times New Roman"/>
          <w:sz w:val="24"/>
          <w:lang w:val="sr-Cyrl-CS"/>
        </w:rPr>
        <w:t>ћ</w:t>
      </w:r>
      <w:r w:rsidR="008D69AF" w:rsidRPr="005303F7">
        <w:rPr>
          <w:rFonts w:ascii="Times New Roman" w:hAnsi="Times New Roman"/>
          <w:sz w:val="24"/>
          <w:lang w:val="sr-Cyrl-CS"/>
        </w:rPr>
        <w:t>е</w:t>
      </w:r>
      <w:r w:rsidR="00324CAA" w:rsidRPr="005303F7">
        <w:rPr>
          <w:rFonts w:ascii="Times New Roman" w:hAnsi="Times New Roman"/>
          <w:sz w:val="24"/>
          <w:lang w:val="sr-Cyrl-CS"/>
        </w:rPr>
        <w:t>г извештаја Републике Срвије</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према</w:t>
      </w:r>
      <w:r w:rsidR="00443933" w:rsidRPr="005303F7">
        <w:rPr>
          <w:rFonts w:ascii="Times New Roman" w:hAnsi="Times New Roman"/>
          <w:sz w:val="24"/>
          <w:lang w:val="sr-Cyrl-CS"/>
        </w:rPr>
        <w:t xml:space="preserve"> </w:t>
      </w:r>
      <w:r w:rsidR="000F5206" w:rsidRPr="005303F7">
        <w:rPr>
          <w:rFonts w:ascii="Times New Roman" w:hAnsi="Times New Roman"/>
          <w:sz w:val="24"/>
          <w:lang w:val="sr-Cyrl-CS"/>
        </w:rPr>
        <w:t>UNFCCC</w:t>
      </w:r>
      <w:r w:rsidR="007C4CD3" w:rsidRPr="005303F7">
        <w:rPr>
          <w:rFonts w:ascii="Times New Roman" w:hAnsi="Times New Roman"/>
          <w:sz w:val="24"/>
          <w:lang w:val="sr-Cyrl-CS"/>
        </w:rPr>
        <w:t>-</w:t>
      </w:r>
      <w:r w:rsidR="008D69AF" w:rsidRPr="005303F7">
        <w:rPr>
          <w:rFonts w:ascii="Times New Roman" w:hAnsi="Times New Roman"/>
          <w:sz w:val="24"/>
          <w:lang w:val="sr-Cyrl-CS"/>
        </w:rPr>
        <w:t>у</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периоду</w:t>
      </w:r>
      <w:r w:rsidR="007C4CD3" w:rsidRPr="005303F7">
        <w:rPr>
          <w:rFonts w:ascii="Times New Roman" w:hAnsi="Times New Roman"/>
          <w:sz w:val="24"/>
          <w:lang w:val="sr-Cyrl-CS"/>
        </w:rPr>
        <w:t xml:space="preserve"> 1961-2017, </w:t>
      </w:r>
      <w:r w:rsidR="008D69AF" w:rsidRPr="005303F7">
        <w:rPr>
          <w:rFonts w:ascii="Times New Roman" w:hAnsi="Times New Roman"/>
          <w:sz w:val="24"/>
          <w:lang w:val="sr-Cyrl-CS"/>
        </w:rPr>
        <w:t>температура</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се</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пове</w:t>
      </w:r>
      <w:r w:rsidR="00016298" w:rsidRPr="005303F7">
        <w:rPr>
          <w:rFonts w:ascii="Times New Roman" w:hAnsi="Times New Roman"/>
          <w:sz w:val="24"/>
          <w:lang w:val="sr-Cyrl-CS"/>
        </w:rPr>
        <w:t>ћ</w:t>
      </w:r>
      <w:r w:rsidR="008D69AF" w:rsidRPr="005303F7">
        <w:rPr>
          <w:rFonts w:ascii="Times New Roman" w:hAnsi="Times New Roman"/>
          <w:sz w:val="24"/>
          <w:lang w:val="sr-Cyrl-CS"/>
        </w:rPr>
        <w:t>авала</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просеку</w:t>
      </w:r>
      <w:r w:rsidR="007C4CD3" w:rsidRPr="005303F7">
        <w:rPr>
          <w:rFonts w:ascii="Times New Roman" w:hAnsi="Times New Roman"/>
          <w:sz w:val="24"/>
          <w:lang w:val="sr-Cyrl-CS"/>
        </w:rPr>
        <w:t xml:space="preserve"> 0,36°</w:t>
      </w:r>
      <w:r w:rsidR="000F5206" w:rsidRPr="005303F7">
        <w:rPr>
          <w:rFonts w:ascii="Times New Roman" w:hAnsi="Times New Roman"/>
          <w:sz w:val="24"/>
          <w:lang w:val="sr-Cyrl-CS"/>
        </w:rPr>
        <w:t>C</w:t>
      </w:r>
      <w:r w:rsidR="007C4CD3" w:rsidRPr="005303F7">
        <w:rPr>
          <w:rFonts w:ascii="Times New Roman" w:hAnsi="Times New Roman"/>
          <w:sz w:val="24"/>
          <w:lang w:val="sr-Cyrl-CS"/>
        </w:rPr>
        <w:t xml:space="preserve"> / </w:t>
      </w:r>
      <w:r w:rsidR="008D69AF" w:rsidRPr="005303F7">
        <w:rPr>
          <w:rFonts w:ascii="Times New Roman" w:hAnsi="Times New Roman"/>
          <w:sz w:val="24"/>
          <w:lang w:val="sr-Cyrl-CS"/>
        </w:rPr>
        <w:t>по</w:t>
      </w:r>
      <w:r w:rsidR="009D4115" w:rsidRPr="005303F7">
        <w:rPr>
          <w:rFonts w:ascii="Times New Roman" w:hAnsi="Times New Roman"/>
          <w:sz w:val="24"/>
          <w:lang w:val="sr-Cyrl-CS"/>
        </w:rPr>
        <w:t xml:space="preserve"> </w:t>
      </w:r>
      <w:r w:rsidR="008D69AF" w:rsidRPr="005303F7">
        <w:rPr>
          <w:rFonts w:ascii="Times New Roman" w:hAnsi="Times New Roman"/>
          <w:sz w:val="24"/>
          <w:lang w:val="sr-Cyrl-CS"/>
        </w:rPr>
        <w:t>деценији</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а</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периоду</w:t>
      </w:r>
      <w:r w:rsidR="007C4CD3" w:rsidRPr="005303F7">
        <w:rPr>
          <w:rFonts w:ascii="Times New Roman" w:hAnsi="Times New Roman"/>
          <w:sz w:val="24"/>
          <w:lang w:val="sr-Cyrl-CS"/>
        </w:rPr>
        <w:t xml:space="preserve"> 1981-2017</w:t>
      </w:r>
      <w:r w:rsidR="001E6DC0" w:rsidRPr="005303F7">
        <w:rPr>
          <w:rFonts w:ascii="Times New Roman" w:hAnsi="Times New Roman"/>
          <w:sz w:val="24"/>
          <w:lang w:val="sr-Cyrl-CS"/>
        </w:rPr>
        <w:t xml:space="preserve">, </w:t>
      </w:r>
      <w:r w:rsidR="008D69AF" w:rsidRPr="005303F7">
        <w:rPr>
          <w:rFonts w:ascii="Times New Roman" w:hAnsi="Times New Roman"/>
          <w:sz w:val="24"/>
          <w:lang w:val="sr-Cyrl-CS"/>
        </w:rPr>
        <w:t>овај</w:t>
      </w:r>
      <w:r w:rsidR="001E6DC0" w:rsidRPr="005303F7">
        <w:rPr>
          <w:rFonts w:ascii="Times New Roman" w:hAnsi="Times New Roman"/>
          <w:sz w:val="24"/>
          <w:lang w:val="sr-Cyrl-CS"/>
        </w:rPr>
        <w:t xml:space="preserve"> </w:t>
      </w:r>
      <w:r w:rsidR="008D69AF" w:rsidRPr="005303F7">
        <w:rPr>
          <w:rFonts w:ascii="Times New Roman" w:hAnsi="Times New Roman"/>
          <w:sz w:val="24"/>
          <w:lang w:val="sr-Cyrl-CS"/>
        </w:rPr>
        <w:t>тренд</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пораста</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температуре</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је</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био</w:t>
      </w:r>
      <w:r w:rsidR="007C4CD3" w:rsidRPr="005303F7">
        <w:rPr>
          <w:rFonts w:ascii="Times New Roman" w:hAnsi="Times New Roman"/>
          <w:sz w:val="24"/>
          <w:lang w:val="sr-Cyrl-CS"/>
        </w:rPr>
        <w:t xml:space="preserve"> 0,60 °</w:t>
      </w:r>
      <w:r w:rsidR="000F5206" w:rsidRPr="005303F7">
        <w:rPr>
          <w:rFonts w:ascii="Times New Roman" w:hAnsi="Times New Roman"/>
          <w:sz w:val="24"/>
          <w:lang w:val="sr-Cyrl-CS"/>
        </w:rPr>
        <w:t>C</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по</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деценији</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Анализа</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просторне</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промене</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акумулираних</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годишњих</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сезонских</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падавина</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за</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оба</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изабрана</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периода</w:t>
      </w:r>
      <w:r w:rsidR="007C4CD3" w:rsidRPr="005303F7">
        <w:rPr>
          <w:rFonts w:ascii="Times New Roman" w:hAnsi="Times New Roman"/>
          <w:sz w:val="24"/>
          <w:lang w:val="sr-Cyrl-CS"/>
        </w:rPr>
        <w:t xml:space="preserve"> (1998–2017</w:t>
      </w:r>
      <w:r w:rsidR="001E6DC0" w:rsidRPr="005303F7">
        <w:rPr>
          <w:rFonts w:ascii="Times New Roman" w:hAnsi="Times New Roman"/>
          <w:sz w:val="24"/>
          <w:lang w:val="sr-Cyrl-CS"/>
        </w:rPr>
        <w:t>.</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7C4CD3" w:rsidRPr="005303F7">
        <w:rPr>
          <w:rFonts w:ascii="Times New Roman" w:hAnsi="Times New Roman"/>
          <w:sz w:val="24"/>
          <w:lang w:val="sr-Cyrl-CS"/>
        </w:rPr>
        <w:t xml:space="preserve"> 2008–2017) </w:t>
      </w:r>
      <w:r w:rsidR="008D69AF" w:rsidRPr="005303F7">
        <w:rPr>
          <w:rFonts w:ascii="Times New Roman" w:hAnsi="Times New Roman"/>
          <w:sz w:val="24"/>
          <w:lang w:val="sr-Cyrl-CS"/>
        </w:rPr>
        <w:t>показује</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пове</w:t>
      </w:r>
      <w:r w:rsidR="00016298" w:rsidRPr="005303F7">
        <w:rPr>
          <w:rFonts w:ascii="Times New Roman" w:hAnsi="Times New Roman"/>
          <w:sz w:val="24"/>
          <w:lang w:val="sr-Cyrl-CS"/>
        </w:rPr>
        <w:t>ћ</w:t>
      </w:r>
      <w:r w:rsidR="008D69AF" w:rsidRPr="005303F7">
        <w:rPr>
          <w:rFonts w:ascii="Times New Roman" w:hAnsi="Times New Roman"/>
          <w:sz w:val="24"/>
          <w:lang w:val="sr-Cyrl-CS"/>
        </w:rPr>
        <w:t>ање</w:t>
      </w:r>
      <w:r w:rsidR="007C4CD3" w:rsidRPr="005303F7">
        <w:rPr>
          <w:rFonts w:ascii="Times New Roman" w:hAnsi="Times New Roman"/>
          <w:sz w:val="24"/>
          <w:lang w:val="sr-Cyrl-CS"/>
        </w:rPr>
        <w:t xml:space="preserve"> </w:t>
      </w:r>
      <w:r w:rsidR="008D69AF" w:rsidRPr="005303F7">
        <w:rPr>
          <w:rFonts w:ascii="Times New Roman" w:hAnsi="Times New Roman"/>
          <w:sz w:val="24"/>
          <w:lang w:val="sr-Cyrl-CS"/>
        </w:rPr>
        <w:t>до</w:t>
      </w:r>
      <w:r w:rsidR="007C4CD3" w:rsidRPr="005303F7">
        <w:rPr>
          <w:rFonts w:ascii="Times New Roman" w:hAnsi="Times New Roman"/>
          <w:sz w:val="24"/>
          <w:lang w:val="sr-Cyrl-CS"/>
        </w:rPr>
        <w:t xml:space="preserve"> 10%.</w:t>
      </w:r>
    </w:p>
    <w:p w14:paraId="1FB31412" w14:textId="21BDC255" w:rsidR="00FB008E" w:rsidRPr="005303F7" w:rsidRDefault="00CC6964" w:rsidP="009F7017">
      <w:pPr>
        <w:rPr>
          <w:rFonts w:ascii="Times New Roman" w:hAnsi="Times New Roman"/>
          <w:sz w:val="24"/>
          <w:lang w:val="sr-Cyrl-CS"/>
        </w:rPr>
      </w:pPr>
      <w:r w:rsidRPr="005303F7">
        <w:rPr>
          <w:rFonts w:ascii="Times New Roman" w:hAnsi="Times New Roman"/>
          <w:sz w:val="24"/>
          <w:lang w:val="sr-Cyrl-CS"/>
        </w:rPr>
        <w:t xml:space="preserve">        </w:t>
      </w:r>
      <w:r w:rsidR="008D69AF" w:rsidRPr="005303F7">
        <w:rPr>
          <w:rFonts w:ascii="Times New Roman" w:hAnsi="Times New Roman"/>
          <w:sz w:val="24"/>
          <w:lang w:val="sr-Cyrl-CS"/>
        </w:rPr>
        <w:t>Међувладин</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панел</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о</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климатским</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променама</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развио</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је</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два</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сценарија</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буду</w:t>
      </w:r>
      <w:r w:rsidR="00016298" w:rsidRPr="005303F7">
        <w:rPr>
          <w:rFonts w:ascii="Times New Roman" w:hAnsi="Times New Roman"/>
          <w:sz w:val="24"/>
          <w:lang w:val="sr-Cyrl-CS"/>
        </w:rPr>
        <w:t>ћ</w:t>
      </w:r>
      <w:r w:rsidR="008D69AF" w:rsidRPr="005303F7">
        <w:rPr>
          <w:rFonts w:ascii="Times New Roman" w:hAnsi="Times New Roman"/>
          <w:sz w:val="24"/>
          <w:lang w:val="sr-Cyrl-CS"/>
        </w:rPr>
        <w:t>их</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климатских</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услова</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који</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су</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сведени</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на</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Србију</w:t>
      </w:r>
      <w:r w:rsidR="00FB008E" w:rsidRPr="005303F7">
        <w:rPr>
          <w:rFonts w:ascii="Times New Roman" w:hAnsi="Times New Roman"/>
          <w:sz w:val="24"/>
          <w:lang w:val="sr-Cyrl-CS"/>
        </w:rPr>
        <w:t xml:space="preserve">. </w:t>
      </w:r>
      <w:r w:rsidR="000F5206" w:rsidRPr="005303F7">
        <w:rPr>
          <w:rFonts w:ascii="Times New Roman" w:hAnsi="Times New Roman"/>
          <w:sz w:val="24"/>
          <w:lang w:val="sr-Cyrl-CS"/>
        </w:rPr>
        <w:t>RCP</w:t>
      </w:r>
      <w:r w:rsidR="00FB008E" w:rsidRPr="005303F7">
        <w:rPr>
          <w:rFonts w:ascii="Times New Roman" w:hAnsi="Times New Roman"/>
          <w:sz w:val="24"/>
          <w:lang w:val="sr-Cyrl-CS"/>
        </w:rPr>
        <w:t>4.5 (</w:t>
      </w:r>
      <w:r w:rsidR="008D69AF" w:rsidRPr="005303F7">
        <w:rPr>
          <w:rFonts w:ascii="Times New Roman" w:hAnsi="Times New Roman"/>
          <w:sz w:val="24"/>
          <w:lang w:val="sr-Cyrl-CS"/>
        </w:rPr>
        <w:t>сценарио</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стабилизације</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који</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предвиђа</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стабилизацију</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емисија</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од</w:t>
      </w:r>
      <w:r w:rsidR="00FB008E" w:rsidRPr="005303F7">
        <w:rPr>
          <w:rFonts w:ascii="Times New Roman" w:hAnsi="Times New Roman"/>
          <w:sz w:val="24"/>
          <w:lang w:val="sr-Cyrl-CS"/>
        </w:rPr>
        <w:t xml:space="preserve"> 2040. </w:t>
      </w:r>
      <w:r w:rsidR="008D69AF" w:rsidRPr="005303F7">
        <w:rPr>
          <w:rFonts w:ascii="Times New Roman" w:hAnsi="Times New Roman"/>
          <w:sz w:val="24"/>
          <w:lang w:val="sr-Cyrl-CS"/>
        </w:rPr>
        <w:t>године</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нада</w:t>
      </w:r>
      <w:r w:rsidR="00D553BE" w:rsidRPr="005303F7">
        <w:rPr>
          <w:rFonts w:ascii="Times New Roman" w:hAnsi="Times New Roman"/>
          <w:sz w:val="24"/>
          <w:lang w:val="sr-Cyrl-CS"/>
        </w:rPr>
        <w:t>љ</w:t>
      </w:r>
      <w:r w:rsidR="008D69AF" w:rsidRPr="005303F7">
        <w:rPr>
          <w:rFonts w:ascii="Times New Roman" w:hAnsi="Times New Roman"/>
          <w:sz w:val="24"/>
          <w:lang w:val="sr-Cyrl-CS"/>
        </w:rPr>
        <w:t>е</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FB008E" w:rsidRPr="005303F7">
        <w:rPr>
          <w:rFonts w:ascii="Times New Roman" w:hAnsi="Times New Roman"/>
          <w:sz w:val="24"/>
          <w:lang w:val="sr-Cyrl-CS"/>
        </w:rPr>
        <w:t xml:space="preserve"> </w:t>
      </w:r>
      <w:r w:rsidR="000F5206" w:rsidRPr="005303F7">
        <w:rPr>
          <w:rFonts w:ascii="Times New Roman" w:hAnsi="Times New Roman"/>
          <w:sz w:val="24"/>
          <w:lang w:val="sr-Cyrl-CS"/>
        </w:rPr>
        <w:t>RCP</w:t>
      </w:r>
      <w:r w:rsidR="00FB008E" w:rsidRPr="005303F7">
        <w:rPr>
          <w:rFonts w:ascii="Times New Roman" w:hAnsi="Times New Roman"/>
          <w:sz w:val="24"/>
          <w:lang w:val="sr-Cyrl-CS"/>
        </w:rPr>
        <w:t>8.5 (</w:t>
      </w:r>
      <w:r w:rsidR="008D69AF" w:rsidRPr="005303F7">
        <w:rPr>
          <w:rFonts w:ascii="Times New Roman" w:hAnsi="Times New Roman"/>
          <w:sz w:val="24"/>
          <w:lang w:val="sr-Cyrl-CS"/>
        </w:rPr>
        <w:t>што</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је</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сценарио</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сталног</w:t>
      </w:r>
      <w:r w:rsidR="00FB008E" w:rsidRPr="005303F7">
        <w:rPr>
          <w:rFonts w:ascii="Times New Roman" w:hAnsi="Times New Roman"/>
          <w:sz w:val="24"/>
          <w:lang w:val="sr-Cyrl-CS"/>
        </w:rPr>
        <w:t xml:space="preserve"> </w:t>
      </w:r>
      <w:r w:rsidR="008D69AF" w:rsidRPr="005303F7">
        <w:rPr>
          <w:rFonts w:ascii="Times New Roman" w:hAnsi="Times New Roman"/>
          <w:sz w:val="24"/>
          <w:lang w:val="sr-Cyrl-CS"/>
        </w:rPr>
        <w:t>пораста</w:t>
      </w:r>
      <w:r w:rsidR="00FB008E" w:rsidRPr="005303F7">
        <w:rPr>
          <w:rFonts w:ascii="Times New Roman" w:hAnsi="Times New Roman"/>
          <w:sz w:val="24"/>
          <w:lang w:val="sr-Cyrl-CS"/>
        </w:rPr>
        <w:t>).</w:t>
      </w:r>
    </w:p>
    <w:p w14:paraId="52B9560C" w14:textId="3BD9531A" w:rsidR="009237A2" w:rsidRPr="005303F7" w:rsidRDefault="00CC6964" w:rsidP="009F7017">
      <w:pPr>
        <w:rPr>
          <w:rFonts w:ascii="Times New Roman" w:hAnsi="Times New Roman"/>
          <w:sz w:val="24"/>
          <w:lang w:val="sr-Cyrl-CS"/>
        </w:rPr>
      </w:pPr>
      <w:r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247088" w:rsidRPr="005303F7">
        <w:rPr>
          <w:rFonts w:ascii="Times New Roman" w:hAnsi="Times New Roman"/>
          <w:sz w:val="24"/>
          <w:lang w:val="sr-Cyrl-CS"/>
        </w:rPr>
        <w:t xml:space="preserve"> </w:t>
      </w:r>
      <w:r w:rsidR="008D69AF" w:rsidRPr="005303F7">
        <w:rPr>
          <w:rFonts w:ascii="Times New Roman" w:hAnsi="Times New Roman"/>
          <w:sz w:val="24"/>
          <w:lang w:val="sr-Cyrl-CS"/>
        </w:rPr>
        <w:t>складу</w:t>
      </w:r>
      <w:r w:rsidR="00247088" w:rsidRPr="005303F7">
        <w:rPr>
          <w:rFonts w:ascii="Times New Roman" w:hAnsi="Times New Roman"/>
          <w:sz w:val="24"/>
          <w:lang w:val="sr-Cyrl-CS"/>
        </w:rPr>
        <w:t xml:space="preserve"> </w:t>
      </w:r>
      <w:r w:rsidR="008D69AF" w:rsidRPr="005303F7">
        <w:rPr>
          <w:rFonts w:ascii="Times New Roman" w:hAnsi="Times New Roman"/>
          <w:sz w:val="24"/>
          <w:lang w:val="sr-Cyrl-CS"/>
        </w:rPr>
        <w:t>са</w:t>
      </w:r>
      <w:r w:rsidR="00247088" w:rsidRPr="005303F7">
        <w:rPr>
          <w:rFonts w:ascii="Times New Roman" w:hAnsi="Times New Roman"/>
          <w:sz w:val="24"/>
          <w:lang w:val="sr-Cyrl-CS"/>
        </w:rPr>
        <w:t xml:space="preserve"> </w:t>
      </w:r>
      <w:r w:rsidR="008D69AF" w:rsidRPr="005303F7">
        <w:rPr>
          <w:rFonts w:ascii="Times New Roman" w:hAnsi="Times New Roman"/>
          <w:sz w:val="24"/>
          <w:lang w:val="sr-Cyrl-CS"/>
        </w:rPr>
        <w:t>резултатима</w:t>
      </w:r>
      <w:r w:rsidR="00247088" w:rsidRPr="005303F7">
        <w:rPr>
          <w:rFonts w:ascii="Times New Roman" w:hAnsi="Times New Roman"/>
          <w:sz w:val="24"/>
          <w:lang w:val="sr-Cyrl-CS"/>
        </w:rPr>
        <w:t xml:space="preserve"> </w:t>
      </w:r>
      <w:r w:rsidR="008D69AF" w:rsidRPr="005303F7">
        <w:rPr>
          <w:rFonts w:ascii="Times New Roman" w:hAnsi="Times New Roman"/>
          <w:sz w:val="24"/>
          <w:lang w:val="sr-Cyrl-CS"/>
        </w:rPr>
        <w:t>сценаријима</w:t>
      </w:r>
      <w:r w:rsidR="00247088" w:rsidRPr="005303F7">
        <w:rPr>
          <w:rFonts w:ascii="Times New Roman" w:hAnsi="Times New Roman"/>
          <w:sz w:val="24"/>
          <w:lang w:val="sr-Cyrl-CS"/>
        </w:rPr>
        <w:t xml:space="preserve"> </w:t>
      </w:r>
      <w:r w:rsidR="008D69AF" w:rsidRPr="005303F7">
        <w:rPr>
          <w:rFonts w:ascii="Times New Roman" w:hAnsi="Times New Roman"/>
          <w:sz w:val="24"/>
          <w:lang w:val="sr-Cyrl-CS"/>
        </w:rPr>
        <w:t>за</w:t>
      </w:r>
      <w:r w:rsidR="00247088" w:rsidRPr="005303F7">
        <w:rPr>
          <w:rFonts w:ascii="Times New Roman" w:hAnsi="Times New Roman"/>
          <w:sz w:val="24"/>
          <w:lang w:val="sr-Cyrl-CS"/>
        </w:rPr>
        <w:t xml:space="preserve"> </w:t>
      </w:r>
      <w:r w:rsidR="008D69AF" w:rsidRPr="005303F7">
        <w:rPr>
          <w:rFonts w:ascii="Times New Roman" w:hAnsi="Times New Roman"/>
          <w:sz w:val="24"/>
          <w:lang w:val="sr-Cyrl-CS"/>
        </w:rPr>
        <w:t>Србију</w:t>
      </w:r>
      <w:r w:rsidR="009237A2"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247088" w:rsidRPr="005303F7">
        <w:rPr>
          <w:rFonts w:ascii="Times New Roman" w:hAnsi="Times New Roman"/>
          <w:sz w:val="24"/>
          <w:lang w:val="sr-Cyrl-CS"/>
        </w:rPr>
        <w:t xml:space="preserve"> </w:t>
      </w:r>
      <w:r w:rsidR="008D69AF" w:rsidRPr="005303F7">
        <w:rPr>
          <w:rFonts w:ascii="Times New Roman" w:hAnsi="Times New Roman"/>
          <w:sz w:val="24"/>
          <w:lang w:val="sr-Cyrl-CS"/>
        </w:rPr>
        <w:t>сценарију</w:t>
      </w:r>
      <w:r w:rsidR="009237A2" w:rsidRPr="005303F7">
        <w:rPr>
          <w:rFonts w:ascii="Times New Roman" w:hAnsi="Times New Roman"/>
          <w:sz w:val="24"/>
          <w:lang w:val="sr-Cyrl-CS"/>
        </w:rPr>
        <w:t xml:space="preserve"> </w:t>
      </w:r>
      <w:r w:rsidR="000F5206" w:rsidRPr="005303F7">
        <w:rPr>
          <w:rFonts w:ascii="Times New Roman" w:hAnsi="Times New Roman"/>
          <w:sz w:val="24"/>
          <w:lang w:val="sr-Cyrl-CS"/>
        </w:rPr>
        <w:t>RCP</w:t>
      </w:r>
      <w:r w:rsidR="009237A2" w:rsidRPr="005303F7">
        <w:rPr>
          <w:rFonts w:ascii="Times New Roman" w:hAnsi="Times New Roman"/>
          <w:sz w:val="24"/>
          <w:lang w:val="sr-Cyrl-CS"/>
        </w:rPr>
        <w:t>4.5</w:t>
      </w:r>
      <w:r w:rsidR="00247088" w:rsidRPr="005303F7">
        <w:rPr>
          <w:rFonts w:ascii="Times New Roman" w:hAnsi="Times New Roman"/>
          <w:sz w:val="24"/>
          <w:lang w:val="sr-Cyrl-CS"/>
        </w:rPr>
        <w:t xml:space="preserve"> </w:t>
      </w:r>
      <w:r w:rsidR="008D69AF" w:rsidRPr="005303F7">
        <w:rPr>
          <w:rFonts w:ascii="Times New Roman" w:hAnsi="Times New Roman"/>
          <w:sz w:val="24"/>
          <w:lang w:val="sr-Cyrl-CS"/>
        </w:rPr>
        <w:t>се</w:t>
      </w:r>
      <w:r w:rsidR="00247088" w:rsidRPr="005303F7">
        <w:rPr>
          <w:rFonts w:ascii="Times New Roman" w:hAnsi="Times New Roman"/>
          <w:sz w:val="24"/>
          <w:lang w:val="sr-Cyrl-CS"/>
        </w:rPr>
        <w:t xml:space="preserve"> </w:t>
      </w:r>
      <w:r w:rsidR="008D69AF" w:rsidRPr="005303F7">
        <w:rPr>
          <w:rFonts w:ascii="Times New Roman" w:hAnsi="Times New Roman"/>
          <w:sz w:val="24"/>
          <w:lang w:val="sr-Cyrl-CS"/>
        </w:rPr>
        <w:t>предвиђа</w:t>
      </w:r>
      <w:r w:rsidR="00247088" w:rsidRPr="005303F7">
        <w:rPr>
          <w:rFonts w:ascii="Times New Roman" w:hAnsi="Times New Roman"/>
          <w:sz w:val="24"/>
          <w:lang w:val="sr-Cyrl-CS"/>
        </w:rPr>
        <w:t xml:space="preserve"> </w:t>
      </w:r>
      <w:r w:rsidR="008D69AF" w:rsidRPr="005303F7">
        <w:rPr>
          <w:rFonts w:ascii="Times New Roman" w:hAnsi="Times New Roman"/>
          <w:sz w:val="24"/>
          <w:lang w:val="sr-Cyrl-CS"/>
        </w:rPr>
        <w:t>пораст</w:t>
      </w:r>
      <w:r w:rsidR="00247088" w:rsidRPr="005303F7">
        <w:rPr>
          <w:rFonts w:ascii="Times New Roman" w:hAnsi="Times New Roman"/>
          <w:sz w:val="24"/>
          <w:lang w:val="sr-Cyrl-CS"/>
        </w:rPr>
        <w:t xml:space="preserve"> </w:t>
      </w:r>
      <w:r w:rsidR="008D69AF" w:rsidRPr="005303F7">
        <w:rPr>
          <w:rFonts w:ascii="Times New Roman" w:hAnsi="Times New Roman"/>
          <w:sz w:val="24"/>
          <w:lang w:val="sr-Cyrl-CS"/>
        </w:rPr>
        <w:t>од</w:t>
      </w:r>
      <w:r w:rsidR="00247088" w:rsidRPr="005303F7">
        <w:rPr>
          <w:rFonts w:ascii="Times New Roman" w:hAnsi="Times New Roman"/>
          <w:sz w:val="24"/>
          <w:lang w:val="sr-Cyrl-CS"/>
        </w:rPr>
        <w:t xml:space="preserve"> </w:t>
      </w:r>
      <w:r w:rsidR="008D69AF" w:rsidRPr="005303F7">
        <w:rPr>
          <w:rFonts w:ascii="Times New Roman" w:hAnsi="Times New Roman"/>
          <w:sz w:val="24"/>
          <w:lang w:val="sr-Cyrl-CS"/>
        </w:rPr>
        <w:t>око</w:t>
      </w:r>
      <w:r w:rsidR="009237A2" w:rsidRPr="005303F7">
        <w:rPr>
          <w:rFonts w:ascii="Times New Roman" w:hAnsi="Times New Roman"/>
          <w:sz w:val="24"/>
          <w:lang w:val="sr-Cyrl-CS"/>
        </w:rPr>
        <w:t xml:space="preserve"> 0,5º</w:t>
      </w:r>
      <w:r w:rsidR="000F5206" w:rsidRPr="005303F7">
        <w:rPr>
          <w:rFonts w:ascii="Times New Roman" w:hAnsi="Times New Roman"/>
          <w:sz w:val="24"/>
          <w:lang w:val="sr-Cyrl-CS"/>
        </w:rPr>
        <w:t>C</w:t>
      </w:r>
      <w:r w:rsidR="009237A2"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247088" w:rsidRPr="005303F7">
        <w:rPr>
          <w:rFonts w:ascii="Times New Roman" w:hAnsi="Times New Roman"/>
          <w:sz w:val="24"/>
          <w:lang w:val="sr-Cyrl-CS"/>
        </w:rPr>
        <w:t xml:space="preserve"> </w:t>
      </w:r>
      <w:r w:rsidR="008D69AF" w:rsidRPr="005303F7">
        <w:rPr>
          <w:rFonts w:ascii="Times New Roman" w:hAnsi="Times New Roman"/>
          <w:sz w:val="24"/>
          <w:lang w:val="sr-Cyrl-CS"/>
        </w:rPr>
        <w:t>периоду</w:t>
      </w:r>
      <w:r w:rsidR="00247088" w:rsidRPr="005303F7">
        <w:rPr>
          <w:rFonts w:ascii="Times New Roman" w:hAnsi="Times New Roman"/>
          <w:sz w:val="24"/>
          <w:lang w:val="sr-Cyrl-CS"/>
        </w:rPr>
        <w:t xml:space="preserve"> </w:t>
      </w:r>
      <w:r w:rsidR="009237A2" w:rsidRPr="005303F7">
        <w:rPr>
          <w:rFonts w:ascii="Times New Roman" w:hAnsi="Times New Roman"/>
          <w:sz w:val="24"/>
          <w:lang w:val="sr-Cyrl-CS"/>
        </w:rPr>
        <w:t>2016-2035</w:t>
      </w:r>
      <w:r w:rsidR="00247088" w:rsidRPr="005303F7">
        <w:rPr>
          <w:rFonts w:ascii="Times New Roman" w:hAnsi="Times New Roman"/>
          <w:sz w:val="24"/>
          <w:lang w:val="sr-Cyrl-CS"/>
        </w:rPr>
        <w:t xml:space="preserve">, </w:t>
      </w:r>
      <w:r w:rsidR="008D69AF" w:rsidRPr="005303F7">
        <w:rPr>
          <w:rFonts w:ascii="Times New Roman" w:hAnsi="Times New Roman"/>
          <w:sz w:val="24"/>
          <w:lang w:val="sr-Cyrl-CS"/>
        </w:rPr>
        <w:t>око</w:t>
      </w:r>
      <w:r w:rsidR="009237A2" w:rsidRPr="005303F7">
        <w:rPr>
          <w:rFonts w:ascii="Times New Roman" w:hAnsi="Times New Roman"/>
          <w:sz w:val="24"/>
          <w:lang w:val="sr-Cyrl-CS"/>
        </w:rPr>
        <w:t xml:space="preserve"> 1,5º</w:t>
      </w:r>
      <w:r w:rsidR="000F5206" w:rsidRPr="005303F7">
        <w:rPr>
          <w:rFonts w:ascii="Times New Roman" w:hAnsi="Times New Roman"/>
          <w:sz w:val="24"/>
          <w:lang w:val="sr-Cyrl-CS"/>
        </w:rPr>
        <w:t>C</w:t>
      </w:r>
      <w:r w:rsidR="009237A2"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247088" w:rsidRPr="005303F7">
        <w:rPr>
          <w:rFonts w:ascii="Times New Roman" w:hAnsi="Times New Roman"/>
          <w:sz w:val="24"/>
          <w:lang w:val="sr-Cyrl-CS"/>
        </w:rPr>
        <w:t xml:space="preserve"> </w:t>
      </w:r>
      <w:r w:rsidR="008D69AF" w:rsidRPr="005303F7">
        <w:rPr>
          <w:rFonts w:ascii="Times New Roman" w:hAnsi="Times New Roman"/>
          <w:sz w:val="24"/>
          <w:lang w:val="sr-Cyrl-CS"/>
        </w:rPr>
        <w:t>периоду</w:t>
      </w:r>
      <w:r w:rsidR="00247088" w:rsidRPr="005303F7">
        <w:rPr>
          <w:rFonts w:ascii="Times New Roman" w:hAnsi="Times New Roman"/>
          <w:sz w:val="24"/>
          <w:lang w:val="sr-Cyrl-CS"/>
        </w:rPr>
        <w:t xml:space="preserve"> </w:t>
      </w:r>
      <w:r w:rsidR="009237A2" w:rsidRPr="005303F7">
        <w:rPr>
          <w:rFonts w:ascii="Times New Roman" w:hAnsi="Times New Roman"/>
          <w:sz w:val="24"/>
          <w:lang w:val="sr-Cyrl-CS"/>
        </w:rPr>
        <w:t>2046-2065</w:t>
      </w:r>
      <w:r w:rsidR="00247088" w:rsidRPr="005303F7">
        <w:rPr>
          <w:rFonts w:ascii="Times New Roman" w:hAnsi="Times New Roman"/>
          <w:sz w:val="24"/>
          <w:lang w:val="sr-Cyrl-CS"/>
        </w:rPr>
        <w:t>.</w:t>
      </w:r>
      <w:r w:rsidR="009237A2"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247088" w:rsidRPr="005303F7">
        <w:rPr>
          <w:rFonts w:ascii="Times New Roman" w:hAnsi="Times New Roman"/>
          <w:sz w:val="24"/>
          <w:lang w:val="sr-Cyrl-CS"/>
        </w:rPr>
        <w:t xml:space="preserve"> </w:t>
      </w:r>
      <w:r w:rsidR="008D69AF" w:rsidRPr="005303F7">
        <w:rPr>
          <w:rFonts w:ascii="Times New Roman" w:hAnsi="Times New Roman"/>
          <w:sz w:val="24"/>
          <w:lang w:val="sr-Cyrl-CS"/>
        </w:rPr>
        <w:t>око</w:t>
      </w:r>
      <w:r w:rsidR="009237A2" w:rsidRPr="005303F7">
        <w:rPr>
          <w:rFonts w:ascii="Times New Roman" w:hAnsi="Times New Roman"/>
          <w:sz w:val="24"/>
          <w:lang w:val="sr-Cyrl-CS"/>
        </w:rPr>
        <w:t xml:space="preserve"> 2º</w:t>
      </w:r>
      <w:r w:rsidR="000F5206" w:rsidRPr="005303F7">
        <w:rPr>
          <w:rFonts w:ascii="Times New Roman" w:hAnsi="Times New Roman"/>
          <w:sz w:val="24"/>
          <w:lang w:val="sr-Cyrl-CS"/>
        </w:rPr>
        <w:t>C</w:t>
      </w:r>
      <w:r w:rsidR="009237A2"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247088" w:rsidRPr="005303F7">
        <w:rPr>
          <w:rFonts w:ascii="Times New Roman" w:hAnsi="Times New Roman"/>
          <w:sz w:val="24"/>
          <w:lang w:val="sr-Cyrl-CS"/>
        </w:rPr>
        <w:t xml:space="preserve"> </w:t>
      </w:r>
      <w:r w:rsidR="008D69AF" w:rsidRPr="005303F7">
        <w:rPr>
          <w:rFonts w:ascii="Times New Roman" w:hAnsi="Times New Roman"/>
          <w:sz w:val="24"/>
          <w:lang w:val="sr-Cyrl-CS"/>
        </w:rPr>
        <w:t>периоду</w:t>
      </w:r>
      <w:r w:rsidR="00247088" w:rsidRPr="005303F7">
        <w:rPr>
          <w:rFonts w:ascii="Times New Roman" w:hAnsi="Times New Roman"/>
          <w:sz w:val="24"/>
          <w:lang w:val="sr-Cyrl-CS"/>
        </w:rPr>
        <w:t xml:space="preserve"> </w:t>
      </w:r>
      <w:r w:rsidR="009237A2" w:rsidRPr="005303F7">
        <w:rPr>
          <w:rFonts w:ascii="Times New Roman" w:hAnsi="Times New Roman"/>
          <w:sz w:val="24"/>
          <w:lang w:val="sr-Cyrl-CS"/>
        </w:rPr>
        <w:t>2081-2100</w:t>
      </w:r>
      <w:r w:rsidR="00247088" w:rsidRPr="005303F7">
        <w:rPr>
          <w:rFonts w:ascii="Times New Roman" w:hAnsi="Times New Roman"/>
          <w:sz w:val="24"/>
          <w:lang w:val="sr-Cyrl-CS"/>
        </w:rPr>
        <w:t xml:space="preserve">. </w:t>
      </w:r>
      <w:r w:rsidR="008D69AF" w:rsidRPr="005303F7">
        <w:rPr>
          <w:rFonts w:ascii="Times New Roman" w:hAnsi="Times New Roman"/>
          <w:sz w:val="24"/>
          <w:lang w:val="sr-Cyrl-CS"/>
        </w:rPr>
        <w:t>године</w:t>
      </w:r>
      <w:r w:rsidR="009237A2"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247088" w:rsidRPr="005303F7">
        <w:rPr>
          <w:rFonts w:ascii="Times New Roman" w:hAnsi="Times New Roman"/>
          <w:sz w:val="24"/>
          <w:lang w:val="sr-Cyrl-CS"/>
        </w:rPr>
        <w:t xml:space="preserve"> </w:t>
      </w:r>
      <w:r w:rsidR="008D69AF" w:rsidRPr="005303F7">
        <w:rPr>
          <w:rFonts w:ascii="Times New Roman" w:hAnsi="Times New Roman"/>
          <w:sz w:val="24"/>
          <w:lang w:val="sr-Cyrl-CS"/>
        </w:rPr>
        <w:t>поређењу</w:t>
      </w:r>
      <w:r w:rsidR="00247088" w:rsidRPr="005303F7">
        <w:rPr>
          <w:rFonts w:ascii="Times New Roman" w:hAnsi="Times New Roman"/>
          <w:sz w:val="24"/>
          <w:lang w:val="sr-Cyrl-CS"/>
        </w:rPr>
        <w:t xml:space="preserve"> </w:t>
      </w:r>
      <w:r w:rsidR="008D69AF" w:rsidRPr="005303F7">
        <w:rPr>
          <w:rFonts w:ascii="Times New Roman" w:hAnsi="Times New Roman"/>
          <w:sz w:val="24"/>
          <w:lang w:val="sr-Cyrl-CS"/>
        </w:rPr>
        <w:t>са</w:t>
      </w:r>
      <w:r w:rsidR="00247088" w:rsidRPr="005303F7">
        <w:rPr>
          <w:rFonts w:ascii="Times New Roman" w:hAnsi="Times New Roman"/>
          <w:sz w:val="24"/>
          <w:lang w:val="sr-Cyrl-CS"/>
        </w:rPr>
        <w:t xml:space="preserve"> </w:t>
      </w:r>
      <w:r w:rsidR="008D69AF" w:rsidRPr="005303F7">
        <w:rPr>
          <w:rFonts w:ascii="Times New Roman" w:hAnsi="Times New Roman"/>
          <w:sz w:val="24"/>
          <w:lang w:val="sr-Cyrl-CS"/>
        </w:rPr>
        <w:t>референтним</w:t>
      </w:r>
      <w:r w:rsidR="00247088" w:rsidRPr="005303F7">
        <w:rPr>
          <w:rFonts w:ascii="Times New Roman" w:hAnsi="Times New Roman"/>
          <w:sz w:val="24"/>
          <w:lang w:val="sr-Cyrl-CS"/>
        </w:rPr>
        <w:t xml:space="preserve"> </w:t>
      </w:r>
      <w:r w:rsidR="008D69AF" w:rsidRPr="005303F7">
        <w:rPr>
          <w:rFonts w:ascii="Times New Roman" w:hAnsi="Times New Roman"/>
          <w:sz w:val="24"/>
          <w:lang w:val="sr-Cyrl-CS"/>
        </w:rPr>
        <w:t>периодом</w:t>
      </w:r>
      <w:r w:rsidR="009237A2" w:rsidRPr="005303F7">
        <w:rPr>
          <w:rFonts w:ascii="Times New Roman" w:hAnsi="Times New Roman"/>
          <w:sz w:val="24"/>
          <w:lang w:val="sr-Cyrl-CS"/>
        </w:rPr>
        <w:t xml:space="preserve"> (198</w:t>
      </w:r>
      <w:r w:rsidR="006F2DB3" w:rsidRPr="005303F7">
        <w:rPr>
          <w:rFonts w:ascii="Times New Roman" w:hAnsi="Times New Roman"/>
          <w:sz w:val="24"/>
          <w:lang w:val="sr-Cyrl-CS"/>
        </w:rPr>
        <w:t>6</w:t>
      </w:r>
      <w:r w:rsidR="009237A2" w:rsidRPr="005303F7">
        <w:rPr>
          <w:rFonts w:ascii="Times New Roman" w:hAnsi="Times New Roman"/>
          <w:sz w:val="24"/>
          <w:lang w:val="sr-Cyrl-CS"/>
        </w:rPr>
        <w:t>-2005).</w:t>
      </w:r>
    </w:p>
    <w:p w14:paraId="2B26F5A9" w14:textId="7136CE36" w:rsidR="009237A2" w:rsidRPr="005303F7" w:rsidRDefault="00CC6964" w:rsidP="009F7017">
      <w:pPr>
        <w:rPr>
          <w:rFonts w:ascii="Times New Roman" w:hAnsi="Times New Roman"/>
          <w:sz w:val="24"/>
          <w:lang w:val="sr-Cyrl-CS"/>
        </w:rPr>
      </w:pPr>
      <w:r w:rsidRPr="005303F7">
        <w:rPr>
          <w:rFonts w:ascii="Times New Roman" w:hAnsi="Times New Roman"/>
          <w:sz w:val="24"/>
          <w:lang w:val="sr-Cyrl-CS"/>
        </w:rPr>
        <w:t xml:space="preserve">        </w:t>
      </w:r>
      <w:r w:rsidR="008D69AF" w:rsidRPr="005303F7">
        <w:rPr>
          <w:rFonts w:ascii="Times New Roman" w:hAnsi="Times New Roman"/>
          <w:sz w:val="24"/>
          <w:lang w:val="sr-Cyrl-CS"/>
        </w:rPr>
        <w:t>Према</w:t>
      </w:r>
      <w:r w:rsidR="00CA1176" w:rsidRPr="005303F7">
        <w:rPr>
          <w:rFonts w:ascii="Times New Roman" w:hAnsi="Times New Roman"/>
          <w:sz w:val="24"/>
          <w:lang w:val="sr-Cyrl-CS"/>
        </w:rPr>
        <w:t xml:space="preserve"> </w:t>
      </w:r>
      <w:r w:rsidR="008D69AF" w:rsidRPr="005303F7">
        <w:rPr>
          <w:rFonts w:ascii="Times New Roman" w:hAnsi="Times New Roman"/>
          <w:sz w:val="24"/>
          <w:lang w:val="sr-Cyrl-CS"/>
        </w:rPr>
        <w:t>сценарију</w:t>
      </w:r>
      <w:r w:rsidR="009237A2" w:rsidRPr="005303F7">
        <w:rPr>
          <w:rFonts w:ascii="Times New Roman" w:hAnsi="Times New Roman"/>
          <w:sz w:val="24"/>
          <w:lang w:val="sr-Cyrl-CS"/>
        </w:rPr>
        <w:t xml:space="preserve"> </w:t>
      </w:r>
      <w:r w:rsidR="00605FFB" w:rsidRPr="005303F7">
        <w:rPr>
          <w:rFonts w:ascii="Times New Roman" w:hAnsi="Times New Roman"/>
          <w:sz w:val="24"/>
          <w:lang w:val="sr-Cyrl-CS"/>
        </w:rPr>
        <w:t>RCP</w:t>
      </w:r>
      <w:r w:rsidR="009237A2" w:rsidRPr="005303F7">
        <w:rPr>
          <w:rFonts w:ascii="Times New Roman" w:hAnsi="Times New Roman"/>
          <w:sz w:val="24"/>
          <w:lang w:val="sr-Cyrl-CS"/>
        </w:rPr>
        <w:t xml:space="preserve">8.5 </w:t>
      </w:r>
      <w:r w:rsidR="008D69AF" w:rsidRPr="005303F7">
        <w:rPr>
          <w:rFonts w:ascii="Times New Roman" w:hAnsi="Times New Roman"/>
          <w:sz w:val="24"/>
          <w:lang w:val="sr-Cyrl-CS"/>
        </w:rPr>
        <w:t>температура</w:t>
      </w:r>
      <w:r w:rsidR="00CA1176" w:rsidRPr="005303F7">
        <w:rPr>
          <w:rFonts w:ascii="Times New Roman" w:hAnsi="Times New Roman"/>
          <w:sz w:val="24"/>
          <w:lang w:val="sr-Cyrl-CS"/>
        </w:rPr>
        <w:t xml:space="preserve"> </w:t>
      </w:r>
      <w:r w:rsidR="008D69AF" w:rsidRPr="005303F7">
        <w:rPr>
          <w:rFonts w:ascii="Times New Roman" w:hAnsi="Times New Roman"/>
          <w:sz w:val="24"/>
          <w:lang w:val="sr-Cyrl-CS"/>
        </w:rPr>
        <w:t>ће</w:t>
      </w:r>
      <w:r w:rsidR="00CA1176" w:rsidRPr="005303F7">
        <w:rPr>
          <w:rFonts w:ascii="Times New Roman" w:hAnsi="Times New Roman"/>
          <w:sz w:val="24"/>
          <w:lang w:val="sr-Cyrl-CS"/>
        </w:rPr>
        <w:t xml:space="preserve"> </w:t>
      </w:r>
      <w:r w:rsidR="008D69AF" w:rsidRPr="005303F7">
        <w:rPr>
          <w:rFonts w:ascii="Times New Roman" w:hAnsi="Times New Roman"/>
          <w:sz w:val="24"/>
          <w:lang w:val="sr-Cyrl-CS"/>
        </w:rPr>
        <w:t>се</w:t>
      </w:r>
      <w:r w:rsidR="00CA1176" w:rsidRPr="005303F7">
        <w:rPr>
          <w:rFonts w:ascii="Times New Roman" w:hAnsi="Times New Roman"/>
          <w:sz w:val="24"/>
          <w:lang w:val="sr-Cyrl-CS"/>
        </w:rPr>
        <w:t xml:space="preserve"> </w:t>
      </w:r>
      <w:r w:rsidR="008D69AF" w:rsidRPr="005303F7">
        <w:rPr>
          <w:rFonts w:ascii="Times New Roman" w:hAnsi="Times New Roman"/>
          <w:sz w:val="24"/>
          <w:lang w:val="sr-Cyrl-CS"/>
        </w:rPr>
        <w:t>повећати</w:t>
      </w:r>
      <w:r w:rsidR="00CA1176" w:rsidRPr="005303F7">
        <w:rPr>
          <w:rFonts w:ascii="Times New Roman" w:hAnsi="Times New Roman"/>
          <w:sz w:val="24"/>
          <w:lang w:val="sr-Cyrl-CS"/>
        </w:rPr>
        <w:t xml:space="preserve"> </w:t>
      </w:r>
      <w:r w:rsidR="008D69AF" w:rsidRPr="005303F7">
        <w:rPr>
          <w:rFonts w:ascii="Times New Roman" w:hAnsi="Times New Roman"/>
          <w:sz w:val="24"/>
          <w:lang w:val="sr-Cyrl-CS"/>
        </w:rPr>
        <w:t>за</w:t>
      </w:r>
      <w:r w:rsidR="009237A2" w:rsidRPr="005303F7">
        <w:rPr>
          <w:rFonts w:ascii="Times New Roman" w:hAnsi="Times New Roman"/>
          <w:sz w:val="24"/>
          <w:lang w:val="sr-Cyrl-CS"/>
        </w:rPr>
        <w:t xml:space="preserve"> 1º</w:t>
      </w:r>
      <w:r w:rsidR="000F5206" w:rsidRPr="005303F7">
        <w:rPr>
          <w:rFonts w:ascii="Times New Roman" w:hAnsi="Times New Roman"/>
          <w:sz w:val="24"/>
          <w:lang w:val="sr-Cyrl-CS"/>
        </w:rPr>
        <w:t>C</w:t>
      </w:r>
      <w:r w:rsidR="009237A2"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CA1176" w:rsidRPr="005303F7">
        <w:rPr>
          <w:rFonts w:ascii="Times New Roman" w:hAnsi="Times New Roman"/>
          <w:sz w:val="24"/>
          <w:lang w:val="sr-Cyrl-CS"/>
        </w:rPr>
        <w:t xml:space="preserve"> </w:t>
      </w:r>
      <w:r w:rsidR="008D69AF" w:rsidRPr="005303F7">
        <w:rPr>
          <w:rFonts w:ascii="Times New Roman" w:hAnsi="Times New Roman"/>
          <w:sz w:val="24"/>
          <w:lang w:val="sr-Cyrl-CS"/>
        </w:rPr>
        <w:t>периоду</w:t>
      </w:r>
      <w:r w:rsidR="009237A2" w:rsidRPr="005303F7">
        <w:rPr>
          <w:rFonts w:ascii="Times New Roman" w:hAnsi="Times New Roman"/>
          <w:sz w:val="24"/>
          <w:lang w:val="sr-Cyrl-CS"/>
        </w:rPr>
        <w:t xml:space="preserve"> 2016-2035; 2º</w:t>
      </w:r>
      <w:r w:rsidR="000F5206" w:rsidRPr="005303F7">
        <w:rPr>
          <w:rFonts w:ascii="Times New Roman" w:hAnsi="Times New Roman"/>
          <w:sz w:val="24"/>
          <w:lang w:val="sr-Cyrl-CS"/>
        </w:rPr>
        <w:t>C</w:t>
      </w:r>
      <w:r w:rsidR="009237A2"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CA1176" w:rsidRPr="005303F7">
        <w:rPr>
          <w:rFonts w:ascii="Times New Roman" w:hAnsi="Times New Roman"/>
          <w:sz w:val="24"/>
          <w:lang w:val="sr-Cyrl-CS"/>
        </w:rPr>
        <w:t xml:space="preserve"> </w:t>
      </w:r>
      <w:r w:rsidR="008D69AF" w:rsidRPr="005303F7">
        <w:rPr>
          <w:rFonts w:ascii="Times New Roman" w:hAnsi="Times New Roman"/>
          <w:sz w:val="24"/>
          <w:lang w:val="sr-Cyrl-CS"/>
        </w:rPr>
        <w:t>периоду</w:t>
      </w:r>
      <w:r w:rsidR="009237A2" w:rsidRPr="005303F7">
        <w:rPr>
          <w:rFonts w:ascii="Times New Roman" w:hAnsi="Times New Roman"/>
          <w:sz w:val="24"/>
          <w:lang w:val="sr-Cyrl-CS"/>
        </w:rPr>
        <w:t xml:space="preserve"> 2046-2065</w:t>
      </w:r>
      <w:r w:rsidR="00CA1176" w:rsidRPr="005303F7">
        <w:rPr>
          <w:rFonts w:ascii="Times New Roman" w:hAnsi="Times New Roman"/>
          <w:sz w:val="24"/>
          <w:lang w:val="sr-Cyrl-CS"/>
        </w:rPr>
        <w:t>.</w:t>
      </w:r>
      <w:r w:rsidR="009237A2"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CA1176" w:rsidRPr="005303F7">
        <w:rPr>
          <w:rFonts w:ascii="Times New Roman" w:hAnsi="Times New Roman"/>
          <w:sz w:val="24"/>
          <w:lang w:val="sr-Cyrl-CS"/>
        </w:rPr>
        <w:t xml:space="preserve"> </w:t>
      </w:r>
      <w:r w:rsidR="008D69AF" w:rsidRPr="005303F7">
        <w:rPr>
          <w:rFonts w:ascii="Times New Roman" w:hAnsi="Times New Roman"/>
          <w:sz w:val="24"/>
          <w:lang w:val="sr-Cyrl-CS"/>
        </w:rPr>
        <w:t>преко</w:t>
      </w:r>
      <w:r w:rsidR="009237A2" w:rsidRPr="005303F7">
        <w:rPr>
          <w:rFonts w:ascii="Times New Roman" w:hAnsi="Times New Roman"/>
          <w:sz w:val="24"/>
          <w:lang w:val="sr-Cyrl-CS"/>
        </w:rPr>
        <w:t xml:space="preserve"> 4.3º</w:t>
      </w:r>
      <w:r w:rsidR="000F5206" w:rsidRPr="005303F7">
        <w:rPr>
          <w:rFonts w:ascii="Times New Roman" w:hAnsi="Times New Roman"/>
          <w:sz w:val="24"/>
          <w:lang w:val="sr-Cyrl-CS"/>
        </w:rPr>
        <w:t>C</w:t>
      </w:r>
      <w:r w:rsidR="009237A2"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B62253" w:rsidRPr="005303F7">
        <w:rPr>
          <w:rFonts w:ascii="Times New Roman" w:hAnsi="Times New Roman"/>
          <w:sz w:val="24"/>
          <w:lang w:val="sr-Cyrl-CS"/>
        </w:rPr>
        <w:t xml:space="preserve"> </w:t>
      </w:r>
      <w:r w:rsidR="008D69AF" w:rsidRPr="005303F7">
        <w:rPr>
          <w:rFonts w:ascii="Times New Roman" w:hAnsi="Times New Roman"/>
          <w:sz w:val="24"/>
          <w:lang w:val="sr-Cyrl-CS"/>
        </w:rPr>
        <w:t>периоду</w:t>
      </w:r>
      <w:r w:rsidR="009237A2" w:rsidRPr="005303F7">
        <w:rPr>
          <w:rFonts w:ascii="Times New Roman" w:hAnsi="Times New Roman"/>
          <w:sz w:val="24"/>
          <w:lang w:val="sr-Cyrl-CS"/>
        </w:rPr>
        <w:t xml:space="preserve"> 2081-2100</w:t>
      </w:r>
      <w:r w:rsidR="00B62253" w:rsidRPr="005303F7">
        <w:rPr>
          <w:rFonts w:ascii="Times New Roman" w:hAnsi="Times New Roman"/>
          <w:sz w:val="24"/>
          <w:lang w:val="sr-Cyrl-CS"/>
        </w:rPr>
        <w:t>.</w:t>
      </w:r>
      <w:r w:rsidR="009237A2"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B62253" w:rsidRPr="005303F7">
        <w:rPr>
          <w:rFonts w:ascii="Times New Roman" w:hAnsi="Times New Roman"/>
          <w:sz w:val="24"/>
          <w:lang w:val="sr-Cyrl-CS"/>
        </w:rPr>
        <w:t xml:space="preserve"> </w:t>
      </w:r>
      <w:r w:rsidR="008D69AF" w:rsidRPr="005303F7">
        <w:rPr>
          <w:rFonts w:ascii="Times New Roman" w:hAnsi="Times New Roman"/>
          <w:sz w:val="24"/>
          <w:lang w:val="sr-Cyrl-CS"/>
        </w:rPr>
        <w:t>поређењу</w:t>
      </w:r>
      <w:r w:rsidR="00B62253" w:rsidRPr="005303F7">
        <w:rPr>
          <w:rFonts w:ascii="Times New Roman" w:hAnsi="Times New Roman"/>
          <w:sz w:val="24"/>
          <w:lang w:val="sr-Cyrl-CS"/>
        </w:rPr>
        <w:t xml:space="preserve"> </w:t>
      </w:r>
      <w:r w:rsidR="008D69AF" w:rsidRPr="005303F7">
        <w:rPr>
          <w:rFonts w:ascii="Times New Roman" w:hAnsi="Times New Roman"/>
          <w:sz w:val="24"/>
          <w:lang w:val="sr-Cyrl-CS"/>
        </w:rPr>
        <w:t>са</w:t>
      </w:r>
      <w:r w:rsidR="00B62253" w:rsidRPr="005303F7">
        <w:rPr>
          <w:rFonts w:ascii="Times New Roman" w:hAnsi="Times New Roman"/>
          <w:sz w:val="24"/>
          <w:lang w:val="sr-Cyrl-CS"/>
        </w:rPr>
        <w:t xml:space="preserve"> </w:t>
      </w:r>
      <w:r w:rsidR="008D69AF" w:rsidRPr="005303F7">
        <w:rPr>
          <w:rFonts w:ascii="Times New Roman" w:hAnsi="Times New Roman"/>
          <w:sz w:val="24"/>
          <w:lang w:val="sr-Cyrl-CS"/>
        </w:rPr>
        <w:t>референтним</w:t>
      </w:r>
      <w:r w:rsidR="00B62253" w:rsidRPr="005303F7">
        <w:rPr>
          <w:rFonts w:ascii="Times New Roman" w:hAnsi="Times New Roman"/>
          <w:sz w:val="24"/>
          <w:lang w:val="sr-Cyrl-CS"/>
        </w:rPr>
        <w:t xml:space="preserve"> </w:t>
      </w:r>
      <w:r w:rsidR="008D69AF" w:rsidRPr="005303F7">
        <w:rPr>
          <w:rFonts w:ascii="Times New Roman" w:hAnsi="Times New Roman"/>
          <w:sz w:val="24"/>
          <w:lang w:val="sr-Cyrl-CS"/>
        </w:rPr>
        <w:t>периодом</w:t>
      </w:r>
      <w:r w:rsidR="009237A2" w:rsidRPr="005303F7">
        <w:rPr>
          <w:rFonts w:ascii="Times New Roman" w:hAnsi="Times New Roman"/>
          <w:sz w:val="24"/>
          <w:lang w:val="sr-Cyrl-CS"/>
        </w:rPr>
        <w:t xml:space="preserve"> (198</w:t>
      </w:r>
      <w:r w:rsidR="006F2DB3" w:rsidRPr="005303F7">
        <w:rPr>
          <w:rFonts w:ascii="Times New Roman" w:hAnsi="Times New Roman"/>
          <w:sz w:val="24"/>
          <w:lang w:val="sr-Cyrl-CS"/>
        </w:rPr>
        <w:t>6</w:t>
      </w:r>
      <w:r w:rsidR="009237A2" w:rsidRPr="005303F7">
        <w:rPr>
          <w:rFonts w:ascii="Times New Roman" w:hAnsi="Times New Roman"/>
          <w:sz w:val="24"/>
          <w:lang w:val="sr-Cyrl-CS"/>
        </w:rPr>
        <w:t>-2005).</w:t>
      </w:r>
    </w:p>
    <w:p w14:paraId="1A02F620" w14:textId="1BCB4C2A" w:rsidR="005138F1" w:rsidRPr="005303F7" w:rsidRDefault="00CC6964" w:rsidP="009F7017">
      <w:pPr>
        <w:rPr>
          <w:rFonts w:ascii="Times New Roman" w:hAnsi="Times New Roman"/>
          <w:sz w:val="24"/>
          <w:lang w:val="sr-Cyrl-CS"/>
        </w:rPr>
      </w:pPr>
      <w:r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C44125" w:rsidRPr="005303F7">
        <w:rPr>
          <w:rFonts w:ascii="Times New Roman" w:hAnsi="Times New Roman"/>
          <w:sz w:val="24"/>
          <w:lang w:val="sr-Cyrl-CS"/>
        </w:rPr>
        <w:t xml:space="preserve"> </w:t>
      </w:r>
      <w:r w:rsidR="008D69AF" w:rsidRPr="005303F7">
        <w:rPr>
          <w:rFonts w:ascii="Times New Roman" w:hAnsi="Times New Roman"/>
          <w:sz w:val="24"/>
          <w:lang w:val="sr-Cyrl-CS"/>
        </w:rPr>
        <w:t>погледу</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падавина</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сценарију</w:t>
      </w:r>
      <w:r w:rsidR="005138F1" w:rsidRPr="005303F7">
        <w:rPr>
          <w:rFonts w:ascii="Times New Roman" w:hAnsi="Times New Roman"/>
          <w:sz w:val="24"/>
          <w:lang w:val="sr-Cyrl-CS"/>
        </w:rPr>
        <w:t xml:space="preserve"> </w:t>
      </w:r>
      <w:r w:rsidR="000F5206" w:rsidRPr="005303F7">
        <w:rPr>
          <w:rFonts w:ascii="Times New Roman" w:hAnsi="Times New Roman"/>
          <w:sz w:val="24"/>
          <w:lang w:val="sr-Cyrl-CS"/>
        </w:rPr>
        <w:t>RCP</w:t>
      </w:r>
      <w:r w:rsidR="005138F1" w:rsidRPr="005303F7">
        <w:rPr>
          <w:rFonts w:ascii="Times New Roman" w:hAnsi="Times New Roman"/>
          <w:sz w:val="24"/>
          <w:lang w:val="sr-Cyrl-CS"/>
        </w:rPr>
        <w:t xml:space="preserve">4.5, </w:t>
      </w:r>
      <w:r w:rsidR="008D69AF" w:rsidRPr="005303F7">
        <w:rPr>
          <w:rFonts w:ascii="Times New Roman" w:hAnsi="Times New Roman"/>
          <w:sz w:val="24"/>
          <w:lang w:val="sr-Cyrl-CS"/>
        </w:rPr>
        <w:t>предвиђа</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се</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да</w:t>
      </w:r>
      <w:r w:rsidR="005138F1" w:rsidRPr="005303F7">
        <w:rPr>
          <w:rFonts w:ascii="Times New Roman" w:hAnsi="Times New Roman"/>
          <w:sz w:val="24"/>
          <w:lang w:val="sr-Cyrl-CS"/>
        </w:rPr>
        <w:t xml:space="preserve"> </w:t>
      </w:r>
      <w:r w:rsidR="00016298" w:rsidRPr="005303F7">
        <w:rPr>
          <w:rFonts w:ascii="Times New Roman" w:hAnsi="Times New Roman"/>
          <w:sz w:val="24"/>
          <w:lang w:val="sr-Cyrl-CS"/>
        </w:rPr>
        <w:t>ћ</w:t>
      </w:r>
      <w:r w:rsidR="008D69AF" w:rsidRPr="005303F7">
        <w:rPr>
          <w:rFonts w:ascii="Times New Roman" w:hAnsi="Times New Roman"/>
          <w:sz w:val="24"/>
          <w:lang w:val="sr-Cyrl-CS"/>
        </w:rPr>
        <w:t>е</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се</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годишња</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вредност</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пове</w:t>
      </w:r>
      <w:r w:rsidR="00016298" w:rsidRPr="005303F7">
        <w:rPr>
          <w:rFonts w:ascii="Times New Roman" w:hAnsi="Times New Roman"/>
          <w:sz w:val="24"/>
          <w:lang w:val="sr-Cyrl-CS"/>
        </w:rPr>
        <w:t>ћ</w:t>
      </w:r>
      <w:r w:rsidR="008D69AF" w:rsidRPr="005303F7">
        <w:rPr>
          <w:rFonts w:ascii="Times New Roman" w:hAnsi="Times New Roman"/>
          <w:sz w:val="24"/>
          <w:lang w:val="sr-Cyrl-CS"/>
        </w:rPr>
        <w:t>ати</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за</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око</w:t>
      </w:r>
      <w:r w:rsidR="005138F1" w:rsidRPr="005303F7">
        <w:rPr>
          <w:rFonts w:ascii="Times New Roman" w:hAnsi="Times New Roman"/>
          <w:sz w:val="24"/>
          <w:lang w:val="sr-Cyrl-CS"/>
        </w:rPr>
        <w:t xml:space="preserve"> 0,7% </w:t>
      </w:r>
      <w:r w:rsidR="008D69AF" w:rsidRPr="005303F7">
        <w:rPr>
          <w:rFonts w:ascii="Times New Roman" w:hAnsi="Times New Roman"/>
          <w:sz w:val="24"/>
          <w:lang w:val="sr-Cyrl-CS"/>
        </w:rPr>
        <w:t>у</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периоду</w:t>
      </w:r>
      <w:r w:rsidR="005138F1" w:rsidRPr="005303F7">
        <w:rPr>
          <w:rFonts w:ascii="Times New Roman" w:hAnsi="Times New Roman"/>
          <w:sz w:val="24"/>
          <w:lang w:val="sr-Cyrl-CS"/>
        </w:rPr>
        <w:t xml:space="preserve"> 2016-2035 </w:t>
      </w:r>
      <w:r w:rsidR="008D69AF" w:rsidRPr="005303F7">
        <w:rPr>
          <w:rFonts w:ascii="Times New Roman" w:hAnsi="Times New Roman"/>
          <w:sz w:val="24"/>
          <w:lang w:val="sr-Cyrl-CS"/>
        </w:rPr>
        <w:t>и</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смањити</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се</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за</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око</w:t>
      </w:r>
      <w:r w:rsidR="005138F1" w:rsidRPr="005303F7">
        <w:rPr>
          <w:rFonts w:ascii="Times New Roman" w:hAnsi="Times New Roman"/>
          <w:sz w:val="24"/>
          <w:lang w:val="sr-Cyrl-CS"/>
        </w:rPr>
        <w:t xml:space="preserve"> 1,4% </w:t>
      </w:r>
      <w:r w:rsidR="008D69AF" w:rsidRPr="005303F7">
        <w:rPr>
          <w:rFonts w:ascii="Times New Roman" w:hAnsi="Times New Roman"/>
          <w:sz w:val="24"/>
          <w:lang w:val="sr-Cyrl-CS"/>
        </w:rPr>
        <w:t>у</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периоду</w:t>
      </w:r>
      <w:r w:rsidR="005138F1" w:rsidRPr="005303F7">
        <w:rPr>
          <w:rFonts w:ascii="Times New Roman" w:hAnsi="Times New Roman"/>
          <w:sz w:val="24"/>
          <w:lang w:val="sr-Cyrl-CS"/>
        </w:rPr>
        <w:t xml:space="preserve"> 2046-2065. </w:t>
      </w:r>
      <w:r w:rsidR="008D69AF" w:rsidRPr="005303F7">
        <w:rPr>
          <w:rFonts w:ascii="Times New Roman" w:hAnsi="Times New Roman"/>
          <w:sz w:val="24"/>
          <w:lang w:val="sr-Cyrl-CS"/>
        </w:rPr>
        <w:t>године</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пове</w:t>
      </w:r>
      <w:r w:rsidR="00016298" w:rsidRPr="005303F7">
        <w:rPr>
          <w:rFonts w:ascii="Times New Roman" w:hAnsi="Times New Roman"/>
          <w:sz w:val="24"/>
          <w:lang w:val="sr-Cyrl-CS"/>
        </w:rPr>
        <w:t>ћ</w:t>
      </w:r>
      <w:r w:rsidR="008D69AF" w:rsidRPr="005303F7">
        <w:rPr>
          <w:rFonts w:ascii="Times New Roman" w:hAnsi="Times New Roman"/>
          <w:sz w:val="24"/>
          <w:lang w:val="sr-Cyrl-CS"/>
        </w:rPr>
        <w:t>ати</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око</w:t>
      </w:r>
      <w:r w:rsidR="005138F1" w:rsidRPr="005303F7">
        <w:rPr>
          <w:rFonts w:ascii="Times New Roman" w:hAnsi="Times New Roman"/>
          <w:sz w:val="24"/>
          <w:lang w:val="sr-Cyrl-CS"/>
        </w:rPr>
        <w:t xml:space="preserve"> 2% </w:t>
      </w:r>
      <w:r w:rsidR="008D69AF" w:rsidRPr="005303F7">
        <w:rPr>
          <w:rFonts w:ascii="Times New Roman" w:hAnsi="Times New Roman"/>
          <w:sz w:val="24"/>
          <w:lang w:val="sr-Cyrl-CS"/>
        </w:rPr>
        <w:t>у</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периоду</w:t>
      </w:r>
      <w:r w:rsidR="005138F1" w:rsidRPr="005303F7">
        <w:rPr>
          <w:rFonts w:ascii="Times New Roman" w:hAnsi="Times New Roman"/>
          <w:sz w:val="24"/>
          <w:lang w:val="sr-Cyrl-CS"/>
        </w:rPr>
        <w:t xml:space="preserve"> 2081-2100, </w:t>
      </w:r>
      <w:r w:rsidR="008D69AF" w:rsidRPr="005303F7">
        <w:rPr>
          <w:rFonts w:ascii="Times New Roman" w:hAnsi="Times New Roman"/>
          <w:sz w:val="24"/>
          <w:lang w:val="sr-Cyrl-CS"/>
        </w:rPr>
        <w:t>у</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поређењу</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са</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референтним</w:t>
      </w:r>
      <w:r w:rsidR="005138F1" w:rsidRPr="005303F7">
        <w:rPr>
          <w:rFonts w:ascii="Times New Roman" w:hAnsi="Times New Roman"/>
          <w:sz w:val="24"/>
          <w:lang w:val="sr-Cyrl-CS"/>
        </w:rPr>
        <w:t xml:space="preserve"> </w:t>
      </w:r>
      <w:r w:rsidR="008D69AF" w:rsidRPr="005303F7">
        <w:rPr>
          <w:rFonts w:ascii="Times New Roman" w:hAnsi="Times New Roman"/>
          <w:sz w:val="24"/>
          <w:lang w:val="sr-Cyrl-CS"/>
        </w:rPr>
        <w:t>периодом</w:t>
      </w:r>
      <w:r w:rsidR="005138F1" w:rsidRPr="005303F7">
        <w:rPr>
          <w:rFonts w:ascii="Times New Roman" w:hAnsi="Times New Roman"/>
          <w:sz w:val="24"/>
          <w:lang w:val="sr-Cyrl-CS"/>
        </w:rPr>
        <w:t xml:space="preserve"> (1986-2005).</w:t>
      </w:r>
    </w:p>
    <w:p w14:paraId="106D38BE" w14:textId="26E7BE02" w:rsidR="009237A2" w:rsidRPr="005303F7" w:rsidRDefault="00CC6964" w:rsidP="009F7017">
      <w:pPr>
        <w:rPr>
          <w:rFonts w:ascii="Times New Roman" w:hAnsi="Times New Roman"/>
          <w:sz w:val="24"/>
          <w:lang w:val="sr-Cyrl-CS"/>
        </w:rPr>
      </w:pPr>
      <w:r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D87EB0" w:rsidRPr="005303F7">
        <w:rPr>
          <w:rFonts w:ascii="Times New Roman" w:hAnsi="Times New Roman"/>
          <w:sz w:val="24"/>
          <w:lang w:val="sr-Cyrl-CS"/>
        </w:rPr>
        <w:t xml:space="preserve"> </w:t>
      </w:r>
      <w:r w:rsidR="008D69AF" w:rsidRPr="005303F7">
        <w:rPr>
          <w:rFonts w:ascii="Times New Roman" w:hAnsi="Times New Roman"/>
          <w:sz w:val="24"/>
          <w:lang w:val="sr-Cyrl-CS"/>
        </w:rPr>
        <w:t>сценарију</w:t>
      </w:r>
      <w:r w:rsidR="00D87EB0" w:rsidRPr="005303F7">
        <w:rPr>
          <w:rFonts w:ascii="Times New Roman" w:hAnsi="Times New Roman"/>
          <w:sz w:val="24"/>
          <w:lang w:val="sr-Cyrl-CS"/>
        </w:rPr>
        <w:t xml:space="preserve"> </w:t>
      </w:r>
      <w:r w:rsidR="000F5206" w:rsidRPr="005303F7">
        <w:rPr>
          <w:rFonts w:ascii="Times New Roman" w:hAnsi="Times New Roman"/>
          <w:sz w:val="24"/>
          <w:lang w:val="sr-Cyrl-CS"/>
        </w:rPr>
        <w:t>RCP</w:t>
      </w:r>
      <w:r w:rsidR="00D87EB0" w:rsidRPr="005303F7">
        <w:rPr>
          <w:rFonts w:ascii="Times New Roman" w:hAnsi="Times New Roman"/>
          <w:sz w:val="24"/>
          <w:lang w:val="sr-Cyrl-CS"/>
        </w:rPr>
        <w:t xml:space="preserve">8.5, </w:t>
      </w:r>
      <w:r w:rsidR="008D69AF" w:rsidRPr="005303F7">
        <w:rPr>
          <w:rFonts w:ascii="Times New Roman" w:hAnsi="Times New Roman"/>
          <w:sz w:val="24"/>
          <w:lang w:val="sr-Cyrl-CS"/>
        </w:rPr>
        <w:t>предвиђа</w:t>
      </w:r>
      <w:r w:rsidR="00D87EB0" w:rsidRPr="005303F7">
        <w:rPr>
          <w:rFonts w:ascii="Times New Roman" w:hAnsi="Times New Roman"/>
          <w:sz w:val="24"/>
          <w:lang w:val="sr-Cyrl-CS"/>
        </w:rPr>
        <w:t xml:space="preserve"> </w:t>
      </w:r>
      <w:r w:rsidR="008D69AF" w:rsidRPr="005303F7">
        <w:rPr>
          <w:rFonts w:ascii="Times New Roman" w:hAnsi="Times New Roman"/>
          <w:sz w:val="24"/>
          <w:lang w:val="sr-Cyrl-CS"/>
        </w:rPr>
        <w:t>се</w:t>
      </w:r>
      <w:r w:rsidR="00D87EB0" w:rsidRPr="005303F7">
        <w:rPr>
          <w:rFonts w:ascii="Times New Roman" w:hAnsi="Times New Roman"/>
          <w:sz w:val="24"/>
          <w:lang w:val="sr-Cyrl-CS"/>
        </w:rPr>
        <w:t xml:space="preserve"> </w:t>
      </w:r>
      <w:r w:rsidR="008D69AF" w:rsidRPr="005303F7">
        <w:rPr>
          <w:rFonts w:ascii="Times New Roman" w:hAnsi="Times New Roman"/>
          <w:sz w:val="24"/>
          <w:lang w:val="sr-Cyrl-CS"/>
        </w:rPr>
        <w:t>смањење</w:t>
      </w:r>
      <w:r w:rsidR="00D87EB0" w:rsidRPr="005303F7">
        <w:rPr>
          <w:rFonts w:ascii="Times New Roman" w:hAnsi="Times New Roman"/>
          <w:sz w:val="24"/>
          <w:lang w:val="sr-Cyrl-CS"/>
        </w:rPr>
        <w:t xml:space="preserve"> </w:t>
      </w:r>
      <w:r w:rsidR="008D69AF" w:rsidRPr="005303F7">
        <w:rPr>
          <w:rFonts w:ascii="Times New Roman" w:hAnsi="Times New Roman"/>
          <w:sz w:val="24"/>
          <w:lang w:val="sr-Cyrl-CS"/>
        </w:rPr>
        <w:t>годишњих</w:t>
      </w:r>
      <w:r w:rsidR="00D87EB0" w:rsidRPr="005303F7">
        <w:rPr>
          <w:rFonts w:ascii="Times New Roman" w:hAnsi="Times New Roman"/>
          <w:sz w:val="24"/>
          <w:lang w:val="sr-Cyrl-CS"/>
        </w:rPr>
        <w:t xml:space="preserve"> </w:t>
      </w:r>
      <w:r w:rsidR="008D69AF" w:rsidRPr="005303F7">
        <w:rPr>
          <w:rFonts w:ascii="Times New Roman" w:hAnsi="Times New Roman"/>
          <w:sz w:val="24"/>
          <w:lang w:val="sr-Cyrl-CS"/>
        </w:rPr>
        <w:t>падавина</w:t>
      </w:r>
      <w:r w:rsidR="00D87EB0" w:rsidRPr="005303F7">
        <w:rPr>
          <w:rFonts w:ascii="Times New Roman" w:hAnsi="Times New Roman"/>
          <w:sz w:val="24"/>
          <w:lang w:val="sr-Cyrl-CS"/>
        </w:rPr>
        <w:t xml:space="preserve"> </w:t>
      </w:r>
      <w:r w:rsidR="008D69AF" w:rsidRPr="005303F7">
        <w:rPr>
          <w:rFonts w:ascii="Times New Roman" w:hAnsi="Times New Roman"/>
          <w:sz w:val="24"/>
          <w:lang w:val="sr-Cyrl-CS"/>
        </w:rPr>
        <w:t>за</w:t>
      </w:r>
      <w:r w:rsidR="00D87EB0" w:rsidRPr="005303F7">
        <w:rPr>
          <w:rFonts w:ascii="Times New Roman" w:hAnsi="Times New Roman"/>
          <w:sz w:val="24"/>
          <w:lang w:val="sr-Cyrl-CS"/>
        </w:rPr>
        <w:t xml:space="preserve"> </w:t>
      </w:r>
      <w:r w:rsidR="008D69AF" w:rsidRPr="005303F7">
        <w:rPr>
          <w:rFonts w:ascii="Times New Roman" w:hAnsi="Times New Roman"/>
          <w:sz w:val="24"/>
          <w:lang w:val="sr-Cyrl-CS"/>
        </w:rPr>
        <w:t>око</w:t>
      </w:r>
      <w:r w:rsidR="00D87EB0" w:rsidRPr="005303F7">
        <w:rPr>
          <w:rFonts w:ascii="Times New Roman" w:hAnsi="Times New Roman"/>
          <w:sz w:val="24"/>
          <w:lang w:val="sr-Cyrl-CS"/>
        </w:rPr>
        <w:t xml:space="preserve"> 1% </w:t>
      </w:r>
      <w:r w:rsidR="008D69AF" w:rsidRPr="005303F7">
        <w:rPr>
          <w:rFonts w:ascii="Times New Roman" w:hAnsi="Times New Roman"/>
          <w:sz w:val="24"/>
          <w:lang w:val="sr-Cyrl-CS"/>
        </w:rPr>
        <w:t>у</w:t>
      </w:r>
      <w:r w:rsidR="00D87EB0" w:rsidRPr="005303F7">
        <w:rPr>
          <w:rFonts w:ascii="Times New Roman" w:hAnsi="Times New Roman"/>
          <w:sz w:val="24"/>
          <w:lang w:val="sr-Cyrl-CS"/>
        </w:rPr>
        <w:t xml:space="preserve"> </w:t>
      </w:r>
      <w:r w:rsidR="008D69AF" w:rsidRPr="005303F7">
        <w:rPr>
          <w:rFonts w:ascii="Times New Roman" w:hAnsi="Times New Roman"/>
          <w:sz w:val="24"/>
          <w:lang w:val="sr-Cyrl-CS"/>
        </w:rPr>
        <w:t>периоду</w:t>
      </w:r>
      <w:r w:rsidR="00D87EB0" w:rsidRPr="005303F7">
        <w:rPr>
          <w:rFonts w:ascii="Times New Roman" w:hAnsi="Times New Roman"/>
          <w:sz w:val="24"/>
          <w:lang w:val="sr-Cyrl-CS"/>
        </w:rPr>
        <w:t xml:space="preserve"> 2016-2035, </w:t>
      </w:r>
      <w:r w:rsidR="008D69AF" w:rsidRPr="005303F7">
        <w:rPr>
          <w:rFonts w:ascii="Times New Roman" w:hAnsi="Times New Roman"/>
          <w:sz w:val="24"/>
          <w:lang w:val="sr-Cyrl-CS"/>
        </w:rPr>
        <w:t>пораст</w:t>
      </w:r>
      <w:r w:rsidR="00D87EB0" w:rsidRPr="005303F7">
        <w:rPr>
          <w:rFonts w:ascii="Times New Roman" w:hAnsi="Times New Roman"/>
          <w:sz w:val="24"/>
          <w:lang w:val="sr-Cyrl-CS"/>
        </w:rPr>
        <w:t xml:space="preserve"> </w:t>
      </w:r>
      <w:r w:rsidR="008D69AF" w:rsidRPr="005303F7">
        <w:rPr>
          <w:rFonts w:ascii="Times New Roman" w:hAnsi="Times New Roman"/>
          <w:sz w:val="24"/>
          <w:lang w:val="sr-Cyrl-CS"/>
        </w:rPr>
        <w:t>за</w:t>
      </w:r>
      <w:r w:rsidR="00D87EB0" w:rsidRPr="005303F7">
        <w:rPr>
          <w:rFonts w:ascii="Times New Roman" w:hAnsi="Times New Roman"/>
          <w:sz w:val="24"/>
          <w:lang w:val="sr-Cyrl-CS"/>
        </w:rPr>
        <w:t xml:space="preserve"> </w:t>
      </w:r>
      <w:r w:rsidR="008D69AF" w:rsidRPr="005303F7">
        <w:rPr>
          <w:rFonts w:ascii="Times New Roman" w:hAnsi="Times New Roman"/>
          <w:sz w:val="24"/>
          <w:lang w:val="sr-Cyrl-CS"/>
        </w:rPr>
        <w:t>око</w:t>
      </w:r>
      <w:r w:rsidR="00D87EB0" w:rsidRPr="005303F7">
        <w:rPr>
          <w:rFonts w:ascii="Times New Roman" w:hAnsi="Times New Roman"/>
          <w:sz w:val="24"/>
          <w:lang w:val="sr-Cyrl-CS"/>
        </w:rPr>
        <w:t xml:space="preserve"> 3,8% </w:t>
      </w:r>
      <w:r w:rsidR="008D69AF" w:rsidRPr="005303F7">
        <w:rPr>
          <w:rFonts w:ascii="Times New Roman" w:hAnsi="Times New Roman"/>
          <w:sz w:val="24"/>
          <w:lang w:val="sr-Cyrl-CS"/>
        </w:rPr>
        <w:t>у</w:t>
      </w:r>
      <w:r w:rsidR="00D87EB0" w:rsidRPr="005303F7">
        <w:rPr>
          <w:rFonts w:ascii="Times New Roman" w:hAnsi="Times New Roman"/>
          <w:sz w:val="24"/>
          <w:lang w:val="sr-Cyrl-CS"/>
        </w:rPr>
        <w:t xml:space="preserve"> </w:t>
      </w:r>
      <w:r w:rsidR="008D69AF" w:rsidRPr="005303F7">
        <w:rPr>
          <w:rFonts w:ascii="Times New Roman" w:hAnsi="Times New Roman"/>
          <w:sz w:val="24"/>
          <w:lang w:val="sr-Cyrl-CS"/>
        </w:rPr>
        <w:t>периоду</w:t>
      </w:r>
      <w:r w:rsidR="00D87EB0" w:rsidRPr="005303F7">
        <w:rPr>
          <w:rFonts w:ascii="Times New Roman" w:hAnsi="Times New Roman"/>
          <w:sz w:val="24"/>
          <w:lang w:val="sr-Cyrl-CS"/>
        </w:rPr>
        <w:t xml:space="preserve"> 2046-2065. </w:t>
      </w:r>
      <w:r w:rsidR="008D69AF" w:rsidRPr="005303F7">
        <w:rPr>
          <w:rFonts w:ascii="Times New Roman" w:hAnsi="Times New Roman"/>
          <w:sz w:val="24"/>
          <w:lang w:val="sr-Cyrl-CS"/>
        </w:rPr>
        <w:t>и</w:t>
      </w:r>
      <w:r w:rsidR="00D87EB0" w:rsidRPr="005303F7">
        <w:rPr>
          <w:rFonts w:ascii="Times New Roman" w:hAnsi="Times New Roman"/>
          <w:sz w:val="24"/>
          <w:lang w:val="sr-Cyrl-CS"/>
        </w:rPr>
        <w:t xml:space="preserve"> </w:t>
      </w:r>
      <w:r w:rsidR="008D69AF" w:rsidRPr="005303F7">
        <w:rPr>
          <w:rFonts w:ascii="Times New Roman" w:hAnsi="Times New Roman"/>
          <w:sz w:val="24"/>
          <w:lang w:val="sr-Cyrl-CS"/>
        </w:rPr>
        <w:t>смањење</w:t>
      </w:r>
      <w:r w:rsidR="00D87EB0" w:rsidRPr="005303F7">
        <w:rPr>
          <w:rFonts w:ascii="Times New Roman" w:hAnsi="Times New Roman"/>
          <w:sz w:val="24"/>
          <w:lang w:val="sr-Cyrl-CS"/>
        </w:rPr>
        <w:t xml:space="preserve"> </w:t>
      </w:r>
      <w:r w:rsidR="008D69AF" w:rsidRPr="005303F7">
        <w:rPr>
          <w:rFonts w:ascii="Times New Roman" w:hAnsi="Times New Roman"/>
          <w:sz w:val="24"/>
          <w:lang w:val="sr-Cyrl-CS"/>
        </w:rPr>
        <w:t>за</w:t>
      </w:r>
      <w:r w:rsidR="00D87EB0" w:rsidRPr="005303F7">
        <w:rPr>
          <w:rFonts w:ascii="Times New Roman" w:hAnsi="Times New Roman"/>
          <w:sz w:val="24"/>
          <w:lang w:val="sr-Cyrl-CS"/>
        </w:rPr>
        <w:t xml:space="preserve"> </w:t>
      </w:r>
      <w:r w:rsidR="008D69AF" w:rsidRPr="005303F7">
        <w:rPr>
          <w:rFonts w:ascii="Times New Roman" w:hAnsi="Times New Roman"/>
          <w:sz w:val="24"/>
          <w:lang w:val="sr-Cyrl-CS"/>
        </w:rPr>
        <w:t>око</w:t>
      </w:r>
      <w:r w:rsidR="00D87EB0" w:rsidRPr="005303F7">
        <w:rPr>
          <w:rFonts w:ascii="Times New Roman" w:hAnsi="Times New Roman"/>
          <w:sz w:val="24"/>
          <w:lang w:val="sr-Cyrl-CS"/>
        </w:rPr>
        <w:t xml:space="preserve"> 4,5% </w:t>
      </w:r>
      <w:r w:rsidR="008D69AF" w:rsidRPr="005303F7">
        <w:rPr>
          <w:rFonts w:ascii="Times New Roman" w:hAnsi="Times New Roman"/>
          <w:sz w:val="24"/>
          <w:lang w:val="sr-Cyrl-CS"/>
        </w:rPr>
        <w:t>у</w:t>
      </w:r>
      <w:r w:rsidR="00D87EB0" w:rsidRPr="005303F7">
        <w:rPr>
          <w:rFonts w:ascii="Times New Roman" w:hAnsi="Times New Roman"/>
          <w:sz w:val="24"/>
          <w:lang w:val="sr-Cyrl-CS"/>
        </w:rPr>
        <w:t xml:space="preserve"> </w:t>
      </w:r>
      <w:r w:rsidR="008D69AF" w:rsidRPr="005303F7">
        <w:rPr>
          <w:rFonts w:ascii="Times New Roman" w:hAnsi="Times New Roman"/>
          <w:sz w:val="24"/>
          <w:lang w:val="sr-Cyrl-CS"/>
        </w:rPr>
        <w:t>периоду</w:t>
      </w:r>
      <w:r w:rsidR="00D87EB0" w:rsidRPr="005303F7">
        <w:rPr>
          <w:rFonts w:ascii="Times New Roman" w:hAnsi="Times New Roman"/>
          <w:sz w:val="24"/>
          <w:lang w:val="sr-Cyrl-CS"/>
        </w:rPr>
        <w:t xml:space="preserve"> 2081-2100, </w:t>
      </w:r>
      <w:r w:rsidR="008D69AF" w:rsidRPr="005303F7">
        <w:rPr>
          <w:rFonts w:ascii="Times New Roman" w:hAnsi="Times New Roman"/>
          <w:sz w:val="24"/>
          <w:lang w:val="sr-Cyrl-CS"/>
        </w:rPr>
        <w:t>у</w:t>
      </w:r>
      <w:r w:rsidR="00D87EB0" w:rsidRPr="005303F7">
        <w:rPr>
          <w:rFonts w:ascii="Times New Roman" w:hAnsi="Times New Roman"/>
          <w:sz w:val="24"/>
          <w:lang w:val="sr-Cyrl-CS"/>
        </w:rPr>
        <w:t xml:space="preserve"> </w:t>
      </w:r>
      <w:r w:rsidR="008D69AF" w:rsidRPr="005303F7">
        <w:rPr>
          <w:rFonts w:ascii="Times New Roman" w:hAnsi="Times New Roman"/>
          <w:sz w:val="24"/>
          <w:lang w:val="sr-Cyrl-CS"/>
        </w:rPr>
        <w:t>поређењу</w:t>
      </w:r>
      <w:r w:rsidR="00D87EB0" w:rsidRPr="005303F7">
        <w:rPr>
          <w:rFonts w:ascii="Times New Roman" w:hAnsi="Times New Roman"/>
          <w:sz w:val="24"/>
          <w:lang w:val="sr-Cyrl-CS"/>
        </w:rPr>
        <w:t xml:space="preserve"> </w:t>
      </w:r>
      <w:r w:rsidR="008D69AF" w:rsidRPr="005303F7">
        <w:rPr>
          <w:rFonts w:ascii="Times New Roman" w:hAnsi="Times New Roman"/>
          <w:sz w:val="24"/>
          <w:lang w:val="sr-Cyrl-CS"/>
        </w:rPr>
        <w:t>са</w:t>
      </w:r>
      <w:r w:rsidR="00D87EB0" w:rsidRPr="005303F7">
        <w:rPr>
          <w:rFonts w:ascii="Times New Roman" w:hAnsi="Times New Roman"/>
          <w:sz w:val="24"/>
          <w:lang w:val="sr-Cyrl-CS"/>
        </w:rPr>
        <w:t xml:space="preserve"> </w:t>
      </w:r>
      <w:r w:rsidR="008D69AF" w:rsidRPr="005303F7">
        <w:rPr>
          <w:rFonts w:ascii="Times New Roman" w:hAnsi="Times New Roman"/>
          <w:sz w:val="24"/>
          <w:lang w:val="sr-Cyrl-CS"/>
        </w:rPr>
        <w:t>референтним</w:t>
      </w:r>
      <w:r w:rsidR="00D87EB0" w:rsidRPr="005303F7">
        <w:rPr>
          <w:rFonts w:ascii="Times New Roman" w:hAnsi="Times New Roman"/>
          <w:sz w:val="24"/>
          <w:lang w:val="sr-Cyrl-CS"/>
        </w:rPr>
        <w:t xml:space="preserve"> </w:t>
      </w:r>
      <w:r w:rsidR="008D69AF" w:rsidRPr="005303F7">
        <w:rPr>
          <w:rFonts w:ascii="Times New Roman" w:hAnsi="Times New Roman"/>
          <w:sz w:val="24"/>
          <w:lang w:val="sr-Cyrl-CS"/>
        </w:rPr>
        <w:t>периодом</w:t>
      </w:r>
      <w:r w:rsidR="00D87EB0" w:rsidRPr="005303F7">
        <w:rPr>
          <w:rFonts w:ascii="Times New Roman" w:hAnsi="Times New Roman"/>
          <w:sz w:val="24"/>
          <w:lang w:val="sr-Cyrl-CS"/>
        </w:rPr>
        <w:t xml:space="preserve"> (1986-2005)</w:t>
      </w:r>
      <w:r w:rsidR="009237A2" w:rsidRPr="005303F7">
        <w:rPr>
          <w:rStyle w:val="FootnoteReference"/>
          <w:rFonts w:ascii="Times New Roman" w:hAnsi="Times New Roman"/>
          <w:sz w:val="18"/>
          <w:lang w:val="sr-Cyrl-CS"/>
        </w:rPr>
        <w:footnoteReference w:id="72"/>
      </w:r>
      <w:r w:rsidR="009237A2" w:rsidRPr="005303F7">
        <w:rPr>
          <w:rFonts w:ascii="Times New Roman" w:hAnsi="Times New Roman"/>
          <w:sz w:val="24"/>
          <w:lang w:val="sr-Cyrl-CS"/>
        </w:rPr>
        <w:t>.</w:t>
      </w:r>
    </w:p>
    <w:p w14:paraId="3215A5D7" w14:textId="77777777" w:rsidR="007D0F9C" w:rsidRPr="005303F7" w:rsidRDefault="007D0F9C" w:rsidP="009F7017">
      <w:pPr>
        <w:rPr>
          <w:rFonts w:ascii="Times New Roman" w:hAnsi="Times New Roman"/>
          <w:sz w:val="14"/>
          <w:szCs w:val="12"/>
          <w:lang w:val="sr-Cyrl-CS"/>
        </w:rPr>
      </w:pPr>
    </w:p>
    <w:p w14:paraId="7227D8E0" w14:textId="2805C624" w:rsidR="000663DE" w:rsidRPr="005303F7" w:rsidRDefault="008D69AF" w:rsidP="009F7017">
      <w:pPr>
        <w:rPr>
          <w:rFonts w:ascii="Times New Roman" w:hAnsi="Times New Roman"/>
          <w:b/>
          <w:bCs/>
          <w:sz w:val="24"/>
          <w:lang w:val="sr-Cyrl-CS"/>
        </w:rPr>
      </w:pPr>
      <w:r w:rsidRPr="005303F7">
        <w:rPr>
          <w:rFonts w:ascii="Times New Roman" w:hAnsi="Times New Roman"/>
          <w:b/>
          <w:bCs/>
          <w:sz w:val="24"/>
          <w:lang w:val="sr-Cyrl-CS"/>
        </w:rPr>
        <w:t>Екстремни</w:t>
      </w:r>
      <w:r w:rsidR="00D87EB0" w:rsidRPr="005303F7">
        <w:rPr>
          <w:rFonts w:ascii="Times New Roman" w:hAnsi="Times New Roman"/>
          <w:b/>
          <w:bCs/>
          <w:sz w:val="24"/>
          <w:lang w:val="sr-Cyrl-CS"/>
        </w:rPr>
        <w:t xml:space="preserve"> </w:t>
      </w:r>
      <w:r w:rsidRPr="005303F7">
        <w:rPr>
          <w:rFonts w:ascii="Times New Roman" w:hAnsi="Times New Roman"/>
          <w:b/>
          <w:bCs/>
          <w:sz w:val="24"/>
          <w:lang w:val="sr-Cyrl-CS"/>
        </w:rPr>
        <w:t>временски</w:t>
      </w:r>
      <w:r w:rsidR="00D87EB0" w:rsidRPr="005303F7">
        <w:rPr>
          <w:rFonts w:ascii="Times New Roman" w:hAnsi="Times New Roman"/>
          <w:b/>
          <w:bCs/>
          <w:sz w:val="24"/>
          <w:lang w:val="sr-Cyrl-CS"/>
        </w:rPr>
        <w:t xml:space="preserve"> </w:t>
      </w:r>
      <w:r w:rsidRPr="005303F7">
        <w:rPr>
          <w:rFonts w:ascii="Times New Roman" w:hAnsi="Times New Roman"/>
          <w:b/>
          <w:bCs/>
          <w:sz w:val="24"/>
          <w:lang w:val="sr-Cyrl-CS"/>
        </w:rPr>
        <w:t>услови</w:t>
      </w:r>
    </w:p>
    <w:p w14:paraId="63328A16" w14:textId="77777777" w:rsidR="007D0F9C" w:rsidRPr="005303F7" w:rsidRDefault="007D0F9C" w:rsidP="00353B06">
      <w:pPr>
        <w:spacing w:after="0"/>
        <w:rPr>
          <w:rFonts w:ascii="Times New Roman" w:hAnsi="Times New Roman"/>
          <w:i/>
          <w:iCs/>
          <w:sz w:val="12"/>
          <w:szCs w:val="10"/>
          <w:lang w:val="sr-Cyrl-CS"/>
        </w:rPr>
      </w:pPr>
    </w:p>
    <w:p w14:paraId="549FB832" w14:textId="11E0B290" w:rsidR="007F1170" w:rsidRPr="005303F7" w:rsidRDefault="008D69AF" w:rsidP="00353B06">
      <w:pPr>
        <w:spacing w:before="0"/>
        <w:rPr>
          <w:rFonts w:ascii="Times New Roman" w:hAnsi="Times New Roman"/>
          <w:i/>
          <w:iCs/>
          <w:sz w:val="24"/>
          <w:u w:val="single"/>
          <w:lang w:val="sr-Cyrl-CS"/>
        </w:rPr>
      </w:pPr>
      <w:r w:rsidRPr="005303F7">
        <w:rPr>
          <w:rFonts w:ascii="Times New Roman" w:hAnsi="Times New Roman"/>
          <w:i/>
          <w:iCs/>
          <w:sz w:val="24"/>
          <w:u w:val="single"/>
          <w:lang w:val="sr-Cyrl-CS"/>
        </w:rPr>
        <w:t>Топлотни</w:t>
      </w:r>
      <w:r w:rsidR="007F1170" w:rsidRPr="005303F7">
        <w:rPr>
          <w:rFonts w:ascii="Times New Roman" w:hAnsi="Times New Roman"/>
          <w:i/>
          <w:iCs/>
          <w:sz w:val="24"/>
          <w:u w:val="single"/>
          <w:lang w:val="sr-Cyrl-CS"/>
        </w:rPr>
        <w:t xml:space="preserve"> </w:t>
      </w:r>
      <w:r w:rsidRPr="005303F7">
        <w:rPr>
          <w:rFonts w:ascii="Times New Roman" w:hAnsi="Times New Roman"/>
          <w:i/>
          <w:iCs/>
          <w:sz w:val="24"/>
          <w:u w:val="single"/>
          <w:lang w:val="sr-Cyrl-CS"/>
        </w:rPr>
        <w:t>таласи</w:t>
      </w:r>
    </w:p>
    <w:p w14:paraId="1027BD08" w14:textId="377F6E5F" w:rsidR="00CD22C6" w:rsidRPr="005303F7" w:rsidRDefault="00CC6964" w:rsidP="00CD22C6">
      <w:pPr>
        <w:rPr>
          <w:rFonts w:ascii="Times New Roman" w:hAnsi="Times New Roman"/>
          <w:sz w:val="24"/>
          <w:lang w:val="sr-Cyrl-CS"/>
        </w:rPr>
      </w:pPr>
      <w:r w:rsidRPr="005303F7">
        <w:rPr>
          <w:rFonts w:ascii="Times New Roman" w:hAnsi="Times New Roman"/>
          <w:sz w:val="24"/>
          <w:lang w:val="sr-Cyrl-CS"/>
        </w:rPr>
        <w:t xml:space="preserve">         </w:t>
      </w:r>
      <w:r w:rsidR="008D69AF" w:rsidRPr="005303F7">
        <w:rPr>
          <w:rFonts w:ascii="Times New Roman" w:hAnsi="Times New Roman"/>
          <w:sz w:val="24"/>
          <w:lang w:val="sr-Cyrl-CS"/>
        </w:rPr>
        <w:t>Топлотни</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талас</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је</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период</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не</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кра</w:t>
      </w:r>
      <w:r w:rsidR="00016298" w:rsidRPr="005303F7">
        <w:rPr>
          <w:rFonts w:ascii="Times New Roman" w:hAnsi="Times New Roman"/>
          <w:sz w:val="24"/>
          <w:lang w:val="sr-Cyrl-CS"/>
        </w:rPr>
        <w:t>ћ</w:t>
      </w:r>
      <w:r w:rsidR="008D69AF" w:rsidRPr="005303F7">
        <w:rPr>
          <w:rFonts w:ascii="Times New Roman" w:hAnsi="Times New Roman"/>
          <w:sz w:val="24"/>
          <w:lang w:val="sr-Cyrl-CS"/>
        </w:rPr>
        <w:t>и</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од</w:t>
      </w:r>
      <w:r w:rsidR="00762462" w:rsidRPr="005303F7">
        <w:rPr>
          <w:rFonts w:ascii="Times New Roman" w:hAnsi="Times New Roman"/>
          <w:sz w:val="24"/>
          <w:lang w:val="sr-Cyrl-CS"/>
        </w:rPr>
        <w:t xml:space="preserve"> шест</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дана</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током</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кога</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је</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максимална</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дневна</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температура</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била</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ве</w:t>
      </w:r>
      <w:r w:rsidR="00016298" w:rsidRPr="005303F7">
        <w:rPr>
          <w:rFonts w:ascii="Times New Roman" w:hAnsi="Times New Roman"/>
          <w:sz w:val="24"/>
          <w:lang w:val="sr-Cyrl-CS"/>
        </w:rPr>
        <w:t>ћ</w:t>
      </w:r>
      <w:r w:rsidR="008D69AF" w:rsidRPr="005303F7">
        <w:rPr>
          <w:rFonts w:ascii="Times New Roman" w:hAnsi="Times New Roman"/>
          <w:sz w:val="24"/>
          <w:lang w:val="sr-Cyrl-CS"/>
        </w:rPr>
        <w:t>а</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од</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очекиване</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максималне</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температуре</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током</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године</w:t>
      </w:r>
      <w:r w:rsidR="009D4115" w:rsidRPr="005303F7">
        <w:rPr>
          <w:rFonts w:ascii="Times New Roman" w:hAnsi="Times New Roman"/>
          <w:sz w:val="24"/>
          <w:lang w:val="sr-Cyrl-CS"/>
        </w:rPr>
        <w:t>,</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којој</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је</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приме</w:t>
      </w:r>
      <w:r w:rsidR="00016298" w:rsidRPr="005303F7">
        <w:rPr>
          <w:rFonts w:ascii="Times New Roman" w:hAnsi="Times New Roman"/>
          <w:sz w:val="24"/>
          <w:lang w:val="sr-Cyrl-CS"/>
        </w:rPr>
        <w:t>ћ</w:t>
      </w:r>
      <w:r w:rsidR="008D69AF" w:rsidRPr="005303F7">
        <w:rPr>
          <w:rFonts w:ascii="Times New Roman" w:hAnsi="Times New Roman"/>
          <w:sz w:val="24"/>
          <w:lang w:val="sr-Cyrl-CS"/>
        </w:rPr>
        <w:t>ен</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топлотни</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талас</w:t>
      </w:r>
      <w:r w:rsidR="00CD22C6" w:rsidRPr="005303F7">
        <w:rPr>
          <w:rFonts w:ascii="Times New Roman" w:hAnsi="Times New Roman"/>
          <w:sz w:val="24"/>
          <w:lang w:val="sr-Cyrl-CS"/>
        </w:rPr>
        <w:t>.</w:t>
      </w:r>
    </w:p>
    <w:p w14:paraId="0AA07667" w14:textId="2371138B" w:rsidR="00CD22C6" w:rsidRPr="005303F7" w:rsidRDefault="00CC6964" w:rsidP="00CD22C6">
      <w:pPr>
        <w:rPr>
          <w:rFonts w:ascii="Times New Roman" w:hAnsi="Times New Roman"/>
          <w:sz w:val="24"/>
          <w:lang w:val="sr-Cyrl-CS"/>
        </w:rPr>
      </w:pPr>
      <w:r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периоду</w:t>
      </w:r>
      <w:r w:rsidR="00CD22C6" w:rsidRPr="005303F7">
        <w:rPr>
          <w:rFonts w:ascii="Times New Roman" w:hAnsi="Times New Roman"/>
          <w:sz w:val="24"/>
          <w:lang w:val="sr-Cyrl-CS"/>
        </w:rPr>
        <w:t xml:space="preserve"> 1998-2017, </w:t>
      </w:r>
      <w:r w:rsidR="008D69AF" w:rsidRPr="005303F7">
        <w:rPr>
          <w:rFonts w:ascii="Times New Roman" w:hAnsi="Times New Roman"/>
          <w:sz w:val="24"/>
          <w:lang w:val="sr-Cyrl-CS"/>
        </w:rPr>
        <w:t>број</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дана</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током</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којих</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је</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приме</w:t>
      </w:r>
      <w:r w:rsidR="00016298" w:rsidRPr="005303F7">
        <w:rPr>
          <w:rFonts w:ascii="Times New Roman" w:hAnsi="Times New Roman"/>
          <w:sz w:val="24"/>
          <w:lang w:val="sr-Cyrl-CS"/>
        </w:rPr>
        <w:t>ћ</w:t>
      </w:r>
      <w:r w:rsidR="008D69AF" w:rsidRPr="005303F7">
        <w:rPr>
          <w:rFonts w:ascii="Times New Roman" w:hAnsi="Times New Roman"/>
          <w:sz w:val="24"/>
          <w:lang w:val="sr-Cyrl-CS"/>
        </w:rPr>
        <w:t>ен</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топлотни</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талас</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је</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на</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ве</w:t>
      </w:r>
      <w:r w:rsidR="00016298" w:rsidRPr="005303F7">
        <w:rPr>
          <w:rFonts w:ascii="Times New Roman" w:hAnsi="Times New Roman"/>
          <w:sz w:val="24"/>
          <w:lang w:val="sr-Cyrl-CS"/>
        </w:rPr>
        <w:t>ћ</w:t>
      </w:r>
      <w:r w:rsidR="008D69AF" w:rsidRPr="005303F7">
        <w:rPr>
          <w:rFonts w:ascii="Times New Roman" w:hAnsi="Times New Roman"/>
          <w:sz w:val="24"/>
          <w:lang w:val="sr-Cyrl-CS"/>
        </w:rPr>
        <w:t>ем</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делу</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територије</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био</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већи</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за</w:t>
      </w:r>
      <w:r w:rsidR="00CD22C6" w:rsidRPr="005303F7">
        <w:rPr>
          <w:rFonts w:ascii="Times New Roman" w:hAnsi="Times New Roman"/>
          <w:sz w:val="24"/>
          <w:lang w:val="sr-Cyrl-CS"/>
        </w:rPr>
        <w:t xml:space="preserve"> 15 </w:t>
      </w:r>
      <w:r w:rsidR="008D69AF" w:rsidRPr="005303F7">
        <w:rPr>
          <w:rFonts w:ascii="Times New Roman" w:hAnsi="Times New Roman"/>
          <w:sz w:val="24"/>
          <w:lang w:val="sr-Cyrl-CS"/>
        </w:rPr>
        <w:t>до</w:t>
      </w:r>
      <w:r w:rsidR="00CD22C6" w:rsidRPr="005303F7">
        <w:rPr>
          <w:rFonts w:ascii="Times New Roman" w:hAnsi="Times New Roman"/>
          <w:sz w:val="24"/>
          <w:lang w:val="sr-Cyrl-CS"/>
        </w:rPr>
        <w:t xml:space="preserve"> 25 </w:t>
      </w:r>
      <w:r w:rsidR="008D69AF" w:rsidRPr="005303F7">
        <w:rPr>
          <w:rFonts w:ascii="Times New Roman" w:hAnsi="Times New Roman"/>
          <w:sz w:val="24"/>
          <w:lang w:val="sr-Cyrl-CS"/>
        </w:rPr>
        <w:t>дана</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а</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највеће</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вредности</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су</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трајале</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више</w:t>
      </w:r>
      <w:r w:rsidR="009D4115" w:rsidRPr="005303F7">
        <w:rPr>
          <w:rFonts w:ascii="Times New Roman" w:hAnsi="Times New Roman"/>
          <w:sz w:val="24"/>
          <w:lang w:val="sr-Cyrl-CS"/>
        </w:rPr>
        <w:t xml:space="preserve"> </w:t>
      </w:r>
      <w:r w:rsidR="008D69AF" w:rsidRPr="005303F7">
        <w:rPr>
          <w:rFonts w:ascii="Times New Roman" w:hAnsi="Times New Roman"/>
          <w:sz w:val="24"/>
          <w:lang w:val="sr-Cyrl-CS"/>
        </w:rPr>
        <w:t>од</w:t>
      </w:r>
      <w:r w:rsidR="00CD22C6" w:rsidRPr="005303F7">
        <w:rPr>
          <w:rFonts w:ascii="Times New Roman" w:hAnsi="Times New Roman"/>
          <w:sz w:val="24"/>
          <w:lang w:val="sr-Cyrl-CS"/>
        </w:rPr>
        <w:t xml:space="preserve"> 25 </w:t>
      </w:r>
      <w:r w:rsidR="008D69AF" w:rsidRPr="005303F7">
        <w:rPr>
          <w:rFonts w:ascii="Times New Roman" w:hAnsi="Times New Roman"/>
          <w:sz w:val="24"/>
          <w:lang w:val="sr-Cyrl-CS"/>
        </w:rPr>
        <w:t>дана</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источној</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CD22C6" w:rsidRPr="005303F7">
        <w:rPr>
          <w:rFonts w:ascii="Times New Roman" w:hAnsi="Times New Roman"/>
          <w:sz w:val="24"/>
          <w:lang w:val="sr-Cyrl-CS"/>
        </w:rPr>
        <w:t xml:space="preserve"> </w:t>
      </w:r>
      <w:r w:rsidR="008D69AF" w:rsidRPr="005303F7">
        <w:rPr>
          <w:rFonts w:ascii="Times New Roman" w:hAnsi="Times New Roman"/>
          <w:sz w:val="24"/>
          <w:lang w:val="sr-Cyrl-CS"/>
        </w:rPr>
        <w:t>западној</w:t>
      </w:r>
      <w:r w:rsidR="00CD22C6" w:rsidRPr="005303F7">
        <w:rPr>
          <w:rFonts w:ascii="Times New Roman" w:hAnsi="Times New Roman"/>
          <w:sz w:val="24"/>
          <w:lang w:val="sr-Cyrl-CS"/>
        </w:rPr>
        <w:t xml:space="preserve"> </w:t>
      </w:r>
      <w:r w:rsidR="00D73AAB" w:rsidRPr="005303F7">
        <w:rPr>
          <w:rFonts w:ascii="Times New Roman" w:hAnsi="Times New Roman"/>
          <w:sz w:val="24"/>
          <w:lang w:val="sr-Cyrl-CS"/>
        </w:rPr>
        <w:t>Републици Србији</w:t>
      </w:r>
      <w:r w:rsidR="00CD22C6" w:rsidRPr="005303F7">
        <w:rPr>
          <w:rFonts w:ascii="Times New Roman" w:hAnsi="Times New Roman"/>
          <w:sz w:val="24"/>
          <w:lang w:val="sr-Cyrl-CS"/>
        </w:rPr>
        <w:t>.</w:t>
      </w:r>
    </w:p>
    <w:p w14:paraId="56D553FF" w14:textId="4407738B" w:rsidR="00F13B2F" w:rsidRPr="005303F7" w:rsidRDefault="00CC6964" w:rsidP="00F13B2F">
      <w:pPr>
        <w:rPr>
          <w:rFonts w:ascii="Times New Roman" w:hAnsi="Times New Roman"/>
          <w:sz w:val="24"/>
          <w:lang w:val="sr-Cyrl-CS"/>
        </w:rPr>
      </w:pPr>
      <w:r w:rsidRPr="005303F7">
        <w:rPr>
          <w:rFonts w:ascii="Times New Roman" w:hAnsi="Times New Roman"/>
          <w:sz w:val="24"/>
          <w:lang w:val="sr-Cyrl-CS"/>
        </w:rPr>
        <w:lastRenderedPageBreak/>
        <w:t xml:space="preserve">         </w:t>
      </w:r>
      <w:r w:rsidR="008D69AF" w:rsidRPr="005303F7">
        <w:rPr>
          <w:rFonts w:ascii="Times New Roman" w:hAnsi="Times New Roman"/>
          <w:sz w:val="24"/>
          <w:lang w:val="sr-Cyrl-CS"/>
        </w:rPr>
        <w:t>Током</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последњих</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десет</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година</w:t>
      </w:r>
      <w:r w:rsidR="00F13B2F" w:rsidRPr="005303F7">
        <w:rPr>
          <w:rFonts w:ascii="Times New Roman" w:hAnsi="Times New Roman"/>
          <w:sz w:val="24"/>
          <w:lang w:val="sr-Cyrl-CS"/>
        </w:rPr>
        <w:t xml:space="preserve"> (2008-2017</w:t>
      </w:r>
      <w:r w:rsidR="00605FFB" w:rsidRPr="005303F7">
        <w:rPr>
          <w:rFonts w:ascii="Times New Roman" w:hAnsi="Times New Roman"/>
          <w:sz w:val="24"/>
          <w:lang w:val="sr-Cyrl-CS"/>
        </w:rPr>
        <w:t>.</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број</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дана</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са</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посматраним</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топлотним</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таласом</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пове</w:t>
      </w:r>
      <w:r w:rsidR="00016298" w:rsidRPr="005303F7">
        <w:rPr>
          <w:rFonts w:ascii="Times New Roman" w:hAnsi="Times New Roman"/>
          <w:sz w:val="24"/>
          <w:lang w:val="sr-Cyrl-CS"/>
        </w:rPr>
        <w:t>ћ</w:t>
      </w:r>
      <w:r w:rsidR="008D69AF" w:rsidRPr="005303F7">
        <w:rPr>
          <w:rFonts w:ascii="Times New Roman" w:hAnsi="Times New Roman"/>
          <w:sz w:val="24"/>
          <w:lang w:val="sr-Cyrl-CS"/>
        </w:rPr>
        <w:t>ан</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је</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за</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више</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од</w:t>
      </w:r>
      <w:r w:rsidR="00F13B2F" w:rsidRPr="005303F7">
        <w:rPr>
          <w:rFonts w:ascii="Times New Roman" w:hAnsi="Times New Roman"/>
          <w:sz w:val="24"/>
          <w:lang w:val="sr-Cyrl-CS"/>
        </w:rPr>
        <w:t xml:space="preserve"> 20 </w:t>
      </w:r>
      <w:r w:rsidR="008D69AF" w:rsidRPr="005303F7">
        <w:rPr>
          <w:rFonts w:ascii="Times New Roman" w:hAnsi="Times New Roman"/>
          <w:sz w:val="24"/>
          <w:lang w:val="sr-Cyrl-CS"/>
        </w:rPr>
        <w:t>дана</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а</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максимум</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западној</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источној</w:t>
      </w:r>
      <w:r w:rsidR="00F13B2F" w:rsidRPr="005303F7">
        <w:rPr>
          <w:rFonts w:ascii="Times New Roman" w:hAnsi="Times New Roman"/>
          <w:sz w:val="24"/>
          <w:lang w:val="sr-Cyrl-CS"/>
        </w:rPr>
        <w:t xml:space="preserve"> </w:t>
      </w:r>
      <w:r w:rsidR="00D73AAB" w:rsidRPr="005303F7">
        <w:rPr>
          <w:rFonts w:ascii="Times New Roman" w:hAnsi="Times New Roman"/>
          <w:sz w:val="24"/>
          <w:lang w:val="sr-Cyrl-CS"/>
        </w:rPr>
        <w:t>Републици Србији</w:t>
      </w:r>
      <w:r w:rsidR="009D4115" w:rsidRPr="005303F7">
        <w:rPr>
          <w:rFonts w:ascii="Times New Roman" w:hAnsi="Times New Roman"/>
          <w:sz w:val="24"/>
          <w:lang w:val="sr-Cyrl-CS"/>
        </w:rPr>
        <w:t>,</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где</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је</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број</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дана</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топлотних</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таласа</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порастао</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за</w:t>
      </w:r>
      <w:r w:rsidR="00F13B2F" w:rsidRPr="005303F7">
        <w:rPr>
          <w:rFonts w:ascii="Times New Roman" w:hAnsi="Times New Roman"/>
          <w:sz w:val="24"/>
          <w:lang w:val="sr-Cyrl-CS"/>
        </w:rPr>
        <w:t xml:space="preserve"> 30.</w:t>
      </w:r>
    </w:p>
    <w:p w14:paraId="29DC947A" w14:textId="2C26BEB6" w:rsidR="00F13B2F" w:rsidRPr="005303F7" w:rsidRDefault="00CC6964" w:rsidP="00F13B2F">
      <w:pPr>
        <w:rPr>
          <w:rFonts w:ascii="Times New Roman" w:hAnsi="Times New Roman"/>
          <w:sz w:val="24"/>
          <w:lang w:val="sr-Cyrl-CS"/>
        </w:rPr>
      </w:pPr>
      <w:r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EE43D8" w:rsidRPr="005303F7">
        <w:rPr>
          <w:rFonts w:ascii="Times New Roman" w:hAnsi="Times New Roman"/>
          <w:sz w:val="24"/>
          <w:lang w:val="sr-Cyrl-CS"/>
        </w:rPr>
        <w:t xml:space="preserve"> </w:t>
      </w:r>
      <w:r w:rsidR="008D69AF" w:rsidRPr="005303F7">
        <w:rPr>
          <w:rFonts w:ascii="Times New Roman" w:hAnsi="Times New Roman"/>
          <w:sz w:val="24"/>
          <w:lang w:val="sr-Cyrl-CS"/>
        </w:rPr>
        <w:t>ближој</w:t>
      </w:r>
      <w:r w:rsidR="00EE43D8" w:rsidRPr="005303F7">
        <w:rPr>
          <w:rFonts w:ascii="Times New Roman" w:hAnsi="Times New Roman"/>
          <w:sz w:val="24"/>
          <w:lang w:val="sr-Cyrl-CS"/>
        </w:rPr>
        <w:t xml:space="preserve"> </w:t>
      </w:r>
      <w:r w:rsidR="008D69AF" w:rsidRPr="005303F7">
        <w:rPr>
          <w:rFonts w:ascii="Times New Roman" w:hAnsi="Times New Roman"/>
          <w:sz w:val="24"/>
          <w:lang w:val="sr-Cyrl-CS"/>
        </w:rPr>
        <w:t>будућности</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број</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дана</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током</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којих</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треба</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да</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се</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посматра</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топлотни</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талас</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пове</w:t>
      </w:r>
      <w:r w:rsidR="00016298" w:rsidRPr="005303F7">
        <w:rPr>
          <w:rFonts w:ascii="Times New Roman" w:hAnsi="Times New Roman"/>
          <w:sz w:val="24"/>
          <w:lang w:val="sr-Cyrl-CS"/>
        </w:rPr>
        <w:t>ћ</w:t>
      </w:r>
      <w:r w:rsidR="008D69AF" w:rsidRPr="005303F7">
        <w:rPr>
          <w:rFonts w:ascii="Times New Roman" w:hAnsi="Times New Roman"/>
          <w:sz w:val="24"/>
          <w:lang w:val="sr-Cyrl-CS"/>
        </w:rPr>
        <w:t>ава</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се</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за</w:t>
      </w:r>
      <w:r w:rsidR="00F13B2F" w:rsidRPr="005303F7">
        <w:rPr>
          <w:rFonts w:ascii="Times New Roman" w:hAnsi="Times New Roman"/>
          <w:sz w:val="24"/>
          <w:lang w:val="sr-Cyrl-CS"/>
        </w:rPr>
        <w:t xml:space="preserve"> 26 </w:t>
      </w:r>
      <w:r w:rsidR="008D69AF" w:rsidRPr="005303F7">
        <w:rPr>
          <w:rFonts w:ascii="Times New Roman" w:hAnsi="Times New Roman"/>
          <w:sz w:val="24"/>
          <w:lang w:val="sr-Cyrl-CS"/>
        </w:rPr>
        <w:t>и</w:t>
      </w:r>
      <w:r w:rsidR="00F13B2F" w:rsidRPr="005303F7">
        <w:rPr>
          <w:rFonts w:ascii="Times New Roman" w:hAnsi="Times New Roman"/>
          <w:sz w:val="24"/>
          <w:lang w:val="sr-Cyrl-CS"/>
        </w:rPr>
        <w:t xml:space="preserve"> 32 </w:t>
      </w:r>
      <w:r w:rsidR="008D69AF" w:rsidRPr="005303F7">
        <w:rPr>
          <w:rFonts w:ascii="Times New Roman" w:hAnsi="Times New Roman"/>
          <w:sz w:val="24"/>
          <w:lang w:val="sr-Cyrl-CS"/>
        </w:rPr>
        <w:t>дана</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просек</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за</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територију</w:t>
      </w:r>
      <w:r w:rsidR="00F13B2F" w:rsidRPr="005303F7">
        <w:rPr>
          <w:rFonts w:ascii="Times New Roman" w:hAnsi="Times New Roman"/>
          <w:sz w:val="24"/>
          <w:lang w:val="sr-Cyrl-CS"/>
        </w:rPr>
        <w:t xml:space="preserve"> </w:t>
      </w:r>
      <w:r w:rsidR="00D73AAB" w:rsidRPr="005303F7">
        <w:rPr>
          <w:rFonts w:ascii="Times New Roman" w:hAnsi="Times New Roman"/>
          <w:sz w:val="24"/>
          <w:lang w:val="sr-Cyrl-CS"/>
        </w:rPr>
        <w:t>Републике Србије</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сценаријима</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Р</w:t>
      </w:r>
      <w:r w:rsidR="00605FFB" w:rsidRPr="005303F7">
        <w:rPr>
          <w:rFonts w:ascii="Times New Roman" w:hAnsi="Times New Roman"/>
          <w:sz w:val="24"/>
          <w:lang w:val="sr-Cyrl-CS"/>
        </w:rPr>
        <w:t>CP</w:t>
      </w:r>
      <w:r w:rsidR="00F13B2F" w:rsidRPr="005303F7">
        <w:rPr>
          <w:rFonts w:ascii="Times New Roman" w:hAnsi="Times New Roman"/>
          <w:sz w:val="24"/>
          <w:lang w:val="sr-Cyrl-CS"/>
        </w:rPr>
        <w:t xml:space="preserve">4.5 </w:t>
      </w:r>
      <w:r w:rsidR="008D69AF" w:rsidRPr="005303F7">
        <w:rPr>
          <w:rFonts w:ascii="Times New Roman" w:hAnsi="Times New Roman"/>
          <w:sz w:val="24"/>
          <w:lang w:val="sr-Cyrl-CS"/>
        </w:rPr>
        <w:t>и</w:t>
      </w:r>
      <w:r w:rsidR="00F13B2F" w:rsidRPr="005303F7">
        <w:rPr>
          <w:rFonts w:ascii="Times New Roman" w:hAnsi="Times New Roman"/>
          <w:sz w:val="24"/>
          <w:lang w:val="sr-Cyrl-CS"/>
        </w:rPr>
        <w:t xml:space="preserve"> </w:t>
      </w:r>
      <w:r w:rsidR="00BC327E" w:rsidRPr="005303F7">
        <w:rPr>
          <w:rFonts w:ascii="Times New Roman" w:hAnsi="Times New Roman"/>
          <w:sz w:val="24"/>
          <w:lang w:val="sr-Cyrl-CS"/>
        </w:rPr>
        <w:t>RCP</w:t>
      </w:r>
      <w:r w:rsidR="00F13B2F" w:rsidRPr="005303F7">
        <w:rPr>
          <w:rFonts w:ascii="Times New Roman" w:hAnsi="Times New Roman"/>
          <w:sz w:val="24"/>
          <w:lang w:val="sr-Cyrl-CS"/>
        </w:rPr>
        <w:t xml:space="preserve">8.5, </w:t>
      </w:r>
      <w:r w:rsidR="008D69AF" w:rsidRPr="005303F7">
        <w:rPr>
          <w:rFonts w:ascii="Times New Roman" w:hAnsi="Times New Roman"/>
          <w:sz w:val="24"/>
          <w:lang w:val="sr-Cyrl-CS"/>
        </w:rPr>
        <w:t>односно</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средином</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века</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за</w:t>
      </w:r>
      <w:r w:rsidR="00F13B2F" w:rsidRPr="005303F7">
        <w:rPr>
          <w:rFonts w:ascii="Times New Roman" w:hAnsi="Times New Roman"/>
          <w:sz w:val="24"/>
          <w:lang w:val="sr-Cyrl-CS"/>
        </w:rPr>
        <w:t xml:space="preserve"> 58 </w:t>
      </w:r>
      <w:r w:rsidR="008D69AF" w:rsidRPr="005303F7">
        <w:rPr>
          <w:rFonts w:ascii="Times New Roman" w:hAnsi="Times New Roman"/>
          <w:sz w:val="24"/>
          <w:lang w:val="sr-Cyrl-CS"/>
        </w:rPr>
        <w:t>и</w:t>
      </w:r>
      <w:r w:rsidR="00F13B2F" w:rsidRPr="005303F7">
        <w:rPr>
          <w:rFonts w:ascii="Times New Roman" w:hAnsi="Times New Roman"/>
          <w:sz w:val="24"/>
          <w:lang w:val="sr-Cyrl-CS"/>
        </w:rPr>
        <w:t xml:space="preserve"> 70 </w:t>
      </w:r>
      <w:r w:rsidR="008D69AF" w:rsidRPr="005303F7">
        <w:rPr>
          <w:rFonts w:ascii="Times New Roman" w:hAnsi="Times New Roman"/>
          <w:sz w:val="24"/>
          <w:lang w:val="sr-Cyrl-CS"/>
        </w:rPr>
        <w:t>дана</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Пред</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крај</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века</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се</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очекује</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да</w:t>
      </w:r>
      <w:r w:rsidR="00F13B2F" w:rsidRPr="005303F7">
        <w:rPr>
          <w:rFonts w:ascii="Times New Roman" w:hAnsi="Times New Roman"/>
          <w:sz w:val="24"/>
          <w:lang w:val="sr-Cyrl-CS"/>
        </w:rPr>
        <w:t xml:space="preserve"> </w:t>
      </w:r>
      <w:r w:rsidR="00016298" w:rsidRPr="005303F7">
        <w:rPr>
          <w:rFonts w:ascii="Times New Roman" w:hAnsi="Times New Roman"/>
          <w:sz w:val="24"/>
          <w:lang w:val="sr-Cyrl-CS"/>
        </w:rPr>
        <w:t>ћ</w:t>
      </w:r>
      <w:r w:rsidR="008D69AF" w:rsidRPr="005303F7">
        <w:rPr>
          <w:rFonts w:ascii="Times New Roman" w:hAnsi="Times New Roman"/>
          <w:sz w:val="24"/>
          <w:lang w:val="sr-Cyrl-CS"/>
        </w:rPr>
        <w:t>е</w:t>
      </w:r>
      <w:r w:rsidR="00F13B2F" w:rsidRPr="005303F7">
        <w:rPr>
          <w:rFonts w:ascii="Times New Roman" w:hAnsi="Times New Roman"/>
          <w:sz w:val="24"/>
          <w:lang w:val="sr-Cyrl-CS"/>
        </w:rPr>
        <w:t xml:space="preserve"> </w:t>
      </w:r>
      <w:r w:rsidR="00BC327E" w:rsidRPr="005303F7">
        <w:rPr>
          <w:rFonts w:ascii="Times New Roman" w:hAnsi="Times New Roman"/>
          <w:sz w:val="24"/>
          <w:lang w:val="sr-Cyrl-CS"/>
        </w:rPr>
        <w:t>RCP</w:t>
      </w:r>
      <w:r w:rsidR="00F13B2F" w:rsidRPr="005303F7">
        <w:rPr>
          <w:rFonts w:ascii="Times New Roman" w:hAnsi="Times New Roman"/>
          <w:sz w:val="24"/>
          <w:lang w:val="sr-Cyrl-CS"/>
        </w:rPr>
        <w:t xml:space="preserve">4.5 </w:t>
      </w:r>
      <w:r w:rsidR="008D69AF" w:rsidRPr="005303F7">
        <w:rPr>
          <w:rFonts w:ascii="Times New Roman" w:hAnsi="Times New Roman"/>
          <w:sz w:val="24"/>
          <w:lang w:val="sr-Cyrl-CS"/>
        </w:rPr>
        <w:t>стабилизовати</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климу</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али</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аномалије</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достижу</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F13B2F" w:rsidRPr="005303F7">
        <w:rPr>
          <w:rFonts w:ascii="Times New Roman" w:hAnsi="Times New Roman"/>
          <w:sz w:val="24"/>
          <w:lang w:val="sr-Cyrl-CS"/>
        </w:rPr>
        <w:t xml:space="preserve"> </w:t>
      </w:r>
      <w:r w:rsidR="00BC327E" w:rsidRPr="005303F7">
        <w:rPr>
          <w:rFonts w:ascii="Times New Roman" w:hAnsi="Times New Roman"/>
          <w:sz w:val="24"/>
          <w:lang w:val="sr-Cyrl-CS"/>
        </w:rPr>
        <w:t>RCP</w:t>
      </w:r>
      <w:r w:rsidR="00F13B2F" w:rsidRPr="005303F7">
        <w:rPr>
          <w:rFonts w:ascii="Times New Roman" w:hAnsi="Times New Roman"/>
          <w:sz w:val="24"/>
          <w:lang w:val="sr-Cyrl-CS"/>
        </w:rPr>
        <w:t xml:space="preserve">8.5, </w:t>
      </w:r>
      <w:r w:rsidR="008D69AF" w:rsidRPr="005303F7">
        <w:rPr>
          <w:rFonts w:ascii="Times New Roman" w:hAnsi="Times New Roman"/>
          <w:sz w:val="24"/>
          <w:lang w:val="sr-Cyrl-CS"/>
        </w:rPr>
        <w:t>просечну</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вредност</w:t>
      </w:r>
      <w:r w:rsidR="00F13B2F" w:rsidRPr="005303F7">
        <w:rPr>
          <w:rFonts w:ascii="Times New Roman" w:hAnsi="Times New Roman"/>
          <w:sz w:val="24"/>
          <w:lang w:val="sr-Cyrl-CS"/>
        </w:rPr>
        <w:t xml:space="preserve"> </w:t>
      </w:r>
      <w:r w:rsidR="008D69AF" w:rsidRPr="005303F7">
        <w:rPr>
          <w:rFonts w:ascii="Times New Roman" w:hAnsi="Times New Roman"/>
          <w:sz w:val="24"/>
          <w:lang w:val="sr-Cyrl-CS"/>
        </w:rPr>
        <w:t>од</w:t>
      </w:r>
      <w:r w:rsidR="00F13B2F" w:rsidRPr="005303F7">
        <w:rPr>
          <w:rFonts w:ascii="Times New Roman" w:hAnsi="Times New Roman"/>
          <w:sz w:val="24"/>
          <w:lang w:val="sr-Cyrl-CS"/>
        </w:rPr>
        <w:t xml:space="preserve"> 66 </w:t>
      </w:r>
      <w:r w:rsidR="008D69AF" w:rsidRPr="005303F7">
        <w:rPr>
          <w:rFonts w:ascii="Times New Roman" w:hAnsi="Times New Roman"/>
          <w:sz w:val="24"/>
          <w:lang w:val="sr-Cyrl-CS"/>
        </w:rPr>
        <w:t>дана</w:t>
      </w:r>
      <w:r w:rsidR="00F13B2F" w:rsidRPr="005303F7">
        <w:rPr>
          <w:rFonts w:ascii="Times New Roman" w:hAnsi="Times New Roman"/>
          <w:sz w:val="24"/>
          <w:lang w:val="sr-Cyrl-CS"/>
        </w:rPr>
        <w:t>.</w:t>
      </w:r>
    </w:p>
    <w:p w14:paraId="611D4739" w14:textId="77777777" w:rsidR="007D0F9C" w:rsidRPr="005303F7" w:rsidRDefault="007D0F9C" w:rsidP="00F13B2F">
      <w:pPr>
        <w:rPr>
          <w:rFonts w:ascii="Times New Roman" w:hAnsi="Times New Roman"/>
          <w:sz w:val="24"/>
          <w:lang w:val="sr-Cyrl-CS"/>
        </w:rPr>
      </w:pPr>
    </w:p>
    <w:p w14:paraId="1E511A5F" w14:textId="19737FE2" w:rsidR="000663DE" w:rsidRPr="005303F7" w:rsidRDefault="008D69AF" w:rsidP="00F13B2F">
      <w:pPr>
        <w:rPr>
          <w:rFonts w:ascii="Times New Roman" w:eastAsiaTheme="minorHAnsi" w:hAnsi="Times New Roman"/>
          <w:i/>
          <w:iCs/>
          <w:sz w:val="24"/>
          <w:szCs w:val="22"/>
          <w:u w:val="single"/>
          <w:lang w:val="sr-Cyrl-CS"/>
        </w:rPr>
      </w:pPr>
      <w:r w:rsidRPr="005303F7">
        <w:rPr>
          <w:rFonts w:ascii="Times New Roman" w:eastAsiaTheme="minorHAnsi" w:hAnsi="Times New Roman"/>
          <w:i/>
          <w:iCs/>
          <w:sz w:val="24"/>
          <w:szCs w:val="22"/>
          <w:u w:val="single"/>
          <w:lang w:val="sr-Cyrl-CS"/>
        </w:rPr>
        <w:t>Суше</w:t>
      </w:r>
    </w:p>
    <w:p w14:paraId="7616C5D3" w14:textId="7229421C" w:rsidR="00D73C1A" w:rsidRPr="005303F7" w:rsidRDefault="00CC6964" w:rsidP="0060467B">
      <w:pPr>
        <w:rPr>
          <w:rFonts w:ascii="Times New Roman" w:eastAsiaTheme="minorHAnsi" w:hAnsi="Times New Roman"/>
          <w:sz w:val="24"/>
          <w:szCs w:val="22"/>
          <w:lang w:val="sr-Cyrl-CS"/>
        </w:rPr>
      </w:pPr>
      <w:r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Учесталост</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суша</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је</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анализирана</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коришћењем</w:t>
      </w:r>
      <w:r w:rsidR="000663DE" w:rsidRPr="005303F7">
        <w:rPr>
          <w:rFonts w:ascii="Times New Roman" w:eastAsiaTheme="minorHAnsi" w:hAnsi="Times New Roman"/>
          <w:sz w:val="24"/>
          <w:szCs w:val="22"/>
          <w:lang w:val="sr-Cyrl-CS"/>
        </w:rPr>
        <w:t xml:space="preserve"> </w:t>
      </w:r>
      <w:r w:rsidR="00BC327E" w:rsidRPr="005303F7">
        <w:rPr>
          <w:rFonts w:ascii="Times New Roman" w:eastAsiaTheme="minorHAnsi" w:hAnsi="Times New Roman"/>
          <w:sz w:val="24"/>
          <w:szCs w:val="22"/>
          <w:lang w:val="sr-Cyrl-CS"/>
        </w:rPr>
        <w:t>SPEI</w:t>
      </w:r>
      <w:r w:rsidR="000663DE"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индекса</w:t>
      </w:r>
      <w:r w:rsidR="006D19C3" w:rsidRPr="005303F7">
        <w:rPr>
          <w:rStyle w:val="FootnoteReference"/>
          <w:rFonts w:ascii="Times New Roman" w:eastAsiaTheme="minorHAnsi" w:hAnsi="Times New Roman"/>
          <w:sz w:val="18"/>
          <w:szCs w:val="22"/>
          <w:lang w:val="sr-Cyrl-CS"/>
        </w:rPr>
        <w:footnoteReference w:id="73"/>
      </w:r>
      <w:r w:rsidR="000663DE" w:rsidRPr="005303F7">
        <w:rPr>
          <w:rFonts w:ascii="Times New Roman" w:eastAsiaTheme="minorHAnsi" w:hAnsi="Times New Roman"/>
          <w:sz w:val="24"/>
          <w:szCs w:val="22"/>
          <w:lang w:val="sr-Cyrl-CS"/>
        </w:rPr>
        <w:t xml:space="preserve">. </w:t>
      </w:r>
      <w:r w:rsidR="00BC327E" w:rsidRPr="005303F7">
        <w:rPr>
          <w:rFonts w:ascii="Times New Roman" w:eastAsiaTheme="minorHAnsi" w:hAnsi="Times New Roman"/>
          <w:sz w:val="24"/>
          <w:szCs w:val="22"/>
          <w:lang w:val="sr-Cyrl-CS"/>
        </w:rPr>
        <w:t>SPEI</w:t>
      </w:r>
      <w:r w:rsidR="000663DE"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индекс</w:t>
      </w:r>
      <w:r w:rsidR="000663DE"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поред</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мера</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падавина</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што</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је</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предуслов</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за</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суше</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током</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изабраног</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периода</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узима</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у</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обзир</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и</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пове</w:t>
      </w:r>
      <w:r w:rsidR="00016298" w:rsidRPr="005303F7">
        <w:rPr>
          <w:rFonts w:ascii="Times New Roman" w:eastAsiaTheme="minorHAnsi" w:hAnsi="Times New Roman"/>
          <w:sz w:val="24"/>
          <w:szCs w:val="22"/>
          <w:lang w:val="sr-Cyrl-CS"/>
        </w:rPr>
        <w:t>ћ</w:t>
      </w:r>
      <w:r w:rsidR="008D69AF" w:rsidRPr="005303F7">
        <w:rPr>
          <w:rFonts w:ascii="Times New Roman" w:eastAsiaTheme="minorHAnsi" w:hAnsi="Times New Roman"/>
          <w:sz w:val="24"/>
          <w:szCs w:val="22"/>
          <w:lang w:val="sr-Cyrl-CS"/>
        </w:rPr>
        <w:t>ано</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испарење</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влаге</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из</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тла</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услед</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одговарају</w:t>
      </w:r>
      <w:r w:rsidR="00016298" w:rsidRPr="005303F7">
        <w:rPr>
          <w:rFonts w:ascii="Times New Roman" w:eastAsiaTheme="minorHAnsi" w:hAnsi="Times New Roman"/>
          <w:sz w:val="24"/>
          <w:szCs w:val="22"/>
          <w:lang w:val="sr-Cyrl-CS"/>
        </w:rPr>
        <w:t>ћ</w:t>
      </w:r>
      <w:r w:rsidR="008D69AF" w:rsidRPr="005303F7">
        <w:rPr>
          <w:rFonts w:ascii="Times New Roman" w:eastAsiaTheme="minorHAnsi" w:hAnsi="Times New Roman"/>
          <w:sz w:val="24"/>
          <w:szCs w:val="22"/>
          <w:lang w:val="sr-Cyrl-CS"/>
        </w:rPr>
        <w:t>е</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температуре</w:t>
      </w:r>
      <w:r w:rsidR="006D19C3"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ваздуха</w:t>
      </w:r>
      <w:r w:rsidR="006D19C3" w:rsidRPr="005303F7">
        <w:rPr>
          <w:rFonts w:ascii="Times New Roman" w:eastAsiaTheme="minorHAnsi" w:hAnsi="Times New Roman"/>
          <w:sz w:val="24"/>
          <w:szCs w:val="22"/>
          <w:lang w:val="sr-Cyrl-CS"/>
        </w:rPr>
        <w:t>.</w:t>
      </w:r>
      <w:r w:rsidR="000663DE"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Вредности</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индекса</w:t>
      </w:r>
      <w:r w:rsidR="006427B4" w:rsidRPr="005303F7">
        <w:rPr>
          <w:rFonts w:ascii="Times New Roman" w:eastAsiaTheme="minorHAnsi" w:hAnsi="Times New Roman"/>
          <w:sz w:val="24"/>
          <w:szCs w:val="22"/>
          <w:lang w:val="sr-Cyrl-CS"/>
        </w:rPr>
        <w:t xml:space="preserve"> </w:t>
      </w:r>
      <w:r w:rsidR="00BC327E" w:rsidRPr="005303F7">
        <w:rPr>
          <w:rFonts w:ascii="Times New Roman" w:eastAsiaTheme="minorHAnsi" w:hAnsi="Times New Roman"/>
          <w:sz w:val="24"/>
          <w:szCs w:val="22"/>
          <w:lang w:val="sr-Cyrl-CS"/>
        </w:rPr>
        <w:t>SPEI</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мање</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од</w:t>
      </w:r>
      <w:r w:rsidR="006427B4" w:rsidRPr="005303F7">
        <w:rPr>
          <w:rFonts w:ascii="Times New Roman" w:eastAsiaTheme="minorHAnsi" w:hAnsi="Times New Roman"/>
          <w:sz w:val="24"/>
          <w:szCs w:val="22"/>
          <w:lang w:val="sr-Cyrl-CS"/>
        </w:rPr>
        <w:t xml:space="preserve"> -1 </w:t>
      </w:r>
      <w:r w:rsidR="008D69AF" w:rsidRPr="005303F7">
        <w:rPr>
          <w:rFonts w:ascii="Times New Roman" w:eastAsiaTheme="minorHAnsi" w:hAnsi="Times New Roman"/>
          <w:sz w:val="24"/>
          <w:szCs w:val="22"/>
          <w:lang w:val="sr-Cyrl-CS"/>
        </w:rPr>
        <w:t>означавају</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сушне</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периоде</w:t>
      </w:r>
      <w:r w:rsidR="006427B4" w:rsidRPr="005303F7">
        <w:rPr>
          <w:rFonts w:ascii="Times New Roman" w:eastAsiaTheme="minorHAnsi" w:hAnsi="Times New Roman"/>
          <w:sz w:val="24"/>
          <w:szCs w:val="22"/>
          <w:lang w:val="sr-Cyrl-CS"/>
        </w:rPr>
        <w:t xml:space="preserve"> / </w:t>
      </w:r>
      <w:r w:rsidR="008D69AF" w:rsidRPr="005303F7">
        <w:rPr>
          <w:rFonts w:ascii="Times New Roman" w:eastAsiaTheme="minorHAnsi" w:hAnsi="Times New Roman"/>
          <w:sz w:val="24"/>
          <w:szCs w:val="22"/>
          <w:lang w:val="sr-Cyrl-CS"/>
        </w:rPr>
        <w:t>године</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Ниже</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вредности</w:t>
      </w:r>
      <w:r w:rsidR="006427B4" w:rsidRPr="005303F7">
        <w:rPr>
          <w:rFonts w:ascii="Times New Roman" w:eastAsiaTheme="minorHAnsi" w:hAnsi="Times New Roman"/>
          <w:sz w:val="24"/>
          <w:szCs w:val="22"/>
          <w:lang w:val="sr-Cyrl-CS"/>
        </w:rPr>
        <w:t xml:space="preserve"> </w:t>
      </w:r>
      <w:r w:rsidR="00BC327E" w:rsidRPr="005303F7">
        <w:rPr>
          <w:rFonts w:ascii="Times New Roman" w:eastAsiaTheme="minorHAnsi" w:hAnsi="Times New Roman"/>
          <w:sz w:val="24"/>
          <w:szCs w:val="22"/>
          <w:lang w:val="sr-Cyrl-CS"/>
        </w:rPr>
        <w:t>SPEI</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индекса</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односе</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се</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на</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целокупну</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територију</w:t>
      </w:r>
      <w:r w:rsidR="006427B4" w:rsidRPr="005303F7">
        <w:rPr>
          <w:rFonts w:ascii="Times New Roman" w:eastAsiaTheme="minorHAnsi" w:hAnsi="Times New Roman"/>
          <w:sz w:val="24"/>
          <w:szCs w:val="22"/>
          <w:lang w:val="sr-Cyrl-CS"/>
        </w:rPr>
        <w:t xml:space="preserve"> </w:t>
      </w:r>
      <w:r w:rsidR="00D73AAB" w:rsidRPr="005303F7">
        <w:rPr>
          <w:rFonts w:ascii="Times New Roman" w:eastAsiaTheme="minorHAnsi" w:hAnsi="Times New Roman"/>
          <w:sz w:val="24"/>
          <w:szCs w:val="22"/>
          <w:lang w:val="sr-Cyrl-CS"/>
        </w:rPr>
        <w:t>Републике Србије</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за</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месец</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август</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тј</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за</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период</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од</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марта</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до</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августа</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од</w:t>
      </w:r>
      <w:r w:rsidR="006427B4" w:rsidRPr="005303F7">
        <w:rPr>
          <w:rFonts w:ascii="Times New Roman" w:eastAsiaTheme="minorHAnsi" w:hAnsi="Times New Roman"/>
          <w:sz w:val="24"/>
          <w:szCs w:val="22"/>
          <w:lang w:val="sr-Cyrl-CS"/>
        </w:rPr>
        <w:t xml:space="preserve"> 1950. </w:t>
      </w:r>
      <w:r w:rsidR="008D69AF" w:rsidRPr="005303F7">
        <w:rPr>
          <w:rFonts w:ascii="Times New Roman" w:eastAsiaTheme="minorHAnsi" w:hAnsi="Times New Roman"/>
          <w:sz w:val="24"/>
          <w:szCs w:val="22"/>
          <w:lang w:val="sr-Cyrl-CS"/>
        </w:rPr>
        <w:t>до</w:t>
      </w:r>
      <w:r w:rsidR="006427B4" w:rsidRPr="005303F7">
        <w:rPr>
          <w:rFonts w:ascii="Times New Roman" w:eastAsiaTheme="minorHAnsi" w:hAnsi="Times New Roman"/>
          <w:sz w:val="24"/>
          <w:szCs w:val="22"/>
          <w:lang w:val="sr-Cyrl-CS"/>
        </w:rPr>
        <w:t xml:space="preserve"> 2017. </w:t>
      </w:r>
      <w:r w:rsidR="008D69AF" w:rsidRPr="005303F7">
        <w:rPr>
          <w:rFonts w:ascii="Times New Roman" w:eastAsiaTheme="minorHAnsi" w:hAnsi="Times New Roman"/>
          <w:sz w:val="24"/>
          <w:szCs w:val="22"/>
          <w:lang w:val="sr-Cyrl-CS"/>
        </w:rPr>
        <w:t>године</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Ове</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шестомесечне</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вредности</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су</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изабране</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због</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чињенице</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да</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су</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анализе</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акумулираних</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сезонских</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падавина</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показале</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да</w:t>
      </w:r>
      <w:r w:rsidR="009D4115"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су</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оне</w:t>
      </w:r>
      <w:r w:rsidR="00A46819"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недово</w:t>
      </w:r>
      <w:r w:rsidR="00D553BE" w:rsidRPr="005303F7">
        <w:rPr>
          <w:rFonts w:ascii="Times New Roman" w:eastAsiaTheme="minorHAnsi" w:hAnsi="Times New Roman"/>
          <w:sz w:val="24"/>
          <w:szCs w:val="22"/>
          <w:lang w:val="sr-Cyrl-CS"/>
        </w:rPr>
        <w:t>љ</w:t>
      </w:r>
      <w:r w:rsidR="008D69AF" w:rsidRPr="005303F7">
        <w:rPr>
          <w:rFonts w:ascii="Times New Roman" w:eastAsiaTheme="minorHAnsi" w:hAnsi="Times New Roman"/>
          <w:sz w:val="24"/>
          <w:szCs w:val="22"/>
          <w:lang w:val="sr-Cyrl-CS"/>
        </w:rPr>
        <w:t>не</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током</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последњих</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двадесет</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година</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управо</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током</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ових</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месеци</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а</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са</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друге</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стране</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то</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су</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месеци</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када</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по</w:t>
      </w:r>
      <w:r w:rsidR="00D553BE" w:rsidRPr="005303F7">
        <w:rPr>
          <w:rFonts w:ascii="Times New Roman" w:eastAsiaTheme="minorHAnsi" w:hAnsi="Times New Roman"/>
          <w:sz w:val="24"/>
          <w:szCs w:val="22"/>
          <w:lang w:val="sr-Cyrl-CS"/>
        </w:rPr>
        <w:t>љ</w:t>
      </w:r>
      <w:r w:rsidR="008D69AF" w:rsidRPr="005303F7">
        <w:rPr>
          <w:rFonts w:ascii="Times New Roman" w:eastAsiaTheme="minorHAnsi" w:hAnsi="Times New Roman"/>
          <w:sz w:val="24"/>
          <w:szCs w:val="22"/>
          <w:lang w:val="sr-Cyrl-CS"/>
        </w:rPr>
        <w:t>опривредна</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производња</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зависи</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управо</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од</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падавина</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тако</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да</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у</w:t>
      </w:r>
      <w:r w:rsidR="00A46819"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годинама</w:t>
      </w:r>
      <w:r w:rsidR="00A46819"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са</w:t>
      </w:r>
      <w:r w:rsidR="00A46819"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недово</w:t>
      </w:r>
      <w:r w:rsidR="00D553BE" w:rsidRPr="005303F7">
        <w:rPr>
          <w:rFonts w:ascii="Times New Roman" w:eastAsiaTheme="minorHAnsi" w:hAnsi="Times New Roman"/>
          <w:sz w:val="24"/>
          <w:szCs w:val="22"/>
          <w:lang w:val="sr-Cyrl-CS"/>
        </w:rPr>
        <w:t>љ</w:t>
      </w:r>
      <w:r w:rsidR="008D69AF" w:rsidRPr="005303F7">
        <w:rPr>
          <w:rFonts w:ascii="Times New Roman" w:eastAsiaTheme="minorHAnsi" w:hAnsi="Times New Roman"/>
          <w:sz w:val="24"/>
          <w:szCs w:val="22"/>
          <w:lang w:val="sr-Cyrl-CS"/>
        </w:rPr>
        <w:t>но</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падавина</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током</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ових</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месеци</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по</w:t>
      </w:r>
      <w:r w:rsidR="00D553BE" w:rsidRPr="005303F7">
        <w:rPr>
          <w:rFonts w:ascii="Times New Roman" w:eastAsiaTheme="minorHAnsi" w:hAnsi="Times New Roman"/>
          <w:sz w:val="24"/>
          <w:szCs w:val="22"/>
          <w:lang w:val="sr-Cyrl-CS"/>
        </w:rPr>
        <w:t>љ</w:t>
      </w:r>
      <w:r w:rsidR="008D69AF" w:rsidRPr="005303F7">
        <w:rPr>
          <w:rFonts w:ascii="Times New Roman" w:eastAsiaTheme="minorHAnsi" w:hAnsi="Times New Roman"/>
          <w:sz w:val="24"/>
          <w:szCs w:val="22"/>
          <w:lang w:val="sr-Cyrl-CS"/>
        </w:rPr>
        <w:t>опривредни</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приноси</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обично</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имају</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мање</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вредности</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од</w:t>
      </w:r>
      <w:r w:rsidR="006427B4"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очекиваних</w:t>
      </w:r>
      <w:r w:rsidR="00A46819" w:rsidRPr="005303F7">
        <w:rPr>
          <w:rFonts w:ascii="Times New Roman" w:eastAsiaTheme="minorHAnsi" w:hAnsi="Times New Roman"/>
          <w:sz w:val="24"/>
          <w:szCs w:val="22"/>
          <w:lang w:val="sr-Cyrl-CS"/>
        </w:rPr>
        <w:t xml:space="preserve">. </w:t>
      </w:r>
      <w:r w:rsidR="00BB0AA2" w:rsidRPr="005303F7">
        <w:rPr>
          <w:rFonts w:ascii="Times New Roman" w:eastAsiaTheme="minorHAnsi" w:hAnsi="Times New Roman"/>
          <w:sz w:val="24"/>
          <w:szCs w:val="22"/>
          <w:lang w:val="sr-Cyrl-CS"/>
        </w:rPr>
        <w:t>После</w:t>
      </w:r>
      <w:r w:rsidR="00D73C1A" w:rsidRPr="005303F7">
        <w:rPr>
          <w:rFonts w:ascii="Times New Roman" w:eastAsiaTheme="minorHAnsi" w:hAnsi="Times New Roman"/>
          <w:sz w:val="24"/>
          <w:szCs w:val="22"/>
          <w:lang w:val="sr-Cyrl-CS"/>
        </w:rPr>
        <w:t xml:space="preserve"> 2000. </w:t>
      </w:r>
      <w:r w:rsidR="008D69AF" w:rsidRPr="005303F7">
        <w:rPr>
          <w:rFonts w:ascii="Times New Roman" w:eastAsiaTheme="minorHAnsi" w:hAnsi="Times New Roman"/>
          <w:sz w:val="24"/>
          <w:szCs w:val="22"/>
          <w:lang w:val="sr-Cyrl-CS"/>
        </w:rPr>
        <w:t>године</w:t>
      </w:r>
      <w:r w:rsidR="00D73C1A"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учесталост</w:t>
      </w:r>
      <w:r w:rsidR="00D73C1A"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суше</w:t>
      </w:r>
      <w:r w:rsidR="00D73C1A"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је</w:t>
      </w:r>
      <w:r w:rsidR="00D73C1A"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постала</w:t>
      </w:r>
      <w:r w:rsidR="00D73C1A"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нешто</w:t>
      </w:r>
      <w:r w:rsidR="00D73C1A" w:rsidRPr="005303F7">
        <w:rPr>
          <w:rFonts w:ascii="Times New Roman" w:eastAsiaTheme="minorHAnsi" w:hAnsi="Times New Roman"/>
          <w:sz w:val="24"/>
          <w:szCs w:val="22"/>
          <w:lang w:val="sr-Cyrl-CS"/>
        </w:rPr>
        <w:t xml:space="preserve"> </w:t>
      </w:r>
      <w:r w:rsidR="00B05959"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ве</w:t>
      </w:r>
      <w:r w:rsidR="00016298" w:rsidRPr="005303F7">
        <w:rPr>
          <w:rFonts w:ascii="Times New Roman" w:eastAsiaTheme="minorHAnsi" w:hAnsi="Times New Roman"/>
          <w:sz w:val="24"/>
          <w:szCs w:val="22"/>
          <w:lang w:val="sr-Cyrl-CS"/>
        </w:rPr>
        <w:t>ћ</w:t>
      </w:r>
      <w:r w:rsidR="008D69AF" w:rsidRPr="005303F7">
        <w:rPr>
          <w:rFonts w:ascii="Times New Roman" w:eastAsiaTheme="minorHAnsi" w:hAnsi="Times New Roman"/>
          <w:sz w:val="24"/>
          <w:szCs w:val="22"/>
          <w:lang w:val="sr-Cyrl-CS"/>
        </w:rPr>
        <w:t>а</w:t>
      </w:r>
      <w:r w:rsidR="00D73C1A"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Године</w:t>
      </w:r>
      <w:r w:rsidR="00D73C1A"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у</w:t>
      </w:r>
      <w:r w:rsidR="00D73C1A"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којима</w:t>
      </w:r>
      <w:r w:rsidR="00D73C1A"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је</w:t>
      </w:r>
      <w:r w:rsidR="00D73C1A"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индекс</w:t>
      </w:r>
      <w:r w:rsidR="00D73C1A"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био</w:t>
      </w:r>
      <w:r w:rsidR="00D73C1A"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мањи</w:t>
      </w:r>
      <w:r w:rsidR="00D73C1A"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од</w:t>
      </w:r>
      <w:r w:rsidR="00D73C1A" w:rsidRPr="005303F7">
        <w:rPr>
          <w:rFonts w:ascii="Times New Roman" w:eastAsiaTheme="minorHAnsi" w:hAnsi="Times New Roman"/>
          <w:sz w:val="24"/>
          <w:szCs w:val="22"/>
          <w:lang w:val="sr-Cyrl-CS"/>
        </w:rPr>
        <w:t xml:space="preserve"> -1 </w:t>
      </w:r>
      <w:r w:rsidR="008D69AF" w:rsidRPr="005303F7">
        <w:rPr>
          <w:rFonts w:ascii="Times New Roman" w:eastAsiaTheme="minorHAnsi" w:hAnsi="Times New Roman"/>
          <w:sz w:val="24"/>
          <w:szCs w:val="22"/>
          <w:lang w:val="sr-Cyrl-CS"/>
        </w:rPr>
        <w:t>биле</w:t>
      </w:r>
      <w:r w:rsidR="00D73C1A"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су</w:t>
      </w:r>
      <w:r w:rsidR="00D73C1A" w:rsidRPr="005303F7">
        <w:rPr>
          <w:rFonts w:ascii="Times New Roman" w:eastAsiaTheme="minorHAnsi" w:hAnsi="Times New Roman"/>
          <w:sz w:val="24"/>
          <w:szCs w:val="22"/>
          <w:lang w:val="sr-Cyrl-CS"/>
        </w:rPr>
        <w:t xml:space="preserve"> 2000, 2003, 2007, 2011, 2012, 2015. </w:t>
      </w:r>
      <w:r w:rsidR="008D69AF" w:rsidRPr="005303F7">
        <w:rPr>
          <w:rFonts w:ascii="Times New Roman" w:eastAsiaTheme="minorHAnsi" w:hAnsi="Times New Roman"/>
          <w:sz w:val="24"/>
          <w:szCs w:val="22"/>
          <w:lang w:val="sr-Cyrl-CS"/>
        </w:rPr>
        <w:t>и</w:t>
      </w:r>
      <w:r w:rsidR="00D73C1A" w:rsidRPr="005303F7">
        <w:rPr>
          <w:rFonts w:ascii="Times New Roman" w:eastAsiaTheme="minorHAnsi" w:hAnsi="Times New Roman"/>
          <w:sz w:val="24"/>
          <w:szCs w:val="22"/>
          <w:lang w:val="sr-Cyrl-CS"/>
        </w:rPr>
        <w:t xml:space="preserve"> 2017.</w:t>
      </w:r>
      <w:r w:rsidR="009D4115"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година</w:t>
      </w:r>
      <w:r w:rsidR="009D4115" w:rsidRPr="005303F7">
        <w:rPr>
          <w:rFonts w:ascii="Times New Roman" w:eastAsiaTheme="minorHAnsi" w:hAnsi="Times New Roman"/>
          <w:sz w:val="24"/>
          <w:szCs w:val="22"/>
          <w:lang w:val="sr-Cyrl-CS"/>
        </w:rPr>
        <w:t>.</w:t>
      </w:r>
      <w:r w:rsidR="00D73C1A"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Пре</w:t>
      </w:r>
      <w:r w:rsidR="00D73C1A" w:rsidRPr="005303F7">
        <w:rPr>
          <w:rFonts w:ascii="Times New Roman" w:eastAsiaTheme="minorHAnsi" w:hAnsi="Times New Roman"/>
          <w:sz w:val="24"/>
          <w:szCs w:val="22"/>
          <w:lang w:val="sr-Cyrl-CS"/>
        </w:rPr>
        <w:t xml:space="preserve"> 2000. </w:t>
      </w:r>
      <w:r w:rsidR="008D69AF" w:rsidRPr="005303F7">
        <w:rPr>
          <w:rFonts w:ascii="Times New Roman" w:eastAsiaTheme="minorHAnsi" w:hAnsi="Times New Roman"/>
          <w:sz w:val="24"/>
          <w:szCs w:val="22"/>
          <w:lang w:val="sr-Cyrl-CS"/>
        </w:rPr>
        <w:t>године</w:t>
      </w:r>
      <w:r w:rsidR="00D73C1A"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само</w:t>
      </w:r>
      <w:r w:rsidR="00D73C1A"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три</w:t>
      </w:r>
      <w:r w:rsidR="00D73C1A"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године</w:t>
      </w:r>
      <w:r w:rsidR="00D73C1A"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су</w:t>
      </w:r>
      <w:r w:rsidR="00D73C1A"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имале</w:t>
      </w:r>
      <w:r w:rsidR="00D73C1A"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индекс</w:t>
      </w:r>
      <w:r w:rsidR="00D73C1A"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мањи</w:t>
      </w:r>
      <w:r w:rsidR="00D73C1A" w:rsidRPr="005303F7">
        <w:rPr>
          <w:rFonts w:ascii="Times New Roman" w:eastAsiaTheme="minorHAnsi" w:hAnsi="Times New Roman"/>
          <w:sz w:val="24"/>
          <w:szCs w:val="22"/>
          <w:lang w:val="sr-Cyrl-CS"/>
        </w:rPr>
        <w:t xml:space="preserve"> </w:t>
      </w:r>
      <w:r w:rsidR="008D69AF" w:rsidRPr="005303F7">
        <w:rPr>
          <w:rFonts w:ascii="Times New Roman" w:eastAsiaTheme="minorHAnsi" w:hAnsi="Times New Roman"/>
          <w:sz w:val="24"/>
          <w:szCs w:val="22"/>
          <w:lang w:val="sr-Cyrl-CS"/>
        </w:rPr>
        <w:t>од</w:t>
      </w:r>
      <w:r w:rsidR="00D73C1A" w:rsidRPr="005303F7">
        <w:rPr>
          <w:rFonts w:ascii="Times New Roman" w:eastAsiaTheme="minorHAnsi" w:hAnsi="Times New Roman"/>
          <w:sz w:val="24"/>
          <w:szCs w:val="22"/>
          <w:lang w:val="sr-Cyrl-CS"/>
        </w:rPr>
        <w:t xml:space="preserve"> -1.</w:t>
      </w:r>
    </w:p>
    <w:p w14:paraId="595BE983" w14:textId="10E5529A" w:rsidR="000663DE" w:rsidRPr="005303F7" w:rsidRDefault="00CC6964" w:rsidP="009F7017">
      <w:pPr>
        <w:rPr>
          <w:rFonts w:ascii="Times New Roman" w:hAnsi="Times New Roman"/>
          <w:sz w:val="24"/>
          <w:lang w:val="sr-Cyrl-CS"/>
        </w:rPr>
      </w:pPr>
      <w:r w:rsidRPr="005303F7">
        <w:rPr>
          <w:rFonts w:ascii="Times New Roman" w:hAnsi="Times New Roman"/>
          <w:sz w:val="24"/>
          <w:lang w:val="sr-Cyrl-CS"/>
        </w:rPr>
        <w:t xml:space="preserve">        </w:t>
      </w:r>
      <w:r w:rsidR="008D69AF" w:rsidRPr="005303F7">
        <w:rPr>
          <w:rFonts w:ascii="Times New Roman" w:hAnsi="Times New Roman"/>
          <w:sz w:val="24"/>
          <w:lang w:val="sr-Cyrl-CS"/>
        </w:rPr>
        <w:t>Што</w:t>
      </w:r>
      <w:r w:rsidR="00C2516E" w:rsidRPr="005303F7">
        <w:rPr>
          <w:rFonts w:ascii="Times New Roman" w:hAnsi="Times New Roman"/>
          <w:sz w:val="24"/>
          <w:lang w:val="sr-Cyrl-CS"/>
        </w:rPr>
        <w:t xml:space="preserve"> </w:t>
      </w:r>
      <w:r w:rsidR="008D69AF" w:rsidRPr="005303F7">
        <w:rPr>
          <w:rFonts w:ascii="Times New Roman" w:hAnsi="Times New Roman"/>
          <w:sz w:val="24"/>
          <w:lang w:val="sr-Cyrl-CS"/>
        </w:rPr>
        <w:t>се</w:t>
      </w:r>
      <w:r w:rsidR="00C2516E" w:rsidRPr="005303F7">
        <w:rPr>
          <w:rFonts w:ascii="Times New Roman" w:hAnsi="Times New Roman"/>
          <w:sz w:val="24"/>
          <w:lang w:val="sr-Cyrl-CS"/>
        </w:rPr>
        <w:t xml:space="preserve"> </w:t>
      </w:r>
      <w:r w:rsidR="008D69AF" w:rsidRPr="005303F7">
        <w:rPr>
          <w:rFonts w:ascii="Times New Roman" w:hAnsi="Times New Roman"/>
          <w:sz w:val="24"/>
          <w:lang w:val="sr-Cyrl-CS"/>
        </w:rPr>
        <w:t>тиче</w:t>
      </w:r>
      <w:r w:rsidR="00C2516E" w:rsidRPr="005303F7">
        <w:rPr>
          <w:rFonts w:ascii="Times New Roman" w:hAnsi="Times New Roman"/>
          <w:sz w:val="24"/>
          <w:lang w:val="sr-Cyrl-CS"/>
        </w:rPr>
        <w:t xml:space="preserve"> </w:t>
      </w:r>
      <w:r w:rsidR="008D69AF" w:rsidRPr="005303F7">
        <w:rPr>
          <w:rFonts w:ascii="Times New Roman" w:hAnsi="Times New Roman"/>
          <w:sz w:val="24"/>
          <w:lang w:val="sr-Cyrl-CS"/>
        </w:rPr>
        <w:t>буду</w:t>
      </w:r>
      <w:r w:rsidR="00016298" w:rsidRPr="005303F7">
        <w:rPr>
          <w:rFonts w:ascii="Times New Roman" w:hAnsi="Times New Roman"/>
          <w:sz w:val="24"/>
          <w:lang w:val="sr-Cyrl-CS"/>
        </w:rPr>
        <w:t>ћ</w:t>
      </w:r>
      <w:r w:rsidR="008D69AF" w:rsidRPr="005303F7">
        <w:rPr>
          <w:rFonts w:ascii="Times New Roman" w:hAnsi="Times New Roman"/>
          <w:sz w:val="24"/>
          <w:lang w:val="sr-Cyrl-CS"/>
        </w:rPr>
        <w:t>ег</w:t>
      </w:r>
      <w:r w:rsidR="00C2516E" w:rsidRPr="005303F7">
        <w:rPr>
          <w:rFonts w:ascii="Times New Roman" w:hAnsi="Times New Roman"/>
          <w:sz w:val="24"/>
          <w:lang w:val="sr-Cyrl-CS"/>
        </w:rPr>
        <w:t xml:space="preserve"> </w:t>
      </w:r>
      <w:r w:rsidR="008D69AF" w:rsidRPr="005303F7">
        <w:rPr>
          <w:rFonts w:ascii="Times New Roman" w:hAnsi="Times New Roman"/>
          <w:sz w:val="24"/>
          <w:lang w:val="sr-Cyrl-CS"/>
        </w:rPr>
        <w:t>климатског</w:t>
      </w:r>
      <w:r w:rsidR="00C2516E" w:rsidRPr="005303F7">
        <w:rPr>
          <w:rFonts w:ascii="Times New Roman" w:hAnsi="Times New Roman"/>
          <w:sz w:val="24"/>
          <w:lang w:val="sr-Cyrl-CS"/>
        </w:rPr>
        <w:t xml:space="preserve"> </w:t>
      </w:r>
      <w:r w:rsidR="008D69AF" w:rsidRPr="005303F7">
        <w:rPr>
          <w:rFonts w:ascii="Times New Roman" w:hAnsi="Times New Roman"/>
          <w:sz w:val="24"/>
          <w:lang w:val="sr-Cyrl-CS"/>
        </w:rPr>
        <w:t>сценарија</w:t>
      </w:r>
      <w:r w:rsidR="00C2516E" w:rsidRPr="005303F7">
        <w:rPr>
          <w:rFonts w:ascii="Times New Roman" w:hAnsi="Times New Roman"/>
          <w:sz w:val="24"/>
          <w:lang w:val="sr-Cyrl-CS"/>
        </w:rPr>
        <w:t xml:space="preserve">, </w:t>
      </w:r>
      <w:r w:rsidR="008D69AF" w:rsidRPr="005303F7">
        <w:rPr>
          <w:rFonts w:ascii="Times New Roman" w:hAnsi="Times New Roman"/>
          <w:sz w:val="24"/>
          <w:lang w:val="sr-Cyrl-CS"/>
        </w:rPr>
        <w:t>показате</w:t>
      </w:r>
      <w:r w:rsidR="00D553BE" w:rsidRPr="005303F7">
        <w:rPr>
          <w:rFonts w:ascii="Times New Roman" w:hAnsi="Times New Roman"/>
          <w:sz w:val="24"/>
          <w:lang w:val="sr-Cyrl-CS"/>
        </w:rPr>
        <w:t>љ</w:t>
      </w:r>
      <w:r w:rsidR="00C2516E" w:rsidRPr="005303F7">
        <w:rPr>
          <w:rFonts w:ascii="Times New Roman" w:hAnsi="Times New Roman"/>
          <w:sz w:val="24"/>
          <w:lang w:val="sr-Cyrl-CS"/>
        </w:rPr>
        <w:t xml:space="preserve"> </w:t>
      </w:r>
      <w:r w:rsidR="008D69AF" w:rsidRPr="005303F7">
        <w:rPr>
          <w:rFonts w:ascii="Times New Roman" w:hAnsi="Times New Roman"/>
          <w:sz w:val="24"/>
          <w:lang w:val="sr-Cyrl-CS"/>
        </w:rPr>
        <w:t>који</w:t>
      </w:r>
      <w:r w:rsidR="00C2516E" w:rsidRPr="005303F7">
        <w:rPr>
          <w:rFonts w:ascii="Times New Roman" w:hAnsi="Times New Roman"/>
          <w:sz w:val="24"/>
          <w:lang w:val="sr-Cyrl-CS"/>
        </w:rPr>
        <w:t xml:space="preserve"> </w:t>
      </w:r>
      <w:r w:rsidR="008D69AF" w:rsidRPr="005303F7">
        <w:rPr>
          <w:rFonts w:ascii="Times New Roman" w:hAnsi="Times New Roman"/>
          <w:sz w:val="24"/>
          <w:lang w:val="sr-Cyrl-CS"/>
        </w:rPr>
        <w:t>се</w:t>
      </w:r>
      <w:r w:rsidR="00C2516E" w:rsidRPr="005303F7">
        <w:rPr>
          <w:rFonts w:ascii="Times New Roman" w:hAnsi="Times New Roman"/>
          <w:sz w:val="24"/>
          <w:lang w:val="sr-Cyrl-CS"/>
        </w:rPr>
        <w:t xml:space="preserve"> </w:t>
      </w:r>
      <w:r w:rsidR="008D69AF" w:rsidRPr="005303F7">
        <w:rPr>
          <w:rFonts w:ascii="Times New Roman" w:hAnsi="Times New Roman"/>
          <w:sz w:val="24"/>
          <w:lang w:val="sr-Cyrl-CS"/>
        </w:rPr>
        <w:t>користи</w:t>
      </w:r>
      <w:r w:rsidR="00C2516E" w:rsidRPr="005303F7">
        <w:rPr>
          <w:rFonts w:ascii="Times New Roman" w:hAnsi="Times New Roman"/>
          <w:sz w:val="24"/>
          <w:lang w:val="sr-Cyrl-CS"/>
        </w:rPr>
        <w:t xml:space="preserve"> </w:t>
      </w:r>
      <w:r w:rsidR="008D69AF" w:rsidRPr="005303F7">
        <w:rPr>
          <w:rFonts w:ascii="Times New Roman" w:hAnsi="Times New Roman"/>
          <w:sz w:val="24"/>
          <w:lang w:val="sr-Cyrl-CS"/>
        </w:rPr>
        <w:t>као</w:t>
      </w:r>
      <w:r w:rsidR="00C2516E" w:rsidRPr="005303F7">
        <w:rPr>
          <w:rFonts w:ascii="Times New Roman" w:hAnsi="Times New Roman"/>
          <w:sz w:val="24"/>
          <w:lang w:val="sr-Cyrl-CS"/>
        </w:rPr>
        <w:t xml:space="preserve"> </w:t>
      </w:r>
      <w:r w:rsidR="008D69AF" w:rsidRPr="005303F7">
        <w:rPr>
          <w:rFonts w:ascii="Times New Roman" w:hAnsi="Times New Roman"/>
          <w:sz w:val="24"/>
          <w:lang w:val="sr-Cyrl-CS"/>
        </w:rPr>
        <w:t>заменик</w:t>
      </w:r>
      <w:r w:rsidR="00C2516E" w:rsidRPr="005303F7">
        <w:rPr>
          <w:rFonts w:ascii="Times New Roman" w:hAnsi="Times New Roman"/>
          <w:sz w:val="24"/>
          <w:lang w:val="sr-Cyrl-CS"/>
        </w:rPr>
        <w:t xml:space="preserve"> (</w:t>
      </w:r>
      <w:r w:rsidR="00605FFB" w:rsidRPr="005303F7">
        <w:rPr>
          <w:rFonts w:ascii="Times New Roman" w:hAnsi="Times New Roman"/>
          <w:sz w:val="24"/>
          <w:lang w:val="sr-Cyrl-CS"/>
        </w:rPr>
        <w:t>proxy</w:t>
      </w:r>
      <w:r w:rsidR="00C2516E" w:rsidRPr="005303F7">
        <w:rPr>
          <w:rFonts w:ascii="Times New Roman" w:hAnsi="Times New Roman"/>
          <w:sz w:val="24"/>
          <w:lang w:val="sr-Cyrl-CS"/>
        </w:rPr>
        <w:t xml:space="preserve">) </w:t>
      </w:r>
      <w:r w:rsidR="008D69AF" w:rsidRPr="005303F7">
        <w:rPr>
          <w:rFonts w:ascii="Times New Roman" w:hAnsi="Times New Roman"/>
          <w:sz w:val="24"/>
          <w:lang w:val="sr-Cyrl-CS"/>
        </w:rPr>
        <w:t>за</w:t>
      </w:r>
      <w:r w:rsidR="00C2516E" w:rsidRPr="005303F7">
        <w:rPr>
          <w:rFonts w:ascii="Times New Roman" w:hAnsi="Times New Roman"/>
          <w:sz w:val="24"/>
          <w:lang w:val="sr-Cyrl-CS"/>
        </w:rPr>
        <w:t xml:space="preserve"> </w:t>
      </w:r>
      <w:r w:rsidR="008D69AF" w:rsidRPr="005303F7">
        <w:rPr>
          <w:rFonts w:ascii="Times New Roman" w:hAnsi="Times New Roman"/>
          <w:sz w:val="24"/>
          <w:lang w:val="sr-Cyrl-CS"/>
        </w:rPr>
        <w:t>сушу</w:t>
      </w:r>
      <w:r w:rsidR="00C2516E" w:rsidRPr="005303F7">
        <w:rPr>
          <w:rFonts w:ascii="Times New Roman" w:hAnsi="Times New Roman"/>
          <w:sz w:val="24"/>
          <w:lang w:val="sr-Cyrl-CS"/>
        </w:rPr>
        <w:t xml:space="preserve"> </w:t>
      </w:r>
      <w:r w:rsidR="008D69AF" w:rsidRPr="005303F7">
        <w:rPr>
          <w:rFonts w:ascii="Times New Roman" w:hAnsi="Times New Roman"/>
          <w:sz w:val="24"/>
          <w:lang w:val="sr-Cyrl-CS"/>
        </w:rPr>
        <w:t>је</w:t>
      </w:r>
      <w:r w:rsidR="00C2516E" w:rsidRPr="005303F7">
        <w:rPr>
          <w:rFonts w:ascii="Times New Roman" w:hAnsi="Times New Roman"/>
          <w:sz w:val="24"/>
          <w:lang w:val="sr-Cyrl-CS"/>
        </w:rPr>
        <w:t xml:space="preserve"> </w:t>
      </w:r>
      <w:r w:rsidR="00605FFB" w:rsidRPr="005303F7">
        <w:rPr>
          <w:rFonts w:ascii="Times New Roman" w:hAnsi="Times New Roman"/>
          <w:i/>
          <w:iCs/>
          <w:sz w:val="24"/>
          <w:lang w:val="sr-Cyrl-CS"/>
        </w:rPr>
        <w:t>STD</w:t>
      </w:r>
      <w:r w:rsidR="00C2516E" w:rsidRPr="005303F7">
        <w:rPr>
          <w:rFonts w:ascii="Times New Roman" w:hAnsi="Times New Roman"/>
          <w:sz w:val="24"/>
          <w:lang w:val="sr-Cyrl-CS"/>
        </w:rPr>
        <w:t xml:space="preserve"> - </w:t>
      </w:r>
      <w:r w:rsidR="008D69AF" w:rsidRPr="005303F7">
        <w:rPr>
          <w:rFonts w:ascii="Times New Roman" w:hAnsi="Times New Roman"/>
          <w:sz w:val="24"/>
          <w:lang w:val="sr-Cyrl-CS"/>
        </w:rPr>
        <w:t>период</w:t>
      </w:r>
      <w:r w:rsidR="00C2516E" w:rsidRPr="005303F7">
        <w:rPr>
          <w:rFonts w:ascii="Times New Roman" w:hAnsi="Times New Roman"/>
          <w:sz w:val="24"/>
          <w:lang w:val="sr-Cyrl-CS"/>
        </w:rPr>
        <w:t xml:space="preserve"> </w:t>
      </w:r>
      <w:r w:rsidR="008D69AF" w:rsidRPr="005303F7">
        <w:rPr>
          <w:rFonts w:ascii="Times New Roman" w:hAnsi="Times New Roman"/>
          <w:sz w:val="24"/>
          <w:lang w:val="sr-Cyrl-CS"/>
        </w:rPr>
        <w:t>са</w:t>
      </w:r>
      <w:r w:rsidR="00C2516E" w:rsidRPr="005303F7">
        <w:rPr>
          <w:rFonts w:ascii="Times New Roman" w:hAnsi="Times New Roman"/>
          <w:sz w:val="24"/>
          <w:lang w:val="sr-Cyrl-CS"/>
        </w:rPr>
        <w:t xml:space="preserve"> </w:t>
      </w:r>
      <w:r w:rsidR="008D69AF" w:rsidRPr="005303F7">
        <w:rPr>
          <w:rFonts w:ascii="Times New Roman" w:hAnsi="Times New Roman"/>
          <w:sz w:val="24"/>
          <w:lang w:val="sr-Cyrl-CS"/>
        </w:rPr>
        <w:t>узастопним</w:t>
      </w:r>
      <w:r w:rsidR="00C2516E" w:rsidRPr="005303F7">
        <w:rPr>
          <w:rFonts w:ascii="Times New Roman" w:hAnsi="Times New Roman"/>
          <w:sz w:val="24"/>
          <w:lang w:val="sr-Cyrl-CS"/>
        </w:rPr>
        <w:t xml:space="preserve"> </w:t>
      </w:r>
      <w:r w:rsidR="008D69AF" w:rsidRPr="005303F7">
        <w:rPr>
          <w:rFonts w:ascii="Times New Roman" w:hAnsi="Times New Roman"/>
          <w:sz w:val="24"/>
          <w:lang w:val="sr-Cyrl-CS"/>
        </w:rPr>
        <w:t>сушним</w:t>
      </w:r>
      <w:r w:rsidR="00C2516E" w:rsidRPr="005303F7">
        <w:rPr>
          <w:rFonts w:ascii="Times New Roman" w:hAnsi="Times New Roman"/>
          <w:sz w:val="24"/>
          <w:lang w:val="sr-Cyrl-CS"/>
        </w:rPr>
        <w:t xml:space="preserve"> </w:t>
      </w:r>
      <w:r w:rsidR="008D69AF" w:rsidRPr="005303F7">
        <w:rPr>
          <w:rFonts w:ascii="Times New Roman" w:hAnsi="Times New Roman"/>
          <w:sz w:val="24"/>
          <w:lang w:val="sr-Cyrl-CS"/>
        </w:rPr>
        <w:t>данима</w:t>
      </w:r>
      <w:r w:rsidR="00040480" w:rsidRPr="005303F7">
        <w:rPr>
          <w:rFonts w:ascii="Times New Roman" w:hAnsi="Times New Roman"/>
          <w:sz w:val="24"/>
          <w:lang w:val="sr-Cyrl-CS"/>
        </w:rPr>
        <w:t>.</w:t>
      </w:r>
      <w:r w:rsidR="00C2516E" w:rsidRPr="005303F7">
        <w:rPr>
          <w:rFonts w:ascii="Times New Roman" w:hAnsi="Times New Roman"/>
          <w:sz w:val="24"/>
          <w:lang w:val="sr-Cyrl-CS"/>
        </w:rPr>
        <w:t xml:space="preserve"> </w:t>
      </w:r>
    </w:p>
    <w:p w14:paraId="2E273B8E" w14:textId="5B99B4AB" w:rsidR="004921E3" w:rsidRPr="005303F7" w:rsidRDefault="00CC6964" w:rsidP="009F7017">
      <w:pPr>
        <w:rPr>
          <w:rFonts w:ascii="Times New Roman" w:hAnsi="Times New Roman"/>
          <w:sz w:val="24"/>
          <w:lang w:val="sr-Cyrl-CS"/>
        </w:rPr>
      </w:pPr>
      <w:r w:rsidRPr="005303F7">
        <w:rPr>
          <w:rFonts w:ascii="Times New Roman" w:hAnsi="Times New Roman"/>
          <w:sz w:val="24"/>
          <w:lang w:val="sr-Cyrl-CS"/>
        </w:rPr>
        <w:t xml:space="preserve">        </w:t>
      </w:r>
      <w:r w:rsidR="008D69AF" w:rsidRPr="005303F7">
        <w:rPr>
          <w:rFonts w:ascii="Times New Roman" w:hAnsi="Times New Roman"/>
          <w:sz w:val="24"/>
          <w:lang w:val="sr-Cyrl-CS"/>
        </w:rPr>
        <w:t>Промена</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најдужем</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периоду</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без</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падавина</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током</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године</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показује</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благи</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пораст</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од</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око</w:t>
      </w:r>
      <w:r w:rsidR="004921E3" w:rsidRPr="005303F7">
        <w:rPr>
          <w:rFonts w:ascii="Times New Roman" w:hAnsi="Times New Roman"/>
          <w:sz w:val="24"/>
          <w:lang w:val="sr-Cyrl-CS"/>
        </w:rPr>
        <w:t xml:space="preserve"> 1, 2 </w:t>
      </w:r>
      <w:r w:rsidR="008D69AF" w:rsidRPr="005303F7">
        <w:rPr>
          <w:rFonts w:ascii="Times New Roman" w:hAnsi="Times New Roman"/>
          <w:sz w:val="24"/>
          <w:lang w:val="sr-Cyrl-CS"/>
        </w:rPr>
        <w:t>и</w:t>
      </w:r>
      <w:r w:rsidR="004921E3" w:rsidRPr="005303F7">
        <w:rPr>
          <w:rFonts w:ascii="Times New Roman" w:hAnsi="Times New Roman"/>
          <w:sz w:val="24"/>
          <w:lang w:val="sr-Cyrl-CS"/>
        </w:rPr>
        <w:t xml:space="preserve"> 3 </w:t>
      </w:r>
      <w:r w:rsidR="008D69AF" w:rsidRPr="005303F7">
        <w:rPr>
          <w:rFonts w:ascii="Times New Roman" w:hAnsi="Times New Roman"/>
          <w:sz w:val="24"/>
          <w:lang w:val="sr-Cyrl-CS"/>
        </w:rPr>
        <w:t>дана</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за</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следећа</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три</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периода</w:t>
      </w:r>
      <w:r w:rsidR="004921E3" w:rsidRPr="005303F7">
        <w:rPr>
          <w:rFonts w:ascii="Times New Roman" w:hAnsi="Times New Roman"/>
          <w:sz w:val="24"/>
          <w:lang w:val="sr-Cyrl-CS"/>
        </w:rPr>
        <w:t xml:space="preserve"> (2016-2035, 2046-2065, 2081-2100), </w:t>
      </w:r>
      <w:r w:rsidR="008D69AF" w:rsidRPr="005303F7">
        <w:rPr>
          <w:rFonts w:ascii="Times New Roman" w:hAnsi="Times New Roman"/>
          <w:sz w:val="24"/>
          <w:lang w:val="sr-Cyrl-CS"/>
        </w:rPr>
        <w:t>према</w:t>
      </w:r>
      <w:r w:rsidR="004921E3" w:rsidRPr="005303F7">
        <w:rPr>
          <w:rFonts w:ascii="Times New Roman" w:hAnsi="Times New Roman"/>
          <w:sz w:val="24"/>
          <w:lang w:val="sr-Cyrl-CS"/>
        </w:rPr>
        <w:t xml:space="preserve"> </w:t>
      </w:r>
      <w:r w:rsidR="00BC327E" w:rsidRPr="005303F7">
        <w:rPr>
          <w:rFonts w:ascii="Times New Roman" w:hAnsi="Times New Roman"/>
          <w:sz w:val="24"/>
          <w:lang w:val="sr-Cyrl-CS"/>
        </w:rPr>
        <w:t>RCP</w:t>
      </w:r>
      <w:r w:rsidR="004921E3" w:rsidRPr="005303F7">
        <w:rPr>
          <w:rFonts w:ascii="Times New Roman" w:hAnsi="Times New Roman"/>
          <w:sz w:val="24"/>
          <w:lang w:val="sr-Cyrl-CS"/>
        </w:rPr>
        <w:t xml:space="preserve">4.5. </w:t>
      </w:r>
      <w:r w:rsidR="008D69AF" w:rsidRPr="005303F7">
        <w:rPr>
          <w:rFonts w:ascii="Times New Roman" w:hAnsi="Times New Roman"/>
          <w:sz w:val="24"/>
          <w:lang w:val="sr-Cyrl-CS"/>
        </w:rPr>
        <w:t>Значајан</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пораст</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предвиђен</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је</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тек</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крајем</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века</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према</w:t>
      </w:r>
      <w:r w:rsidR="009D4115" w:rsidRPr="005303F7">
        <w:rPr>
          <w:rFonts w:ascii="Times New Roman" w:hAnsi="Times New Roman"/>
          <w:sz w:val="24"/>
          <w:lang w:val="sr-Cyrl-CS"/>
        </w:rPr>
        <w:t xml:space="preserve"> </w:t>
      </w:r>
      <w:r w:rsidR="008D69AF" w:rsidRPr="005303F7">
        <w:rPr>
          <w:rFonts w:ascii="Times New Roman" w:hAnsi="Times New Roman"/>
          <w:sz w:val="24"/>
          <w:lang w:val="sr-Cyrl-CS"/>
        </w:rPr>
        <w:t>сценарију</w:t>
      </w:r>
      <w:r w:rsidR="009D4115" w:rsidRPr="005303F7">
        <w:rPr>
          <w:rFonts w:ascii="Times New Roman" w:hAnsi="Times New Roman"/>
          <w:sz w:val="24"/>
          <w:lang w:val="sr-Cyrl-CS"/>
        </w:rPr>
        <w:t xml:space="preserve"> </w:t>
      </w:r>
      <w:r w:rsidR="00BC327E" w:rsidRPr="005303F7">
        <w:rPr>
          <w:rFonts w:ascii="Times New Roman" w:hAnsi="Times New Roman"/>
          <w:sz w:val="24"/>
          <w:lang w:val="sr-Cyrl-CS"/>
        </w:rPr>
        <w:t>RCP</w:t>
      </w:r>
      <w:r w:rsidR="004921E3" w:rsidRPr="005303F7">
        <w:rPr>
          <w:rFonts w:ascii="Times New Roman" w:hAnsi="Times New Roman"/>
          <w:sz w:val="24"/>
          <w:lang w:val="sr-Cyrl-CS"/>
        </w:rPr>
        <w:t xml:space="preserve">8.5: </w:t>
      </w:r>
      <w:r w:rsidR="008D69AF" w:rsidRPr="005303F7">
        <w:rPr>
          <w:rFonts w:ascii="Times New Roman" w:hAnsi="Times New Roman"/>
          <w:sz w:val="24"/>
          <w:lang w:val="sr-Cyrl-CS"/>
        </w:rPr>
        <w:t>износи</w:t>
      </w:r>
      <w:r w:rsidR="009D4115" w:rsidRPr="005303F7">
        <w:rPr>
          <w:rFonts w:ascii="Times New Roman" w:hAnsi="Times New Roman"/>
          <w:sz w:val="24"/>
          <w:lang w:val="sr-Cyrl-CS"/>
        </w:rPr>
        <w:t xml:space="preserve"> </w:t>
      </w:r>
      <w:r w:rsidR="00762462" w:rsidRPr="005303F7">
        <w:rPr>
          <w:rFonts w:ascii="Times New Roman" w:hAnsi="Times New Roman"/>
          <w:sz w:val="24"/>
          <w:lang w:val="sr-Cyrl-CS"/>
        </w:rPr>
        <w:t>шест</w:t>
      </w:r>
      <w:r w:rsidR="004921E3" w:rsidRPr="005303F7">
        <w:rPr>
          <w:rFonts w:ascii="Times New Roman" w:hAnsi="Times New Roman"/>
          <w:sz w:val="24"/>
          <w:lang w:val="sr-Cyrl-CS"/>
        </w:rPr>
        <w:t xml:space="preserve"> </w:t>
      </w:r>
      <w:r w:rsidR="008D69AF" w:rsidRPr="005303F7">
        <w:rPr>
          <w:rFonts w:ascii="Times New Roman" w:hAnsi="Times New Roman"/>
          <w:sz w:val="24"/>
          <w:lang w:val="sr-Cyrl-CS"/>
        </w:rPr>
        <w:t>дана</w:t>
      </w:r>
      <w:r w:rsidR="004921E3" w:rsidRPr="005303F7">
        <w:rPr>
          <w:rFonts w:ascii="Times New Roman" w:hAnsi="Times New Roman"/>
          <w:sz w:val="24"/>
          <w:lang w:val="sr-Cyrl-CS"/>
        </w:rPr>
        <w:t>.</w:t>
      </w:r>
    </w:p>
    <w:p w14:paraId="46504AE6" w14:textId="77777777" w:rsidR="007D0F9C" w:rsidRPr="005303F7" w:rsidRDefault="007D0F9C" w:rsidP="009F7017">
      <w:pPr>
        <w:rPr>
          <w:rFonts w:ascii="Times New Roman" w:hAnsi="Times New Roman"/>
          <w:i/>
          <w:iCs/>
          <w:sz w:val="24"/>
          <w:lang w:val="sr-Cyrl-CS"/>
        </w:rPr>
      </w:pPr>
    </w:p>
    <w:p w14:paraId="2793BD02" w14:textId="0A79404C" w:rsidR="000663DE" w:rsidRPr="005303F7" w:rsidRDefault="008D69AF" w:rsidP="009F7017">
      <w:pPr>
        <w:rPr>
          <w:rFonts w:ascii="Times New Roman" w:hAnsi="Times New Roman"/>
          <w:i/>
          <w:iCs/>
          <w:sz w:val="24"/>
          <w:u w:val="single"/>
          <w:lang w:val="sr-Cyrl-CS"/>
        </w:rPr>
      </w:pPr>
      <w:r w:rsidRPr="005303F7">
        <w:rPr>
          <w:rFonts w:ascii="Times New Roman" w:hAnsi="Times New Roman"/>
          <w:i/>
          <w:iCs/>
          <w:sz w:val="24"/>
          <w:u w:val="single"/>
          <w:lang w:val="sr-Cyrl-CS"/>
        </w:rPr>
        <w:t>Екстремне</w:t>
      </w:r>
      <w:r w:rsidR="004921E3" w:rsidRPr="005303F7">
        <w:rPr>
          <w:rFonts w:ascii="Times New Roman" w:hAnsi="Times New Roman"/>
          <w:i/>
          <w:iCs/>
          <w:sz w:val="24"/>
          <w:u w:val="single"/>
          <w:lang w:val="sr-Cyrl-CS"/>
        </w:rPr>
        <w:t xml:space="preserve"> </w:t>
      </w:r>
      <w:r w:rsidRPr="005303F7">
        <w:rPr>
          <w:rFonts w:ascii="Times New Roman" w:hAnsi="Times New Roman"/>
          <w:i/>
          <w:iCs/>
          <w:sz w:val="24"/>
          <w:u w:val="single"/>
          <w:lang w:val="sr-Cyrl-CS"/>
        </w:rPr>
        <w:t>падавине</w:t>
      </w:r>
    </w:p>
    <w:p w14:paraId="5226A560" w14:textId="05205866" w:rsidR="00F6036A" w:rsidRPr="005303F7" w:rsidRDefault="00CC6964" w:rsidP="00F6036A">
      <w:pPr>
        <w:rPr>
          <w:rFonts w:ascii="Times New Roman" w:hAnsi="Times New Roman"/>
          <w:sz w:val="24"/>
          <w:lang w:val="sr-Cyrl-CS"/>
        </w:rPr>
      </w:pPr>
      <w:r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сврху</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пружања</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слике</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анализе</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екстремних</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падавина</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као</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показате</w:t>
      </w:r>
      <w:r w:rsidR="00D553BE" w:rsidRPr="005303F7">
        <w:rPr>
          <w:rFonts w:ascii="Times New Roman" w:hAnsi="Times New Roman"/>
          <w:sz w:val="24"/>
          <w:lang w:val="sr-Cyrl-CS"/>
        </w:rPr>
        <w:t>љ</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користе</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се</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дани</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са</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падавинама</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ве</w:t>
      </w:r>
      <w:r w:rsidR="00016298" w:rsidRPr="005303F7">
        <w:rPr>
          <w:rFonts w:ascii="Times New Roman" w:hAnsi="Times New Roman"/>
          <w:sz w:val="24"/>
          <w:lang w:val="sr-Cyrl-CS"/>
        </w:rPr>
        <w:t>ћ</w:t>
      </w:r>
      <w:r w:rsidR="008D69AF" w:rsidRPr="005303F7">
        <w:rPr>
          <w:rFonts w:ascii="Times New Roman" w:hAnsi="Times New Roman"/>
          <w:sz w:val="24"/>
          <w:lang w:val="sr-Cyrl-CS"/>
        </w:rPr>
        <w:t>им</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од</w:t>
      </w:r>
      <w:r w:rsidR="00F6036A" w:rsidRPr="005303F7">
        <w:rPr>
          <w:rFonts w:ascii="Times New Roman" w:hAnsi="Times New Roman"/>
          <w:sz w:val="24"/>
          <w:lang w:val="sr-Cyrl-CS"/>
        </w:rPr>
        <w:t xml:space="preserve"> 40 </w:t>
      </w:r>
      <w:r w:rsidR="00FE4960" w:rsidRPr="005303F7">
        <w:rPr>
          <w:rFonts w:ascii="Times New Roman" w:hAnsi="Times New Roman"/>
          <w:sz w:val="24"/>
          <w:lang w:val="sr-Cyrl-CS"/>
        </w:rPr>
        <w:t>mm</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изражени</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просечним</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бројем</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дана</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последњих</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десет</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двадесет</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година</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а</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поређењу</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са</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просечним</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бројем</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дана</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периоду</w:t>
      </w:r>
      <w:r w:rsidR="00F6036A" w:rsidRPr="005303F7">
        <w:rPr>
          <w:rFonts w:ascii="Times New Roman" w:hAnsi="Times New Roman"/>
          <w:sz w:val="24"/>
          <w:lang w:val="sr-Cyrl-CS"/>
        </w:rPr>
        <w:t xml:space="preserve"> 1961-1990. </w:t>
      </w:r>
      <w:r w:rsidR="008D69AF" w:rsidRPr="005303F7">
        <w:rPr>
          <w:rFonts w:ascii="Times New Roman" w:hAnsi="Times New Roman"/>
          <w:sz w:val="24"/>
          <w:lang w:val="sr-Cyrl-CS"/>
        </w:rPr>
        <w:t>године</w:t>
      </w:r>
      <w:r w:rsidR="00F6036A" w:rsidRPr="005303F7">
        <w:rPr>
          <w:rFonts w:ascii="Times New Roman" w:hAnsi="Times New Roman"/>
          <w:sz w:val="24"/>
          <w:lang w:val="sr-Cyrl-CS"/>
        </w:rPr>
        <w:t>.</w:t>
      </w:r>
    </w:p>
    <w:p w14:paraId="2387C6DC" w14:textId="248218A2" w:rsidR="00F6036A" w:rsidRPr="005303F7" w:rsidRDefault="00CC6964" w:rsidP="00F6036A">
      <w:pPr>
        <w:rPr>
          <w:rFonts w:ascii="Times New Roman" w:hAnsi="Times New Roman"/>
          <w:sz w:val="24"/>
          <w:lang w:val="sr-Cyrl-CS"/>
        </w:rPr>
      </w:pPr>
      <w:r w:rsidRPr="005303F7">
        <w:rPr>
          <w:rFonts w:ascii="Times New Roman" w:hAnsi="Times New Roman"/>
          <w:sz w:val="24"/>
          <w:lang w:val="sr-Cyrl-CS"/>
        </w:rPr>
        <w:t xml:space="preserve">       </w:t>
      </w:r>
      <w:r w:rsidR="008D69AF" w:rsidRPr="005303F7">
        <w:rPr>
          <w:rFonts w:ascii="Times New Roman" w:hAnsi="Times New Roman"/>
          <w:sz w:val="24"/>
          <w:lang w:val="sr-Cyrl-CS"/>
        </w:rPr>
        <w:t>Број</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дана</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са</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падавинама</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ве</w:t>
      </w:r>
      <w:r w:rsidR="00016298" w:rsidRPr="005303F7">
        <w:rPr>
          <w:rFonts w:ascii="Times New Roman" w:hAnsi="Times New Roman"/>
          <w:sz w:val="24"/>
          <w:lang w:val="sr-Cyrl-CS"/>
        </w:rPr>
        <w:t>ћ</w:t>
      </w:r>
      <w:r w:rsidR="008D69AF" w:rsidRPr="005303F7">
        <w:rPr>
          <w:rFonts w:ascii="Times New Roman" w:hAnsi="Times New Roman"/>
          <w:sz w:val="24"/>
          <w:lang w:val="sr-Cyrl-CS"/>
        </w:rPr>
        <w:t>им</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од</w:t>
      </w:r>
      <w:r w:rsidR="00F6036A" w:rsidRPr="005303F7">
        <w:rPr>
          <w:rFonts w:ascii="Times New Roman" w:hAnsi="Times New Roman"/>
          <w:sz w:val="24"/>
          <w:lang w:val="sr-Cyrl-CS"/>
        </w:rPr>
        <w:t xml:space="preserve"> 40 </w:t>
      </w:r>
      <w:r w:rsidR="00605FFB" w:rsidRPr="005303F7">
        <w:rPr>
          <w:rFonts w:ascii="Times New Roman" w:hAnsi="Times New Roman"/>
          <w:sz w:val="24"/>
          <w:lang w:val="sr-Cyrl-CS"/>
        </w:rPr>
        <w:t>mm</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периоду</w:t>
      </w:r>
      <w:r w:rsidR="00F6036A" w:rsidRPr="005303F7">
        <w:rPr>
          <w:rFonts w:ascii="Times New Roman" w:hAnsi="Times New Roman"/>
          <w:sz w:val="24"/>
          <w:lang w:val="sr-Cyrl-CS"/>
        </w:rPr>
        <w:t xml:space="preserve"> 2008-2017. </w:t>
      </w:r>
      <w:r w:rsidR="008D69AF" w:rsidRPr="005303F7">
        <w:rPr>
          <w:rFonts w:ascii="Times New Roman" w:hAnsi="Times New Roman"/>
          <w:sz w:val="24"/>
          <w:lang w:val="sr-Cyrl-CS"/>
        </w:rPr>
        <w:t>је</w:t>
      </w:r>
      <w:r w:rsidR="009D72B1" w:rsidRPr="005303F7">
        <w:rPr>
          <w:rFonts w:ascii="Times New Roman" w:hAnsi="Times New Roman"/>
          <w:sz w:val="24"/>
          <w:lang w:val="sr-Cyrl-CS"/>
        </w:rPr>
        <w:t xml:space="preserve"> </w:t>
      </w:r>
      <w:r w:rsidR="008D69AF" w:rsidRPr="005303F7">
        <w:rPr>
          <w:rFonts w:ascii="Times New Roman" w:hAnsi="Times New Roman"/>
          <w:sz w:val="24"/>
          <w:lang w:val="sr-Cyrl-CS"/>
        </w:rPr>
        <w:t>мањи</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од</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једног</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ве</w:t>
      </w:r>
      <w:r w:rsidR="00016298" w:rsidRPr="005303F7">
        <w:rPr>
          <w:rFonts w:ascii="Times New Roman" w:hAnsi="Times New Roman"/>
          <w:sz w:val="24"/>
          <w:lang w:val="sr-Cyrl-CS"/>
        </w:rPr>
        <w:t>ћ</w:t>
      </w:r>
      <w:r w:rsidR="008D69AF" w:rsidRPr="005303F7">
        <w:rPr>
          <w:rFonts w:ascii="Times New Roman" w:hAnsi="Times New Roman"/>
          <w:sz w:val="24"/>
          <w:lang w:val="sr-Cyrl-CS"/>
        </w:rPr>
        <w:t>ем</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делу</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централне</w:t>
      </w:r>
      <w:r w:rsidR="00F6036A" w:rsidRPr="005303F7">
        <w:rPr>
          <w:rFonts w:ascii="Times New Roman" w:hAnsi="Times New Roman"/>
          <w:sz w:val="24"/>
          <w:lang w:val="sr-Cyrl-CS"/>
        </w:rPr>
        <w:t xml:space="preserve"> </w:t>
      </w:r>
      <w:r w:rsidR="00D73AAB" w:rsidRPr="005303F7">
        <w:rPr>
          <w:rFonts w:ascii="Times New Roman" w:hAnsi="Times New Roman"/>
          <w:sz w:val="24"/>
          <w:lang w:val="sr-Cyrl-CS"/>
        </w:rPr>
        <w:t>Републике Србије</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али</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на</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западу</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истоку</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зем</w:t>
      </w:r>
      <w:r w:rsidR="00D553BE" w:rsidRPr="005303F7">
        <w:rPr>
          <w:rFonts w:ascii="Times New Roman" w:hAnsi="Times New Roman"/>
          <w:sz w:val="24"/>
          <w:lang w:val="sr-Cyrl-CS"/>
        </w:rPr>
        <w:t>љ</w:t>
      </w:r>
      <w:r w:rsidR="008D69AF" w:rsidRPr="005303F7">
        <w:rPr>
          <w:rFonts w:ascii="Times New Roman" w:hAnsi="Times New Roman"/>
          <w:sz w:val="24"/>
          <w:lang w:val="sr-Cyrl-CS"/>
        </w:rPr>
        <w:t>е</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приметан</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је</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пораст</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за</w:t>
      </w:r>
      <w:r w:rsidR="009D4115" w:rsidRPr="005303F7">
        <w:rPr>
          <w:rFonts w:ascii="Times New Roman" w:hAnsi="Times New Roman"/>
          <w:sz w:val="24"/>
          <w:lang w:val="sr-Cyrl-CS"/>
        </w:rPr>
        <w:t xml:space="preserve"> </w:t>
      </w:r>
      <w:r w:rsidR="008D69AF" w:rsidRPr="005303F7">
        <w:rPr>
          <w:rFonts w:ascii="Times New Roman" w:hAnsi="Times New Roman"/>
          <w:sz w:val="24"/>
          <w:lang w:val="sr-Cyrl-CS"/>
        </w:rPr>
        <w:t>више</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од</w:t>
      </w:r>
      <w:r w:rsidR="00762462" w:rsidRPr="005303F7">
        <w:rPr>
          <w:rFonts w:ascii="Times New Roman" w:hAnsi="Times New Roman"/>
          <w:sz w:val="24"/>
          <w:lang w:val="sr-Cyrl-CS"/>
        </w:rPr>
        <w:t xml:space="preserve"> четири</w:t>
      </w:r>
      <w:r w:rsidR="00F6036A" w:rsidRPr="005303F7">
        <w:rPr>
          <w:rFonts w:ascii="Times New Roman" w:hAnsi="Times New Roman"/>
          <w:sz w:val="24"/>
          <w:lang w:val="sr-Cyrl-CS"/>
        </w:rPr>
        <w:t xml:space="preserve"> </w:t>
      </w:r>
      <w:r w:rsidR="008D69AF" w:rsidRPr="005303F7">
        <w:rPr>
          <w:rFonts w:ascii="Times New Roman" w:hAnsi="Times New Roman"/>
          <w:sz w:val="24"/>
          <w:lang w:val="sr-Cyrl-CS"/>
        </w:rPr>
        <w:t>пута</w:t>
      </w:r>
      <w:r w:rsidR="00F6036A" w:rsidRPr="005303F7">
        <w:rPr>
          <w:rFonts w:ascii="Times New Roman" w:hAnsi="Times New Roman"/>
          <w:sz w:val="24"/>
          <w:lang w:val="sr-Cyrl-CS"/>
        </w:rPr>
        <w:t>.</w:t>
      </w:r>
    </w:p>
    <w:p w14:paraId="61DA1A44" w14:textId="4F93EE09" w:rsidR="000A7954" w:rsidRPr="005303F7" w:rsidRDefault="00CC6964" w:rsidP="009F7017">
      <w:pPr>
        <w:rPr>
          <w:rFonts w:ascii="Times New Roman" w:hAnsi="Times New Roman"/>
          <w:sz w:val="24"/>
          <w:lang w:val="sr-Cyrl-CS"/>
        </w:rPr>
      </w:pPr>
      <w:r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FE743A" w:rsidRPr="005303F7">
        <w:rPr>
          <w:rFonts w:ascii="Times New Roman" w:hAnsi="Times New Roman"/>
          <w:sz w:val="24"/>
          <w:lang w:val="sr-Cyrl-CS"/>
        </w:rPr>
        <w:t xml:space="preserve"> </w:t>
      </w:r>
      <w:r w:rsidR="008D69AF" w:rsidRPr="005303F7">
        <w:rPr>
          <w:rFonts w:ascii="Times New Roman" w:hAnsi="Times New Roman"/>
          <w:sz w:val="24"/>
          <w:lang w:val="sr-Cyrl-CS"/>
        </w:rPr>
        <w:t>будућности</w:t>
      </w:r>
      <w:r w:rsidR="00FE743A" w:rsidRPr="005303F7">
        <w:rPr>
          <w:rFonts w:ascii="Times New Roman" w:hAnsi="Times New Roman"/>
          <w:sz w:val="24"/>
          <w:lang w:val="sr-Cyrl-CS"/>
        </w:rPr>
        <w:t xml:space="preserve"> </w:t>
      </w:r>
      <w:r w:rsidR="008D69AF" w:rsidRPr="005303F7">
        <w:rPr>
          <w:rFonts w:ascii="Times New Roman" w:hAnsi="Times New Roman"/>
          <w:sz w:val="24"/>
          <w:lang w:val="sr-Cyrl-CS"/>
        </w:rPr>
        <w:t>се</w:t>
      </w:r>
      <w:r w:rsidR="00FE743A" w:rsidRPr="005303F7">
        <w:rPr>
          <w:rFonts w:ascii="Times New Roman" w:hAnsi="Times New Roman"/>
          <w:sz w:val="24"/>
          <w:lang w:val="sr-Cyrl-CS"/>
        </w:rPr>
        <w:t xml:space="preserve"> </w:t>
      </w:r>
      <w:r w:rsidR="008D69AF" w:rsidRPr="005303F7">
        <w:rPr>
          <w:rFonts w:ascii="Times New Roman" w:hAnsi="Times New Roman"/>
          <w:sz w:val="24"/>
          <w:lang w:val="sr-Cyrl-CS"/>
        </w:rPr>
        <w:t>бележи</w:t>
      </w:r>
      <w:r w:rsidR="00FE743A" w:rsidRPr="005303F7">
        <w:rPr>
          <w:rFonts w:ascii="Times New Roman" w:hAnsi="Times New Roman"/>
          <w:sz w:val="24"/>
          <w:lang w:val="sr-Cyrl-CS"/>
        </w:rPr>
        <w:t xml:space="preserve"> </w:t>
      </w:r>
      <w:r w:rsidR="008D69AF" w:rsidRPr="005303F7">
        <w:rPr>
          <w:rFonts w:ascii="Times New Roman" w:hAnsi="Times New Roman"/>
          <w:sz w:val="24"/>
          <w:lang w:val="sr-Cyrl-CS"/>
        </w:rPr>
        <w:t>пораст</w:t>
      </w:r>
      <w:r w:rsidR="00FE743A" w:rsidRPr="005303F7">
        <w:rPr>
          <w:rFonts w:ascii="Times New Roman" w:hAnsi="Times New Roman"/>
          <w:sz w:val="24"/>
          <w:lang w:val="sr-Cyrl-CS"/>
        </w:rPr>
        <w:t xml:space="preserve"> </w:t>
      </w:r>
      <w:r w:rsidR="008D69AF" w:rsidRPr="005303F7">
        <w:rPr>
          <w:rFonts w:ascii="Times New Roman" w:hAnsi="Times New Roman"/>
          <w:sz w:val="24"/>
          <w:lang w:val="sr-Cyrl-CS"/>
        </w:rPr>
        <w:t>максималног</w:t>
      </w:r>
      <w:r w:rsidR="00FE743A" w:rsidRPr="005303F7">
        <w:rPr>
          <w:rFonts w:ascii="Times New Roman" w:hAnsi="Times New Roman"/>
          <w:sz w:val="24"/>
          <w:lang w:val="sr-Cyrl-CS"/>
        </w:rPr>
        <w:t xml:space="preserve"> </w:t>
      </w:r>
      <w:r w:rsidR="008D69AF" w:rsidRPr="005303F7">
        <w:rPr>
          <w:rFonts w:ascii="Times New Roman" w:hAnsi="Times New Roman"/>
          <w:sz w:val="24"/>
          <w:lang w:val="sr-Cyrl-CS"/>
        </w:rPr>
        <w:t>нивоа</w:t>
      </w:r>
      <w:r w:rsidR="00FE743A" w:rsidRPr="005303F7">
        <w:rPr>
          <w:rFonts w:ascii="Times New Roman" w:hAnsi="Times New Roman"/>
          <w:sz w:val="24"/>
          <w:lang w:val="sr-Cyrl-CS"/>
        </w:rPr>
        <w:t xml:space="preserve"> </w:t>
      </w:r>
      <w:r w:rsidR="008D69AF" w:rsidRPr="005303F7">
        <w:rPr>
          <w:rFonts w:ascii="Times New Roman" w:hAnsi="Times New Roman"/>
          <w:sz w:val="24"/>
          <w:lang w:val="sr-Cyrl-CS"/>
        </w:rPr>
        <w:t>падавина</w:t>
      </w:r>
      <w:r w:rsidR="00FE743A" w:rsidRPr="005303F7">
        <w:rPr>
          <w:rFonts w:ascii="Times New Roman" w:hAnsi="Times New Roman"/>
          <w:sz w:val="24"/>
          <w:lang w:val="sr-Cyrl-CS"/>
        </w:rPr>
        <w:t xml:space="preserve"> </w:t>
      </w:r>
      <w:r w:rsidR="008D69AF" w:rsidRPr="005303F7">
        <w:rPr>
          <w:rFonts w:ascii="Times New Roman" w:hAnsi="Times New Roman"/>
          <w:sz w:val="24"/>
          <w:lang w:val="sr-Cyrl-CS"/>
        </w:rPr>
        <w:t>током</w:t>
      </w:r>
      <w:r w:rsidR="00FE743A" w:rsidRPr="005303F7">
        <w:rPr>
          <w:rFonts w:ascii="Times New Roman" w:hAnsi="Times New Roman"/>
          <w:sz w:val="24"/>
          <w:lang w:val="sr-Cyrl-CS"/>
        </w:rPr>
        <w:t xml:space="preserve"> </w:t>
      </w:r>
      <w:r w:rsidR="008D69AF" w:rsidRPr="005303F7">
        <w:rPr>
          <w:rFonts w:ascii="Times New Roman" w:hAnsi="Times New Roman"/>
          <w:sz w:val="24"/>
          <w:lang w:val="sr-Cyrl-CS"/>
        </w:rPr>
        <w:t>једног</w:t>
      </w:r>
      <w:r w:rsidR="00FE743A" w:rsidRPr="005303F7">
        <w:rPr>
          <w:rFonts w:ascii="Times New Roman" w:hAnsi="Times New Roman"/>
          <w:sz w:val="24"/>
          <w:lang w:val="sr-Cyrl-CS"/>
        </w:rPr>
        <w:t xml:space="preserve"> </w:t>
      </w:r>
      <w:r w:rsidR="008D69AF" w:rsidRPr="005303F7">
        <w:rPr>
          <w:rFonts w:ascii="Times New Roman" w:hAnsi="Times New Roman"/>
          <w:sz w:val="24"/>
          <w:lang w:val="sr-Cyrl-CS"/>
        </w:rPr>
        <w:t>дана</w:t>
      </w:r>
      <w:r w:rsidR="000663DE" w:rsidRPr="005303F7">
        <w:rPr>
          <w:rFonts w:ascii="Times New Roman" w:hAnsi="Times New Roman"/>
          <w:sz w:val="24"/>
          <w:lang w:val="sr-Cyrl-CS"/>
        </w:rPr>
        <w:t xml:space="preserve"> (</w:t>
      </w:r>
      <w:r w:rsidR="00BC327E" w:rsidRPr="005303F7">
        <w:rPr>
          <w:rFonts w:ascii="Times New Roman" w:hAnsi="Times New Roman"/>
          <w:sz w:val="24"/>
          <w:lang w:val="sr-Cyrl-CS"/>
        </w:rPr>
        <w:t>P</w:t>
      </w:r>
      <w:r w:rsidR="00605FFB" w:rsidRPr="005303F7">
        <w:rPr>
          <w:rFonts w:ascii="Times New Roman" w:hAnsi="Times New Roman"/>
          <w:sz w:val="24"/>
          <w:lang w:val="sr-Cyrl-CS"/>
        </w:rPr>
        <w:t>max</w:t>
      </w:r>
      <w:r w:rsidR="000663DE" w:rsidRPr="005303F7">
        <w:rPr>
          <w:rFonts w:ascii="Times New Roman" w:hAnsi="Times New Roman"/>
          <w:sz w:val="24"/>
          <w:lang w:val="sr-Cyrl-CS"/>
        </w:rPr>
        <w:t xml:space="preserve">1) </w:t>
      </w:r>
      <w:r w:rsidR="008D69AF" w:rsidRPr="005303F7">
        <w:rPr>
          <w:rFonts w:ascii="Times New Roman" w:hAnsi="Times New Roman"/>
          <w:sz w:val="24"/>
          <w:lang w:val="sr-Cyrl-CS"/>
        </w:rPr>
        <w:t>на</w:t>
      </w:r>
      <w:r w:rsidR="00FE743A" w:rsidRPr="005303F7">
        <w:rPr>
          <w:rFonts w:ascii="Times New Roman" w:hAnsi="Times New Roman"/>
          <w:sz w:val="24"/>
          <w:lang w:val="sr-Cyrl-CS"/>
        </w:rPr>
        <w:t xml:space="preserve"> </w:t>
      </w:r>
      <w:r w:rsidR="008D69AF" w:rsidRPr="005303F7">
        <w:rPr>
          <w:rFonts w:ascii="Times New Roman" w:hAnsi="Times New Roman"/>
          <w:sz w:val="24"/>
          <w:lang w:val="sr-Cyrl-CS"/>
        </w:rPr>
        <w:t>територији</w:t>
      </w:r>
      <w:r w:rsidR="00FE743A" w:rsidRPr="005303F7">
        <w:rPr>
          <w:rFonts w:ascii="Times New Roman" w:hAnsi="Times New Roman"/>
          <w:sz w:val="24"/>
          <w:lang w:val="sr-Cyrl-CS"/>
        </w:rPr>
        <w:t xml:space="preserve"> </w:t>
      </w:r>
      <w:r w:rsidR="00D73AAB" w:rsidRPr="005303F7">
        <w:rPr>
          <w:rFonts w:ascii="Times New Roman" w:hAnsi="Times New Roman"/>
          <w:sz w:val="24"/>
          <w:lang w:val="sr-Cyrl-CS"/>
        </w:rPr>
        <w:t>Републике Србије</w:t>
      </w:r>
      <w:r w:rsidR="000663DE"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блиској</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буду</w:t>
      </w:r>
      <w:r w:rsidR="00016298" w:rsidRPr="005303F7">
        <w:rPr>
          <w:rFonts w:ascii="Times New Roman" w:hAnsi="Times New Roman"/>
          <w:sz w:val="24"/>
          <w:lang w:val="sr-Cyrl-CS"/>
        </w:rPr>
        <w:t>ћ</w:t>
      </w:r>
      <w:r w:rsidR="008D69AF" w:rsidRPr="005303F7">
        <w:rPr>
          <w:rFonts w:ascii="Times New Roman" w:hAnsi="Times New Roman"/>
          <w:sz w:val="24"/>
          <w:lang w:val="sr-Cyrl-CS"/>
        </w:rPr>
        <w:t>ности</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промена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износи</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до</w:t>
      </w:r>
      <w:r w:rsidR="000A7954" w:rsidRPr="005303F7">
        <w:rPr>
          <w:rFonts w:ascii="Times New Roman" w:hAnsi="Times New Roman"/>
          <w:sz w:val="24"/>
          <w:lang w:val="sr-Cyrl-CS"/>
        </w:rPr>
        <w:t xml:space="preserve"> 5% </w:t>
      </w:r>
      <w:r w:rsidR="008D69AF" w:rsidRPr="005303F7">
        <w:rPr>
          <w:rFonts w:ascii="Times New Roman" w:hAnsi="Times New Roman"/>
          <w:sz w:val="24"/>
          <w:lang w:val="sr-Cyrl-CS"/>
        </w:rPr>
        <w:t>за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оба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сценарија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Средином</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века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приме</w:t>
      </w:r>
      <w:r w:rsidR="00016298" w:rsidRPr="005303F7">
        <w:rPr>
          <w:rFonts w:ascii="Times New Roman" w:hAnsi="Times New Roman"/>
          <w:sz w:val="24"/>
          <w:lang w:val="sr-Cyrl-CS"/>
        </w:rPr>
        <w:t>ћ</w:t>
      </w:r>
      <w:r w:rsidR="008D69AF" w:rsidRPr="005303F7">
        <w:rPr>
          <w:rFonts w:ascii="Times New Roman" w:hAnsi="Times New Roman"/>
          <w:sz w:val="24"/>
          <w:lang w:val="sr-Cyrl-CS"/>
        </w:rPr>
        <w:t>ује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се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екстреман</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пораст</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према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сценарију</w:t>
      </w:r>
      <w:r w:rsidR="000A7954" w:rsidRPr="005303F7">
        <w:rPr>
          <w:rFonts w:ascii="Times New Roman" w:hAnsi="Times New Roman"/>
          <w:sz w:val="24"/>
          <w:lang w:val="sr-Cyrl-CS"/>
        </w:rPr>
        <w:t xml:space="preserve"> </w:t>
      </w:r>
      <w:r w:rsidR="00BC327E" w:rsidRPr="005303F7">
        <w:rPr>
          <w:rFonts w:ascii="Times New Roman" w:hAnsi="Times New Roman"/>
          <w:sz w:val="24"/>
          <w:lang w:val="sr-Cyrl-CS"/>
        </w:rPr>
        <w:t>RCP</w:t>
      </w:r>
      <w:r w:rsidR="000A7954" w:rsidRPr="005303F7">
        <w:rPr>
          <w:rFonts w:ascii="Times New Roman" w:hAnsi="Times New Roman"/>
          <w:sz w:val="24"/>
          <w:lang w:val="sr-Cyrl-CS"/>
        </w:rPr>
        <w:t xml:space="preserve">8.5 </w:t>
      </w:r>
      <w:r w:rsidR="008D69AF" w:rsidRPr="005303F7">
        <w:rPr>
          <w:rFonts w:ascii="Times New Roman" w:hAnsi="Times New Roman"/>
          <w:sz w:val="24"/>
          <w:lang w:val="sr-Cyrl-CS"/>
        </w:rPr>
        <w:t>у</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неким</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деловима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јужне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централне</w:t>
      </w:r>
      <w:r w:rsidR="000A7954" w:rsidRPr="005303F7">
        <w:rPr>
          <w:rFonts w:ascii="Times New Roman" w:hAnsi="Times New Roman"/>
          <w:sz w:val="24"/>
          <w:lang w:val="sr-Cyrl-CS"/>
        </w:rPr>
        <w:t xml:space="preserve"> </w:t>
      </w:r>
      <w:r w:rsidR="00D73AAB" w:rsidRPr="005303F7">
        <w:rPr>
          <w:rFonts w:ascii="Times New Roman" w:hAnsi="Times New Roman"/>
          <w:sz w:val="24"/>
          <w:lang w:val="sr-Cyrl-CS"/>
        </w:rPr>
        <w:t>Републике Србије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вредност</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прелази</w:t>
      </w:r>
      <w:r w:rsidR="000A7954" w:rsidRPr="005303F7">
        <w:rPr>
          <w:rFonts w:ascii="Times New Roman" w:hAnsi="Times New Roman"/>
          <w:sz w:val="24"/>
          <w:lang w:val="sr-Cyrl-CS"/>
        </w:rPr>
        <w:t xml:space="preserve"> 10%, </w:t>
      </w:r>
      <w:r w:rsidR="008D69AF" w:rsidRPr="005303F7">
        <w:rPr>
          <w:rFonts w:ascii="Times New Roman" w:hAnsi="Times New Roman"/>
          <w:sz w:val="24"/>
          <w:lang w:val="sr-Cyrl-CS"/>
        </w:rPr>
        <w:t>као</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АП</w:t>
      </w:r>
      <w:r w:rsidR="009D4115" w:rsidRPr="005303F7">
        <w:rPr>
          <w:rFonts w:ascii="Times New Roman" w:hAnsi="Times New Roman"/>
          <w:sz w:val="24"/>
          <w:lang w:val="sr-Cyrl-CS"/>
        </w:rPr>
        <w:t xml:space="preserve"> </w:t>
      </w:r>
      <w:r w:rsidR="008D69AF" w:rsidRPr="005303F7">
        <w:rPr>
          <w:rFonts w:ascii="Times New Roman" w:hAnsi="Times New Roman"/>
          <w:sz w:val="24"/>
          <w:lang w:val="sr-Cyrl-CS"/>
        </w:rPr>
        <w:t>Војводини</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До</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краја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века</w:t>
      </w:r>
      <w:r w:rsidR="000663DE"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0663DE" w:rsidRPr="005303F7">
        <w:rPr>
          <w:rFonts w:ascii="Times New Roman" w:hAnsi="Times New Roman"/>
          <w:sz w:val="24"/>
          <w:lang w:val="sr-Cyrl-CS"/>
        </w:rPr>
        <w:t xml:space="preserve"> </w:t>
      </w:r>
      <w:r w:rsidR="00BC327E" w:rsidRPr="005303F7">
        <w:rPr>
          <w:rFonts w:ascii="Times New Roman" w:hAnsi="Times New Roman"/>
          <w:sz w:val="24"/>
          <w:lang w:val="sr-Cyrl-CS"/>
        </w:rPr>
        <w:t>RCP</w:t>
      </w:r>
      <w:r w:rsidR="000663DE" w:rsidRPr="005303F7">
        <w:rPr>
          <w:rFonts w:ascii="Times New Roman" w:hAnsi="Times New Roman"/>
          <w:sz w:val="24"/>
          <w:lang w:val="sr-Cyrl-CS"/>
        </w:rPr>
        <w:t xml:space="preserve">4.5, </w:t>
      </w:r>
      <w:r w:rsidR="008D69AF" w:rsidRPr="005303F7">
        <w:rPr>
          <w:rFonts w:ascii="Times New Roman" w:hAnsi="Times New Roman"/>
          <w:sz w:val="24"/>
          <w:lang w:val="sr-Cyrl-CS"/>
        </w:rPr>
        <w:t>екстремна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промена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премашује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ове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вредности</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неким</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lastRenderedPageBreak/>
        <w:t>деловима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АП</w:t>
      </w:r>
      <w:r w:rsidR="009D4115" w:rsidRPr="005303F7">
        <w:rPr>
          <w:rFonts w:ascii="Times New Roman" w:hAnsi="Times New Roman"/>
          <w:sz w:val="24"/>
          <w:lang w:val="sr-Cyrl-CS"/>
        </w:rPr>
        <w:t xml:space="preserve"> </w:t>
      </w:r>
      <w:r w:rsidR="008D69AF" w:rsidRPr="005303F7">
        <w:rPr>
          <w:rFonts w:ascii="Times New Roman" w:hAnsi="Times New Roman"/>
          <w:sz w:val="24"/>
          <w:lang w:val="sr-Cyrl-CS"/>
        </w:rPr>
        <w:t>Војводине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на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неким</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другим</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мањим</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локацијама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остатку</w:t>
      </w:r>
      <w:r w:rsidR="000A7954" w:rsidRPr="005303F7">
        <w:rPr>
          <w:rFonts w:ascii="Times New Roman" w:hAnsi="Times New Roman"/>
          <w:sz w:val="24"/>
          <w:lang w:val="sr-Cyrl-CS"/>
        </w:rPr>
        <w:t xml:space="preserve"> </w:t>
      </w:r>
      <w:r w:rsidR="00D73AAB" w:rsidRPr="005303F7">
        <w:rPr>
          <w:rFonts w:ascii="Times New Roman" w:hAnsi="Times New Roman"/>
          <w:sz w:val="24"/>
          <w:lang w:val="sr-Cyrl-CS"/>
        </w:rPr>
        <w:t>Републике Србије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док</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0A7954" w:rsidRPr="005303F7">
        <w:rPr>
          <w:rFonts w:ascii="Times New Roman" w:hAnsi="Times New Roman"/>
          <w:sz w:val="24"/>
          <w:lang w:val="sr-Cyrl-CS"/>
        </w:rPr>
        <w:t xml:space="preserve"> </w:t>
      </w:r>
      <w:r w:rsidR="00BC327E" w:rsidRPr="005303F7">
        <w:rPr>
          <w:rFonts w:ascii="Times New Roman" w:hAnsi="Times New Roman"/>
          <w:sz w:val="24"/>
          <w:lang w:val="sr-Cyrl-CS"/>
        </w:rPr>
        <w:t>RCP</w:t>
      </w:r>
      <w:r w:rsidR="000A7954" w:rsidRPr="005303F7">
        <w:rPr>
          <w:rFonts w:ascii="Times New Roman" w:hAnsi="Times New Roman"/>
          <w:sz w:val="24"/>
          <w:lang w:val="sr-Cyrl-CS"/>
        </w:rPr>
        <w:t xml:space="preserve">8.5, </w:t>
      </w:r>
      <w:r w:rsidR="008D69AF" w:rsidRPr="005303F7">
        <w:rPr>
          <w:rFonts w:ascii="Times New Roman" w:hAnsi="Times New Roman"/>
          <w:sz w:val="24"/>
          <w:lang w:val="sr-Cyrl-CS"/>
        </w:rPr>
        <w:t>пораст</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може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неким</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деловима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АП</w:t>
      </w:r>
      <w:r w:rsidR="009D4115" w:rsidRPr="005303F7">
        <w:rPr>
          <w:rFonts w:ascii="Times New Roman" w:hAnsi="Times New Roman"/>
          <w:sz w:val="24"/>
          <w:lang w:val="sr-Cyrl-CS"/>
        </w:rPr>
        <w:t xml:space="preserve"> </w:t>
      </w:r>
      <w:r w:rsidR="008D69AF" w:rsidRPr="005303F7">
        <w:rPr>
          <w:rFonts w:ascii="Times New Roman" w:hAnsi="Times New Roman"/>
          <w:sz w:val="24"/>
          <w:lang w:val="sr-Cyrl-CS"/>
        </w:rPr>
        <w:t>Војводине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бити</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чак</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0A7954" w:rsidRPr="005303F7">
        <w:rPr>
          <w:rFonts w:ascii="Times New Roman" w:hAnsi="Times New Roman"/>
          <w:sz w:val="24"/>
          <w:lang w:val="sr-Cyrl-CS"/>
        </w:rPr>
        <w:t xml:space="preserve"> 20%.</w:t>
      </w:r>
    </w:p>
    <w:bookmarkEnd w:id="414"/>
    <w:p w14:paraId="14337518" w14:textId="58C43068" w:rsidR="009237A2" w:rsidRPr="005303F7" w:rsidRDefault="00CC6964" w:rsidP="009F7017">
      <w:pPr>
        <w:rPr>
          <w:rFonts w:ascii="Times New Roman" w:hAnsi="Times New Roman"/>
          <w:b/>
          <w:caps/>
          <w:spacing w:val="36"/>
          <w:sz w:val="32"/>
          <w:lang w:val="sr-Cyrl-CS"/>
        </w:rPr>
      </w:pPr>
      <w:r w:rsidRPr="005303F7">
        <w:rPr>
          <w:rFonts w:ascii="Times New Roman" w:hAnsi="Times New Roman"/>
          <w:sz w:val="24"/>
          <w:lang w:val="sr-Cyrl-CS"/>
        </w:rPr>
        <w:t xml:space="preserve">         </w:t>
      </w:r>
      <w:r w:rsidR="008D69AF" w:rsidRPr="005303F7">
        <w:rPr>
          <w:rFonts w:ascii="Times New Roman" w:hAnsi="Times New Roman"/>
          <w:sz w:val="24"/>
          <w:lang w:val="sr-Cyrl-CS"/>
        </w:rPr>
        <w:t>Бележи</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се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пораст</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максималне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количине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падавина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кумулираних</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пет</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узастопних</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дана</w:t>
      </w:r>
      <w:r w:rsidR="000A7954" w:rsidRPr="005303F7">
        <w:rPr>
          <w:rFonts w:ascii="Times New Roman" w:hAnsi="Times New Roman"/>
          <w:sz w:val="24"/>
          <w:lang w:val="sr-Cyrl-CS"/>
        </w:rPr>
        <w:t xml:space="preserve"> (</w:t>
      </w:r>
      <w:r w:rsidR="00605FFB" w:rsidRPr="005303F7">
        <w:rPr>
          <w:rFonts w:ascii="Times New Roman" w:hAnsi="Times New Roman"/>
          <w:sz w:val="24"/>
          <w:lang w:val="sr-Cyrl-CS"/>
        </w:rPr>
        <w:t>Pmax</w:t>
      </w:r>
      <w:r w:rsidR="000A7954" w:rsidRPr="005303F7">
        <w:rPr>
          <w:rFonts w:ascii="Times New Roman" w:hAnsi="Times New Roman"/>
          <w:sz w:val="24"/>
          <w:lang w:val="sr-Cyrl-CS"/>
        </w:rPr>
        <w:t xml:space="preserve">5) </w:t>
      </w:r>
      <w:r w:rsidR="008D69AF" w:rsidRPr="005303F7">
        <w:rPr>
          <w:rFonts w:ascii="Times New Roman" w:hAnsi="Times New Roman"/>
          <w:sz w:val="24"/>
          <w:lang w:val="sr-Cyrl-CS"/>
        </w:rPr>
        <w:t>на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територији</w:t>
      </w:r>
      <w:r w:rsidR="000A7954" w:rsidRPr="005303F7">
        <w:rPr>
          <w:rFonts w:ascii="Times New Roman" w:hAnsi="Times New Roman"/>
          <w:sz w:val="24"/>
          <w:lang w:val="sr-Cyrl-CS"/>
        </w:rPr>
        <w:t xml:space="preserve"> </w:t>
      </w:r>
      <w:r w:rsidR="00D73AAB" w:rsidRPr="005303F7">
        <w:rPr>
          <w:rFonts w:ascii="Times New Roman" w:hAnsi="Times New Roman"/>
          <w:sz w:val="24"/>
          <w:lang w:val="sr-Cyrl-CS"/>
        </w:rPr>
        <w:t>Републике Србије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буду</w:t>
      </w:r>
      <w:r w:rsidR="00016298" w:rsidRPr="005303F7">
        <w:rPr>
          <w:rFonts w:ascii="Times New Roman" w:hAnsi="Times New Roman"/>
          <w:sz w:val="24"/>
          <w:lang w:val="sr-Cyrl-CS"/>
        </w:rPr>
        <w:t>ћ</w:t>
      </w:r>
      <w:r w:rsidR="008D69AF" w:rsidRPr="005303F7">
        <w:rPr>
          <w:rFonts w:ascii="Times New Roman" w:hAnsi="Times New Roman"/>
          <w:sz w:val="24"/>
          <w:lang w:val="sr-Cyrl-CS"/>
        </w:rPr>
        <w:t>ности</w:t>
      </w:r>
      <w:r w:rsidR="00965E3C"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965E3C" w:rsidRPr="005303F7">
        <w:rPr>
          <w:rFonts w:ascii="Times New Roman" w:hAnsi="Times New Roman"/>
          <w:sz w:val="24"/>
          <w:lang w:val="sr-Cyrl-CS"/>
        </w:rPr>
        <w:t xml:space="preserve"> </w:t>
      </w:r>
      <w:r w:rsidR="008D69AF" w:rsidRPr="005303F7">
        <w:rPr>
          <w:rFonts w:ascii="Times New Roman" w:hAnsi="Times New Roman"/>
          <w:sz w:val="24"/>
          <w:lang w:val="sr-Cyrl-CS"/>
        </w:rPr>
        <w:t>блиској</w:t>
      </w:r>
      <w:r w:rsidR="00965E3C" w:rsidRPr="005303F7">
        <w:rPr>
          <w:rFonts w:ascii="Times New Roman" w:hAnsi="Times New Roman"/>
          <w:sz w:val="24"/>
          <w:lang w:val="sr-Cyrl-CS"/>
        </w:rPr>
        <w:t xml:space="preserve"> </w:t>
      </w:r>
      <w:r w:rsidR="008D69AF" w:rsidRPr="005303F7">
        <w:rPr>
          <w:rFonts w:ascii="Times New Roman" w:hAnsi="Times New Roman"/>
          <w:sz w:val="24"/>
          <w:lang w:val="sr-Cyrl-CS"/>
        </w:rPr>
        <w:t>буду</w:t>
      </w:r>
      <w:r w:rsidR="00016298" w:rsidRPr="005303F7">
        <w:rPr>
          <w:rFonts w:ascii="Times New Roman" w:hAnsi="Times New Roman"/>
          <w:sz w:val="24"/>
          <w:lang w:val="sr-Cyrl-CS"/>
        </w:rPr>
        <w:t>ћ</w:t>
      </w:r>
      <w:r w:rsidR="008D69AF" w:rsidRPr="005303F7">
        <w:rPr>
          <w:rFonts w:ascii="Times New Roman" w:hAnsi="Times New Roman"/>
          <w:sz w:val="24"/>
          <w:lang w:val="sr-Cyrl-CS"/>
        </w:rPr>
        <w:t>ности</w:t>
      </w:r>
      <w:r w:rsidR="00965E3C" w:rsidRPr="005303F7">
        <w:rPr>
          <w:rFonts w:ascii="Times New Roman" w:hAnsi="Times New Roman"/>
          <w:sz w:val="24"/>
          <w:lang w:val="sr-Cyrl-CS"/>
        </w:rPr>
        <w:t xml:space="preserve">, </w:t>
      </w:r>
      <w:r w:rsidR="008D69AF" w:rsidRPr="005303F7">
        <w:rPr>
          <w:rFonts w:ascii="Times New Roman" w:hAnsi="Times New Roman"/>
          <w:sz w:val="24"/>
          <w:lang w:val="sr-Cyrl-CS"/>
        </w:rPr>
        <w:t>промене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су</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сличне</w:t>
      </w:r>
      <w:r w:rsidR="000A7954" w:rsidRPr="005303F7">
        <w:rPr>
          <w:rFonts w:ascii="Times New Roman" w:hAnsi="Times New Roman"/>
          <w:sz w:val="24"/>
          <w:lang w:val="sr-Cyrl-CS"/>
        </w:rPr>
        <w:t xml:space="preserve"> </w:t>
      </w:r>
      <w:r w:rsidR="00BC327E" w:rsidRPr="005303F7">
        <w:rPr>
          <w:rFonts w:ascii="Times New Roman" w:hAnsi="Times New Roman"/>
          <w:sz w:val="24"/>
          <w:lang w:val="sr-Cyrl-CS"/>
        </w:rPr>
        <w:t>P</w:t>
      </w:r>
      <w:r w:rsidR="00605FFB" w:rsidRPr="005303F7">
        <w:rPr>
          <w:rFonts w:ascii="Times New Roman" w:hAnsi="Times New Roman"/>
          <w:sz w:val="24"/>
          <w:lang w:val="sr-Cyrl-CS"/>
        </w:rPr>
        <w:t>max</w:t>
      </w:r>
      <w:r w:rsidR="000A7954" w:rsidRPr="005303F7">
        <w:rPr>
          <w:rFonts w:ascii="Times New Roman" w:hAnsi="Times New Roman"/>
          <w:sz w:val="24"/>
          <w:lang w:val="sr-Cyrl-CS"/>
        </w:rPr>
        <w:t xml:space="preserve">1. </w:t>
      </w:r>
      <w:r w:rsidR="008D69AF" w:rsidRPr="005303F7">
        <w:rPr>
          <w:rFonts w:ascii="Times New Roman" w:hAnsi="Times New Roman"/>
          <w:sz w:val="24"/>
          <w:lang w:val="sr-Cyrl-CS"/>
        </w:rPr>
        <w:t>Средином</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века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долази</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до</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значајне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промене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0A7954" w:rsidRPr="005303F7">
        <w:rPr>
          <w:rFonts w:ascii="Times New Roman" w:hAnsi="Times New Roman"/>
          <w:sz w:val="24"/>
          <w:lang w:val="sr-Cyrl-CS"/>
        </w:rPr>
        <w:t xml:space="preserve"> </w:t>
      </w:r>
      <w:r w:rsidR="00BC327E" w:rsidRPr="005303F7">
        <w:rPr>
          <w:rFonts w:ascii="Times New Roman" w:hAnsi="Times New Roman"/>
          <w:sz w:val="24"/>
          <w:lang w:val="sr-Cyrl-CS"/>
        </w:rPr>
        <w:t>RCP</w:t>
      </w:r>
      <w:r w:rsidR="000A7954" w:rsidRPr="005303F7">
        <w:rPr>
          <w:rFonts w:ascii="Times New Roman" w:hAnsi="Times New Roman"/>
          <w:sz w:val="24"/>
          <w:lang w:val="sr-Cyrl-CS"/>
        </w:rPr>
        <w:t xml:space="preserve">8.5, </w:t>
      </w:r>
      <w:r w:rsidR="008D69AF" w:rsidRPr="005303F7">
        <w:rPr>
          <w:rFonts w:ascii="Times New Roman" w:hAnsi="Times New Roman"/>
          <w:sz w:val="24"/>
          <w:lang w:val="sr-Cyrl-CS"/>
        </w:rPr>
        <w:t>где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су</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вредности</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АП</w:t>
      </w:r>
      <w:r w:rsidR="009D4115" w:rsidRPr="005303F7">
        <w:rPr>
          <w:rFonts w:ascii="Times New Roman" w:hAnsi="Times New Roman"/>
          <w:sz w:val="24"/>
          <w:lang w:val="sr-Cyrl-CS"/>
        </w:rPr>
        <w:t xml:space="preserve"> </w:t>
      </w:r>
      <w:r w:rsidR="008D69AF" w:rsidRPr="005303F7">
        <w:rPr>
          <w:rFonts w:ascii="Times New Roman" w:hAnsi="Times New Roman"/>
          <w:sz w:val="24"/>
          <w:lang w:val="sr-Cyrl-CS"/>
        </w:rPr>
        <w:t>Војводини</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ве</w:t>
      </w:r>
      <w:r w:rsidR="00016298" w:rsidRPr="005303F7">
        <w:rPr>
          <w:rFonts w:ascii="Times New Roman" w:hAnsi="Times New Roman"/>
          <w:sz w:val="24"/>
          <w:lang w:val="sr-Cyrl-CS"/>
        </w:rPr>
        <w:t>ћ</w:t>
      </w:r>
      <w:r w:rsidR="008D69AF" w:rsidRPr="005303F7">
        <w:rPr>
          <w:rFonts w:ascii="Times New Roman" w:hAnsi="Times New Roman"/>
          <w:sz w:val="24"/>
          <w:lang w:val="sr-Cyrl-CS"/>
        </w:rPr>
        <w:t>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од</w:t>
      </w:r>
      <w:r w:rsidR="000A7954" w:rsidRPr="005303F7">
        <w:rPr>
          <w:rFonts w:ascii="Times New Roman" w:hAnsi="Times New Roman"/>
          <w:sz w:val="24"/>
          <w:lang w:val="sr-Cyrl-CS"/>
        </w:rPr>
        <w:t xml:space="preserve"> 15%, </w:t>
      </w:r>
      <w:r w:rsidR="008D69AF" w:rsidRPr="005303F7">
        <w:rPr>
          <w:rFonts w:ascii="Times New Roman" w:hAnsi="Times New Roman"/>
          <w:sz w:val="24"/>
          <w:lang w:val="sr-Cyrl-CS"/>
        </w:rPr>
        <w:t>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мањим</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областима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јужне</w:t>
      </w:r>
      <w:r w:rsidR="000A7954" w:rsidRPr="005303F7">
        <w:rPr>
          <w:rFonts w:ascii="Times New Roman" w:hAnsi="Times New Roman"/>
          <w:sz w:val="24"/>
          <w:lang w:val="sr-Cyrl-CS"/>
        </w:rPr>
        <w:t xml:space="preserve"> </w:t>
      </w:r>
      <w:r w:rsidR="00D73AAB" w:rsidRPr="005303F7">
        <w:rPr>
          <w:rFonts w:ascii="Times New Roman" w:hAnsi="Times New Roman"/>
          <w:sz w:val="24"/>
          <w:lang w:val="sr-Cyrl-CS"/>
        </w:rPr>
        <w:t>Републике Србије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чак</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од</w:t>
      </w:r>
      <w:r w:rsidR="000A7954" w:rsidRPr="005303F7">
        <w:rPr>
          <w:rFonts w:ascii="Times New Roman" w:hAnsi="Times New Roman"/>
          <w:sz w:val="24"/>
          <w:lang w:val="sr-Cyrl-CS"/>
        </w:rPr>
        <w:t xml:space="preserve"> </w:t>
      </w:r>
      <w:r w:rsidR="001A4DB2" w:rsidRPr="005303F7">
        <w:rPr>
          <w:rFonts w:ascii="Times New Roman" w:hAnsi="Times New Roman"/>
          <w:sz w:val="24"/>
          <w:lang w:val="sr-Cyrl-CS"/>
        </w:rPr>
        <w:t xml:space="preserve">20%. </w:t>
      </w:r>
      <w:r w:rsidR="008D69AF" w:rsidRPr="005303F7">
        <w:rPr>
          <w:rFonts w:ascii="Times New Roman" w:hAnsi="Times New Roman"/>
          <w:sz w:val="24"/>
          <w:lang w:val="sr-Cyrl-CS"/>
        </w:rPr>
        <w:t>До</w:t>
      </w:r>
      <w:r w:rsidR="001A4DB2" w:rsidRPr="005303F7">
        <w:rPr>
          <w:rFonts w:ascii="Times New Roman" w:hAnsi="Times New Roman"/>
          <w:sz w:val="24"/>
          <w:lang w:val="sr-Cyrl-CS"/>
        </w:rPr>
        <w:t xml:space="preserve"> </w:t>
      </w:r>
      <w:r w:rsidR="008D69AF" w:rsidRPr="005303F7">
        <w:rPr>
          <w:rFonts w:ascii="Times New Roman" w:hAnsi="Times New Roman"/>
          <w:sz w:val="24"/>
          <w:lang w:val="sr-Cyrl-CS"/>
        </w:rPr>
        <w:t>краја</w:t>
      </w:r>
      <w:r w:rsidR="001A4DB2" w:rsidRPr="005303F7">
        <w:rPr>
          <w:rFonts w:ascii="Times New Roman" w:hAnsi="Times New Roman"/>
          <w:sz w:val="24"/>
          <w:lang w:val="sr-Cyrl-CS"/>
        </w:rPr>
        <w:t xml:space="preserve"> </w:t>
      </w:r>
      <w:r w:rsidR="008D69AF" w:rsidRPr="005303F7">
        <w:rPr>
          <w:rFonts w:ascii="Times New Roman" w:hAnsi="Times New Roman"/>
          <w:sz w:val="24"/>
          <w:lang w:val="sr-Cyrl-CS"/>
        </w:rPr>
        <w:t>века</w:t>
      </w:r>
      <w:r w:rsidR="001A4DB2" w:rsidRPr="005303F7">
        <w:rPr>
          <w:rFonts w:ascii="Times New Roman" w:hAnsi="Times New Roman"/>
          <w:sz w:val="24"/>
          <w:lang w:val="sr-Cyrl-CS"/>
        </w:rPr>
        <w:t xml:space="preserve">, </w:t>
      </w:r>
      <w:r w:rsidR="008D69AF" w:rsidRPr="005303F7">
        <w:rPr>
          <w:rFonts w:ascii="Times New Roman" w:hAnsi="Times New Roman"/>
          <w:sz w:val="24"/>
          <w:lang w:val="sr-Cyrl-CS"/>
        </w:rPr>
        <w:t>девијације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овог</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индекса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су</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нешто</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ве</w:t>
      </w:r>
      <w:r w:rsidR="00016298" w:rsidRPr="005303F7">
        <w:rPr>
          <w:rFonts w:ascii="Times New Roman" w:hAnsi="Times New Roman"/>
          <w:sz w:val="24"/>
          <w:lang w:val="sr-Cyrl-CS"/>
        </w:rPr>
        <w:t>ћ</w:t>
      </w:r>
      <w:r w:rsidR="008D69AF" w:rsidRPr="005303F7">
        <w:rPr>
          <w:rFonts w:ascii="Times New Roman" w:hAnsi="Times New Roman"/>
          <w:sz w:val="24"/>
          <w:lang w:val="sr-Cyrl-CS"/>
        </w:rPr>
        <w:t>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од</w:t>
      </w:r>
      <w:r w:rsidR="000A7954" w:rsidRPr="005303F7">
        <w:rPr>
          <w:rFonts w:ascii="Times New Roman" w:hAnsi="Times New Roman"/>
          <w:sz w:val="24"/>
          <w:lang w:val="sr-Cyrl-CS"/>
        </w:rPr>
        <w:t xml:space="preserve"> </w:t>
      </w:r>
      <w:r w:rsidR="00BC327E" w:rsidRPr="005303F7">
        <w:rPr>
          <w:rFonts w:ascii="Times New Roman" w:hAnsi="Times New Roman"/>
          <w:sz w:val="24"/>
          <w:lang w:val="sr-Cyrl-CS"/>
        </w:rPr>
        <w:t>P</w:t>
      </w:r>
      <w:r w:rsidR="008D69AF" w:rsidRPr="005303F7">
        <w:rPr>
          <w:rFonts w:ascii="Times New Roman" w:hAnsi="Times New Roman"/>
          <w:sz w:val="24"/>
          <w:lang w:val="sr-Cyrl-CS"/>
        </w:rPr>
        <w:t>ма</w:t>
      </w:r>
      <w:r w:rsidR="00886DD2" w:rsidRPr="005303F7">
        <w:rPr>
          <w:rFonts w:ascii="Times New Roman" w:hAnsi="Times New Roman"/>
          <w:sz w:val="24"/>
          <w:lang w:val="sr-Cyrl-CS"/>
        </w:rPr>
        <w:t>x</w:t>
      </w:r>
      <w:r w:rsidR="000A7954" w:rsidRPr="005303F7">
        <w:rPr>
          <w:rFonts w:ascii="Times New Roman" w:hAnsi="Times New Roman"/>
          <w:sz w:val="24"/>
          <w:lang w:val="sr-Cyrl-CS"/>
        </w:rPr>
        <w:t xml:space="preserve">1. </w:t>
      </w:r>
      <w:r w:rsidR="008D69AF" w:rsidRPr="005303F7">
        <w:rPr>
          <w:rFonts w:ascii="Times New Roman" w:hAnsi="Times New Roman"/>
          <w:sz w:val="24"/>
          <w:lang w:val="sr-Cyrl-CS"/>
        </w:rPr>
        <w:t>У</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појединим</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областима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вредност</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прелази</w:t>
      </w:r>
      <w:r w:rsidR="000A7954" w:rsidRPr="005303F7">
        <w:rPr>
          <w:rFonts w:ascii="Times New Roman" w:hAnsi="Times New Roman"/>
          <w:sz w:val="24"/>
          <w:lang w:val="sr-Cyrl-CS"/>
        </w:rPr>
        <w:t xml:space="preserve"> 15% </w:t>
      </w:r>
      <w:r w:rsidR="008D69AF" w:rsidRPr="005303F7">
        <w:rPr>
          <w:rFonts w:ascii="Times New Roman" w:hAnsi="Times New Roman"/>
          <w:sz w:val="24"/>
          <w:lang w:val="sr-Cyrl-CS"/>
        </w:rPr>
        <w:t>за</w:t>
      </w:r>
      <w:r w:rsidR="000A7954" w:rsidRPr="005303F7">
        <w:rPr>
          <w:rFonts w:ascii="Times New Roman" w:hAnsi="Times New Roman"/>
          <w:sz w:val="24"/>
          <w:lang w:val="sr-Cyrl-CS"/>
        </w:rPr>
        <w:t xml:space="preserve"> </w:t>
      </w:r>
      <w:r w:rsidR="00BC327E" w:rsidRPr="005303F7">
        <w:rPr>
          <w:rFonts w:ascii="Times New Roman" w:hAnsi="Times New Roman"/>
          <w:sz w:val="24"/>
          <w:lang w:val="sr-Cyrl-CS"/>
        </w:rPr>
        <w:t>RCP</w:t>
      </w:r>
      <w:r w:rsidR="000A7954" w:rsidRPr="005303F7">
        <w:rPr>
          <w:rFonts w:ascii="Times New Roman" w:hAnsi="Times New Roman"/>
          <w:sz w:val="24"/>
          <w:lang w:val="sr-Cyrl-CS"/>
        </w:rPr>
        <w:t xml:space="preserve">4.5, </w:t>
      </w:r>
      <w:r w:rsidR="008D69AF" w:rsidRPr="005303F7">
        <w:rPr>
          <w:rFonts w:ascii="Times New Roman" w:hAnsi="Times New Roman"/>
          <w:sz w:val="24"/>
          <w:lang w:val="sr-Cyrl-CS"/>
        </w:rPr>
        <w:t>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0A7954" w:rsidRPr="005303F7">
        <w:rPr>
          <w:rFonts w:ascii="Times New Roman" w:hAnsi="Times New Roman"/>
          <w:sz w:val="24"/>
          <w:lang w:val="sr-Cyrl-CS"/>
        </w:rPr>
        <w:t xml:space="preserve"> </w:t>
      </w:r>
      <w:r w:rsidR="00BC327E" w:rsidRPr="005303F7">
        <w:rPr>
          <w:rFonts w:ascii="Times New Roman" w:hAnsi="Times New Roman"/>
          <w:sz w:val="24"/>
          <w:lang w:val="sr-Cyrl-CS"/>
        </w:rPr>
        <w:t>RCP</w:t>
      </w:r>
      <w:r w:rsidR="000A7954" w:rsidRPr="005303F7">
        <w:rPr>
          <w:rFonts w:ascii="Times New Roman" w:hAnsi="Times New Roman"/>
          <w:sz w:val="24"/>
          <w:lang w:val="sr-Cyrl-CS"/>
        </w:rPr>
        <w:t xml:space="preserve">8.5 15%, </w:t>
      </w:r>
      <w:r w:rsidR="008D69AF" w:rsidRPr="005303F7">
        <w:rPr>
          <w:rFonts w:ascii="Times New Roman" w:hAnsi="Times New Roman"/>
          <w:sz w:val="24"/>
          <w:lang w:val="sr-Cyrl-CS"/>
        </w:rPr>
        <w:t>па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чак</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0A7954" w:rsidRPr="005303F7">
        <w:rPr>
          <w:rFonts w:ascii="Times New Roman" w:hAnsi="Times New Roman"/>
          <w:sz w:val="24"/>
          <w:lang w:val="sr-Cyrl-CS"/>
        </w:rPr>
        <w:t xml:space="preserve"> 20% </w:t>
      </w:r>
      <w:r w:rsidR="008D69AF" w:rsidRPr="005303F7">
        <w:rPr>
          <w:rFonts w:ascii="Times New Roman" w:hAnsi="Times New Roman"/>
          <w:sz w:val="24"/>
          <w:lang w:val="sr-Cyrl-CS"/>
        </w:rPr>
        <w:t>у</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неким</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областима</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јужне</w:t>
      </w:r>
      <w:r w:rsidR="000A7954" w:rsidRPr="005303F7">
        <w:rPr>
          <w:rFonts w:ascii="Times New Roman" w:hAnsi="Times New Roman"/>
          <w:sz w:val="24"/>
          <w:lang w:val="sr-Cyrl-CS"/>
        </w:rPr>
        <w:t xml:space="preserve"> </w:t>
      </w:r>
      <w:r w:rsidR="00D73AAB" w:rsidRPr="005303F7">
        <w:rPr>
          <w:rFonts w:ascii="Times New Roman" w:hAnsi="Times New Roman"/>
          <w:sz w:val="24"/>
          <w:lang w:val="sr-Cyrl-CS"/>
        </w:rPr>
        <w:t>Републике Србије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источне</w:t>
      </w:r>
      <w:r w:rsidR="000A7954" w:rsidRPr="005303F7">
        <w:rPr>
          <w:rFonts w:ascii="Times New Roman" w:hAnsi="Times New Roman"/>
          <w:sz w:val="24"/>
          <w:lang w:val="sr-Cyrl-CS"/>
        </w:rPr>
        <w:t xml:space="preserve"> </w:t>
      </w:r>
      <w:r w:rsidR="008D69AF" w:rsidRPr="005303F7">
        <w:rPr>
          <w:rFonts w:ascii="Times New Roman" w:hAnsi="Times New Roman"/>
          <w:sz w:val="24"/>
          <w:lang w:val="sr-Cyrl-CS"/>
        </w:rPr>
        <w:t>АП</w:t>
      </w:r>
      <w:r w:rsidR="009D4115" w:rsidRPr="005303F7">
        <w:rPr>
          <w:rFonts w:ascii="Times New Roman" w:hAnsi="Times New Roman"/>
          <w:sz w:val="24"/>
          <w:lang w:val="sr-Cyrl-CS"/>
        </w:rPr>
        <w:t xml:space="preserve"> </w:t>
      </w:r>
      <w:r w:rsidR="008D69AF" w:rsidRPr="005303F7">
        <w:rPr>
          <w:rFonts w:ascii="Times New Roman" w:hAnsi="Times New Roman"/>
          <w:sz w:val="24"/>
          <w:lang w:val="sr-Cyrl-CS"/>
        </w:rPr>
        <w:t>Војводине</w:t>
      </w:r>
      <w:r w:rsidR="000A7954" w:rsidRPr="005303F7">
        <w:rPr>
          <w:rFonts w:ascii="Times New Roman" w:hAnsi="Times New Roman"/>
          <w:sz w:val="24"/>
          <w:lang w:val="sr-Cyrl-CS"/>
        </w:rPr>
        <w:t>.</w:t>
      </w:r>
      <w:r w:rsidR="009237A2" w:rsidRPr="005303F7">
        <w:rPr>
          <w:rFonts w:ascii="Times New Roman" w:hAnsi="Times New Roman"/>
          <w:sz w:val="24"/>
          <w:lang w:val="sr-Cyrl-CS"/>
        </w:rPr>
        <w:br w:type="page"/>
      </w:r>
    </w:p>
    <w:p w14:paraId="231C2FD0" w14:textId="2AC2576F" w:rsidR="0003567B" w:rsidRPr="005303F7" w:rsidRDefault="0003567B" w:rsidP="002D36C7">
      <w:pPr>
        <w:pStyle w:val="Heading1"/>
        <w:numPr>
          <w:ilvl w:val="0"/>
          <w:numId w:val="0"/>
        </w:numPr>
        <w:ind w:left="1985" w:hanging="1985"/>
        <w:rPr>
          <w:rFonts w:ascii="Times New Roman" w:hAnsi="Times New Roman" w:cs="Times New Roman"/>
          <w:lang w:val="sr-Cyrl-CS"/>
        </w:rPr>
      </w:pPr>
      <w:bookmarkStart w:id="415" w:name="_Toc26686122"/>
      <w:bookmarkStart w:id="416" w:name="_Ref26686841"/>
      <w:r w:rsidRPr="005303F7">
        <w:rPr>
          <w:rFonts w:ascii="Times New Roman" w:hAnsi="Times New Roman" w:cs="Times New Roman"/>
          <w:lang w:val="sr-Cyrl-CS"/>
        </w:rPr>
        <w:lastRenderedPageBreak/>
        <w:tab/>
      </w:r>
      <w:r w:rsidRPr="005303F7">
        <w:rPr>
          <w:rFonts w:ascii="Times New Roman" w:hAnsi="Times New Roman" w:cs="Times New Roman"/>
          <w:lang w:val="sr-Cyrl-CS"/>
        </w:rPr>
        <w:tab/>
      </w:r>
      <w:r w:rsidRPr="005303F7">
        <w:rPr>
          <w:rFonts w:ascii="Times New Roman" w:hAnsi="Times New Roman" w:cs="Times New Roman"/>
          <w:lang w:val="sr-Cyrl-CS"/>
        </w:rPr>
        <w:tab/>
      </w:r>
      <w:r w:rsidRPr="005303F7">
        <w:rPr>
          <w:rFonts w:ascii="Times New Roman" w:hAnsi="Times New Roman" w:cs="Times New Roman"/>
          <w:lang w:val="sr-Cyrl-CS"/>
        </w:rPr>
        <w:tab/>
      </w:r>
      <w:r w:rsidRPr="005303F7">
        <w:rPr>
          <w:rFonts w:ascii="Times New Roman" w:hAnsi="Times New Roman" w:cs="Times New Roman"/>
          <w:lang w:val="sr-Cyrl-CS"/>
        </w:rPr>
        <w:tab/>
      </w:r>
      <w:r w:rsidRPr="005303F7">
        <w:rPr>
          <w:rFonts w:ascii="Times New Roman" w:hAnsi="Times New Roman" w:cs="Times New Roman"/>
          <w:lang w:val="sr-Cyrl-CS"/>
        </w:rPr>
        <w:tab/>
      </w:r>
      <w:r w:rsidRPr="005303F7">
        <w:rPr>
          <w:rFonts w:ascii="Times New Roman" w:hAnsi="Times New Roman" w:cs="Times New Roman"/>
          <w:lang w:val="sr-Cyrl-CS"/>
        </w:rPr>
        <w:tab/>
      </w:r>
      <w:r w:rsidR="00B05959" w:rsidRPr="005303F7">
        <w:rPr>
          <w:rFonts w:ascii="Times New Roman" w:hAnsi="Times New Roman" w:cs="Times New Roman"/>
          <w:lang w:val="sr-Cyrl-CS"/>
        </w:rPr>
        <w:t>ПРИЛОГ</w:t>
      </w:r>
      <w:r w:rsidR="002F4404" w:rsidRPr="005303F7">
        <w:rPr>
          <w:rFonts w:ascii="Times New Roman" w:hAnsi="Times New Roman" w:cs="Times New Roman"/>
          <w:lang w:val="sr-Cyrl-CS"/>
        </w:rPr>
        <w:t xml:space="preserve"> </w:t>
      </w:r>
      <w:r w:rsidR="00B05959" w:rsidRPr="005303F7">
        <w:rPr>
          <w:rFonts w:ascii="Times New Roman" w:hAnsi="Times New Roman" w:cs="Times New Roman"/>
          <w:lang w:val="sr-Cyrl-CS"/>
        </w:rPr>
        <w:t>2</w:t>
      </w:r>
    </w:p>
    <w:p w14:paraId="2B0F36A0" w14:textId="170A6E2B" w:rsidR="00FA7573" w:rsidRPr="005303F7" w:rsidRDefault="008D69AF" w:rsidP="0003567B">
      <w:pPr>
        <w:pStyle w:val="Heading1"/>
        <w:numPr>
          <w:ilvl w:val="0"/>
          <w:numId w:val="0"/>
        </w:numPr>
        <w:ind w:left="1985" w:hanging="1985"/>
        <w:rPr>
          <w:rFonts w:ascii="Times New Roman" w:hAnsi="Times New Roman" w:cs="Times New Roman"/>
          <w:sz w:val="24"/>
          <w:szCs w:val="24"/>
          <w:lang w:val="sr-Cyrl-CS"/>
        </w:rPr>
      </w:pPr>
      <w:bookmarkStart w:id="417" w:name="_Hlk26977788"/>
      <w:bookmarkEnd w:id="411"/>
      <w:bookmarkEnd w:id="412"/>
      <w:bookmarkEnd w:id="413"/>
      <w:r w:rsidRPr="005303F7">
        <w:rPr>
          <w:rFonts w:ascii="Times New Roman" w:hAnsi="Times New Roman" w:cs="Times New Roman"/>
          <w:sz w:val="24"/>
          <w:szCs w:val="24"/>
          <w:lang w:val="sr-Cyrl-CS"/>
        </w:rPr>
        <w:t>Информација</w:t>
      </w:r>
      <w:r w:rsidR="00602697" w:rsidRPr="005303F7">
        <w:rPr>
          <w:rFonts w:ascii="Times New Roman" w:hAnsi="Times New Roman" w:cs="Times New Roman"/>
          <w:sz w:val="24"/>
          <w:szCs w:val="24"/>
          <w:lang w:val="sr-Cyrl-CS"/>
        </w:rPr>
        <w:t xml:space="preserve"> </w:t>
      </w:r>
      <w:r w:rsidRPr="005303F7">
        <w:rPr>
          <w:rFonts w:ascii="Times New Roman" w:hAnsi="Times New Roman" w:cs="Times New Roman"/>
          <w:sz w:val="24"/>
          <w:szCs w:val="24"/>
          <w:lang w:val="sr-Cyrl-CS"/>
        </w:rPr>
        <w:t>о</w:t>
      </w:r>
      <w:r w:rsidR="00602697" w:rsidRPr="005303F7">
        <w:rPr>
          <w:rFonts w:ascii="Times New Roman" w:hAnsi="Times New Roman" w:cs="Times New Roman"/>
          <w:sz w:val="24"/>
          <w:szCs w:val="24"/>
          <w:lang w:val="sr-Cyrl-CS"/>
        </w:rPr>
        <w:t xml:space="preserve"> </w:t>
      </w:r>
      <w:r w:rsidRPr="005303F7">
        <w:rPr>
          <w:rFonts w:ascii="Times New Roman" w:hAnsi="Times New Roman" w:cs="Times New Roman"/>
          <w:sz w:val="24"/>
          <w:szCs w:val="24"/>
          <w:lang w:val="sr-Cyrl-CS"/>
        </w:rPr>
        <w:t>поступку</w:t>
      </w:r>
      <w:r w:rsidR="00602697" w:rsidRPr="005303F7">
        <w:rPr>
          <w:rFonts w:ascii="Times New Roman" w:hAnsi="Times New Roman" w:cs="Times New Roman"/>
          <w:sz w:val="24"/>
          <w:szCs w:val="24"/>
          <w:lang w:val="sr-Cyrl-CS"/>
        </w:rPr>
        <w:t xml:space="preserve"> </w:t>
      </w:r>
      <w:r w:rsidRPr="005303F7">
        <w:rPr>
          <w:rFonts w:ascii="Times New Roman" w:hAnsi="Times New Roman" w:cs="Times New Roman"/>
          <w:sz w:val="24"/>
          <w:szCs w:val="24"/>
          <w:lang w:val="sr-Cyrl-CS"/>
        </w:rPr>
        <w:t>консултација</w:t>
      </w:r>
      <w:r w:rsidR="0003567B" w:rsidRPr="005303F7">
        <w:rPr>
          <w:rFonts w:ascii="Times New Roman" w:hAnsi="Times New Roman" w:cs="Times New Roman"/>
          <w:sz w:val="24"/>
          <w:szCs w:val="24"/>
          <w:lang w:val="sr-Cyrl-CS"/>
        </w:rPr>
        <w:t xml:space="preserve"> </w:t>
      </w:r>
      <w:r w:rsidRPr="005303F7">
        <w:rPr>
          <w:rFonts w:ascii="Times New Roman" w:hAnsi="Times New Roman" w:cs="Times New Roman"/>
          <w:sz w:val="24"/>
          <w:szCs w:val="24"/>
          <w:lang w:val="sr-Cyrl-CS"/>
        </w:rPr>
        <w:t>приликом</w:t>
      </w:r>
      <w:r w:rsidR="0003567B" w:rsidRPr="005303F7">
        <w:rPr>
          <w:rFonts w:ascii="Times New Roman" w:hAnsi="Times New Roman" w:cs="Times New Roman"/>
          <w:sz w:val="24"/>
          <w:szCs w:val="24"/>
          <w:lang w:val="sr-Cyrl-CS"/>
        </w:rPr>
        <w:t xml:space="preserve"> </w:t>
      </w:r>
      <w:r w:rsidRPr="005303F7">
        <w:rPr>
          <w:rFonts w:ascii="Times New Roman" w:hAnsi="Times New Roman" w:cs="Times New Roman"/>
          <w:sz w:val="24"/>
          <w:szCs w:val="24"/>
          <w:lang w:val="sr-Cyrl-CS"/>
        </w:rPr>
        <w:t>израде</w:t>
      </w:r>
      <w:r w:rsidR="00602697" w:rsidRPr="005303F7">
        <w:rPr>
          <w:rFonts w:ascii="Times New Roman" w:hAnsi="Times New Roman" w:cs="Times New Roman"/>
          <w:sz w:val="24"/>
          <w:szCs w:val="24"/>
          <w:lang w:val="sr-Cyrl-CS"/>
        </w:rPr>
        <w:t xml:space="preserve"> </w:t>
      </w:r>
      <w:r w:rsidRPr="005303F7">
        <w:rPr>
          <w:rFonts w:ascii="Times New Roman" w:hAnsi="Times New Roman" w:cs="Times New Roman"/>
          <w:sz w:val="24"/>
          <w:szCs w:val="24"/>
          <w:lang w:val="sr-Cyrl-CS"/>
        </w:rPr>
        <w:t>Стратегиј</w:t>
      </w:r>
      <w:bookmarkEnd w:id="415"/>
      <w:bookmarkEnd w:id="416"/>
      <w:bookmarkEnd w:id="417"/>
      <w:r w:rsidRPr="005303F7">
        <w:rPr>
          <w:rFonts w:ascii="Times New Roman" w:hAnsi="Times New Roman" w:cs="Times New Roman"/>
          <w:sz w:val="24"/>
          <w:szCs w:val="24"/>
          <w:lang w:val="sr-Cyrl-CS"/>
        </w:rPr>
        <w:t>е</w:t>
      </w:r>
    </w:p>
    <w:p w14:paraId="01AF6C20" w14:textId="61F6FD08" w:rsidR="00FA7573" w:rsidRPr="005303F7" w:rsidRDefault="00CC6964" w:rsidP="00FA7573">
      <w:pPr>
        <w:rPr>
          <w:rFonts w:ascii="Times New Roman" w:hAnsi="Times New Roman"/>
          <w:sz w:val="24"/>
          <w:lang w:val="sr-Cyrl-CS"/>
        </w:rPr>
      </w:pPr>
      <w:r w:rsidRPr="005303F7">
        <w:rPr>
          <w:rFonts w:ascii="Times New Roman" w:hAnsi="Times New Roman"/>
          <w:sz w:val="24"/>
          <w:lang w:val="sr-Cyrl-CS"/>
        </w:rPr>
        <w:t xml:space="preserve">         </w:t>
      </w:r>
      <w:r w:rsidR="008D69AF" w:rsidRPr="005303F7">
        <w:rPr>
          <w:rFonts w:ascii="Times New Roman" w:hAnsi="Times New Roman"/>
          <w:sz w:val="24"/>
          <w:lang w:val="sr-Cyrl-CS"/>
        </w:rPr>
        <w:t>Припрема</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Стратегије</w:t>
      </w:r>
      <w:r w:rsidR="00443933" w:rsidRPr="005303F7">
        <w:rPr>
          <w:rFonts w:ascii="Times New Roman" w:hAnsi="Times New Roman"/>
          <w:sz w:val="24"/>
          <w:lang w:val="sr-Cyrl-CS"/>
        </w:rPr>
        <w:t xml:space="preserve"> </w:t>
      </w:r>
      <w:r w:rsidR="008D69AF" w:rsidRPr="005303F7">
        <w:rPr>
          <w:rFonts w:ascii="Times New Roman" w:hAnsi="Times New Roman"/>
          <w:sz w:val="24"/>
          <w:lang w:val="sr-Cyrl-CS"/>
        </w:rPr>
        <w:t>ук</w:t>
      </w:r>
      <w:r w:rsidR="00D553BE" w:rsidRPr="005303F7">
        <w:rPr>
          <w:rFonts w:ascii="Times New Roman" w:hAnsi="Times New Roman"/>
          <w:sz w:val="24"/>
          <w:lang w:val="sr-Cyrl-CS"/>
        </w:rPr>
        <w:t>љ</w:t>
      </w:r>
      <w:r w:rsidR="008D69AF" w:rsidRPr="005303F7">
        <w:rPr>
          <w:rFonts w:ascii="Times New Roman" w:hAnsi="Times New Roman"/>
          <w:sz w:val="24"/>
          <w:lang w:val="sr-Cyrl-CS"/>
        </w:rPr>
        <w:t>учивала</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је</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интензивно</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ангажовање</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заинтересованих</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страна</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Основана</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је</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радна</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група</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чији</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је</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ци</w:t>
      </w:r>
      <w:r w:rsidR="00D553BE" w:rsidRPr="005303F7">
        <w:rPr>
          <w:rFonts w:ascii="Times New Roman" w:hAnsi="Times New Roman"/>
          <w:sz w:val="24"/>
          <w:lang w:val="sr-Cyrl-CS"/>
        </w:rPr>
        <w:t>љ</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био</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да</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редовно</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даје</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повратне</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информације</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Министарству</w:t>
      </w:r>
      <w:r w:rsidR="002E6766" w:rsidRPr="005303F7">
        <w:rPr>
          <w:rFonts w:ascii="Times New Roman" w:hAnsi="Times New Roman"/>
          <w:sz w:val="24"/>
          <w:lang w:val="sr-Cyrl-CS"/>
        </w:rPr>
        <w:t xml:space="preserve"> </w:t>
      </w:r>
      <w:r w:rsidR="008D69AF" w:rsidRPr="005303F7">
        <w:rPr>
          <w:rFonts w:ascii="Times New Roman" w:hAnsi="Times New Roman"/>
          <w:sz w:val="24"/>
          <w:lang w:val="sr-Cyrl-CS"/>
        </w:rPr>
        <w:t>заштит</w:t>
      </w:r>
      <w:r w:rsidR="0088556C" w:rsidRPr="005303F7">
        <w:rPr>
          <w:rFonts w:ascii="Times New Roman" w:hAnsi="Times New Roman"/>
          <w:sz w:val="24"/>
          <w:lang w:val="sr-Cyrl-CS"/>
        </w:rPr>
        <w:t>е</w:t>
      </w:r>
      <w:r w:rsidR="002E6766" w:rsidRPr="005303F7">
        <w:rPr>
          <w:rFonts w:ascii="Times New Roman" w:hAnsi="Times New Roman"/>
          <w:sz w:val="24"/>
          <w:lang w:val="sr-Cyrl-CS"/>
        </w:rPr>
        <w:t xml:space="preserve"> </w:t>
      </w:r>
      <w:r w:rsidR="008D69AF" w:rsidRPr="005303F7">
        <w:rPr>
          <w:rFonts w:ascii="Times New Roman" w:hAnsi="Times New Roman"/>
          <w:sz w:val="24"/>
          <w:lang w:val="sr-Cyrl-CS"/>
        </w:rPr>
        <w:t>животне</w:t>
      </w:r>
      <w:r w:rsidR="002E6766" w:rsidRPr="005303F7">
        <w:rPr>
          <w:rFonts w:ascii="Times New Roman" w:hAnsi="Times New Roman"/>
          <w:sz w:val="24"/>
          <w:lang w:val="sr-Cyrl-CS"/>
        </w:rPr>
        <w:t xml:space="preserve"> </w:t>
      </w:r>
      <w:r w:rsidR="008D69AF" w:rsidRPr="005303F7">
        <w:rPr>
          <w:rFonts w:ascii="Times New Roman" w:hAnsi="Times New Roman"/>
          <w:sz w:val="24"/>
          <w:lang w:val="sr-Cyrl-CS"/>
        </w:rPr>
        <w:t>средине</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о</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резултатима</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предлозима</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Поред</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тога</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шири</w:t>
      </w:r>
      <w:r w:rsidR="002E6766" w:rsidRPr="005303F7">
        <w:rPr>
          <w:rFonts w:ascii="Times New Roman" w:hAnsi="Times New Roman"/>
          <w:sz w:val="24"/>
          <w:lang w:val="sr-Cyrl-CS"/>
        </w:rPr>
        <w:t xml:space="preserve"> </w:t>
      </w:r>
      <w:r w:rsidR="008D69AF" w:rsidRPr="005303F7">
        <w:rPr>
          <w:rFonts w:ascii="Times New Roman" w:hAnsi="Times New Roman"/>
          <w:sz w:val="24"/>
          <w:lang w:val="sr-Cyrl-CS"/>
        </w:rPr>
        <w:t>круг</w:t>
      </w:r>
      <w:r w:rsidR="002E6766" w:rsidRPr="005303F7">
        <w:rPr>
          <w:rFonts w:ascii="Times New Roman" w:hAnsi="Times New Roman"/>
          <w:sz w:val="24"/>
          <w:lang w:val="sr-Cyrl-CS"/>
        </w:rPr>
        <w:t xml:space="preserve"> </w:t>
      </w:r>
      <w:r w:rsidR="008D69AF" w:rsidRPr="005303F7">
        <w:rPr>
          <w:rFonts w:ascii="Times New Roman" w:hAnsi="Times New Roman"/>
          <w:sz w:val="24"/>
          <w:lang w:val="sr-Cyrl-CS"/>
        </w:rPr>
        <w:t>заинтересованих</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страна</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је</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био</w:t>
      </w:r>
      <w:r w:rsidR="002E6766" w:rsidRPr="005303F7">
        <w:rPr>
          <w:rFonts w:ascii="Times New Roman" w:hAnsi="Times New Roman"/>
          <w:sz w:val="24"/>
          <w:lang w:val="sr-Cyrl-CS"/>
        </w:rPr>
        <w:t xml:space="preserve"> </w:t>
      </w:r>
      <w:r w:rsidR="008D69AF" w:rsidRPr="005303F7">
        <w:rPr>
          <w:rFonts w:ascii="Times New Roman" w:hAnsi="Times New Roman"/>
          <w:sz w:val="24"/>
          <w:lang w:val="sr-Cyrl-CS"/>
        </w:rPr>
        <w:t>ангажован</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одређеним</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тренуцима</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приликом</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дефинисања</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сценарија</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ублажавања</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процене</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ризика</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која</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је</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повезана</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са</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утицајем</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климатских</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промена</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приоритетним</w:t>
      </w:r>
      <w:r w:rsidR="00705AC2" w:rsidRPr="005303F7">
        <w:rPr>
          <w:rFonts w:ascii="Times New Roman" w:hAnsi="Times New Roman"/>
          <w:sz w:val="24"/>
          <w:lang w:val="sr-Cyrl-CS"/>
        </w:rPr>
        <w:t xml:space="preserve"> </w:t>
      </w:r>
      <w:r w:rsidR="008D69AF" w:rsidRPr="005303F7">
        <w:rPr>
          <w:rFonts w:ascii="Times New Roman" w:hAnsi="Times New Roman"/>
          <w:sz w:val="24"/>
          <w:lang w:val="sr-Cyrl-CS"/>
        </w:rPr>
        <w:t>секторима</w:t>
      </w:r>
      <w:r w:rsidR="00FA7573" w:rsidRPr="005303F7">
        <w:rPr>
          <w:rFonts w:ascii="Times New Roman" w:hAnsi="Times New Roman"/>
          <w:sz w:val="24"/>
          <w:lang w:val="sr-Cyrl-CS"/>
        </w:rPr>
        <w:t>.</w:t>
      </w:r>
    </w:p>
    <w:p w14:paraId="7DA23FE4" w14:textId="67EE6669" w:rsidR="001554F2" w:rsidRPr="005303F7" w:rsidRDefault="00CC6964" w:rsidP="00FA7573">
      <w:pPr>
        <w:rPr>
          <w:rFonts w:ascii="Times New Roman" w:hAnsi="Times New Roman"/>
          <w:sz w:val="24"/>
          <w:lang w:val="sr-Cyrl-CS"/>
        </w:rPr>
      </w:pPr>
      <w:r w:rsidRPr="005303F7">
        <w:rPr>
          <w:rFonts w:ascii="Times New Roman" w:hAnsi="Times New Roman"/>
          <w:sz w:val="24"/>
          <w:lang w:val="sr-Cyrl-CS"/>
        </w:rPr>
        <w:t xml:space="preserve">         </w:t>
      </w:r>
      <w:r w:rsidR="008D69AF" w:rsidRPr="005303F7">
        <w:rPr>
          <w:rFonts w:ascii="Times New Roman" w:hAnsi="Times New Roman"/>
          <w:sz w:val="24"/>
          <w:lang w:val="sr-Cyrl-CS"/>
        </w:rPr>
        <w:t>Главни</w:t>
      </w:r>
      <w:r w:rsidR="002E6766" w:rsidRPr="005303F7">
        <w:rPr>
          <w:rFonts w:ascii="Times New Roman" w:hAnsi="Times New Roman"/>
          <w:sz w:val="24"/>
          <w:lang w:val="sr-Cyrl-CS"/>
        </w:rPr>
        <w:t xml:space="preserve"> </w:t>
      </w:r>
      <w:r w:rsidR="008D69AF" w:rsidRPr="005303F7">
        <w:rPr>
          <w:rFonts w:ascii="Times New Roman" w:hAnsi="Times New Roman"/>
          <w:sz w:val="24"/>
          <w:lang w:val="sr-Cyrl-CS"/>
        </w:rPr>
        <w:t>актери</w:t>
      </w:r>
      <w:r w:rsidR="002E6766" w:rsidRPr="005303F7">
        <w:rPr>
          <w:rFonts w:ascii="Times New Roman" w:hAnsi="Times New Roman"/>
          <w:sz w:val="24"/>
          <w:lang w:val="sr-Cyrl-CS"/>
        </w:rPr>
        <w:t xml:space="preserve"> </w:t>
      </w:r>
      <w:r w:rsidR="008D69AF" w:rsidRPr="005303F7">
        <w:rPr>
          <w:rFonts w:ascii="Times New Roman" w:hAnsi="Times New Roman"/>
          <w:sz w:val="24"/>
          <w:lang w:val="sr-Cyrl-CS"/>
        </w:rPr>
        <w:t>су</w:t>
      </w:r>
      <w:r w:rsidR="002E6766" w:rsidRPr="005303F7">
        <w:rPr>
          <w:rFonts w:ascii="Times New Roman" w:hAnsi="Times New Roman"/>
          <w:sz w:val="24"/>
          <w:lang w:val="sr-Cyrl-CS"/>
        </w:rPr>
        <w:t xml:space="preserve"> </w:t>
      </w:r>
      <w:r w:rsidR="008D69AF" w:rsidRPr="005303F7">
        <w:rPr>
          <w:rFonts w:ascii="Times New Roman" w:hAnsi="Times New Roman"/>
          <w:sz w:val="24"/>
          <w:lang w:val="sr-Cyrl-CS"/>
        </w:rPr>
        <w:t>били</w:t>
      </w:r>
      <w:r w:rsidR="002E6766" w:rsidRPr="005303F7">
        <w:rPr>
          <w:rFonts w:ascii="Times New Roman" w:hAnsi="Times New Roman"/>
          <w:sz w:val="24"/>
          <w:lang w:val="sr-Cyrl-CS"/>
        </w:rPr>
        <w:t xml:space="preserve"> </w:t>
      </w:r>
      <w:r w:rsidR="008D69AF" w:rsidRPr="005303F7">
        <w:rPr>
          <w:rFonts w:ascii="Times New Roman" w:hAnsi="Times New Roman"/>
          <w:sz w:val="24"/>
          <w:lang w:val="sr-Cyrl-CS"/>
        </w:rPr>
        <w:t>ук</w:t>
      </w:r>
      <w:r w:rsidR="00D553BE" w:rsidRPr="005303F7">
        <w:rPr>
          <w:rFonts w:ascii="Times New Roman" w:hAnsi="Times New Roman"/>
          <w:sz w:val="24"/>
          <w:lang w:val="sr-Cyrl-CS"/>
        </w:rPr>
        <w:t>љ</w:t>
      </w:r>
      <w:r w:rsidR="008D69AF" w:rsidRPr="005303F7">
        <w:rPr>
          <w:rFonts w:ascii="Times New Roman" w:hAnsi="Times New Roman"/>
          <w:sz w:val="24"/>
          <w:lang w:val="sr-Cyrl-CS"/>
        </w:rPr>
        <w:t>у</w:t>
      </w:r>
      <w:r w:rsidR="00326BB0" w:rsidRPr="005303F7">
        <w:rPr>
          <w:rFonts w:ascii="Times New Roman" w:hAnsi="Times New Roman"/>
          <w:sz w:val="24"/>
          <w:lang w:val="sr-Cyrl-CS"/>
        </w:rPr>
        <w:t>ч</w:t>
      </w:r>
      <w:r w:rsidR="008D69AF" w:rsidRPr="005303F7">
        <w:rPr>
          <w:rFonts w:ascii="Times New Roman" w:hAnsi="Times New Roman"/>
          <w:sz w:val="24"/>
          <w:lang w:val="sr-Cyrl-CS"/>
        </w:rPr>
        <w:t>ени</w:t>
      </w:r>
      <w:r w:rsidR="002E6766"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2E6766" w:rsidRPr="005303F7">
        <w:rPr>
          <w:rFonts w:ascii="Times New Roman" w:hAnsi="Times New Roman"/>
          <w:sz w:val="24"/>
          <w:lang w:val="sr-Cyrl-CS"/>
        </w:rPr>
        <w:t xml:space="preserve"> </w:t>
      </w:r>
      <w:r w:rsidR="008D69AF" w:rsidRPr="005303F7">
        <w:rPr>
          <w:rFonts w:ascii="Times New Roman" w:hAnsi="Times New Roman"/>
          <w:sz w:val="24"/>
          <w:lang w:val="sr-Cyrl-CS"/>
        </w:rPr>
        <w:t>припремној</w:t>
      </w:r>
      <w:r w:rsidR="002E6766" w:rsidRPr="005303F7">
        <w:rPr>
          <w:rFonts w:ascii="Times New Roman" w:hAnsi="Times New Roman"/>
          <w:sz w:val="24"/>
          <w:lang w:val="sr-Cyrl-CS"/>
        </w:rPr>
        <w:t xml:space="preserve"> </w:t>
      </w:r>
      <w:r w:rsidR="008D69AF" w:rsidRPr="005303F7">
        <w:rPr>
          <w:rFonts w:ascii="Times New Roman" w:hAnsi="Times New Roman"/>
          <w:sz w:val="24"/>
          <w:lang w:val="sr-Cyrl-CS"/>
        </w:rPr>
        <w:t>фази</w:t>
      </w:r>
      <w:r w:rsidR="002E6766" w:rsidRPr="005303F7">
        <w:rPr>
          <w:rFonts w:ascii="Times New Roman" w:hAnsi="Times New Roman"/>
          <w:sz w:val="24"/>
          <w:lang w:val="sr-Cyrl-CS"/>
        </w:rPr>
        <w:t xml:space="preserve"> </w:t>
      </w:r>
      <w:r w:rsidR="008D69AF" w:rsidRPr="005303F7">
        <w:rPr>
          <w:rFonts w:ascii="Times New Roman" w:hAnsi="Times New Roman"/>
          <w:sz w:val="24"/>
          <w:lang w:val="sr-Cyrl-CS"/>
        </w:rPr>
        <w:t>израде</w:t>
      </w:r>
      <w:r w:rsidR="002E6766" w:rsidRPr="005303F7">
        <w:rPr>
          <w:rFonts w:ascii="Times New Roman" w:hAnsi="Times New Roman"/>
          <w:sz w:val="24"/>
          <w:lang w:val="sr-Cyrl-CS"/>
        </w:rPr>
        <w:t xml:space="preserve"> </w:t>
      </w:r>
      <w:r w:rsidR="008D69AF" w:rsidRPr="005303F7">
        <w:rPr>
          <w:rFonts w:ascii="Times New Roman" w:hAnsi="Times New Roman"/>
          <w:sz w:val="24"/>
          <w:lang w:val="sr-Cyrl-CS"/>
        </w:rPr>
        <w:t>Стратегије</w:t>
      </w:r>
      <w:r w:rsidR="002E6766" w:rsidRPr="005303F7">
        <w:rPr>
          <w:rFonts w:ascii="Times New Roman" w:hAnsi="Times New Roman"/>
          <w:sz w:val="24"/>
          <w:lang w:val="sr-Cyrl-CS"/>
        </w:rPr>
        <w:t xml:space="preserve"> </w:t>
      </w:r>
      <w:r w:rsidR="008D69AF" w:rsidRPr="005303F7">
        <w:rPr>
          <w:rFonts w:ascii="Times New Roman" w:hAnsi="Times New Roman"/>
          <w:sz w:val="24"/>
          <w:lang w:val="sr-Cyrl-CS"/>
        </w:rPr>
        <w:t>на</w:t>
      </w:r>
      <w:r w:rsidR="002E6766" w:rsidRPr="005303F7">
        <w:rPr>
          <w:rFonts w:ascii="Times New Roman" w:hAnsi="Times New Roman"/>
          <w:sz w:val="24"/>
          <w:lang w:val="sr-Cyrl-CS"/>
        </w:rPr>
        <w:t>:</w:t>
      </w:r>
      <w:r w:rsidR="00FA7573" w:rsidRPr="005303F7">
        <w:rPr>
          <w:rFonts w:ascii="Times New Roman" w:hAnsi="Times New Roman"/>
          <w:sz w:val="24"/>
          <w:lang w:val="sr-Cyrl-CS"/>
        </w:rPr>
        <w:t xml:space="preserve"> </w:t>
      </w:r>
    </w:p>
    <w:p w14:paraId="11D638C4" w14:textId="483C65B6" w:rsidR="00E33FC3" w:rsidRPr="005303F7" w:rsidRDefault="00301BA1" w:rsidP="00301BA1">
      <w:pPr>
        <w:pStyle w:val="ListParagraph"/>
        <w:numPr>
          <w:ilvl w:val="0"/>
          <w:numId w:val="32"/>
        </w:numPr>
        <w:tabs>
          <w:tab w:val="clear" w:pos="3825"/>
          <w:tab w:val="left" w:pos="567"/>
        </w:tabs>
        <w:ind w:left="0" w:firstLine="360"/>
        <w:rPr>
          <w:rFonts w:ascii="Times New Roman" w:hAnsi="Times New Roman" w:cs="Times New Roman"/>
          <w:sz w:val="24"/>
          <w:lang w:val="sr-Cyrl-CS"/>
        </w:rPr>
      </w:pPr>
      <w:r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иницијалном</w:t>
      </w:r>
      <w:r w:rsidR="002E6766"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састанку</w:t>
      </w:r>
      <w:r w:rsidR="002E6766"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отварању</w:t>
      </w:r>
      <w:r w:rsidR="002E6766"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пројекта</w:t>
      </w:r>
      <w:r w:rsidR="00E33FC3"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Конференција</w:t>
      </w:r>
      <w:r w:rsidR="00E33FC3" w:rsidRPr="005303F7">
        <w:rPr>
          <w:rFonts w:ascii="Times New Roman" w:hAnsi="Times New Roman" w:cs="Times New Roman"/>
          <w:sz w:val="24"/>
          <w:lang w:val="sr-Cyrl-CS"/>
        </w:rPr>
        <w:t xml:space="preserve"> </w:t>
      </w:r>
      <w:r w:rsidR="008D69AF" w:rsidRPr="005303F7">
        <w:rPr>
          <w:rFonts w:ascii="Times New Roman" w:hAnsi="Times New Roman" w:cs="Times New Roman"/>
          <w:i/>
          <w:iCs/>
          <w:sz w:val="24"/>
          <w:lang w:val="sr-Cyrl-CS"/>
        </w:rPr>
        <w:t>Борба</w:t>
      </w:r>
      <w:r w:rsidR="002E6766" w:rsidRPr="005303F7">
        <w:rPr>
          <w:rFonts w:ascii="Times New Roman" w:hAnsi="Times New Roman" w:cs="Times New Roman"/>
          <w:i/>
          <w:iCs/>
          <w:sz w:val="24"/>
          <w:lang w:val="sr-Cyrl-CS"/>
        </w:rPr>
        <w:t xml:space="preserve"> </w:t>
      </w:r>
      <w:r w:rsidR="008D69AF" w:rsidRPr="005303F7">
        <w:rPr>
          <w:rFonts w:ascii="Times New Roman" w:hAnsi="Times New Roman" w:cs="Times New Roman"/>
          <w:i/>
          <w:iCs/>
          <w:sz w:val="24"/>
          <w:lang w:val="sr-Cyrl-CS"/>
        </w:rPr>
        <w:t>против</w:t>
      </w:r>
      <w:r w:rsidR="002E6766" w:rsidRPr="005303F7">
        <w:rPr>
          <w:rFonts w:ascii="Times New Roman" w:hAnsi="Times New Roman" w:cs="Times New Roman"/>
          <w:i/>
          <w:iCs/>
          <w:sz w:val="24"/>
          <w:lang w:val="sr-Cyrl-CS"/>
        </w:rPr>
        <w:t xml:space="preserve"> </w:t>
      </w:r>
      <w:r w:rsidR="008D69AF" w:rsidRPr="005303F7">
        <w:rPr>
          <w:rFonts w:ascii="Times New Roman" w:hAnsi="Times New Roman" w:cs="Times New Roman"/>
          <w:i/>
          <w:iCs/>
          <w:sz w:val="24"/>
          <w:lang w:val="sr-Cyrl-CS"/>
        </w:rPr>
        <w:t>климатских</w:t>
      </w:r>
      <w:r w:rsidR="002E6766" w:rsidRPr="005303F7">
        <w:rPr>
          <w:rFonts w:ascii="Times New Roman" w:hAnsi="Times New Roman" w:cs="Times New Roman"/>
          <w:i/>
          <w:iCs/>
          <w:sz w:val="24"/>
          <w:lang w:val="sr-Cyrl-CS"/>
        </w:rPr>
        <w:t xml:space="preserve"> </w:t>
      </w:r>
      <w:r w:rsidR="008D69AF" w:rsidRPr="005303F7">
        <w:rPr>
          <w:rFonts w:ascii="Times New Roman" w:hAnsi="Times New Roman" w:cs="Times New Roman"/>
          <w:i/>
          <w:iCs/>
          <w:sz w:val="24"/>
          <w:lang w:val="sr-Cyrl-CS"/>
        </w:rPr>
        <w:t>промена</w:t>
      </w:r>
      <w:r w:rsidR="00E33FC3" w:rsidRPr="005303F7">
        <w:rPr>
          <w:rFonts w:ascii="Times New Roman" w:hAnsi="Times New Roman" w:cs="Times New Roman"/>
          <w:i/>
          <w:iCs/>
          <w:sz w:val="24"/>
          <w:lang w:val="sr-Cyrl-CS"/>
        </w:rPr>
        <w:t xml:space="preserve">: </w:t>
      </w:r>
      <w:r w:rsidR="008D69AF" w:rsidRPr="005303F7">
        <w:rPr>
          <w:rFonts w:ascii="Times New Roman" w:hAnsi="Times New Roman" w:cs="Times New Roman"/>
          <w:i/>
          <w:iCs/>
          <w:sz w:val="24"/>
          <w:lang w:val="sr-Cyrl-CS"/>
        </w:rPr>
        <w:t>где</w:t>
      </w:r>
      <w:r w:rsidR="002E6766" w:rsidRPr="005303F7">
        <w:rPr>
          <w:rFonts w:ascii="Times New Roman" w:hAnsi="Times New Roman" w:cs="Times New Roman"/>
          <w:i/>
          <w:iCs/>
          <w:sz w:val="24"/>
          <w:lang w:val="sr-Cyrl-CS"/>
        </w:rPr>
        <w:t xml:space="preserve"> </w:t>
      </w:r>
      <w:r w:rsidR="008D69AF" w:rsidRPr="005303F7">
        <w:rPr>
          <w:rFonts w:ascii="Times New Roman" w:hAnsi="Times New Roman" w:cs="Times New Roman"/>
          <w:i/>
          <w:iCs/>
          <w:sz w:val="24"/>
          <w:lang w:val="sr-Cyrl-CS"/>
        </w:rPr>
        <w:t>је</w:t>
      </w:r>
      <w:r w:rsidR="002E6766" w:rsidRPr="005303F7">
        <w:rPr>
          <w:rFonts w:ascii="Times New Roman" w:hAnsi="Times New Roman" w:cs="Times New Roman"/>
          <w:i/>
          <w:iCs/>
          <w:sz w:val="24"/>
          <w:lang w:val="sr-Cyrl-CS"/>
        </w:rPr>
        <w:t xml:space="preserve"> </w:t>
      </w:r>
      <w:r w:rsidR="00D73AAB" w:rsidRPr="005303F7">
        <w:rPr>
          <w:rFonts w:ascii="Times New Roman" w:hAnsi="Times New Roman" w:cs="Times New Roman"/>
          <w:i/>
          <w:iCs/>
          <w:sz w:val="24"/>
          <w:lang w:val="sr-Cyrl-CS"/>
        </w:rPr>
        <w:t>Република Србија</w:t>
      </w:r>
      <w:r w:rsidR="00E33FC3"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Покретање</w:t>
      </w:r>
      <w:r w:rsidR="002E6766"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пројекта</w:t>
      </w:r>
      <w:r w:rsidR="002E6766" w:rsidRPr="005303F7">
        <w:rPr>
          <w:rFonts w:ascii="Times New Roman" w:hAnsi="Times New Roman" w:cs="Times New Roman"/>
          <w:sz w:val="24"/>
          <w:lang w:val="sr-Cyrl-CS"/>
        </w:rPr>
        <w:t xml:space="preserve"> </w:t>
      </w:r>
      <w:r w:rsidR="00847E9B" w:rsidRPr="005303F7">
        <w:rPr>
          <w:rFonts w:ascii="Times New Roman" w:hAnsi="Times New Roman" w:cs="Times New Roman"/>
          <w:sz w:val="24"/>
          <w:lang w:val="sr-Cyrl-CS"/>
        </w:rPr>
        <w:t>„</w:t>
      </w:r>
      <w:r w:rsidR="008D69AF" w:rsidRPr="005303F7">
        <w:rPr>
          <w:rFonts w:ascii="Times New Roman" w:hAnsi="Times New Roman" w:cs="Times New Roman"/>
          <w:sz w:val="24"/>
          <w:lang w:val="sr-Cyrl-CS"/>
        </w:rPr>
        <w:t>Стратегија</w:t>
      </w:r>
      <w:r w:rsidR="002E6766"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климатских</w:t>
      </w:r>
      <w:r w:rsidR="002E6766"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промена</w:t>
      </w:r>
      <w:r w:rsidR="002E6766"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са</w:t>
      </w:r>
      <w:r w:rsidR="002E6766"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Акционим</w:t>
      </w:r>
      <w:r w:rsidR="002E6766"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планом</w:t>
      </w:r>
      <w:r w:rsidR="0035174D" w:rsidRPr="005303F7">
        <w:rPr>
          <w:rFonts w:ascii="Times New Roman" w:hAnsi="Times New Roman" w:cs="Times New Roman"/>
          <w:sz w:val="24"/>
          <w:lang w:val="sr-Cyrl-CS"/>
        </w:rPr>
        <w:t>”</w:t>
      </w:r>
      <w:r w:rsidR="00E33FC3" w:rsidRPr="005303F7">
        <w:rPr>
          <w:rFonts w:ascii="Times New Roman" w:hAnsi="Times New Roman" w:cs="Times New Roman"/>
          <w:sz w:val="24"/>
          <w:lang w:val="sr-Cyrl-CS"/>
        </w:rPr>
        <w:t xml:space="preserve"> (13.</w:t>
      </w:r>
      <w:r w:rsidR="007A6781" w:rsidRPr="005303F7">
        <w:rPr>
          <w:rFonts w:ascii="Times New Roman" w:hAnsi="Times New Roman" w:cs="Times New Roman"/>
          <w:sz w:val="24"/>
          <w:lang w:val="sr-Cyrl-CS"/>
        </w:rPr>
        <w:t xml:space="preserve"> септембар </w:t>
      </w:r>
      <w:r w:rsidR="00E33FC3" w:rsidRPr="005303F7">
        <w:rPr>
          <w:rFonts w:ascii="Times New Roman" w:hAnsi="Times New Roman" w:cs="Times New Roman"/>
          <w:sz w:val="24"/>
          <w:lang w:val="sr-Cyrl-CS"/>
        </w:rPr>
        <w:t>2016.</w:t>
      </w:r>
      <w:r w:rsidR="002E6766"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године</w:t>
      </w:r>
      <w:r w:rsidR="00E33FC3" w:rsidRPr="005303F7">
        <w:rPr>
          <w:rFonts w:ascii="Times New Roman" w:hAnsi="Times New Roman" w:cs="Times New Roman"/>
          <w:sz w:val="24"/>
          <w:lang w:val="sr-Cyrl-CS"/>
        </w:rPr>
        <w:t>);</w:t>
      </w:r>
    </w:p>
    <w:p w14:paraId="09BAC1CF" w14:textId="786DA8C3" w:rsidR="001554F2" w:rsidRPr="005303F7" w:rsidRDefault="00301BA1" w:rsidP="00301BA1">
      <w:pPr>
        <w:pStyle w:val="ListParagraph"/>
        <w:numPr>
          <w:ilvl w:val="0"/>
          <w:numId w:val="32"/>
        </w:numPr>
        <w:tabs>
          <w:tab w:val="clear" w:pos="3825"/>
          <w:tab w:val="left" w:pos="567"/>
        </w:tabs>
        <w:ind w:left="0" w:firstLine="360"/>
        <w:rPr>
          <w:rFonts w:ascii="Times New Roman" w:hAnsi="Times New Roman" w:cs="Times New Roman"/>
          <w:sz w:val="24"/>
          <w:lang w:val="sr-Cyrl-CS"/>
        </w:rPr>
      </w:pPr>
      <w:r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седам</w:t>
      </w:r>
      <w:r w:rsidR="0005548E"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састанака</w:t>
      </w:r>
      <w:r w:rsidR="0005548E"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Радне</w:t>
      </w:r>
      <w:r w:rsidR="0005548E"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групе</w:t>
      </w:r>
      <w:r w:rsidR="0005548E"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пројекта</w:t>
      </w:r>
      <w:r w:rsidR="0005548E"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Стратегија</w:t>
      </w:r>
      <w:r w:rsidR="00F201DC"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климатских</w:t>
      </w:r>
      <w:r w:rsidR="00F201DC"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промена</w:t>
      </w:r>
      <w:r w:rsidR="00F201DC"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са</w:t>
      </w:r>
      <w:r w:rsidR="00F201DC"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Акционим</w:t>
      </w:r>
      <w:r w:rsidR="00F201DC"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планом</w:t>
      </w:r>
      <w:r w:rsidR="00F201DC" w:rsidRPr="005303F7">
        <w:rPr>
          <w:rFonts w:ascii="Times New Roman" w:hAnsi="Times New Roman" w:cs="Times New Roman"/>
          <w:sz w:val="24"/>
          <w:lang w:val="sr-Cyrl-CS"/>
        </w:rPr>
        <w:t xml:space="preserve"> </w:t>
      </w:r>
      <w:r w:rsidR="00E33FC3" w:rsidRPr="005303F7">
        <w:rPr>
          <w:rFonts w:ascii="Times New Roman" w:hAnsi="Times New Roman" w:cs="Times New Roman"/>
          <w:sz w:val="24"/>
          <w:lang w:val="sr-Cyrl-CS"/>
        </w:rPr>
        <w:t>(</w:t>
      </w:r>
      <w:r w:rsidR="008D69AF" w:rsidRPr="005303F7">
        <w:rPr>
          <w:rFonts w:ascii="Times New Roman" w:hAnsi="Times New Roman" w:cs="Times New Roman"/>
          <w:sz w:val="24"/>
          <w:lang w:val="sr-Cyrl-CS"/>
        </w:rPr>
        <w:t>први</w:t>
      </w:r>
      <w:r w:rsidR="00F201DC"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састанак</w:t>
      </w:r>
      <w:r w:rsidR="00F201DC"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је</w:t>
      </w:r>
      <w:r w:rsidR="00F201DC"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одржан</w:t>
      </w:r>
      <w:r w:rsidR="00E33FC3" w:rsidRPr="005303F7">
        <w:rPr>
          <w:rFonts w:ascii="Times New Roman" w:hAnsi="Times New Roman" w:cs="Times New Roman"/>
          <w:sz w:val="24"/>
          <w:lang w:val="sr-Cyrl-CS"/>
        </w:rPr>
        <w:t xml:space="preserve"> 25.</w:t>
      </w:r>
      <w:r w:rsidR="00FE4960" w:rsidRPr="005303F7">
        <w:rPr>
          <w:rFonts w:ascii="Times New Roman" w:hAnsi="Times New Roman" w:cs="Times New Roman"/>
          <w:sz w:val="24"/>
          <w:lang w:val="sr-Cyrl-CS"/>
        </w:rPr>
        <w:t xml:space="preserve"> септембар </w:t>
      </w:r>
      <w:r w:rsidR="00E33FC3" w:rsidRPr="005303F7">
        <w:rPr>
          <w:rFonts w:ascii="Times New Roman" w:hAnsi="Times New Roman" w:cs="Times New Roman"/>
          <w:sz w:val="24"/>
          <w:lang w:val="sr-Cyrl-CS"/>
        </w:rPr>
        <w:t xml:space="preserve">2016, </w:t>
      </w:r>
      <w:r w:rsidR="008D69AF" w:rsidRPr="005303F7">
        <w:rPr>
          <w:rFonts w:ascii="Times New Roman" w:hAnsi="Times New Roman" w:cs="Times New Roman"/>
          <w:sz w:val="24"/>
          <w:lang w:val="sr-Cyrl-CS"/>
        </w:rPr>
        <w:t>други</w:t>
      </w:r>
      <w:r w:rsidR="00F201DC" w:rsidRPr="005303F7">
        <w:rPr>
          <w:rFonts w:ascii="Times New Roman" w:hAnsi="Times New Roman" w:cs="Times New Roman"/>
          <w:sz w:val="24"/>
          <w:lang w:val="sr-Cyrl-CS"/>
        </w:rPr>
        <w:t xml:space="preserve"> </w:t>
      </w:r>
      <w:r w:rsidR="00E33FC3" w:rsidRPr="005303F7">
        <w:rPr>
          <w:rFonts w:ascii="Times New Roman" w:hAnsi="Times New Roman" w:cs="Times New Roman"/>
          <w:sz w:val="24"/>
          <w:lang w:val="sr-Cyrl-CS"/>
        </w:rPr>
        <w:t>20.</w:t>
      </w:r>
      <w:r w:rsidR="00FE4960" w:rsidRPr="005303F7">
        <w:rPr>
          <w:rFonts w:ascii="Times New Roman" w:hAnsi="Times New Roman" w:cs="Times New Roman"/>
          <w:sz w:val="24"/>
          <w:lang w:val="sr-Cyrl-CS"/>
        </w:rPr>
        <w:t xml:space="preserve"> март </w:t>
      </w:r>
      <w:r w:rsidR="00E33FC3" w:rsidRPr="005303F7">
        <w:rPr>
          <w:rFonts w:ascii="Times New Roman" w:hAnsi="Times New Roman" w:cs="Times New Roman"/>
          <w:sz w:val="24"/>
          <w:lang w:val="sr-Cyrl-CS"/>
        </w:rPr>
        <w:t xml:space="preserve">2018, </w:t>
      </w:r>
      <w:r w:rsidR="008D69AF" w:rsidRPr="005303F7">
        <w:rPr>
          <w:rFonts w:ascii="Times New Roman" w:hAnsi="Times New Roman" w:cs="Times New Roman"/>
          <w:sz w:val="24"/>
          <w:lang w:val="sr-Cyrl-CS"/>
        </w:rPr>
        <w:t>трећи</w:t>
      </w:r>
      <w:r w:rsidR="00F201DC" w:rsidRPr="005303F7">
        <w:rPr>
          <w:rFonts w:ascii="Times New Roman" w:hAnsi="Times New Roman" w:cs="Times New Roman"/>
          <w:sz w:val="24"/>
          <w:lang w:val="sr-Cyrl-CS"/>
        </w:rPr>
        <w:t xml:space="preserve"> </w:t>
      </w:r>
      <w:r w:rsidR="00E33FC3" w:rsidRPr="005303F7">
        <w:rPr>
          <w:rFonts w:ascii="Times New Roman" w:hAnsi="Times New Roman" w:cs="Times New Roman"/>
          <w:sz w:val="24"/>
          <w:lang w:val="sr-Cyrl-CS"/>
        </w:rPr>
        <w:t>28.</w:t>
      </w:r>
      <w:r w:rsidR="00FE4960" w:rsidRPr="005303F7">
        <w:rPr>
          <w:rFonts w:ascii="Times New Roman" w:hAnsi="Times New Roman" w:cs="Times New Roman"/>
          <w:sz w:val="24"/>
          <w:lang w:val="sr-Cyrl-CS"/>
        </w:rPr>
        <w:t xml:space="preserve"> септембар </w:t>
      </w:r>
      <w:r w:rsidR="00E33FC3" w:rsidRPr="005303F7">
        <w:rPr>
          <w:rFonts w:ascii="Times New Roman" w:hAnsi="Times New Roman" w:cs="Times New Roman"/>
          <w:sz w:val="24"/>
          <w:lang w:val="sr-Cyrl-CS"/>
        </w:rPr>
        <w:t xml:space="preserve">2018, </w:t>
      </w:r>
      <w:r w:rsidR="008D69AF" w:rsidRPr="005303F7">
        <w:rPr>
          <w:rFonts w:ascii="Times New Roman" w:hAnsi="Times New Roman" w:cs="Times New Roman"/>
          <w:sz w:val="24"/>
          <w:lang w:val="sr-Cyrl-CS"/>
        </w:rPr>
        <w:t>четврти</w:t>
      </w:r>
      <w:r w:rsidR="00F201DC" w:rsidRPr="005303F7">
        <w:rPr>
          <w:rFonts w:ascii="Times New Roman" w:hAnsi="Times New Roman" w:cs="Times New Roman"/>
          <w:sz w:val="24"/>
          <w:lang w:val="sr-Cyrl-CS"/>
        </w:rPr>
        <w:t xml:space="preserve"> </w:t>
      </w:r>
      <w:r w:rsidR="00E33FC3" w:rsidRPr="005303F7">
        <w:rPr>
          <w:rFonts w:ascii="Times New Roman" w:hAnsi="Times New Roman" w:cs="Times New Roman"/>
          <w:sz w:val="24"/>
          <w:lang w:val="sr-Cyrl-CS"/>
        </w:rPr>
        <w:t>22.</w:t>
      </w:r>
      <w:r w:rsidR="00FE4960" w:rsidRPr="005303F7">
        <w:rPr>
          <w:rFonts w:ascii="Times New Roman" w:hAnsi="Times New Roman" w:cs="Times New Roman"/>
          <w:sz w:val="24"/>
          <w:lang w:val="sr-Cyrl-CS"/>
        </w:rPr>
        <w:t xml:space="preserve"> април </w:t>
      </w:r>
      <w:r w:rsidR="00E33FC3" w:rsidRPr="005303F7">
        <w:rPr>
          <w:rFonts w:ascii="Times New Roman" w:hAnsi="Times New Roman" w:cs="Times New Roman"/>
          <w:sz w:val="24"/>
          <w:lang w:val="sr-Cyrl-CS"/>
        </w:rPr>
        <w:t>2019</w:t>
      </w:r>
      <w:r w:rsidR="009D4115" w:rsidRPr="005303F7">
        <w:rPr>
          <w:rFonts w:ascii="Times New Roman" w:hAnsi="Times New Roman" w:cs="Times New Roman"/>
          <w:sz w:val="24"/>
          <w:lang w:val="sr-Cyrl-CS"/>
        </w:rPr>
        <w:t>,</w:t>
      </w:r>
      <w:r w:rsidR="0088556C"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пети</w:t>
      </w:r>
      <w:r w:rsidR="00F201DC" w:rsidRPr="005303F7">
        <w:rPr>
          <w:rFonts w:ascii="Times New Roman" w:hAnsi="Times New Roman" w:cs="Times New Roman"/>
          <w:sz w:val="24"/>
          <w:lang w:val="sr-Cyrl-CS"/>
        </w:rPr>
        <w:t xml:space="preserve"> </w:t>
      </w:r>
      <w:r w:rsidR="00E33FC3" w:rsidRPr="005303F7">
        <w:rPr>
          <w:rFonts w:ascii="Times New Roman" w:hAnsi="Times New Roman" w:cs="Times New Roman"/>
          <w:sz w:val="24"/>
          <w:lang w:val="sr-Cyrl-CS"/>
        </w:rPr>
        <w:t>09.</w:t>
      </w:r>
      <w:r w:rsidR="00FE4960" w:rsidRPr="005303F7">
        <w:rPr>
          <w:rFonts w:ascii="Times New Roman" w:hAnsi="Times New Roman" w:cs="Times New Roman"/>
          <w:sz w:val="24"/>
          <w:lang w:val="sr-Cyrl-CS"/>
        </w:rPr>
        <w:t xml:space="preserve"> мај </w:t>
      </w:r>
      <w:r w:rsidR="00E33FC3" w:rsidRPr="005303F7">
        <w:rPr>
          <w:rFonts w:ascii="Times New Roman" w:hAnsi="Times New Roman" w:cs="Times New Roman"/>
          <w:sz w:val="24"/>
          <w:lang w:val="sr-Cyrl-CS"/>
        </w:rPr>
        <w:t>2019</w:t>
      </w:r>
      <w:r w:rsidR="009D4115"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шести</w:t>
      </w:r>
      <w:r w:rsidR="009D4115" w:rsidRPr="005303F7">
        <w:rPr>
          <w:rFonts w:ascii="Times New Roman" w:hAnsi="Times New Roman" w:cs="Times New Roman"/>
          <w:sz w:val="24"/>
          <w:lang w:val="sr-Cyrl-CS"/>
        </w:rPr>
        <w:t xml:space="preserve"> 25.</w:t>
      </w:r>
      <w:r w:rsidR="00FE4960" w:rsidRPr="005303F7">
        <w:rPr>
          <w:rFonts w:ascii="Times New Roman" w:hAnsi="Times New Roman" w:cs="Times New Roman"/>
          <w:sz w:val="24"/>
          <w:lang w:val="sr-Cyrl-CS"/>
        </w:rPr>
        <w:t xml:space="preserve"> октобар </w:t>
      </w:r>
      <w:r w:rsidR="009D4115" w:rsidRPr="005303F7">
        <w:rPr>
          <w:rFonts w:ascii="Times New Roman" w:hAnsi="Times New Roman" w:cs="Times New Roman"/>
          <w:sz w:val="24"/>
          <w:lang w:val="sr-Cyrl-CS"/>
        </w:rPr>
        <w:t xml:space="preserve">2019. </w:t>
      </w:r>
      <w:r w:rsidR="008D69AF" w:rsidRPr="005303F7">
        <w:rPr>
          <w:rFonts w:ascii="Times New Roman" w:hAnsi="Times New Roman" w:cs="Times New Roman"/>
          <w:sz w:val="24"/>
          <w:lang w:val="sr-Cyrl-CS"/>
        </w:rPr>
        <w:t>и</w:t>
      </w:r>
      <w:r w:rsidR="009D4115"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седми</w:t>
      </w:r>
      <w:r w:rsidR="009D4115" w:rsidRPr="005303F7">
        <w:rPr>
          <w:rFonts w:ascii="Times New Roman" w:hAnsi="Times New Roman" w:cs="Times New Roman"/>
          <w:sz w:val="24"/>
          <w:lang w:val="sr-Cyrl-CS"/>
        </w:rPr>
        <w:t xml:space="preserve"> 12.</w:t>
      </w:r>
      <w:r w:rsidR="00FE4960" w:rsidRPr="005303F7">
        <w:rPr>
          <w:rFonts w:ascii="Times New Roman" w:hAnsi="Times New Roman" w:cs="Times New Roman"/>
          <w:sz w:val="24"/>
          <w:lang w:val="sr-Cyrl-CS"/>
        </w:rPr>
        <w:t xml:space="preserve"> новембар </w:t>
      </w:r>
      <w:r w:rsidR="009D4115" w:rsidRPr="005303F7">
        <w:rPr>
          <w:rFonts w:ascii="Times New Roman" w:hAnsi="Times New Roman" w:cs="Times New Roman"/>
          <w:sz w:val="24"/>
          <w:lang w:val="sr-Cyrl-CS"/>
        </w:rPr>
        <w:t>2019.</w:t>
      </w:r>
      <w:r w:rsidR="00F201DC" w:rsidRPr="005303F7">
        <w:rPr>
          <w:rFonts w:ascii="Times New Roman" w:hAnsi="Times New Roman" w:cs="Times New Roman"/>
          <w:sz w:val="24"/>
          <w:lang w:val="sr-Cyrl-CS"/>
        </w:rPr>
        <w:t xml:space="preserve"> </w:t>
      </w:r>
      <w:r w:rsidR="008D69AF" w:rsidRPr="005303F7">
        <w:rPr>
          <w:rFonts w:ascii="Times New Roman" w:hAnsi="Times New Roman" w:cs="Times New Roman"/>
          <w:sz w:val="24"/>
          <w:lang w:val="sr-Cyrl-CS"/>
        </w:rPr>
        <w:t>године</w:t>
      </w:r>
      <w:r w:rsidR="00E33FC3" w:rsidRPr="005303F7">
        <w:rPr>
          <w:rFonts w:ascii="Times New Roman" w:hAnsi="Times New Roman" w:cs="Times New Roman"/>
          <w:sz w:val="24"/>
          <w:lang w:val="sr-Cyrl-CS"/>
        </w:rPr>
        <w:t>);</w:t>
      </w:r>
    </w:p>
    <w:p w14:paraId="6641ABD9" w14:textId="254CF927" w:rsidR="001554F2" w:rsidRPr="005303F7" w:rsidRDefault="008D69AF" w:rsidP="000D55CD">
      <w:pPr>
        <w:pStyle w:val="ListParagraph"/>
        <w:numPr>
          <w:ilvl w:val="0"/>
          <w:numId w:val="32"/>
        </w:numPr>
        <w:tabs>
          <w:tab w:val="clear" w:pos="3825"/>
          <w:tab w:val="left" w:pos="709"/>
        </w:tabs>
        <w:ind w:left="0" w:firstLine="360"/>
        <w:rPr>
          <w:rFonts w:ascii="Times New Roman" w:hAnsi="Times New Roman" w:cs="Times New Roman"/>
          <w:sz w:val="24"/>
          <w:lang w:val="sr-Cyrl-CS"/>
        </w:rPr>
      </w:pPr>
      <w:r w:rsidRPr="005303F7">
        <w:rPr>
          <w:rFonts w:ascii="Times New Roman" w:hAnsi="Times New Roman" w:cs="Times New Roman"/>
          <w:sz w:val="24"/>
          <w:lang w:val="sr-Cyrl-CS"/>
        </w:rPr>
        <w:t>три</w:t>
      </w:r>
      <w:r w:rsidR="0062158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састанка</w:t>
      </w:r>
      <w:r w:rsidR="0062158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секторских</w:t>
      </w:r>
      <w:r w:rsidR="0062158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техничких</w:t>
      </w:r>
      <w:r w:rsidR="0062158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радних</w:t>
      </w:r>
      <w:r w:rsidR="0062158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група</w:t>
      </w:r>
      <w:r w:rsidR="0062158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за</w:t>
      </w:r>
      <w:r w:rsidR="0062158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идентификацију</w:t>
      </w:r>
      <w:r w:rsidR="0062158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и</w:t>
      </w:r>
      <w:r w:rsidR="0062158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оцену</w:t>
      </w:r>
      <w:r w:rsidR="0062158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опција</w:t>
      </w:r>
      <w:r w:rsidR="0062158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прилагођавања</w:t>
      </w:r>
      <w:r w:rsidR="00E33FC3" w:rsidRPr="005303F7">
        <w:rPr>
          <w:rFonts w:ascii="Times New Roman" w:hAnsi="Times New Roman" w:cs="Times New Roman"/>
          <w:sz w:val="24"/>
          <w:lang w:val="sr-Cyrl-CS"/>
        </w:rPr>
        <w:t xml:space="preserve"> (24 – 25</w:t>
      </w:r>
      <w:r w:rsidR="0062158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октобар</w:t>
      </w:r>
      <w:r w:rsidR="00E33FC3" w:rsidRPr="005303F7">
        <w:rPr>
          <w:rFonts w:ascii="Times New Roman" w:hAnsi="Times New Roman" w:cs="Times New Roman"/>
          <w:sz w:val="24"/>
          <w:lang w:val="sr-Cyrl-CS"/>
        </w:rPr>
        <w:t xml:space="preserve"> 2017);</w:t>
      </w:r>
    </w:p>
    <w:p w14:paraId="783BE92B" w14:textId="6D9684CE" w:rsidR="00E33FC3" w:rsidRPr="005303F7" w:rsidRDefault="008D69AF" w:rsidP="000D55CD">
      <w:pPr>
        <w:pStyle w:val="ListParagraph"/>
        <w:numPr>
          <w:ilvl w:val="0"/>
          <w:numId w:val="32"/>
        </w:numPr>
        <w:tabs>
          <w:tab w:val="clear" w:pos="3825"/>
        </w:tabs>
        <w:ind w:left="0" w:firstLine="360"/>
        <w:rPr>
          <w:rFonts w:ascii="Times New Roman" w:hAnsi="Times New Roman" w:cs="Times New Roman"/>
          <w:sz w:val="24"/>
          <w:lang w:val="sr-Cyrl-CS"/>
        </w:rPr>
      </w:pPr>
      <w:r w:rsidRPr="005303F7">
        <w:rPr>
          <w:rFonts w:ascii="Times New Roman" w:hAnsi="Times New Roman" w:cs="Times New Roman"/>
          <w:sz w:val="24"/>
          <w:lang w:val="sr-Cyrl-CS"/>
        </w:rPr>
        <w:t>радионица</w:t>
      </w:r>
      <w:r w:rsidR="00794685"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на</w:t>
      </w:r>
      <w:r w:rsidR="00794685"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тему</w:t>
      </w:r>
      <w:r w:rsidR="00E33FC3" w:rsidRPr="005303F7">
        <w:rPr>
          <w:rFonts w:ascii="Times New Roman" w:hAnsi="Times New Roman" w:cs="Times New Roman"/>
          <w:sz w:val="24"/>
          <w:lang w:val="sr-Cyrl-CS"/>
        </w:rPr>
        <w:t xml:space="preserve"> </w:t>
      </w:r>
      <w:r w:rsidRPr="005303F7">
        <w:rPr>
          <w:rFonts w:ascii="Times New Roman" w:hAnsi="Times New Roman" w:cs="Times New Roman"/>
          <w:i/>
          <w:iCs/>
          <w:sz w:val="24"/>
          <w:lang w:val="sr-Cyrl-CS"/>
        </w:rPr>
        <w:t>Прилагођавање</w:t>
      </w:r>
      <w:r w:rsidR="00794685" w:rsidRPr="005303F7">
        <w:rPr>
          <w:rFonts w:ascii="Times New Roman" w:hAnsi="Times New Roman" w:cs="Times New Roman"/>
          <w:i/>
          <w:iCs/>
          <w:sz w:val="24"/>
          <w:lang w:val="sr-Cyrl-CS"/>
        </w:rPr>
        <w:t xml:space="preserve"> </w:t>
      </w:r>
      <w:r w:rsidRPr="005303F7">
        <w:rPr>
          <w:rFonts w:ascii="Times New Roman" w:hAnsi="Times New Roman" w:cs="Times New Roman"/>
          <w:i/>
          <w:iCs/>
          <w:sz w:val="24"/>
          <w:lang w:val="sr-Cyrl-CS"/>
        </w:rPr>
        <w:t>климатским</w:t>
      </w:r>
      <w:r w:rsidR="00794685" w:rsidRPr="005303F7">
        <w:rPr>
          <w:rFonts w:ascii="Times New Roman" w:hAnsi="Times New Roman" w:cs="Times New Roman"/>
          <w:i/>
          <w:iCs/>
          <w:sz w:val="24"/>
          <w:lang w:val="sr-Cyrl-CS"/>
        </w:rPr>
        <w:t xml:space="preserve"> </w:t>
      </w:r>
      <w:r w:rsidRPr="005303F7">
        <w:rPr>
          <w:rFonts w:ascii="Times New Roman" w:hAnsi="Times New Roman" w:cs="Times New Roman"/>
          <w:i/>
          <w:iCs/>
          <w:sz w:val="24"/>
          <w:lang w:val="sr-Cyrl-CS"/>
        </w:rPr>
        <w:t>променама</w:t>
      </w:r>
      <w:r w:rsidR="00794685" w:rsidRPr="005303F7">
        <w:rPr>
          <w:rFonts w:ascii="Times New Roman" w:hAnsi="Times New Roman" w:cs="Times New Roman"/>
          <w:i/>
          <w:iCs/>
          <w:sz w:val="24"/>
          <w:lang w:val="sr-Cyrl-CS"/>
        </w:rPr>
        <w:t xml:space="preserve"> </w:t>
      </w:r>
      <w:r w:rsidRPr="005303F7">
        <w:rPr>
          <w:rFonts w:ascii="Times New Roman" w:hAnsi="Times New Roman" w:cs="Times New Roman"/>
          <w:i/>
          <w:iCs/>
          <w:sz w:val="24"/>
          <w:lang w:val="sr-Cyrl-CS"/>
        </w:rPr>
        <w:t>у</w:t>
      </w:r>
      <w:r w:rsidR="00794685" w:rsidRPr="005303F7">
        <w:rPr>
          <w:rFonts w:ascii="Times New Roman" w:hAnsi="Times New Roman" w:cs="Times New Roman"/>
          <w:i/>
          <w:iCs/>
          <w:sz w:val="24"/>
          <w:lang w:val="sr-Cyrl-CS"/>
        </w:rPr>
        <w:t xml:space="preserve"> </w:t>
      </w:r>
      <w:r w:rsidRPr="005303F7">
        <w:rPr>
          <w:rFonts w:ascii="Times New Roman" w:hAnsi="Times New Roman" w:cs="Times New Roman"/>
          <w:i/>
          <w:iCs/>
          <w:sz w:val="24"/>
          <w:lang w:val="sr-Cyrl-CS"/>
        </w:rPr>
        <w:t>приоритетним</w:t>
      </w:r>
      <w:r w:rsidR="00794685" w:rsidRPr="005303F7">
        <w:rPr>
          <w:rFonts w:ascii="Times New Roman" w:hAnsi="Times New Roman" w:cs="Times New Roman"/>
          <w:i/>
          <w:iCs/>
          <w:sz w:val="24"/>
          <w:lang w:val="sr-Cyrl-CS"/>
        </w:rPr>
        <w:t xml:space="preserve"> </w:t>
      </w:r>
      <w:r w:rsidRPr="005303F7">
        <w:rPr>
          <w:rFonts w:ascii="Times New Roman" w:hAnsi="Times New Roman" w:cs="Times New Roman"/>
          <w:i/>
          <w:iCs/>
          <w:sz w:val="24"/>
          <w:lang w:val="sr-Cyrl-CS"/>
        </w:rPr>
        <w:t>секторима</w:t>
      </w:r>
      <w:r w:rsidR="00E33FC3"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Резултат</w:t>
      </w:r>
      <w:r w:rsidR="00E33FC3" w:rsidRPr="005303F7">
        <w:rPr>
          <w:rFonts w:ascii="Times New Roman" w:hAnsi="Times New Roman" w:cs="Times New Roman"/>
          <w:sz w:val="24"/>
          <w:lang w:val="sr-Cyrl-CS"/>
        </w:rPr>
        <w:t xml:space="preserve"> 5 (26.</w:t>
      </w:r>
      <w:r w:rsidR="00FE4960" w:rsidRPr="005303F7">
        <w:rPr>
          <w:rFonts w:ascii="Times New Roman" w:hAnsi="Times New Roman" w:cs="Times New Roman"/>
          <w:sz w:val="24"/>
          <w:lang w:val="sr-Cyrl-CS"/>
        </w:rPr>
        <w:t xml:space="preserve"> септембар </w:t>
      </w:r>
      <w:r w:rsidR="00E33FC3" w:rsidRPr="005303F7">
        <w:rPr>
          <w:rFonts w:ascii="Times New Roman" w:hAnsi="Times New Roman" w:cs="Times New Roman"/>
          <w:sz w:val="24"/>
          <w:lang w:val="sr-Cyrl-CS"/>
        </w:rPr>
        <w:t>2018.</w:t>
      </w:r>
      <w:r w:rsidR="00794685"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године</w:t>
      </w:r>
      <w:r w:rsidR="00E33FC3" w:rsidRPr="005303F7">
        <w:rPr>
          <w:rFonts w:ascii="Times New Roman" w:hAnsi="Times New Roman" w:cs="Times New Roman"/>
          <w:sz w:val="24"/>
          <w:lang w:val="sr-Cyrl-CS"/>
        </w:rPr>
        <w:t>);</w:t>
      </w:r>
    </w:p>
    <w:p w14:paraId="79B71182" w14:textId="1628CF91" w:rsidR="001554F2" w:rsidRPr="005303F7" w:rsidRDefault="008D69AF" w:rsidP="000D55CD">
      <w:pPr>
        <w:pStyle w:val="ListParagraph"/>
        <w:numPr>
          <w:ilvl w:val="0"/>
          <w:numId w:val="32"/>
        </w:numPr>
        <w:tabs>
          <w:tab w:val="clear" w:pos="3825"/>
        </w:tabs>
        <w:ind w:left="0" w:firstLine="360"/>
        <w:rPr>
          <w:rFonts w:ascii="Times New Roman" w:hAnsi="Times New Roman" w:cs="Times New Roman"/>
          <w:sz w:val="24"/>
          <w:lang w:val="sr-Cyrl-CS"/>
        </w:rPr>
      </w:pPr>
      <w:r w:rsidRPr="005303F7">
        <w:rPr>
          <w:rFonts w:ascii="Times New Roman" w:hAnsi="Times New Roman" w:cs="Times New Roman"/>
          <w:sz w:val="24"/>
          <w:lang w:val="sr-Cyrl-CS"/>
        </w:rPr>
        <w:t>један</w:t>
      </w:r>
      <w:r w:rsidR="002507BC"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састанак</w:t>
      </w:r>
      <w:r w:rsidR="002507BC"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техничке</w:t>
      </w:r>
      <w:r w:rsidR="002507BC"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радне</w:t>
      </w:r>
      <w:r w:rsidR="002507BC"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групе</w:t>
      </w:r>
      <w:r w:rsidR="002507BC"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за</w:t>
      </w:r>
      <w:r w:rsidR="002507BC"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дефинисање</w:t>
      </w:r>
      <w:r w:rsidR="002507BC"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два</w:t>
      </w:r>
      <w:r w:rsidR="002507BC"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сценарија</w:t>
      </w:r>
      <w:r w:rsidR="002507BC"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ублажавања</w:t>
      </w:r>
      <w:r w:rsidR="002507BC"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који</w:t>
      </w:r>
      <w:r w:rsidR="002507BC"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је</w:t>
      </w:r>
      <w:r w:rsidR="002507BC"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претходио</w:t>
      </w:r>
      <w:r w:rsidR="002507BC"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онлајн</w:t>
      </w:r>
      <w:r w:rsidR="002507BC"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истраживању</w:t>
      </w:r>
      <w:r w:rsidR="002507BC"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на</w:t>
      </w:r>
      <w:r w:rsidR="002507BC"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тему</w:t>
      </w:r>
      <w:r w:rsidR="002507BC"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Визија</w:t>
      </w:r>
      <w:r w:rsidR="002507BC"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за</w:t>
      </w:r>
      <w:r w:rsidR="002507BC"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Србију</w:t>
      </w:r>
      <w:r w:rsidR="002507BC"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до</w:t>
      </w:r>
      <w:r w:rsidR="002507BC" w:rsidRPr="005303F7">
        <w:rPr>
          <w:rFonts w:ascii="Times New Roman" w:hAnsi="Times New Roman" w:cs="Times New Roman"/>
          <w:sz w:val="24"/>
          <w:lang w:val="sr-Cyrl-CS"/>
        </w:rPr>
        <w:t xml:space="preserve"> 2050. </w:t>
      </w:r>
      <w:r w:rsidRPr="005303F7">
        <w:rPr>
          <w:rFonts w:ascii="Times New Roman" w:hAnsi="Times New Roman" w:cs="Times New Roman"/>
          <w:sz w:val="24"/>
          <w:lang w:val="sr-Cyrl-CS"/>
        </w:rPr>
        <w:t>године</w:t>
      </w:r>
      <w:r w:rsidR="0035174D" w:rsidRPr="005303F7">
        <w:rPr>
          <w:rFonts w:ascii="Times New Roman" w:hAnsi="Times New Roman" w:cs="Times New Roman"/>
          <w:sz w:val="24"/>
          <w:lang w:val="sr-Cyrl-CS"/>
        </w:rPr>
        <w:t>”</w:t>
      </w:r>
      <w:r w:rsidR="002507BC" w:rsidRPr="005303F7">
        <w:rPr>
          <w:rFonts w:ascii="Times New Roman" w:hAnsi="Times New Roman" w:cs="Times New Roman"/>
          <w:sz w:val="24"/>
          <w:lang w:val="sr-Cyrl-CS"/>
        </w:rPr>
        <w:t xml:space="preserve"> (20.</w:t>
      </w:r>
      <w:r w:rsidR="00FE4960" w:rsidRPr="005303F7">
        <w:rPr>
          <w:rFonts w:ascii="Times New Roman" w:hAnsi="Times New Roman" w:cs="Times New Roman"/>
          <w:sz w:val="24"/>
          <w:lang w:val="sr-Cyrl-CS"/>
        </w:rPr>
        <w:t xml:space="preserve"> децембар </w:t>
      </w:r>
      <w:r w:rsidR="002507BC" w:rsidRPr="005303F7">
        <w:rPr>
          <w:rFonts w:ascii="Times New Roman" w:hAnsi="Times New Roman" w:cs="Times New Roman"/>
          <w:sz w:val="24"/>
          <w:lang w:val="sr-Cyrl-CS"/>
        </w:rPr>
        <w:t>2018);</w:t>
      </w:r>
    </w:p>
    <w:p w14:paraId="5248F0D1" w14:textId="24ADE876" w:rsidR="00E33FC3" w:rsidRPr="005303F7" w:rsidRDefault="008D69AF" w:rsidP="000D55CD">
      <w:pPr>
        <w:pStyle w:val="ListParagraph"/>
        <w:numPr>
          <w:ilvl w:val="0"/>
          <w:numId w:val="32"/>
        </w:numPr>
        <w:tabs>
          <w:tab w:val="clear" w:pos="3825"/>
          <w:tab w:val="left" w:pos="709"/>
        </w:tabs>
        <w:ind w:left="0" w:firstLine="360"/>
        <w:rPr>
          <w:rFonts w:ascii="Times New Roman" w:hAnsi="Times New Roman" w:cs="Times New Roman"/>
          <w:sz w:val="24"/>
          <w:lang w:val="sr-Cyrl-CS"/>
        </w:rPr>
      </w:pPr>
      <w:r w:rsidRPr="005303F7">
        <w:rPr>
          <w:rFonts w:ascii="Times New Roman" w:hAnsi="Times New Roman" w:cs="Times New Roman"/>
          <w:sz w:val="24"/>
          <w:lang w:val="sr-Cyrl-CS"/>
        </w:rPr>
        <w:t>СЕА</w:t>
      </w:r>
      <w:r w:rsidR="00E33FC3" w:rsidRPr="005303F7">
        <w:rPr>
          <w:rFonts w:ascii="Times New Roman" w:hAnsi="Times New Roman" w:cs="Times New Roman"/>
          <w:sz w:val="24"/>
          <w:lang w:val="sr-Cyrl-CS"/>
        </w:rPr>
        <w:t xml:space="preserve"> – </w:t>
      </w:r>
      <w:r w:rsidRPr="005303F7">
        <w:rPr>
          <w:rFonts w:ascii="Times New Roman" w:hAnsi="Times New Roman" w:cs="Times New Roman"/>
          <w:sz w:val="24"/>
          <w:lang w:val="sr-Cyrl-CS"/>
        </w:rPr>
        <w:t>јавна</w:t>
      </w:r>
      <w:r w:rsidR="00F250E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расправа</w:t>
      </w:r>
      <w:r w:rsidR="00F250E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о</w:t>
      </w:r>
      <w:r w:rsidR="00F250E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нацрту</w:t>
      </w:r>
      <w:r w:rsidR="00F250E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студијског</w:t>
      </w:r>
      <w:r w:rsidR="00F250E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извештаја</w:t>
      </w:r>
      <w:r w:rsidR="00E33FC3" w:rsidRPr="005303F7">
        <w:rPr>
          <w:rFonts w:ascii="Times New Roman" w:hAnsi="Times New Roman" w:cs="Times New Roman"/>
          <w:sz w:val="24"/>
          <w:lang w:val="sr-Cyrl-CS"/>
        </w:rPr>
        <w:t xml:space="preserve"> (15.</w:t>
      </w:r>
      <w:r w:rsidR="00FE4960" w:rsidRPr="005303F7">
        <w:rPr>
          <w:rFonts w:ascii="Times New Roman" w:hAnsi="Times New Roman" w:cs="Times New Roman"/>
          <w:sz w:val="24"/>
          <w:lang w:val="sr-Cyrl-CS"/>
        </w:rPr>
        <w:t xml:space="preserve"> април </w:t>
      </w:r>
      <w:r w:rsidR="00E33FC3" w:rsidRPr="005303F7">
        <w:rPr>
          <w:rFonts w:ascii="Times New Roman" w:hAnsi="Times New Roman" w:cs="Times New Roman"/>
          <w:sz w:val="24"/>
          <w:lang w:val="sr-Cyrl-CS"/>
        </w:rPr>
        <w:t xml:space="preserve">2019) </w:t>
      </w:r>
      <w:r w:rsidRPr="005303F7">
        <w:rPr>
          <w:rFonts w:ascii="Times New Roman" w:hAnsi="Times New Roman" w:cs="Times New Roman"/>
          <w:sz w:val="24"/>
          <w:lang w:val="sr-Cyrl-CS"/>
        </w:rPr>
        <w:t>и</w:t>
      </w:r>
      <w:r w:rsidR="00F250E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јавна</w:t>
      </w:r>
      <w:r w:rsidR="00F250E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консултација</w:t>
      </w:r>
      <w:r w:rsidR="00E33FC3"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у</w:t>
      </w:r>
      <w:r w:rsidR="00F250E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периоду</w:t>
      </w:r>
      <w:r w:rsidR="00F250EE"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од</w:t>
      </w:r>
      <w:r w:rsidR="00E33FC3" w:rsidRPr="005303F7">
        <w:rPr>
          <w:rFonts w:ascii="Times New Roman" w:hAnsi="Times New Roman" w:cs="Times New Roman"/>
          <w:sz w:val="24"/>
          <w:lang w:val="sr-Cyrl-CS"/>
        </w:rPr>
        <w:t xml:space="preserve"> 29.</w:t>
      </w:r>
      <w:r w:rsidR="00FE4960" w:rsidRPr="005303F7">
        <w:rPr>
          <w:rFonts w:ascii="Times New Roman" w:hAnsi="Times New Roman" w:cs="Times New Roman"/>
          <w:sz w:val="24"/>
          <w:lang w:val="sr-Cyrl-CS"/>
        </w:rPr>
        <w:t xml:space="preserve"> марта</w:t>
      </w:r>
      <w:r w:rsidR="00E33FC3" w:rsidRPr="005303F7">
        <w:rPr>
          <w:rFonts w:ascii="Times New Roman" w:hAnsi="Times New Roman" w:cs="Times New Roman"/>
          <w:sz w:val="24"/>
          <w:lang w:val="sr-Cyrl-CS"/>
        </w:rPr>
        <w:t xml:space="preserve"> </w:t>
      </w:r>
      <w:r w:rsidR="00FE4960" w:rsidRPr="005303F7">
        <w:rPr>
          <w:rFonts w:ascii="Times New Roman" w:hAnsi="Times New Roman" w:cs="Times New Roman"/>
          <w:sz w:val="24"/>
          <w:lang w:val="sr-Cyrl-CS"/>
        </w:rPr>
        <w:t>до</w:t>
      </w:r>
      <w:r w:rsidR="00E33FC3" w:rsidRPr="005303F7">
        <w:rPr>
          <w:rFonts w:ascii="Times New Roman" w:hAnsi="Times New Roman" w:cs="Times New Roman"/>
          <w:sz w:val="24"/>
          <w:lang w:val="sr-Cyrl-CS"/>
        </w:rPr>
        <w:t xml:space="preserve"> 29.</w:t>
      </w:r>
      <w:r w:rsidR="00FE4960" w:rsidRPr="005303F7">
        <w:rPr>
          <w:rFonts w:ascii="Times New Roman" w:hAnsi="Times New Roman" w:cs="Times New Roman"/>
          <w:sz w:val="24"/>
          <w:lang w:val="sr-Cyrl-CS"/>
        </w:rPr>
        <w:t xml:space="preserve"> априла </w:t>
      </w:r>
      <w:r w:rsidR="00E33FC3" w:rsidRPr="005303F7">
        <w:rPr>
          <w:rFonts w:ascii="Times New Roman" w:hAnsi="Times New Roman" w:cs="Times New Roman"/>
          <w:sz w:val="24"/>
          <w:lang w:val="sr-Cyrl-CS"/>
        </w:rPr>
        <w:t>2019);</w:t>
      </w:r>
    </w:p>
    <w:p w14:paraId="5EAA6FD0" w14:textId="3574AE42" w:rsidR="00F25B97" w:rsidRPr="005303F7" w:rsidRDefault="008D69AF" w:rsidP="000D55CD">
      <w:pPr>
        <w:pStyle w:val="ListParagraph"/>
        <w:numPr>
          <w:ilvl w:val="0"/>
          <w:numId w:val="32"/>
        </w:numPr>
        <w:tabs>
          <w:tab w:val="clear" w:pos="3825"/>
        </w:tabs>
        <w:ind w:left="0" w:firstLine="360"/>
        <w:rPr>
          <w:rFonts w:ascii="Times New Roman" w:hAnsi="Times New Roman" w:cs="Times New Roman"/>
          <w:sz w:val="24"/>
          <w:lang w:val="sr-Cyrl-CS"/>
        </w:rPr>
      </w:pPr>
      <w:r w:rsidRPr="005303F7">
        <w:rPr>
          <w:rFonts w:ascii="Times New Roman" w:hAnsi="Times New Roman" w:cs="Times New Roman"/>
          <w:sz w:val="24"/>
          <w:lang w:val="sr-Cyrl-CS"/>
        </w:rPr>
        <w:t>процена</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економских</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социјалних</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и</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утицаја</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на</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животну</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средину</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четири</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сценарија</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ублажавања</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путем</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интернет</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анкете</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у</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периоду</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од</w:t>
      </w:r>
      <w:r w:rsidR="00F25B97" w:rsidRPr="005303F7">
        <w:rPr>
          <w:rFonts w:ascii="Times New Roman" w:hAnsi="Times New Roman" w:cs="Times New Roman"/>
          <w:sz w:val="24"/>
          <w:lang w:val="sr-Cyrl-CS"/>
        </w:rPr>
        <w:t xml:space="preserve"> 13.</w:t>
      </w:r>
      <w:r w:rsidR="00FE4960" w:rsidRPr="005303F7">
        <w:rPr>
          <w:rFonts w:ascii="Times New Roman" w:hAnsi="Times New Roman" w:cs="Times New Roman"/>
          <w:sz w:val="24"/>
          <w:lang w:val="sr-Cyrl-CS"/>
        </w:rPr>
        <w:t xml:space="preserve"> маја</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до</w:t>
      </w:r>
      <w:r w:rsidR="00F25B97" w:rsidRPr="005303F7">
        <w:rPr>
          <w:rFonts w:ascii="Times New Roman" w:hAnsi="Times New Roman" w:cs="Times New Roman"/>
          <w:sz w:val="24"/>
          <w:lang w:val="sr-Cyrl-CS"/>
        </w:rPr>
        <w:t xml:space="preserve"> 17.</w:t>
      </w:r>
      <w:r w:rsidR="00FE4960" w:rsidRPr="005303F7">
        <w:rPr>
          <w:rFonts w:ascii="Times New Roman" w:hAnsi="Times New Roman" w:cs="Times New Roman"/>
          <w:sz w:val="24"/>
          <w:lang w:val="sr-Cyrl-CS"/>
        </w:rPr>
        <w:t xml:space="preserve"> маја </w:t>
      </w:r>
      <w:r w:rsidR="00F25B97" w:rsidRPr="005303F7">
        <w:rPr>
          <w:rFonts w:ascii="Times New Roman" w:hAnsi="Times New Roman" w:cs="Times New Roman"/>
          <w:sz w:val="24"/>
          <w:lang w:val="sr-Cyrl-CS"/>
        </w:rPr>
        <w:t xml:space="preserve">2019); </w:t>
      </w:r>
    </w:p>
    <w:p w14:paraId="41D3AC7D" w14:textId="5DB5123C" w:rsidR="00FA7573" w:rsidRPr="005303F7" w:rsidRDefault="008D69AF" w:rsidP="000D55CD">
      <w:pPr>
        <w:pStyle w:val="ListParagraph"/>
        <w:numPr>
          <w:ilvl w:val="0"/>
          <w:numId w:val="32"/>
        </w:numPr>
        <w:tabs>
          <w:tab w:val="clear" w:pos="3825"/>
          <w:tab w:val="left" w:pos="709"/>
        </w:tabs>
        <w:ind w:left="0" w:firstLine="360"/>
        <w:rPr>
          <w:rFonts w:ascii="Times New Roman" w:hAnsi="Times New Roman" w:cs="Times New Roman"/>
          <w:sz w:val="24"/>
          <w:lang w:val="sr-Cyrl-CS"/>
        </w:rPr>
      </w:pPr>
      <w:r w:rsidRPr="005303F7">
        <w:rPr>
          <w:rFonts w:ascii="Times New Roman" w:hAnsi="Times New Roman" w:cs="Times New Roman"/>
          <w:sz w:val="24"/>
          <w:lang w:val="sr-Cyrl-CS"/>
        </w:rPr>
        <w:t>расправа</w:t>
      </w:r>
      <w:r w:rsidR="00FA7573"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о</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нацрту</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Стратегије</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ук</w:t>
      </w:r>
      <w:r w:rsidR="00D553BE" w:rsidRPr="005303F7">
        <w:rPr>
          <w:rFonts w:ascii="Times New Roman" w:hAnsi="Times New Roman" w:cs="Times New Roman"/>
          <w:sz w:val="24"/>
          <w:lang w:val="sr-Cyrl-CS"/>
        </w:rPr>
        <w:t>љ</w:t>
      </w:r>
      <w:r w:rsidRPr="005303F7">
        <w:rPr>
          <w:rFonts w:ascii="Times New Roman" w:hAnsi="Times New Roman" w:cs="Times New Roman"/>
          <w:sz w:val="24"/>
          <w:lang w:val="sr-Cyrl-CS"/>
        </w:rPr>
        <w:t>учују</w:t>
      </w:r>
      <w:r w:rsidR="00016298" w:rsidRPr="005303F7">
        <w:rPr>
          <w:rFonts w:ascii="Times New Roman" w:hAnsi="Times New Roman" w:cs="Times New Roman"/>
          <w:sz w:val="24"/>
          <w:lang w:val="sr-Cyrl-CS"/>
        </w:rPr>
        <w:t>ћ</w:t>
      </w:r>
      <w:r w:rsidRPr="005303F7">
        <w:rPr>
          <w:rFonts w:ascii="Times New Roman" w:hAnsi="Times New Roman" w:cs="Times New Roman"/>
          <w:sz w:val="24"/>
          <w:lang w:val="sr-Cyrl-CS"/>
        </w:rPr>
        <w:t>и</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догађај</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за</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јавну</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презентацију</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и</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период</w:t>
      </w:r>
      <w:r w:rsidR="00F25B97" w:rsidRPr="005303F7">
        <w:rPr>
          <w:rFonts w:ascii="Times New Roman" w:hAnsi="Times New Roman" w:cs="Times New Roman"/>
          <w:sz w:val="24"/>
          <w:lang w:val="sr-Cyrl-CS"/>
        </w:rPr>
        <w:t xml:space="preserve"> </w:t>
      </w:r>
      <w:r w:rsidRPr="005303F7">
        <w:rPr>
          <w:rFonts w:ascii="Times New Roman" w:hAnsi="Times New Roman" w:cs="Times New Roman"/>
          <w:sz w:val="24"/>
          <w:lang w:val="sr-Cyrl-CS"/>
        </w:rPr>
        <w:t>за</w:t>
      </w:r>
      <w:r w:rsidR="00F25B97" w:rsidRPr="005303F7">
        <w:rPr>
          <w:rFonts w:ascii="Times New Roman" w:hAnsi="Times New Roman" w:cs="Times New Roman"/>
          <w:sz w:val="24"/>
          <w:lang w:val="sr-Cyrl-CS"/>
        </w:rPr>
        <w:t xml:space="preserve"> </w:t>
      </w:r>
      <w:r w:rsidR="0060440E" w:rsidRPr="005303F7">
        <w:rPr>
          <w:rFonts w:ascii="Times New Roman" w:hAnsi="Times New Roman" w:cs="Times New Roman"/>
          <w:sz w:val="24"/>
          <w:lang w:val="sr-Cyrl-CS"/>
        </w:rPr>
        <w:t xml:space="preserve">достаљање </w:t>
      </w:r>
      <w:r w:rsidRPr="005303F7">
        <w:rPr>
          <w:rFonts w:ascii="Times New Roman" w:hAnsi="Times New Roman" w:cs="Times New Roman"/>
          <w:sz w:val="24"/>
          <w:lang w:val="sr-Cyrl-CS"/>
        </w:rPr>
        <w:t>коментара</w:t>
      </w:r>
      <w:r w:rsidR="0060440E" w:rsidRPr="005303F7">
        <w:rPr>
          <w:rFonts w:ascii="Times New Roman" w:hAnsi="Times New Roman" w:cs="Times New Roman"/>
          <w:sz w:val="24"/>
          <w:lang w:val="sr-Cyrl-CS"/>
        </w:rPr>
        <w:t xml:space="preserve"> електронским путем</w:t>
      </w:r>
      <w:r w:rsidR="00F25B97" w:rsidRPr="005303F7">
        <w:rPr>
          <w:rFonts w:ascii="Times New Roman" w:hAnsi="Times New Roman" w:cs="Times New Roman"/>
          <w:sz w:val="24"/>
          <w:lang w:val="sr-Cyrl-CS"/>
        </w:rPr>
        <w:t xml:space="preserve"> </w:t>
      </w:r>
      <w:r w:rsidR="0060440E" w:rsidRPr="005303F7">
        <w:rPr>
          <w:rFonts w:ascii="Times New Roman" w:hAnsi="Times New Roman" w:cs="Times New Roman"/>
          <w:sz w:val="24"/>
          <w:lang w:val="sr-Cyrl-CS"/>
        </w:rPr>
        <w:t>у периоду од 2</w:t>
      </w:r>
      <w:r w:rsidR="00BD002E" w:rsidRPr="005303F7">
        <w:rPr>
          <w:rFonts w:ascii="Times New Roman" w:hAnsi="Times New Roman" w:cs="Times New Roman"/>
          <w:sz w:val="24"/>
          <w:lang w:val="sr-Cyrl-CS"/>
        </w:rPr>
        <w:t>7</w:t>
      </w:r>
      <w:r w:rsidR="0060440E" w:rsidRPr="005303F7">
        <w:rPr>
          <w:rFonts w:ascii="Times New Roman" w:hAnsi="Times New Roman" w:cs="Times New Roman"/>
          <w:sz w:val="24"/>
          <w:lang w:val="sr-Cyrl-CS"/>
        </w:rPr>
        <w:t>.</w:t>
      </w:r>
      <w:r w:rsidR="00FE4960" w:rsidRPr="005303F7">
        <w:rPr>
          <w:rFonts w:ascii="Times New Roman" w:hAnsi="Times New Roman" w:cs="Times New Roman"/>
          <w:sz w:val="24"/>
          <w:lang w:val="sr-Cyrl-CS"/>
        </w:rPr>
        <w:t xml:space="preserve"> децембра </w:t>
      </w:r>
      <w:r w:rsidR="0060440E" w:rsidRPr="005303F7">
        <w:rPr>
          <w:rFonts w:ascii="Times New Roman" w:hAnsi="Times New Roman" w:cs="Times New Roman"/>
          <w:sz w:val="24"/>
          <w:lang w:val="sr-Cyrl-CS"/>
        </w:rPr>
        <w:t>2019. до 2</w:t>
      </w:r>
      <w:r w:rsidR="00BD002E" w:rsidRPr="005303F7">
        <w:rPr>
          <w:rFonts w:ascii="Times New Roman" w:hAnsi="Times New Roman" w:cs="Times New Roman"/>
          <w:sz w:val="24"/>
          <w:lang w:val="sr-Cyrl-CS"/>
        </w:rPr>
        <w:t>4</w:t>
      </w:r>
      <w:r w:rsidR="0060440E" w:rsidRPr="005303F7">
        <w:rPr>
          <w:rFonts w:ascii="Times New Roman" w:hAnsi="Times New Roman" w:cs="Times New Roman"/>
          <w:sz w:val="24"/>
          <w:lang w:val="sr-Cyrl-CS"/>
        </w:rPr>
        <w:t>.</w:t>
      </w:r>
      <w:r w:rsidR="00FE4960" w:rsidRPr="005303F7">
        <w:rPr>
          <w:rFonts w:ascii="Times New Roman" w:hAnsi="Times New Roman" w:cs="Times New Roman"/>
          <w:sz w:val="24"/>
          <w:lang w:val="sr-Cyrl-CS"/>
        </w:rPr>
        <w:t xml:space="preserve"> јануара </w:t>
      </w:r>
      <w:r w:rsidR="0060440E" w:rsidRPr="005303F7">
        <w:rPr>
          <w:rFonts w:ascii="Times New Roman" w:hAnsi="Times New Roman" w:cs="Times New Roman"/>
          <w:sz w:val="24"/>
          <w:lang w:val="sr-Cyrl-CS"/>
        </w:rPr>
        <w:t>2020</w:t>
      </w:r>
      <w:r w:rsidR="00FA7573" w:rsidRPr="005303F7">
        <w:rPr>
          <w:rFonts w:ascii="Times New Roman" w:hAnsi="Times New Roman" w:cs="Times New Roman"/>
          <w:sz w:val="24"/>
          <w:lang w:val="sr-Cyrl-CS"/>
        </w:rPr>
        <w:t>.</w:t>
      </w:r>
      <w:r w:rsidR="00BD002E" w:rsidRPr="005303F7">
        <w:rPr>
          <w:rFonts w:ascii="Times New Roman" w:hAnsi="Times New Roman" w:cs="Times New Roman"/>
          <w:sz w:val="24"/>
          <w:lang w:val="sr-Cyrl-CS"/>
        </w:rPr>
        <w:t xml:space="preserve"> године (Закључак Владе бр. 353-128528/2019-1 од 26. децембра 2019. године).</w:t>
      </w:r>
    </w:p>
    <w:p w14:paraId="708D1F56" w14:textId="3D28FE98" w:rsidR="00FA7573" w:rsidRPr="005303F7" w:rsidRDefault="00CC6964" w:rsidP="00FA7573">
      <w:pPr>
        <w:rPr>
          <w:rFonts w:ascii="Times New Roman" w:hAnsi="Times New Roman"/>
          <w:sz w:val="24"/>
          <w:lang w:val="sr-Cyrl-CS"/>
        </w:rPr>
      </w:pPr>
      <w:r w:rsidRPr="005303F7">
        <w:rPr>
          <w:rFonts w:ascii="Times New Roman" w:hAnsi="Times New Roman"/>
          <w:sz w:val="24"/>
          <w:lang w:val="sr-Cyrl-CS"/>
        </w:rPr>
        <w:t xml:space="preserve">         </w:t>
      </w:r>
      <w:r w:rsidR="008D69AF" w:rsidRPr="005303F7">
        <w:rPr>
          <w:rFonts w:ascii="Times New Roman" w:hAnsi="Times New Roman"/>
          <w:sz w:val="24"/>
          <w:lang w:val="sr-Cyrl-CS"/>
        </w:rPr>
        <w:t>Следе</w:t>
      </w:r>
      <w:r w:rsidR="00016298" w:rsidRPr="005303F7">
        <w:rPr>
          <w:rFonts w:ascii="Times New Roman" w:hAnsi="Times New Roman"/>
          <w:sz w:val="24"/>
          <w:lang w:val="sr-Cyrl-CS"/>
        </w:rPr>
        <w:t>ћ</w:t>
      </w:r>
      <w:r w:rsidR="008D69AF" w:rsidRPr="005303F7">
        <w:rPr>
          <w:rFonts w:ascii="Times New Roman" w:hAnsi="Times New Roman"/>
          <w:sz w:val="24"/>
          <w:lang w:val="sr-Cyrl-CS"/>
        </w:rPr>
        <w:t>и</w:t>
      </w:r>
      <w:r w:rsidR="00F25B97" w:rsidRPr="005303F7">
        <w:rPr>
          <w:rFonts w:ascii="Times New Roman" w:hAnsi="Times New Roman"/>
          <w:sz w:val="24"/>
          <w:lang w:val="sr-Cyrl-CS"/>
        </w:rPr>
        <w:t xml:space="preserve"> </w:t>
      </w:r>
      <w:r w:rsidR="008D69AF" w:rsidRPr="005303F7">
        <w:rPr>
          <w:rFonts w:ascii="Times New Roman" w:hAnsi="Times New Roman"/>
          <w:sz w:val="24"/>
          <w:lang w:val="sr-Cyrl-CS"/>
        </w:rPr>
        <w:t>графикон</w:t>
      </w:r>
      <w:r w:rsidR="00F25B97" w:rsidRPr="005303F7">
        <w:rPr>
          <w:rFonts w:ascii="Times New Roman" w:hAnsi="Times New Roman"/>
          <w:sz w:val="24"/>
          <w:lang w:val="sr-Cyrl-CS"/>
        </w:rPr>
        <w:t xml:space="preserve"> </w:t>
      </w:r>
      <w:r w:rsidR="008D69AF" w:rsidRPr="005303F7">
        <w:rPr>
          <w:rFonts w:ascii="Times New Roman" w:hAnsi="Times New Roman"/>
          <w:sz w:val="24"/>
          <w:lang w:val="sr-Cyrl-CS"/>
        </w:rPr>
        <w:t>описује</w:t>
      </w:r>
      <w:r w:rsidR="00F25B97" w:rsidRPr="005303F7">
        <w:rPr>
          <w:rFonts w:ascii="Times New Roman" w:hAnsi="Times New Roman"/>
          <w:sz w:val="24"/>
          <w:lang w:val="sr-Cyrl-CS"/>
        </w:rPr>
        <w:t xml:space="preserve"> </w:t>
      </w:r>
      <w:r w:rsidR="008D69AF" w:rsidRPr="005303F7">
        <w:rPr>
          <w:rFonts w:ascii="Times New Roman" w:hAnsi="Times New Roman"/>
          <w:sz w:val="24"/>
          <w:lang w:val="sr-Cyrl-CS"/>
        </w:rPr>
        <w:t>састав</w:t>
      </w:r>
      <w:r w:rsidR="00F25B97" w:rsidRPr="005303F7">
        <w:rPr>
          <w:rFonts w:ascii="Times New Roman" w:hAnsi="Times New Roman"/>
          <w:sz w:val="24"/>
          <w:lang w:val="sr-Cyrl-CS"/>
        </w:rPr>
        <w:t xml:space="preserve"> </w:t>
      </w:r>
      <w:r w:rsidR="008D69AF" w:rsidRPr="005303F7">
        <w:rPr>
          <w:rFonts w:ascii="Times New Roman" w:hAnsi="Times New Roman"/>
          <w:sz w:val="24"/>
          <w:lang w:val="sr-Cyrl-CS"/>
        </w:rPr>
        <w:t>учесника</w:t>
      </w:r>
      <w:r w:rsidR="00886DD2" w:rsidRPr="005303F7">
        <w:rPr>
          <w:rFonts w:ascii="Times New Roman" w:hAnsi="Times New Roman"/>
          <w:sz w:val="24"/>
          <w:lang w:val="sr-Cyrl-CS"/>
        </w:rPr>
        <w:t xml:space="preserve"> </w:t>
      </w:r>
      <w:r w:rsidR="008D69AF" w:rsidRPr="005303F7">
        <w:rPr>
          <w:rFonts w:ascii="Times New Roman" w:hAnsi="Times New Roman"/>
          <w:sz w:val="24"/>
          <w:lang w:val="sr-Cyrl-CS"/>
        </w:rPr>
        <w:t>састанка</w:t>
      </w:r>
      <w:r w:rsidR="00886DD2" w:rsidRPr="005303F7">
        <w:rPr>
          <w:rFonts w:ascii="Times New Roman" w:hAnsi="Times New Roman"/>
          <w:sz w:val="24"/>
          <w:lang w:val="sr-Cyrl-CS"/>
        </w:rPr>
        <w:t xml:space="preserve"> </w:t>
      </w:r>
      <w:r w:rsidR="008D69AF" w:rsidRPr="005303F7">
        <w:rPr>
          <w:rFonts w:ascii="Times New Roman" w:hAnsi="Times New Roman"/>
          <w:sz w:val="24"/>
          <w:lang w:val="sr-Cyrl-CS"/>
        </w:rPr>
        <w:t>Радне</w:t>
      </w:r>
      <w:r w:rsidR="00F25B97" w:rsidRPr="005303F7">
        <w:rPr>
          <w:rFonts w:ascii="Times New Roman" w:hAnsi="Times New Roman"/>
          <w:sz w:val="24"/>
          <w:lang w:val="sr-Cyrl-CS"/>
        </w:rPr>
        <w:t xml:space="preserve"> </w:t>
      </w:r>
      <w:r w:rsidR="008D69AF" w:rsidRPr="005303F7">
        <w:rPr>
          <w:rFonts w:ascii="Times New Roman" w:hAnsi="Times New Roman"/>
          <w:sz w:val="24"/>
          <w:lang w:val="sr-Cyrl-CS"/>
        </w:rPr>
        <w:t>групе</w:t>
      </w:r>
      <w:r w:rsidR="00F25B97" w:rsidRPr="005303F7">
        <w:rPr>
          <w:rFonts w:ascii="Times New Roman" w:hAnsi="Times New Roman"/>
          <w:sz w:val="24"/>
          <w:lang w:val="sr-Cyrl-CS"/>
        </w:rPr>
        <w:t xml:space="preserve">, </w:t>
      </w:r>
      <w:r w:rsidR="008D69AF" w:rsidRPr="005303F7">
        <w:rPr>
          <w:rFonts w:ascii="Times New Roman" w:hAnsi="Times New Roman"/>
          <w:sz w:val="24"/>
          <w:lang w:val="sr-Cyrl-CS"/>
        </w:rPr>
        <w:t>показују</w:t>
      </w:r>
      <w:r w:rsidR="00016298" w:rsidRPr="005303F7">
        <w:rPr>
          <w:rFonts w:ascii="Times New Roman" w:hAnsi="Times New Roman"/>
          <w:sz w:val="24"/>
          <w:lang w:val="sr-Cyrl-CS"/>
        </w:rPr>
        <w:t>ћ</w:t>
      </w:r>
      <w:r w:rsidR="008D69AF" w:rsidRPr="005303F7">
        <w:rPr>
          <w:rFonts w:ascii="Times New Roman" w:hAnsi="Times New Roman"/>
          <w:sz w:val="24"/>
          <w:lang w:val="sr-Cyrl-CS"/>
        </w:rPr>
        <w:t>и</w:t>
      </w:r>
      <w:r w:rsidR="00F25B97" w:rsidRPr="005303F7">
        <w:rPr>
          <w:rFonts w:ascii="Times New Roman" w:hAnsi="Times New Roman"/>
          <w:sz w:val="24"/>
          <w:lang w:val="sr-Cyrl-CS"/>
        </w:rPr>
        <w:t xml:space="preserve"> </w:t>
      </w:r>
      <w:r w:rsidR="008D69AF" w:rsidRPr="005303F7">
        <w:rPr>
          <w:rFonts w:ascii="Times New Roman" w:hAnsi="Times New Roman"/>
          <w:sz w:val="24"/>
          <w:lang w:val="sr-Cyrl-CS"/>
        </w:rPr>
        <w:t>разнолику</w:t>
      </w:r>
      <w:r w:rsidR="00F25B97" w:rsidRPr="005303F7">
        <w:rPr>
          <w:rFonts w:ascii="Times New Roman" w:hAnsi="Times New Roman"/>
          <w:sz w:val="24"/>
          <w:lang w:val="sr-Cyrl-CS"/>
        </w:rPr>
        <w:t xml:space="preserve"> </w:t>
      </w:r>
      <w:r w:rsidR="008D69AF" w:rsidRPr="005303F7">
        <w:rPr>
          <w:rFonts w:ascii="Times New Roman" w:hAnsi="Times New Roman"/>
          <w:sz w:val="24"/>
          <w:lang w:val="sr-Cyrl-CS"/>
        </w:rPr>
        <w:t>структуру</w:t>
      </w:r>
      <w:r w:rsidR="00F25B97" w:rsidRPr="005303F7">
        <w:rPr>
          <w:rFonts w:ascii="Times New Roman" w:hAnsi="Times New Roman"/>
          <w:sz w:val="24"/>
          <w:lang w:val="sr-Cyrl-CS"/>
        </w:rPr>
        <w:t xml:space="preserve"> </w:t>
      </w:r>
      <w:r w:rsidR="008D69AF" w:rsidRPr="005303F7">
        <w:rPr>
          <w:rFonts w:ascii="Times New Roman" w:hAnsi="Times New Roman"/>
          <w:sz w:val="24"/>
          <w:lang w:val="sr-Cyrl-CS"/>
        </w:rPr>
        <w:t>којом</w:t>
      </w:r>
      <w:r w:rsidR="00F25B97" w:rsidRPr="005303F7">
        <w:rPr>
          <w:rFonts w:ascii="Times New Roman" w:hAnsi="Times New Roman"/>
          <w:sz w:val="24"/>
          <w:lang w:val="sr-Cyrl-CS"/>
        </w:rPr>
        <w:t xml:space="preserve"> </w:t>
      </w:r>
      <w:r w:rsidR="008D69AF" w:rsidRPr="005303F7">
        <w:rPr>
          <w:rFonts w:ascii="Times New Roman" w:hAnsi="Times New Roman"/>
          <w:sz w:val="24"/>
          <w:lang w:val="sr-Cyrl-CS"/>
        </w:rPr>
        <w:t>доминирају</w:t>
      </w:r>
      <w:r w:rsidR="00F25B97" w:rsidRPr="005303F7">
        <w:rPr>
          <w:rFonts w:ascii="Times New Roman" w:hAnsi="Times New Roman"/>
          <w:sz w:val="24"/>
          <w:lang w:val="sr-Cyrl-CS"/>
        </w:rPr>
        <w:t xml:space="preserve"> </w:t>
      </w:r>
      <w:r w:rsidR="008D69AF" w:rsidRPr="005303F7">
        <w:rPr>
          <w:rFonts w:ascii="Times New Roman" w:hAnsi="Times New Roman"/>
          <w:sz w:val="24"/>
          <w:lang w:val="sr-Cyrl-CS"/>
        </w:rPr>
        <w:t>организације</w:t>
      </w:r>
      <w:r w:rsidR="00F25B97" w:rsidRPr="005303F7">
        <w:rPr>
          <w:rFonts w:ascii="Times New Roman" w:hAnsi="Times New Roman"/>
          <w:sz w:val="24"/>
          <w:lang w:val="sr-Cyrl-CS"/>
        </w:rPr>
        <w:t xml:space="preserve"> </w:t>
      </w:r>
      <w:r w:rsidR="008D69AF" w:rsidRPr="005303F7">
        <w:rPr>
          <w:rFonts w:ascii="Times New Roman" w:hAnsi="Times New Roman"/>
          <w:sz w:val="24"/>
          <w:lang w:val="sr-Cyrl-CS"/>
        </w:rPr>
        <w:t>јавне</w:t>
      </w:r>
      <w:r w:rsidR="00F25B97" w:rsidRPr="005303F7">
        <w:rPr>
          <w:rFonts w:ascii="Times New Roman" w:hAnsi="Times New Roman"/>
          <w:sz w:val="24"/>
          <w:lang w:val="sr-Cyrl-CS"/>
        </w:rPr>
        <w:t xml:space="preserve"> </w:t>
      </w:r>
      <w:r w:rsidR="008D69AF" w:rsidRPr="005303F7">
        <w:rPr>
          <w:rFonts w:ascii="Times New Roman" w:hAnsi="Times New Roman"/>
          <w:sz w:val="24"/>
          <w:lang w:val="sr-Cyrl-CS"/>
        </w:rPr>
        <w:t>управе</w:t>
      </w:r>
      <w:r w:rsidR="00F25B97" w:rsidRPr="005303F7">
        <w:rPr>
          <w:rFonts w:ascii="Times New Roman" w:hAnsi="Times New Roman"/>
          <w:sz w:val="24"/>
          <w:lang w:val="sr-Cyrl-CS"/>
        </w:rPr>
        <w:t>.</w:t>
      </w:r>
    </w:p>
    <w:p w14:paraId="274F3198" w14:textId="58009791" w:rsidR="00964DF0" w:rsidRPr="005303F7" w:rsidRDefault="00210E87" w:rsidP="00353B06">
      <w:pPr>
        <w:spacing w:before="0" w:after="0"/>
        <w:jc w:val="center"/>
        <w:rPr>
          <w:rFonts w:ascii="Times New Roman" w:hAnsi="Times New Roman"/>
          <w:lang w:val="sr-Cyrl-CS"/>
        </w:rPr>
      </w:pPr>
      <w:r w:rsidRPr="005303F7">
        <w:rPr>
          <w:rFonts w:ascii="Times New Roman" w:hAnsi="Times New Roman"/>
          <w:noProof/>
          <w:lang w:val="sr-Cyrl-CS" w:eastAsia="en-US"/>
        </w:rPr>
        <w:lastRenderedPageBreak/>
        <w:drawing>
          <wp:inline distT="0" distB="0" distL="0" distR="0" wp14:anchorId="29C38A44" wp14:editId="362356AE">
            <wp:extent cx="4948120" cy="2915728"/>
            <wp:effectExtent l="0" t="0" r="5080" b="18415"/>
            <wp:docPr id="16" name="Chart 16">
              <a:extLst xmlns:a="http://schemas.openxmlformats.org/drawingml/2006/main">
                <a:ext uri="{FF2B5EF4-FFF2-40B4-BE49-F238E27FC236}">
                  <a16:creationId xmlns:a16="http://schemas.microsoft.com/office/drawing/2014/main" id="{C2C8E894-E1D5-42FC-83EE-1AEC5C9F03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A543CF0" w14:textId="40237731" w:rsidR="00AF5117" w:rsidRPr="005303F7" w:rsidRDefault="008D69AF" w:rsidP="00353B06">
      <w:pPr>
        <w:keepNext/>
        <w:spacing w:before="0" w:after="0"/>
        <w:ind w:left="1134" w:hanging="1134"/>
        <w:jc w:val="center"/>
        <w:rPr>
          <w:rFonts w:ascii="Times New Roman" w:hAnsi="Times New Roman"/>
          <w:b/>
          <w:bCs/>
          <w:i/>
          <w:iCs/>
          <w:sz w:val="20"/>
          <w:szCs w:val="18"/>
          <w:lang w:val="sr-Cyrl-CS"/>
        </w:rPr>
      </w:pPr>
      <w:bookmarkStart w:id="418" w:name="_Toc26759712"/>
      <w:r w:rsidRPr="005303F7">
        <w:rPr>
          <w:rFonts w:ascii="Times New Roman" w:hAnsi="Times New Roman"/>
          <w:b/>
          <w:bCs/>
          <w:i/>
          <w:iCs/>
          <w:sz w:val="20"/>
          <w:szCs w:val="18"/>
          <w:lang w:val="sr-Cyrl-CS"/>
        </w:rPr>
        <w:t>Графикон</w:t>
      </w:r>
      <w:r w:rsidR="00BB0AA2" w:rsidRPr="005303F7">
        <w:rPr>
          <w:rFonts w:ascii="Times New Roman" w:hAnsi="Times New Roman"/>
          <w:b/>
          <w:bCs/>
          <w:i/>
          <w:iCs/>
          <w:sz w:val="20"/>
          <w:szCs w:val="18"/>
          <w:lang w:val="sr-Cyrl-CS"/>
        </w:rPr>
        <w:t xml:space="preserve"> 6</w:t>
      </w:r>
      <w:r w:rsidR="00AF5117"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Састав</w:t>
      </w:r>
      <w:r w:rsidR="00AF5117"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учесника</w:t>
      </w:r>
      <w:r w:rsidR="00AF5117"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састанка</w:t>
      </w:r>
      <w:r w:rsidR="00AF5117"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Радне</w:t>
      </w:r>
      <w:r w:rsidR="00AF5117" w:rsidRPr="005303F7">
        <w:rPr>
          <w:rFonts w:ascii="Times New Roman" w:hAnsi="Times New Roman"/>
          <w:b/>
          <w:bCs/>
          <w:i/>
          <w:iCs/>
          <w:sz w:val="20"/>
          <w:szCs w:val="18"/>
          <w:lang w:val="sr-Cyrl-CS"/>
        </w:rPr>
        <w:t xml:space="preserve"> </w:t>
      </w:r>
      <w:r w:rsidRPr="005303F7">
        <w:rPr>
          <w:rFonts w:ascii="Times New Roman" w:hAnsi="Times New Roman"/>
          <w:b/>
          <w:bCs/>
          <w:i/>
          <w:iCs/>
          <w:sz w:val="20"/>
          <w:szCs w:val="18"/>
          <w:lang w:val="sr-Cyrl-CS"/>
        </w:rPr>
        <w:t>груп</w:t>
      </w:r>
      <w:bookmarkEnd w:id="418"/>
      <w:r w:rsidRPr="005303F7">
        <w:rPr>
          <w:rFonts w:ascii="Times New Roman" w:hAnsi="Times New Roman"/>
          <w:b/>
          <w:bCs/>
          <w:i/>
          <w:iCs/>
          <w:sz w:val="20"/>
          <w:szCs w:val="18"/>
          <w:lang w:val="sr-Cyrl-CS"/>
        </w:rPr>
        <w:t>е</w:t>
      </w:r>
    </w:p>
    <w:p w14:paraId="729FE038" w14:textId="77777777" w:rsidR="0016106E" w:rsidRPr="005303F7" w:rsidRDefault="0016106E" w:rsidP="00353B06">
      <w:pPr>
        <w:spacing w:before="0" w:after="0"/>
        <w:rPr>
          <w:rFonts w:ascii="Times New Roman" w:hAnsi="Times New Roman"/>
          <w:lang w:val="sr-Cyrl-CS"/>
        </w:rPr>
      </w:pPr>
    </w:p>
    <w:p w14:paraId="3F3DDC6B" w14:textId="3E082522" w:rsidR="004B42BA" w:rsidRPr="005303F7" w:rsidRDefault="00CC6964" w:rsidP="00FA7573">
      <w:pPr>
        <w:rPr>
          <w:rFonts w:ascii="Times New Roman" w:hAnsi="Times New Roman"/>
          <w:sz w:val="24"/>
          <w:lang w:val="sr-Cyrl-CS"/>
        </w:rPr>
      </w:pPr>
      <w:r w:rsidRPr="005303F7">
        <w:rPr>
          <w:rFonts w:ascii="Times New Roman" w:hAnsi="Times New Roman"/>
          <w:sz w:val="24"/>
          <w:lang w:val="sr-Cyrl-CS"/>
        </w:rPr>
        <w:t xml:space="preserve">          </w:t>
      </w:r>
      <w:r w:rsidR="008D69AF" w:rsidRPr="005303F7">
        <w:rPr>
          <w:rFonts w:ascii="Times New Roman" w:hAnsi="Times New Roman"/>
          <w:sz w:val="24"/>
          <w:lang w:val="sr-Cyrl-CS"/>
        </w:rPr>
        <w:t>Ангажовање</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заинтересованих</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страна</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током</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процеса</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израде</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Стратегије</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омогу</w:t>
      </w:r>
      <w:r w:rsidR="00016298" w:rsidRPr="005303F7">
        <w:rPr>
          <w:rFonts w:ascii="Times New Roman" w:hAnsi="Times New Roman"/>
          <w:sz w:val="24"/>
          <w:lang w:val="sr-Cyrl-CS"/>
        </w:rPr>
        <w:t>ћ</w:t>
      </w:r>
      <w:r w:rsidR="008D69AF" w:rsidRPr="005303F7">
        <w:rPr>
          <w:rFonts w:ascii="Times New Roman" w:hAnsi="Times New Roman"/>
          <w:sz w:val="24"/>
          <w:lang w:val="sr-Cyrl-CS"/>
        </w:rPr>
        <w:t>ило</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је</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идентификовање</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к</w:t>
      </w:r>
      <w:r w:rsidR="00D553BE" w:rsidRPr="005303F7">
        <w:rPr>
          <w:rFonts w:ascii="Times New Roman" w:hAnsi="Times New Roman"/>
          <w:sz w:val="24"/>
          <w:lang w:val="sr-Cyrl-CS"/>
        </w:rPr>
        <w:t>љ</w:t>
      </w:r>
      <w:r w:rsidR="008D69AF" w:rsidRPr="005303F7">
        <w:rPr>
          <w:rFonts w:ascii="Times New Roman" w:hAnsi="Times New Roman"/>
          <w:sz w:val="24"/>
          <w:lang w:val="sr-Cyrl-CS"/>
        </w:rPr>
        <w:t>учних</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питања</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за</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различите</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профиле</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актера</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како</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из</w:t>
      </w:r>
      <w:r w:rsidR="00E873AC" w:rsidRPr="005303F7">
        <w:rPr>
          <w:rFonts w:ascii="Times New Roman" w:hAnsi="Times New Roman"/>
          <w:sz w:val="24"/>
          <w:lang w:val="sr-Cyrl-CS"/>
        </w:rPr>
        <w:t xml:space="preserve"> </w:t>
      </w:r>
      <w:r w:rsidR="008D69AF" w:rsidRPr="005303F7">
        <w:rPr>
          <w:rFonts w:ascii="Times New Roman" w:hAnsi="Times New Roman"/>
          <w:sz w:val="24"/>
          <w:lang w:val="sr-Cyrl-CS"/>
        </w:rPr>
        <w:t>јавног</w:t>
      </w:r>
      <w:r w:rsidR="00E873AC" w:rsidRPr="005303F7">
        <w:rPr>
          <w:rFonts w:ascii="Times New Roman" w:hAnsi="Times New Roman"/>
          <w:sz w:val="24"/>
          <w:lang w:val="sr-Cyrl-CS"/>
        </w:rPr>
        <w:t xml:space="preserve">, </w:t>
      </w:r>
      <w:r w:rsidR="008D69AF" w:rsidRPr="005303F7">
        <w:rPr>
          <w:rFonts w:ascii="Times New Roman" w:hAnsi="Times New Roman"/>
          <w:sz w:val="24"/>
          <w:lang w:val="sr-Cyrl-CS"/>
        </w:rPr>
        <w:t>тако</w:t>
      </w:r>
      <w:r w:rsidR="00E873AC" w:rsidRPr="005303F7">
        <w:rPr>
          <w:rFonts w:ascii="Times New Roman" w:hAnsi="Times New Roman"/>
          <w:sz w:val="24"/>
          <w:lang w:val="sr-Cyrl-CS"/>
        </w:rPr>
        <w:t xml:space="preserve"> </w:t>
      </w:r>
      <w:r w:rsidR="008D69AF" w:rsidRPr="005303F7">
        <w:rPr>
          <w:rFonts w:ascii="Times New Roman" w:hAnsi="Times New Roman"/>
          <w:sz w:val="24"/>
          <w:lang w:val="sr-Cyrl-CS"/>
        </w:rPr>
        <w:t>из</w:t>
      </w:r>
      <w:r w:rsidR="00E873AC" w:rsidRPr="005303F7">
        <w:rPr>
          <w:rFonts w:ascii="Times New Roman" w:hAnsi="Times New Roman"/>
          <w:sz w:val="24"/>
          <w:lang w:val="sr-Cyrl-CS"/>
        </w:rPr>
        <w:t xml:space="preserve"> </w:t>
      </w:r>
      <w:r w:rsidR="008D69AF" w:rsidRPr="005303F7">
        <w:rPr>
          <w:rFonts w:ascii="Times New Roman" w:hAnsi="Times New Roman"/>
          <w:sz w:val="24"/>
          <w:lang w:val="sr-Cyrl-CS"/>
        </w:rPr>
        <w:t>приватног</w:t>
      </w:r>
      <w:r w:rsidR="00E873AC" w:rsidRPr="005303F7">
        <w:rPr>
          <w:rFonts w:ascii="Times New Roman" w:hAnsi="Times New Roman"/>
          <w:sz w:val="24"/>
          <w:lang w:val="sr-Cyrl-CS"/>
        </w:rPr>
        <w:t xml:space="preserve"> </w:t>
      </w:r>
      <w:r w:rsidR="008D69AF" w:rsidRPr="005303F7">
        <w:rPr>
          <w:rFonts w:ascii="Times New Roman" w:hAnsi="Times New Roman"/>
          <w:sz w:val="24"/>
          <w:lang w:val="sr-Cyrl-CS"/>
        </w:rPr>
        <w:t>сектора</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Захва</w:t>
      </w:r>
      <w:r w:rsidR="00D553BE" w:rsidRPr="005303F7">
        <w:rPr>
          <w:rFonts w:ascii="Times New Roman" w:hAnsi="Times New Roman"/>
          <w:sz w:val="24"/>
          <w:lang w:val="sr-Cyrl-CS"/>
        </w:rPr>
        <w:t>љ</w:t>
      </w:r>
      <w:r w:rsidR="008D69AF" w:rsidRPr="005303F7">
        <w:rPr>
          <w:rFonts w:ascii="Times New Roman" w:hAnsi="Times New Roman"/>
          <w:sz w:val="24"/>
          <w:lang w:val="sr-Cyrl-CS"/>
        </w:rPr>
        <w:t>ујући</w:t>
      </w:r>
      <w:r w:rsidR="00F3760C" w:rsidRPr="005303F7">
        <w:rPr>
          <w:rFonts w:ascii="Times New Roman" w:hAnsi="Times New Roman"/>
          <w:sz w:val="24"/>
          <w:lang w:val="sr-Cyrl-CS"/>
        </w:rPr>
        <w:t xml:space="preserve"> </w:t>
      </w:r>
      <w:r w:rsidR="008D69AF" w:rsidRPr="005303F7">
        <w:rPr>
          <w:rFonts w:ascii="Times New Roman" w:hAnsi="Times New Roman"/>
          <w:sz w:val="24"/>
          <w:lang w:val="sr-Cyrl-CS"/>
        </w:rPr>
        <w:t>томе</w:t>
      </w:r>
      <w:r w:rsidR="00F3760C" w:rsidRPr="005303F7">
        <w:rPr>
          <w:rFonts w:ascii="Times New Roman" w:hAnsi="Times New Roman"/>
          <w:sz w:val="24"/>
          <w:lang w:val="sr-Cyrl-CS"/>
        </w:rPr>
        <w:t xml:space="preserve"> </w:t>
      </w:r>
      <w:r w:rsidR="008D69AF" w:rsidRPr="005303F7">
        <w:rPr>
          <w:rFonts w:ascii="Times New Roman" w:hAnsi="Times New Roman"/>
          <w:sz w:val="24"/>
          <w:lang w:val="sr-Cyrl-CS"/>
        </w:rPr>
        <w:t>су</w:t>
      </w:r>
      <w:r w:rsidR="00F3760C" w:rsidRPr="005303F7">
        <w:rPr>
          <w:rFonts w:ascii="Times New Roman" w:hAnsi="Times New Roman"/>
          <w:sz w:val="24"/>
          <w:lang w:val="sr-Cyrl-CS"/>
        </w:rPr>
        <w:t xml:space="preserve"> </w:t>
      </w:r>
      <w:r w:rsidR="008D69AF" w:rsidRPr="005303F7">
        <w:rPr>
          <w:rFonts w:ascii="Times New Roman" w:hAnsi="Times New Roman"/>
          <w:sz w:val="24"/>
          <w:lang w:val="sr-Cyrl-CS"/>
        </w:rPr>
        <w:t>најбитнији</w:t>
      </w:r>
      <w:r w:rsidR="00F3760C" w:rsidRPr="005303F7">
        <w:rPr>
          <w:rFonts w:ascii="Times New Roman" w:hAnsi="Times New Roman"/>
          <w:sz w:val="24"/>
          <w:lang w:val="sr-Cyrl-CS"/>
        </w:rPr>
        <w:t xml:space="preserve"> </w:t>
      </w:r>
      <w:r w:rsidR="008D69AF" w:rsidRPr="005303F7">
        <w:rPr>
          <w:rFonts w:ascii="Times New Roman" w:hAnsi="Times New Roman"/>
          <w:sz w:val="24"/>
          <w:lang w:val="sr-Cyrl-CS"/>
        </w:rPr>
        <w:t>елементи</w:t>
      </w:r>
      <w:r w:rsidR="00BC1C4C" w:rsidRPr="005303F7">
        <w:rPr>
          <w:rFonts w:ascii="Times New Roman" w:hAnsi="Times New Roman"/>
          <w:sz w:val="24"/>
          <w:lang w:val="sr-Cyrl-CS"/>
        </w:rPr>
        <w:t xml:space="preserve"> </w:t>
      </w:r>
      <w:r w:rsidR="008D69AF" w:rsidRPr="005303F7">
        <w:rPr>
          <w:rFonts w:ascii="Times New Roman" w:hAnsi="Times New Roman"/>
          <w:sz w:val="24"/>
          <w:lang w:val="sr-Cyrl-CS"/>
        </w:rPr>
        <w:t>за</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сваког</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од</w:t>
      </w:r>
      <w:r w:rsidR="00BC1C4C" w:rsidRPr="005303F7">
        <w:rPr>
          <w:rFonts w:ascii="Times New Roman" w:hAnsi="Times New Roman"/>
          <w:sz w:val="24"/>
          <w:lang w:val="sr-Cyrl-CS"/>
        </w:rPr>
        <w:t xml:space="preserve"> </w:t>
      </w:r>
      <w:r w:rsidR="008D69AF" w:rsidRPr="005303F7">
        <w:rPr>
          <w:rFonts w:ascii="Times New Roman" w:hAnsi="Times New Roman"/>
          <w:sz w:val="24"/>
          <w:lang w:val="sr-Cyrl-CS"/>
        </w:rPr>
        <w:t>актера</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ук</w:t>
      </w:r>
      <w:r w:rsidR="00D553BE" w:rsidRPr="005303F7">
        <w:rPr>
          <w:rFonts w:ascii="Times New Roman" w:hAnsi="Times New Roman"/>
          <w:sz w:val="24"/>
          <w:lang w:val="sr-Cyrl-CS"/>
        </w:rPr>
        <w:t>љ</w:t>
      </w:r>
      <w:r w:rsidR="008D69AF" w:rsidRPr="005303F7">
        <w:rPr>
          <w:rFonts w:ascii="Times New Roman" w:hAnsi="Times New Roman"/>
          <w:sz w:val="24"/>
          <w:lang w:val="sr-Cyrl-CS"/>
        </w:rPr>
        <w:t>учени</w:t>
      </w:r>
      <w:r w:rsidR="00F3760C"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обав</w:t>
      </w:r>
      <w:r w:rsidR="00D553BE" w:rsidRPr="005303F7">
        <w:rPr>
          <w:rFonts w:ascii="Times New Roman" w:hAnsi="Times New Roman"/>
          <w:sz w:val="24"/>
          <w:lang w:val="sr-Cyrl-CS"/>
        </w:rPr>
        <w:t>љ</w:t>
      </w:r>
      <w:r w:rsidR="008D69AF" w:rsidRPr="005303F7">
        <w:rPr>
          <w:rFonts w:ascii="Times New Roman" w:hAnsi="Times New Roman"/>
          <w:sz w:val="24"/>
          <w:lang w:val="sr-Cyrl-CS"/>
        </w:rPr>
        <w:t>ени</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аналитички</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рад</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дефинисани</w:t>
      </w:r>
      <w:r w:rsidR="00F3760C" w:rsidRPr="005303F7">
        <w:rPr>
          <w:rFonts w:ascii="Times New Roman" w:hAnsi="Times New Roman"/>
          <w:sz w:val="24"/>
          <w:lang w:val="sr-Cyrl-CS"/>
        </w:rPr>
        <w:t xml:space="preserve"> </w:t>
      </w:r>
      <w:r w:rsidR="008D69AF" w:rsidRPr="005303F7">
        <w:rPr>
          <w:rFonts w:ascii="Times New Roman" w:hAnsi="Times New Roman"/>
          <w:sz w:val="24"/>
          <w:lang w:val="sr-Cyrl-CS"/>
        </w:rPr>
        <w:t>су</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предлози</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који</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најве</w:t>
      </w:r>
      <w:r w:rsidR="00016298" w:rsidRPr="005303F7">
        <w:rPr>
          <w:rFonts w:ascii="Times New Roman" w:hAnsi="Times New Roman"/>
          <w:sz w:val="24"/>
          <w:lang w:val="sr-Cyrl-CS"/>
        </w:rPr>
        <w:t>ћ</w:t>
      </w:r>
      <w:r w:rsidR="008D69AF" w:rsidRPr="005303F7">
        <w:rPr>
          <w:rFonts w:ascii="Times New Roman" w:hAnsi="Times New Roman"/>
          <w:sz w:val="24"/>
          <w:lang w:val="sr-Cyrl-CS"/>
        </w:rPr>
        <w:t>ој</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могу</w:t>
      </w:r>
      <w:r w:rsidR="00016298" w:rsidRPr="005303F7">
        <w:rPr>
          <w:rFonts w:ascii="Times New Roman" w:hAnsi="Times New Roman"/>
          <w:sz w:val="24"/>
          <w:lang w:val="sr-Cyrl-CS"/>
        </w:rPr>
        <w:t>ћ</w:t>
      </w:r>
      <w:r w:rsidR="008D69AF" w:rsidRPr="005303F7">
        <w:rPr>
          <w:rFonts w:ascii="Times New Roman" w:hAnsi="Times New Roman"/>
          <w:sz w:val="24"/>
          <w:lang w:val="sr-Cyrl-CS"/>
        </w:rPr>
        <w:t>ој</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мери</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узимају</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обзир</w:t>
      </w:r>
      <w:r w:rsidR="004B42BA" w:rsidRPr="005303F7">
        <w:rPr>
          <w:rFonts w:ascii="Times New Roman" w:hAnsi="Times New Roman"/>
          <w:sz w:val="24"/>
          <w:lang w:val="sr-Cyrl-CS"/>
        </w:rPr>
        <w:t xml:space="preserve"> </w:t>
      </w:r>
      <w:r w:rsidR="008D69AF" w:rsidRPr="005303F7">
        <w:rPr>
          <w:rFonts w:ascii="Times New Roman" w:hAnsi="Times New Roman"/>
          <w:sz w:val="24"/>
          <w:lang w:val="sr-Cyrl-CS"/>
        </w:rPr>
        <w:t>различите</w:t>
      </w:r>
      <w:r w:rsidR="00BC1C4C" w:rsidRPr="005303F7">
        <w:rPr>
          <w:rFonts w:ascii="Times New Roman" w:hAnsi="Times New Roman"/>
          <w:sz w:val="24"/>
          <w:lang w:val="sr-Cyrl-CS"/>
        </w:rPr>
        <w:t xml:space="preserve"> </w:t>
      </w:r>
      <w:r w:rsidR="008D69AF" w:rsidRPr="005303F7">
        <w:rPr>
          <w:rFonts w:ascii="Times New Roman" w:hAnsi="Times New Roman"/>
          <w:sz w:val="24"/>
          <w:lang w:val="sr-Cyrl-CS"/>
        </w:rPr>
        <w:t>интересе</w:t>
      </w:r>
      <w:r w:rsidR="00BC1C4C" w:rsidRPr="005303F7">
        <w:rPr>
          <w:rFonts w:ascii="Times New Roman" w:hAnsi="Times New Roman"/>
          <w:sz w:val="24"/>
          <w:lang w:val="sr-Cyrl-CS"/>
        </w:rPr>
        <w:t xml:space="preserve"> </w:t>
      </w:r>
      <w:r w:rsidR="008D69AF" w:rsidRPr="005303F7">
        <w:rPr>
          <w:rFonts w:ascii="Times New Roman" w:hAnsi="Times New Roman"/>
          <w:sz w:val="24"/>
          <w:lang w:val="sr-Cyrl-CS"/>
        </w:rPr>
        <w:t>различитих</w:t>
      </w:r>
      <w:r w:rsidR="00BC1C4C" w:rsidRPr="005303F7">
        <w:rPr>
          <w:rFonts w:ascii="Times New Roman" w:hAnsi="Times New Roman"/>
          <w:sz w:val="24"/>
          <w:lang w:val="sr-Cyrl-CS"/>
        </w:rPr>
        <w:t xml:space="preserve"> </w:t>
      </w:r>
      <w:r w:rsidR="008D69AF" w:rsidRPr="005303F7">
        <w:rPr>
          <w:rFonts w:ascii="Times New Roman" w:hAnsi="Times New Roman"/>
          <w:sz w:val="24"/>
          <w:lang w:val="sr-Cyrl-CS"/>
        </w:rPr>
        <w:t>заинтересованих</w:t>
      </w:r>
      <w:r w:rsidR="00BC1C4C" w:rsidRPr="005303F7">
        <w:rPr>
          <w:rFonts w:ascii="Times New Roman" w:hAnsi="Times New Roman"/>
          <w:sz w:val="24"/>
          <w:lang w:val="sr-Cyrl-CS"/>
        </w:rPr>
        <w:t xml:space="preserve"> </w:t>
      </w:r>
      <w:r w:rsidR="008D69AF" w:rsidRPr="005303F7">
        <w:rPr>
          <w:rFonts w:ascii="Times New Roman" w:hAnsi="Times New Roman"/>
          <w:sz w:val="24"/>
          <w:lang w:val="sr-Cyrl-CS"/>
        </w:rPr>
        <w:t>страна</w:t>
      </w:r>
      <w:r w:rsidR="004B42BA" w:rsidRPr="005303F7">
        <w:rPr>
          <w:rFonts w:ascii="Times New Roman" w:hAnsi="Times New Roman"/>
          <w:sz w:val="24"/>
          <w:lang w:val="sr-Cyrl-CS"/>
        </w:rPr>
        <w:t>.</w:t>
      </w:r>
    </w:p>
    <w:p w14:paraId="70F8149C" w14:textId="2F5E4748" w:rsidR="00FA7573" w:rsidRPr="005303F7" w:rsidRDefault="00CC6964" w:rsidP="00FA7573">
      <w:pPr>
        <w:rPr>
          <w:rFonts w:ascii="Times New Roman" w:hAnsi="Times New Roman"/>
          <w:sz w:val="24"/>
          <w:lang w:val="sr-Cyrl-CS"/>
        </w:rPr>
      </w:pPr>
      <w:r w:rsidRPr="005303F7">
        <w:rPr>
          <w:rFonts w:ascii="Times New Roman" w:hAnsi="Times New Roman"/>
          <w:sz w:val="24"/>
          <w:lang w:val="sr-Cyrl-CS"/>
        </w:rPr>
        <w:t xml:space="preserve">         </w:t>
      </w:r>
      <w:r w:rsidR="008D69AF" w:rsidRPr="005303F7">
        <w:rPr>
          <w:rFonts w:ascii="Times New Roman" w:hAnsi="Times New Roman"/>
          <w:sz w:val="24"/>
          <w:lang w:val="sr-Cyrl-CS"/>
        </w:rPr>
        <w:t>На</w:t>
      </w:r>
      <w:r w:rsidR="002C1CEB" w:rsidRPr="005303F7">
        <w:rPr>
          <w:rFonts w:ascii="Times New Roman" w:hAnsi="Times New Roman"/>
          <w:sz w:val="24"/>
          <w:lang w:val="sr-Cyrl-CS"/>
        </w:rPr>
        <w:t xml:space="preserve"> </w:t>
      </w:r>
      <w:r w:rsidR="008D69AF" w:rsidRPr="005303F7">
        <w:rPr>
          <w:rFonts w:ascii="Times New Roman" w:hAnsi="Times New Roman"/>
          <w:sz w:val="24"/>
          <w:lang w:val="sr-Cyrl-CS"/>
        </w:rPr>
        <w:t>тај</w:t>
      </w:r>
      <w:r w:rsidR="002C1CEB" w:rsidRPr="005303F7">
        <w:rPr>
          <w:rFonts w:ascii="Times New Roman" w:hAnsi="Times New Roman"/>
          <w:sz w:val="24"/>
          <w:lang w:val="sr-Cyrl-CS"/>
        </w:rPr>
        <w:t xml:space="preserve"> </w:t>
      </w:r>
      <w:r w:rsidR="008D69AF" w:rsidRPr="005303F7">
        <w:rPr>
          <w:rFonts w:ascii="Times New Roman" w:hAnsi="Times New Roman"/>
          <w:sz w:val="24"/>
          <w:lang w:val="sr-Cyrl-CS"/>
        </w:rPr>
        <w:t>начин</w:t>
      </w:r>
      <w:r w:rsidR="002C1CEB" w:rsidRPr="005303F7">
        <w:rPr>
          <w:rFonts w:ascii="Times New Roman" w:hAnsi="Times New Roman"/>
          <w:sz w:val="24"/>
          <w:lang w:val="sr-Cyrl-CS"/>
        </w:rPr>
        <w:t xml:space="preserve"> </w:t>
      </w:r>
      <w:r w:rsidR="008D69AF" w:rsidRPr="005303F7">
        <w:rPr>
          <w:rFonts w:ascii="Times New Roman" w:hAnsi="Times New Roman"/>
          <w:sz w:val="24"/>
          <w:lang w:val="sr-Cyrl-CS"/>
        </w:rPr>
        <w:t>је</w:t>
      </w:r>
      <w:r w:rsidR="002C1CEB" w:rsidRPr="005303F7">
        <w:rPr>
          <w:rFonts w:ascii="Times New Roman" w:hAnsi="Times New Roman"/>
          <w:sz w:val="24"/>
          <w:lang w:val="sr-Cyrl-CS"/>
        </w:rPr>
        <w:t xml:space="preserve"> </w:t>
      </w:r>
      <w:r w:rsidR="008D69AF" w:rsidRPr="005303F7">
        <w:rPr>
          <w:rFonts w:ascii="Times New Roman" w:hAnsi="Times New Roman"/>
          <w:sz w:val="24"/>
          <w:lang w:val="sr-Cyrl-CS"/>
        </w:rPr>
        <w:t>редовно</w:t>
      </w:r>
      <w:r w:rsidR="002C1CEB" w:rsidRPr="005303F7">
        <w:rPr>
          <w:rFonts w:ascii="Times New Roman" w:hAnsi="Times New Roman"/>
          <w:sz w:val="24"/>
          <w:lang w:val="sr-Cyrl-CS"/>
        </w:rPr>
        <w:t xml:space="preserve"> </w:t>
      </w:r>
      <w:r w:rsidR="008D69AF" w:rsidRPr="005303F7">
        <w:rPr>
          <w:rFonts w:ascii="Times New Roman" w:hAnsi="Times New Roman"/>
          <w:sz w:val="24"/>
          <w:lang w:val="sr-Cyrl-CS"/>
        </w:rPr>
        <w:t>ангажовање</w:t>
      </w:r>
      <w:r w:rsidR="002C1CEB" w:rsidRPr="005303F7">
        <w:rPr>
          <w:rFonts w:ascii="Times New Roman" w:hAnsi="Times New Roman"/>
          <w:sz w:val="24"/>
          <w:lang w:val="sr-Cyrl-CS"/>
        </w:rPr>
        <w:t xml:space="preserve"> </w:t>
      </w:r>
      <w:r w:rsidR="008D69AF" w:rsidRPr="005303F7">
        <w:rPr>
          <w:rFonts w:ascii="Times New Roman" w:hAnsi="Times New Roman"/>
          <w:sz w:val="24"/>
          <w:lang w:val="sr-Cyrl-CS"/>
        </w:rPr>
        <w:t>к</w:t>
      </w:r>
      <w:r w:rsidR="00D553BE" w:rsidRPr="005303F7">
        <w:rPr>
          <w:rFonts w:ascii="Times New Roman" w:hAnsi="Times New Roman"/>
          <w:sz w:val="24"/>
          <w:lang w:val="sr-Cyrl-CS"/>
        </w:rPr>
        <w:t>љ</w:t>
      </w:r>
      <w:r w:rsidR="008D69AF" w:rsidRPr="005303F7">
        <w:rPr>
          <w:rFonts w:ascii="Times New Roman" w:hAnsi="Times New Roman"/>
          <w:sz w:val="24"/>
          <w:lang w:val="sr-Cyrl-CS"/>
        </w:rPr>
        <w:t>учних</w:t>
      </w:r>
      <w:r w:rsidR="002C1CEB" w:rsidRPr="005303F7">
        <w:rPr>
          <w:rFonts w:ascii="Times New Roman" w:hAnsi="Times New Roman"/>
          <w:sz w:val="24"/>
          <w:lang w:val="sr-Cyrl-CS"/>
        </w:rPr>
        <w:t xml:space="preserve"> </w:t>
      </w:r>
      <w:r w:rsidR="008D69AF" w:rsidRPr="005303F7">
        <w:rPr>
          <w:rFonts w:ascii="Times New Roman" w:hAnsi="Times New Roman"/>
          <w:sz w:val="24"/>
          <w:lang w:val="sr-Cyrl-CS"/>
        </w:rPr>
        <w:t>актера</w:t>
      </w:r>
      <w:r w:rsidR="002C1CEB" w:rsidRPr="005303F7">
        <w:rPr>
          <w:rFonts w:ascii="Times New Roman" w:hAnsi="Times New Roman"/>
          <w:sz w:val="24"/>
          <w:lang w:val="sr-Cyrl-CS"/>
        </w:rPr>
        <w:t xml:space="preserve"> </w:t>
      </w:r>
      <w:r w:rsidR="008D69AF" w:rsidRPr="005303F7">
        <w:rPr>
          <w:rFonts w:ascii="Times New Roman" w:hAnsi="Times New Roman"/>
          <w:sz w:val="24"/>
          <w:lang w:val="sr-Cyrl-CS"/>
        </w:rPr>
        <w:t>омогу</w:t>
      </w:r>
      <w:r w:rsidR="00016298" w:rsidRPr="005303F7">
        <w:rPr>
          <w:rFonts w:ascii="Times New Roman" w:hAnsi="Times New Roman"/>
          <w:sz w:val="24"/>
          <w:lang w:val="sr-Cyrl-CS"/>
        </w:rPr>
        <w:t>ћ</w:t>
      </w:r>
      <w:r w:rsidR="008D69AF" w:rsidRPr="005303F7">
        <w:rPr>
          <w:rFonts w:ascii="Times New Roman" w:hAnsi="Times New Roman"/>
          <w:sz w:val="24"/>
          <w:lang w:val="sr-Cyrl-CS"/>
        </w:rPr>
        <w:t>ило</w:t>
      </w:r>
      <w:r w:rsidR="002C1CEB" w:rsidRPr="005303F7">
        <w:rPr>
          <w:rFonts w:ascii="Times New Roman" w:hAnsi="Times New Roman"/>
          <w:sz w:val="24"/>
          <w:lang w:val="sr-Cyrl-CS"/>
        </w:rPr>
        <w:t xml:space="preserve"> </w:t>
      </w:r>
      <w:r w:rsidR="008D69AF" w:rsidRPr="005303F7">
        <w:rPr>
          <w:rFonts w:ascii="Times New Roman" w:hAnsi="Times New Roman"/>
          <w:sz w:val="24"/>
          <w:lang w:val="sr-Cyrl-CS"/>
        </w:rPr>
        <w:t>прихватање</w:t>
      </w:r>
      <w:r w:rsidR="002C1CEB" w:rsidRPr="005303F7">
        <w:rPr>
          <w:rFonts w:ascii="Times New Roman" w:hAnsi="Times New Roman"/>
          <w:sz w:val="24"/>
          <w:lang w:val="sr-Cyrl-CS"/>
        </w:rPr>
        <w:t xml:space="preserve"> </w:t>
      </w:r>
      <w:r w:rsidR="008D69AF" w:rsidRPr="005303F7">
        <w:rPr>
          <w:rFonts w:ascii="Times New Roman" w:hAnsi="Times New Roman"/>
          <w:sz w:val="24"/>
          <w:lang w:val="sr-Cyrl-CS"/>
        </w:rPr>
        <w:t>предлога</w:t>
      </w:r>
      <w:r w:rsidR="002C1CEB" w:rsidRPr="005303F7">
        <w:rPr>
          <w:rFonts w:ascii="Times New Roman" w:hAnsi="Times New Roman"/>
          <w:sz w:val="24"/>
          <w:lang w:val="sr-Cyrl-CS"/>
        </w:rPr>
        <w:t xml:space="preserve"> </w:t>
      </w:r>
      <w:r w:rsidR="008D69AF" w:rsidRPr="005303F7">
        <w:rPr>
          <w:rFonts w:ascii="Times New Roman" w:hAnsi="Times New Roman"/>
          <w:sz w:val="24"/>
          <w:lang w:val="sr-Cyrl-CS"/>
        </w:rPr>
        <w:t>свих</w:t>
      </w:r>
      <w:r w:rsidR="002C1CEB" w:rsidRPr="005303F7">
        <w:rPr>
          <w:rFonts w:ascii="Times New Roman" w:hAnsi="Times New Roman"/>
          <w:sz w:val="24"/>
          <w:lang w:val="sr-Cyrl-CS"/>
        </w:rPr>
        <w:t xml:space="preserve"> </w:t>
      </w:r>
      <w:r w:rsidR="008D69AF" w:rsidRPr="005303F7">
        <w:rPr>
          <w:rFonts w:ascii="Times New Roman" w:hAnsi="Times New Roman"/>
          <w:sz w:val="24"/>
          <w:lang w:val="sr-Cyrl-CS"/>
        </w:rPr>
        <w:t>страна</w:t>
      </w:r>
      <w:r w:rsidR="002C1CEB" w:rsidRPr="005303F7">
        <w:rPr>
          <w:rFonts w:ascii="Times New Roman" w:hAnsi="Times New Roman"/>
          <w:sz w:val="24"/>
          <w:lang w:val="sr-Cyrl-CS"/>
        </w:rPr>
        <w:t xml:space="preserve"> </w:t>
      </w:r>
      <w:r w:rsidR="008D69AF" w:rsidRPr="005303F7">
        <w:rPr>
          <w:rFonts w:ascii="Times New Roman" w:hAnsi="Times New Roman"/>
          <w:sz w:val="24"/>
          <w:lang w:val="sr-Cyrl-CS"/>
        </w:rPr>
        <w:t>ук</w:t>
      </w:r>
      <w:r w:rsidR="00D553BE" w:rsidRPr="005303F7">
        <w:rPr>
          <w:rFonts w:ascii="Times New Roman" w:hAnsi="Times New Roman"/>
          <w:sz w:val="24"/>
          <w:lang w:val="sr-Cyrl-CS"/>
        </w:rPr>
        <w:t>љ</w:t>
      </w:r>
      <w:r w:rsidR="008D69AF" w:rsidRPr="005303F7">
        <w:rPr>
          <w:rFonts w:ascii="Times New Roman" w:hAnsi="Times New Roman"/>
          <w:sz w:val="24"/>
          <w:lang w:val="sr-Cyrl-CS"/>
        </w:rPr>
        <w:t>учених</w:t>
      </w:r>
      <w:r w:rsidR="002C1CEB"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2C1CEB" w:rsidRPr="005303F7">
        <w:rPr>
          <w:rFonts w:ascii="Times New Roman" w:hAnsi="Times New Roman"/>
          <w:sz w:val="24"/>
          <w:lang w:val="sr-Cyrl-CS"/>
        </w:rPr>
        <w:t xml:space="preserve"> </w:t>
      </w:r>
      <w:r w:rsidR="008D69AF" w:rsidRPr="005303F7">
        <w:rPr>
          <w:rFonts w:ascii="Times New Roman" w:hAnsi="Times New Roman"/>
          <w:sz w:val="24"/>
          <w:lang w:val="sr-Cyrl-CS"/>
        </w:rPr>
        <w:t>израду</w:t>
      </w:r>
      <w:r w:rsidR="00D24217" w:rsidRPr="005303F7">
        <w:rPr>
          <w:rFonts w:ascii="Times New Roman" w:hAnsi="Times New Roman"/>
          <w:sz w:val="24"/>
          <w:lang w:val="sr-Cyrl-CS"/>
        </w:rPr>
        <w:t xml:space="preserve"> </w:t>
      </w:r>
      <w:r w:rsidR="008D69AF" w:rsidRPr="005303F7">
        <w:rPr>
          <w:rFonts w:ascii="Times New Roman" w:hAnsi="Times New Roman"/>
          <w:sz w:val="24"/>
          <w:lang w:val="sr-Cyrl-CS"/>
        </w:rPr>
        <w:t>Стратегије</w:t>
      </w:r>
      <w:r w:rsidR="002C1CEB" w:rsidRPr="005303F7">
        <w:rPr>
          <w:rFonts w:ascii="Times New Roman" w:hAnsi="Times New Roman"/>
          <w:sz w:val="24"/>
          <w:lang w:val="sr-Cyrl-CS"/>
        </w:rPr>
        <w:t>.</w:t>
      </w:r>
    </w:p>
    <w:p w14:paraId="4ADF98E4" w14:textId="1BA0E9B5" w:rsidR="00741FC8" w:rsidRPr="005303F7" w:rsidRDefault="00CC6964" w:rsidP="00FA7573">
      <w:pPr>
        <w:rPr>
          <w:rFonts w:ascii="Times New Roman" w:hAnsi="Times New Roman"/>
          <w:sz w:val="24"/>
          <w:lang w:val="sr-Cyrl-CS"/>
        </w:rPr>
      </w:pPr>
      <w:r w:rsidRPr="005303F7">
        <w:rPr>
          <w:rFonts w:ascii="Times New Roman" w:hAnsi="Times New Roman"/>
          <w:sz w:val="24"/>
          <w:lang w:val="sr-Cyrl-CS"/>
        </w:rPr>
        <w:t xml:space="preserve">         </w:t>
      </w:r>
      <w:r w:rsidR="004D7862" w:rsidRPr="005303F7">
        <w:rPr>
          <w:rFonts w:ascii="Times New Roman" w:hAnsi="Times New Roman"/>
          <w:sz w:val="24"/>
          <w:lang w:val="sr-Cyrl-CS"/>
        </w:rPr>
        <w:t>С</w:t>
      </w:r>
      <w:r w:rsidR="008D69AF" w:rsidRPr="005303F7">
        <w:rPr>
          <w:rFonts w:ascii="Times New Roman" w:hAnsi="Times New Roman"/>
          <w:sz w:val="24"/>
          <w:lang w:val="sr-Cyrl-CS"/>
        </w:rPr>
        <w:t>адржај</w:t>
      </w:r>
      <w:r w:rsidR="00DF45AC" w:rsidRPr="005303F7">
        <w:rPr>
          <w:rFonts w:ascii="Times New Roman" w:hAnsi="Times New Roman"/>
          <w:sz w:val="24"/>
          <w:lang w:val="sr-Cyrl-CS"/>
        </w:rPr>
        <w:t xml:space="preserve"> </w:t>
      </w:r>
      <w:r w:rsidR="008D69AF" w:rsidRPr="005303F7">
        <w:rPr>
          <w:rFonts w:ascii="Times New Roman" w:hAnsi="Times New Roman"/>
          <w:sz w:val="24"/>
          <w:lang w:val="sr-Cyrl-CS"/>
        </w:rPr>
        <w:t>к</w:t>
      </w:r>
      <w:r w:rsidR="00D553BE" w:rsidRPr="005303F7">
        <w:rPr>
          <w:rFonts w:ascii="Times New Roman" w:hAnsi="Times New Roman"/>
          <w:sz w:val="24"/>
          <w:lang w:val="sr-Cyrl-CS"/>
        </w:rPr>
        <w:t>љ</w:t>
      </w:r>
      <w:r w:rsidR="008D69AF" w:rsidRPr="005303F7">
        <w:rPr>
          <w:rFonts w:ascii="Times New Roman" w:hAnsi="Times New Roman"/>
          <w:sz w:val="24"/>
          <w:lang w:val="sr-Cyrl-CS"/>
        </w:rPr>
        <w:t>учних</w:t>
      </w:r>
      <w:r w:rsidR="00DF45AC" w:rsidRPr="005303F7">
        <w:rPr>
          <w:rFonts w:ascii="Times New Roman" w:hAnsi="Times New Roman"/>
          <w:sz w:val="24"/>
          <w:lang w:val="sr-Cyrl-CS"/>
        </w:rPr>
        <w:t xml:space="preserve"> </w:t>
      </w:r>
      <w:r w:rsidR="008D69AF" w:rsidRPr="005303F7">
        <w:rPr>
          <w:rFonts w:ascii="Times New Roman" w:hAnsi="Times New Roman"/>
          <w:sz w:val="24"/>
          <w:lang w:val="sr-Cyrl-CS"/>
        </w:rPr>
        <w:t>питања</w:t>
      </w:r>
      <w:r w:rsidR="00DF45AC" w:rsidRPr="005303F7">
        <w:rPr>
          <w:rFonts w:ascii="Times New Roman" w:hAnsi="Times New Roman"/>
          <w:sz w:val="24"/>
          <w:lang w:val="sr-Cyrl-CS"/>
        </w:rPr>
        <w:t xml:space="preserve"> </w:t>
      </w:r>
      <w:r w:rsidR="008D69AF" w:rsidRPr="005303F7">
        <w:rPr>
          <w:rFonts w:ascii="Times New Roman" w:hAnsi="Times New Roman"/>
          <w:sz w:val="24"/>
          <w:lang w:val="sr-Cyrl-CS"/>
        </w:rPr>
        <w:t>које</w:t>
      </w:r>
      <w:r w:rsidR="00DF45AC" w:rsidRPr="005303F7">
        <w:rPr>
          <w:rFonts w:ascii="Times New Roman" w:hAnsi="Times New Roman"/>
          <w:sz w:val="24"/>
          <w:lang w:val="sr-Cyrl-CS"/>
        </w:rPr>
        <w:t xml:space="preserve"> </w:t>
      </w:r>
      <w:r w:rsidR="008D69AF" w:rsidRPr="005303F7">
        <w:rPr>
          <w:rFonts w:ascii="Times New Roman" w:hAnsi="Times New Roman"/>
          <w:sz w:val="24"/>
          <w:lang w:val="sr-Cyrl-CS"/>
        </w:rPr>
        <w:t>су</w:t>
      </w:r>
      <w:r w:rsidR="00DF45AC" w:rsidRPr="005303F7">
        <w:rPr>
          <w:rFonts w:ascii="Times New Roman" w:hAnsi="Times New Roman"/>
          <w:sz w:val="24"/>
          <w:lang w:val="sr-Cyrl-CS"/>
        </w:rPr>
        <w:t xml:space="preserve"> </w:t>
      </w:r>
      <w:r w:rsidR="008D69AF" w:rsidRPr="005303F7">
        <w:rPr>
          <w:rFonts w:ascii="Times New Roman" w:hAnsi="Times New Roman"/>
          <w:sz w:val="24"/>
          <w:lang w:val="sr-Cyrl-CS"/>
        </w:rPr>
        <w:t>поставиле</w:t>
      </w:r>
      <w:r w:rsidR="00DF45AC" w:rsidRPr="005303F7">
        <w:rPr>
          <w:rFonts w:ascii="Times New Roman" w:hAnsi="Times New Roman"/>
          <w:sz w:val="24"/>
          <w:lang w:val="sr-Cyrl-CS"/>
        </w:rPr>
        <w:t xml:space="preserve"> </w:t>
      </w:r>
      <w:r w:rsidR="008D69AF" w:rsidRPr="005303F7">
        <w:rPr>
          <w:rFonts w:ascii="Times New Roman" w:hAnsi="Times New Roman"/>
          <w:sz w:val="24"/>
          <w:lang w:val="sr-Cyrl-CS"/>
        </w:rPr>
        <w:t>заинтересоване</w:t>
      </w:r>
      <w:r w:rsidR="00DF45AC" w:rsidRPr="005303F7">
        <w:rPr>
          <w:rFonts w:ascii="Times New Roman" w:hAnsi="Times New Roman"/>
          <w:sz w:val="24"/>
          <w:lang w:val="sr-Cyrl-CS"/>
        </w:rPr>
        <w:t xml:space="preserve"> </w:t>
      </w:r>
      <w:r w:rsidR="008D69AF" w:rsidRPr="005303F7">
        <w:rPr>
          <w:rFonts w:ascii="Times New Roman" w:hAnsi="Times New Roman"/>
          <w:sz w:val="24"/>
          <w:lang w:val="sr-Cyrl-CS"/>
        </w:rPr>
        <w:t>стране</w:t>
      </w:r>
      <w:r w:rsidR="00DF45AC"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DF45AC" w:rsidRPr="005303F7">
        <w:rPr>
          <w:rFonts w:ascii="Times New Roman" w:hAnsi="Times New Roman"/>
          <w:sz w:val="24"/>
          <w:lang w:val="sr-Cyrl-CS"/>
        </w:rPr>
        <w:t xml:space="preserve"> </w:t>
      </w:r>
      <w:r w:rsidR="008D69AF" w:rsidRPr="005303F7">
        <w:rPr>
          <w:rFonts w:ascii="Times New Roman" w:hAnsi="Times New Roman"/>
          <w:sz w:val="24"/>
          <w:lang w:val="sr-Cyrl-CS"/>
        </w:rPr>
        <w:t>онлајн</w:t>
      </w:r>
      <w:r w:rsidR="00DF45AC" w:rsidRPr="005303F7">
        <w:rPr>
          <w:rFonts w:ascii="Times New Roman" w:hAnsi="Times New Roman"/>
          <w:sz w:val="24"/>
          <w:lang w:val="sr-Cyrl-CS"/>
        </w:rPr>
        <w:t xml:space="preserve"> </w:t>
      </w:r>
      <w:r w:rsidR="008D69AF" w:rsidRPr="005303F7">
        <w:rPr>
          <w:rFonts w:ascii="Times New Roman" w:hAnsi="Times New Roman"/>
          <w:sz w:val="24"/>
          <w:lang w:val="sr-Cyrl-CS"/>
        </w:rPr>
        <w:t>поступку</w:t>
      </w:r>
      <w:r w:rsidR="00DF45AC" w:rsidRPr="005303F7">
        <w:rPr>
          <w:rFonts w:ascii="Times New Roman" w:hAnsi="Times New Roman"/>
          <w:sz w:val="24"/>
          <w:lang w:val="sr-Cyrl-CS"/>
        </w:rPr>
        <w:t xml:space="preserve"> </w:t>
      </w:r>
      <w:r w:rsidR="008D69AF" w:rsidRPr="005303F7">
        <w:rPr>
          <w:rFonts w:ascii="Times New Roman" w:hAnsi="Times New Roman"/>
          <w:sz w:val="24"/>
          <w:lang w:val="sr-Cyrl-CS"/>
        </w:rPr>
        <w:t>консултација</w:t>
      </w:r>
      <w:r w:rsidR="008633E4" w:rsidRPr="005303F7">
        <w:rPr>
          <w:rFonts w:ascii="Times New Roman" w:hAnsi="Times New Roman"/>
          <w:sz w:val="24"/>
          <w:lang w:val="sr-Cyrl-CS"/>
        </w:rPr>
        <w:t xml:space="preserve">, </w:t>
      </w:r>
      <w:r w:rsidR="008D69AF" w:rsidRPr="005303F7">
        <w:rPr>
          <w:rFonts w:ascii="Times New Roman" w:hAnsi="Times New Roman"/>
          <w:sz w:val="24"/>
          <w:lang w:val="sr-Cyrl-CS"/>
        </w:rPr>
        <w:t>као</w:t>
      </w:r>
      <w:r w:rsidR="008633E4" w:rsidRPr="005303F7">
        <w:rPr>
          <w:rFonts w:ascii="Times New Roman" w:hAnsi="Times New Roman"/>
          <w:sz w:val="24"/>
          <w:lang w:val="sr-Cyrl-CS"/>
        </w:rPr>
        <w:t xml:space="preserve"> </w:t>
      </w:r>
      <w:r w:rsidR="008D69AF" w:rsidRPr="005303F7">
        <w:rPr>
          <w:rFonts w:ascii="Times New Roman" w:hAnsi="Times New Roman"/>
          <w:sz w:val="24"/>
          <w:lang w:val="sr-Cyrl-CS"/>
        </w:rPr>
        <w:t>и</w:t>
      </w:r>
      <w:r w:rsidR="008633E4" w:rsidRPr="005303F7">
        <w:rPr>
          <w:rFonts w:ascii="Times New Roman" w:hAnsi="Times New Roman"/>
          <w:sz w:val="24"/>
          <w:lang w:val="sr-Cyrl-CS"/>
        </w:rPr>
        <w:t xml:space="preserve"> </w:t>
      </w:r>
      <w:r w:rsidR="008D69AF" w:rsidRPr="005303F7">
        <w:rPr>
          <w:rFonts w:ascii="Times New Roman" w:hAnsi="Times New Roman"/>
          <w:sz w:val="24"/>
          <w:lang w:val="sr-Cyrl-CS"/>
        </w:rPr>
        <w:t>на</w:t>
      </w:r>
      <w:r w:rsidR="008633E4" w:rsidRPr="005303F7">
        <w:rPr>
          <w:rFonts w:ascii="Times New Roman" w:hAnsi="Times New Roman"/>
          <w:sz w:val="24"/>
          <w:lang w:val="sr-Cyrl-CS"/>
        </w:rPr>
        <w:t xml:space="preserve"> </w:t>
      </w:r>
      <w:r w:rsidR="008D69AF" w:rsidRPr="005303F7">
        <w:rPr>
          <w:rFonts w:ascii="Times New Roman" w:hAnsi="Times New Roman"/>
          <w:sz w:val="24"/>
          <w:lang w:val="sr-Cyrl-CS"/>
        </w:rPr>
        <w:t>који</w:t>
      </w:r>
      <w:r w:rsidR="008633E4" w:rsidRPr="005303F7">
        <w:rPr>
          <w:rFonts w:ascii="Times New Roman" w:hAnsi="Times New Roman"/>
          <w:sz w:val="24"/>
          <w:lang w:val="sr-Cyrl-CS"/>
        </w:rPr>
        <w:t xml:space="preserve"> </w:t>
      </w:r>
      <w:r w:rsidR="008D69AF" w:rsidRPr="005303F7">
        <w:rPr>
          <w:rFonts w:ascii="Times New Roman" w:hAnsi="Times New Roman"/>
          <w:sz w:val="24"/>
          <w:lang w:val="sr-Cyrl-CS"/>
        </w:rPr>
        <w:t>начин</w:t>
      </w:r>
      <w:r w:rsidR="008633E4" w:rsidRPr="005303F7">
        <w:rPr>
          <w:rFonts w:ascii="Times New Roman" w:hAnsi="Times New Roman"/>
          <w:sz w:val="24"/>
          <w:lang w:val="sr-Cyrl-CS"/>
        </w:rPr>
        <w:t xml:space="preserve"> </w:t>
      </w:r>
      <w:r w:rsidR="008D69AF" w:rsidRPr="005303F7">
        <w:rPr>
          <w:rFonts w:ascii="Times New Roman" w:hAnsi="Times New Roman"/>
          <w:sz w:val="24"/>
          <w:lang w:val="sr-Cyrl-CS"/>
        </w:rPr>
        <w:t>су</w:t>
      </w:r>
      <w:r w:rsidR="009D4115" w:rsidRPr="005303F7">
        <w:rPr>
          <w:rFonts w:ascii="Times New Roman" w:hAnsi="Times New Roman"/>
          <w:sz w:val="24"/>
          <w:lang w:val="sr-Cyrl-CS"/>
        </w:rPr>
        <w:t xml:space="preserve"> </w:t>
      </w:r>
      <w:r w:rsidR="008D69AF" w:rsidRPr="005303F7">
        <w:rPr>
          <w:rFonts w:ascii="Times New Roman" w:hAnsi="Times New Roman"/>
          <w:sz w:val="24"/>
          <w:lang w:val="sr-Cyrl-CS"/>
        </w:rPr>
        <w:t>дати</w:t>
      </w:r>
      <w:r w:rsidR="009D4115" w:rsidRPr="005303F7">
        <w:rPr>
          <w:rFonts w:ascii="Times New Roman" w:hAnsi="Times New Roman"/>
          <w:sz w:val="24"/>
          <w:lang w:val="sr-Cyrl-CS"/>
        </w:rPr>
        <w:t xml:space="preserve"> </w:t>
      </w:r>
      <w:r w:rsidR="008D69AF" w:rsidRPr="005303F7">
        <w:rPr>
          <w:rFonts w:ascii="Times New Roman" w:hAnsi="Times New Roman"/>
          <w:sz w:val="24"/>
          <w:lang w:val="sr-Cyrl-CS"/>
        </w:rPr>
        <w:t>одговори</w:t>
      </w:r>
      <w:r w:rsidR="009D4115" w:rsidRPr="005303F7">
        <w:rPr>
          <w:rFonts w:ascii="Times New Roman" w:hAnsi="Times New Roman"/>
          <w:sz w:val="24"/>
          <w:lang w:val="sr-Cyrl-CS"/>
        </w:rPr>
        <w:t xml:space="preserve"> </w:t>
      </w:r>
      <w:r w:rsidR="008D69AF" w:rsidRPr="005303F7">
        <w:rPr>
          <w:rFonts w:ascii="Times New Roman" w:hAnsi="Times New Roman"/>
          <w:sz w:val="24"/>
          <w:lang w:val="sr-Cyrl-CS"/>
        </w:rPr>
        <w:t>на</w:t>
      </w:r>
      <w:r w:rsidR="009D4115" w:rsidRPr="005303F7">
        <w:rPr>
          <w:rFonts w:ascii="Times New Roman" w:hAnsi="Times New Roman"/>
          <w:sz w:val="24"/>
          <w:lang w:val="sr-Cyrl-CS"/>
        </w:rPr>
        <w:t xml:space="preserve"> </w:t>
      </w:r>
      <w:r w:rsidR="008D69AF" w:rsidRPr="005303F7">
        <w:rPr>
          <w:rFonts w:ascii="Times New Roman" w:hAnsi="Times New Roman"/>
          <w:sz w:val="24"/>
          <w:lang w:val="sr-Cyrl-CS"/>
        </w:rPr>
        <w:t>њих</w:t>
      </w:r>
      <w:r w:rsidR="004D7862" w:rsidRPr="005303F7">
        <w:rPr>
          <w:rFonts w:ascii="Times New Roman" w:hAnsi="Times New Roman"/>
          <w:sz w:val="24"/>
          <w:lang w:val="sr-Cyrl-CS"/>
        </w:rPr>
        <w:t xml:space="preserve"> приказан је у Извештају са јавне расправе.</w:t>
      </w:r>
    </w:p>
    <w:p w14:paraId="0874EA40" w14:textId="7838344A" w:rsidR="00D64309" w:rsidRPr="005303F7" w:rsidRDefault="00CC6964" w:rsidP="00807599">
      <w:pPr>
        <w:rPr>
          <w:rFonts w:ascii="Times New Roman" w:hAnsi="Times New Roman"/>
          <w:sz w:val="24"/>
          <w:lang w:val="sr-Cyrl-CS"/>
        </w:rPr>
      </w:pPr>
      <w:r w:rsidRPr="005303F7">
        <w:rPr>
          <w:rFonts w:ascii="Times New Roman" w:hAnsi="Times New Roman"/>
          <w:sz w:val="24"/>
          <w:lang w:val="sr-Cyrl-CS"/>
        </w:rPr>
        <w:t xml:space="preserve">          </w:t>
      </w:r>
      <w:r w:rsidR="00BD002E" w:rsidRPr="005303F7">
        <w:rPr>
          <w:rFonts w:ascii="Times New Roman" w:hAnsi="Times New Roman"/>
          <w:sz w:val="24"/>
          <w:lang w:val="sr-Cyrl-CS"/>
        </w:rPr>
        <w:t>Коментари са јавне расп</w:t>
      </w:r>
      <w:r w:rsidR="00326BB0" w:rsidRPr="005303F7">
        <w:rPr>
          <w:rFonts w:ascii="Times New Roman" w:hAnsi="Times New Roman"/>
          <w:sz w:val="24"/>
          <w:lang w:val="sr-Cyrl-CS"/>
        </w:rPr>
        <w:t>раве су детаљно представљени у И</w:t>
      </w:r>
      <w:r w:rsidR="00BD002E" w:rsidRPr="005303F7">
        <w:rPr>
          <w:rFonts w:ascii="Times New Roman" w:hAnsi="Times New Roman"/>
          <w:sz w:val="24"/>
          <w:lang w:val="sr-Cyrl-CS"/>
        </w:rPr>
        <w:t xml:space="preserve">звештају </w:t>
      </w:r>
      <w:r w:rsidR="00326BB0" w:rsidRPr="005303F7">
        <w:rPr>
          <w:rFonts w:ascii="Times New Roman" w:hAnsi="Times New Roman"/>
          <w:sz w:val="24"/>
          <w:lang w:val="sr-Cyrl-CS"/>
        </w:rPr>
        <w:t>о јавној расправи</w:t>
      </w:r>
      <w:r w:rsidR="006B2914" w:rsidRPr="005303F7">
        <w:rPr>
          <w:rFonts w:ascii="Times New Roman" w:hAnsi="Times New Roman"/>
          <w:sz w:val="24"/>
          <w:lang w:val="sr-Cyrl-CS"/>
        </w:rPr>
        <w:t xml:space="preserve"> </w:t>
      </w:r>
      <w:r w:rsidR="00D64309" w:rsidRPr="005303F7">
        <w:rPr>
          <w:rFonts w:ascii="Times New Roman" w:hAnsi="Times New Roman"/>
          <w:sz w:val="24"/>
          <w:lang w:val="sr-Cyrl-CS"/>
        </w:rPr>
        <w:t xml:space="preserve">о </w:t>
      </w:r>
      <w:r w:rsidR="00326BB0" w:rsidRPr="005303F7">
        <w:rPr>
          <w:rFonts w:ascii="Times New Roman" w:hAnsi="Times New Roman"/>
          <w:sz w:val="24"/>
          <w:lang w:val="sr-Cyrl-CS"/>
        </w:rPr>
        <w:t>Предлогу Стратегије нискоугљеничног развоја са Акционим планом који је доступан на интернет страници Министарства заштите животне средине.</w:t>
      </w:r>
      <w:bookmarkStart w:id="419" w:name="_Toc26686123"/>
    </w:p>
    <w:p w14:paraId="2380A7A1" w14:textId="066E0C92" w:rsidR="00D64309" w:rsidRPr="005303F7" w:rsidRDefault="00CC6964" w:rsidP="00807599">
      <w:pPr>
        <w:rPr>
          <w:rFonts w:ascii="Times New Roman" w:hAnsi="Times New Roman"/>
          <w:sz w:val="24"/>
          <w:lang w:val="sr-Cyrl-CS"/>
        </w:rPr>
      </w:pPr>
      <w:r w:rsidRPr="005303F7">
        <w:rPr>
          <w:rFonts w:ascii="Times New Roman" w:hAnsi="Times New Roman"/>
          <w:sz w:val="24"/>
          <w:lang w:val="sr-Cyrl-CS"/>
        </w:rPr>
        <w:t xml:space="preserve">          </w:t>
      </w:r>
      <w:r w:rsidR="0002497A" w:rsidRPr="005303F7">
        <w:rPr>
          <w:rFonts w:ascii="Times New Roman" w:hAnsi="Times New Roman"/>
          <w:sz w:val="24"/>
          <w:lang w:val="sr-Cyrl-CS"/>
        </w:rPr>
        <w:t>По завршетку јавне расправе, Предлог Стратегије нискоугљеничног развоја упућен је у процедуру прибављања званичних мишљења релевантних институција. Предлог Стратегије ревидиран је у складу са достављеним мишљењима, и усклађен тако да прати фомулацију мера из Акционог плана за Зелену агенду за Западни Балкан. У складу са Законом о планском систему и Уредбом о  методологији управљањa јавним политикама, анализи ефеката јавних политика и прописа и садржају појединачних докумената јавних политика, документ којим ће бити дефинисане активности за спровођење мера и постизање циљева из Стратегије ће бити предмет посебне јавне расправе.</w:t>
      </w:r>
    </w:p>
    <w:p w14:paraId="48B94367" w14:textId="14494448" w:rsidR="00D64309" w:rsidRPr="005303F7" w:rsidRDefault="00D64309" w:rsidP="00807599">
      <w:pPr>
        <w:rPr>
          <w:rFonts w:ascii="Times New Roman" w:hAnsi="Times New Roman"/>
          <w:sz w:val="24"/>
          <w:lang w:val="sr-Cyrl-CS"/>
        </w:rPr>
      </w:pPr>
    </w:p>
    <w:p w14:paraId="59CD3886" w14:textId="7CE14D81" w:rsidR="00D64309" w:rsidRPr="005303F7" w:rsidRDefault="00D64309" w:rsidP="00807599">
      <w:pPr>
        <w:rPr>
          <w:rFonts w:ascii="Times New Roman" w:hAnsi="Times New Roman"/>
          <w:sz w:val="24"/>
          <w:lang w:val="sr-Cyrl-CS"/>
        </w:rPr>
      </w:pPr>
    </w:p>
    <w:p w14:paraId="6A674320" w14:textId="6324F52E" w:rsidR="00D64309" w:rsidRPr="005303F7" w:rsidRDefault="00D64309" w:rsidP="00807599">
      <w:pPr>
        <w:rPr>
          <w:rFonts w:ascii="Times New Roman" w:hAnsi="Times New Roman"/>
          <w:sz w:val="24"/>
          <w:lang w:val="sr-Cyrl-CS"/>
        </w:rPr>
      </w:pPr>
    </w:p>
    <w:p w14:paraId="5798D0E9" w14:textId="77777777" w:rsidR="00D85AE6" w:rsidRPr="005303F7" w:rsidRDefault="00D85AE6" w:rsidP="00D85AE6">
      <w:pPr>
        <w:pStyle w:val="Heading1"/>
        <w:numPr>
          <w:ilvl w:val="0"/>
          <w:numId w:val="0"/>
        </w:numPr>
        <w:rPr>
          <w:rFonts w:ascii="Times New Roman" w:hAnsi="Times New Roman" w:cs="Times New Roman"/>
          <w:b w:val="0"/>
          <w:caps w:val="0"/>
          <w:spacing w:val="0"/>
          <w:sz w:val="24"/>
          <w:lang w:val="sr-Cyrl-CS"/>
        </w:rPr>
      </w:pPr>
    </w:p>
    <w:p w14:paraId="001B8D4F" w14:textId="2F167792" w:rsidR="00764DA2" w:rsidRPr="005303F7" w:rsidRDefault="00D85AE6" w:rsidP="00D85AE6">
      <w:pPr>
        <w:pStyle w:val="Heading1"/>
        <w:numPr>
          <w:ilvl w:val="0"/>
          <w:numId w:val="0"/>
        </w:numPr>
        <w:rPr>
          <w:rFonts w:ascii="Times New Roman" w:hAnsi="Times New Roman" w:cs="Times New Roman"/>
          <w:sz w:val="27"/>
          <w:szCs w:val="27"/>
          <w:lang w:val="sr-Cyrl-CS"/>
        </w:rPr>
      </w:pPr>
      <w:r w:rsidRPr="005303F7">
        <w:rPr>
          <w:rFonts w:ascii="Times New Roman" w:hAnsi="Times New Roman" w:cs="Times New Roman"/>
          <w:b w:val="0"/>
          <w:caps w:val="0"/>
          <w:spacing w:val="0"/>
          <w:sz w:val="24"/>
          <w:lang w:val="sr-Cyrl-CS"/>
        </w:rPr>
        <w:lastRenderedPageBreak/>
        <w:tab/>
      </w:r>
      <w:r w:rsidRPr="005303F7">
        <w:rPr>
          <w:rFonts w:ascii="Times New Roman" w:hAnsi="Times New Roman" w:cs="Times New Roman"/>
          <w:b w:val="0"/>
          <w:caps w:val="0"/>
          <w:spacing w:val="0"/>
          <w:sz w:val="24"/>
          <w:lang w:val="sr-Cyrl-CS"/>
        </w:rPr>
        <w:tab/>
      </w:r>
      <w:r w:rsidRPr="005303F7">
        <w:rPr>
          <w:rFonts w:ascii="Times New Roman" w:hAnsi="Times New Roman" w:cs="Times New Roman"/>
          <w:b w:val="0"/>
          <w:caps w:val="0"/>
          <w:spacing w:val="0"/>
          <w:sz w:val="24"/>
          <w:lang w:val="sr-Cyrl-CS"/>
        </w:rPr>
        <w:tab/>
      </w:r>
      <w:r w:rsidRPr="005303F7">
        <w:rPr>
          <w:rFonts w:ascii="Times New Roman" w:hAnsi="Times New Roman" w:cs="Times New Roman"/>
          <w:b w:val="0"/>
          <w:caps w:val="0"/>
          <w:spacing w:val="0"/>
          <w:sz w:val="24"/>
          <w:lang w:val="sr-Cyrl-CS"/>
        </w:rPr>
        <w:tab/>
      </w:r>
      <w:r w:rsidRPr="005303F7">
        <w:rPr>
          <w:rFonts w:ascii="Times New Roman" w:hAnsi="Times New Roman" w:cs="Times New Roman"/>
          <w:b w:val="0"/>
          <w:caps w:val="0"/>
          <w:spacing w:val="0"/>
          <w:sz w:val="24"/>
          <w:lang w:val="sr-Cyrl-CS"/>
        </w:rPr>
        <w:tab/>
      </w:r>
      <w:r w:rsidRPr="005303F7">
        <w:rPr>
          <w:rFonts w:ascii="Times New Roman" w:hAnsi="Times New Roman" w:cs="Times New Roman"/>
          <w:b w:val="0"/>
          <w:caps w:val="0"/>
          <w:spacing w:val="0"/>
          <w:sz w:val="24"/>
          <w:lang w:val="sr-Cyrl-CS"/>
        </w:rPr>
        <w:tab/>
      </w:r>
      <w:r w:rsidR="00B05959" w:rsidRPr="005303F7">
        <w:rPr>
          <w:rFonts w:ascii="Times New Roman" w:hAnsi="Times New Roman" w:cs="Times New Roman"/>
          <w:sz w:val="27"/>
          <w:szCs w:val="27"/>
          <w:lang w:val="sr-Cyrl-CS"/>
        </w:rPr>
        <w:t>ПРИЛОГ 3</w:t>
      </w:r>
    </w:p>
    <w:p w14:paraId="35C263C4" w14:textId="7ED302B3" w:rsidR="007A3D22" w:rsidRPr="005303F7" w:rsidRDefault="008D69AF" w:rsidP="003A29E1">
      <w:pPr>
        <w:pStyle w:val="Heading1"/>
        <w:numPr>
          <w:ilvl w:val="0"/>
          <w:numId w:val="0"/>
        </w:numPr>
        <w:ind w:left="1985" w:hanging="1985"/>
        <w:rPr>
          <w:rFonts w:ascii="Times New Roman" w:hAnsi="Times New Roman" w:cs="Times New Roman"/>
          <w:sz w:val="27"/>
          <w:szCs w:val="27"/>
          <w:lang w:val="sr-Cyrl-CS"/>
        </w:rPr>
      </w:pPr>
      <w:r w:rsidRPr="005303F7">
        <w:rPr>
          <w:rFonts w:ascii="Times New Roman" w:hAnsi="Times New Roman" w:cs="Times New Roman"/>
          <w:sz w:val="27"/>
          <w:szCs w:val="27"/>
          <w:lang w:val="sr-Cyrl-CS"/>
        </w:rPr>
        <w:t>ИНФОРМАЦИЈЕ</w:t>
      </w:r>
      <w:r w:rsidR="00BD116A" w:rsidRPr="005303F7">
        <w:rPr>
          <w:rFonts w:ascii="Times New Roman" w:hAnsi="Times New Roman" w:cs="Times New Roman"/>
          <w:sz w:val="27"/>
          <w:szCs w:val="27"/>
          <w:lang w:val="sr-Cyrl-CS"/>
        </w:rPr>
        <w:t xml:space="preserve"> </w:t>
      </w:r>
      <w:r w:rsidRPr="005303F7">
        <w:rPr>
          <w:rFonts w:ascii="Times New Roman" w:hAnsi="Times New Roman" w:cs="Times New Roman"/>
          <w:sz w:val="27"/>
          <w:szCs w:val="27"/>
          <w:lang w:val="sr-Cyrl-CS"/>
        </w:rPr>
        <w:t>О</w:t>
      </w:r>
      <w:r w:rsidR="002470D0" w:rsidRPr="005303F7">
        <w:rPr>
          <w:rFonts w:ascii="Times New Roman" w:hAnsi="Times New Roman" w:cs="Times New Roman"/>
          <w:sz w:val="27"/>
          <w:szCs w:val="27"/>
          <w:lang w:val="sr-Cyrl-CS"/>
        </w:rPr>
        <w:t xml:space="preserve"> </w:t>
      </w:r>
      <w:r w:rsidRPr="005303F7">
        <w:rPr>
          <w:rFonts w:ascii="Times New Roman" w:hAnsi="Times New Roman" w:cs="Times New Roman"/>
          <w:sz w:val="27"/>
          <w:szCs w:val="27"/>
          <w:lang w:val="sr-Cyrl-CS"/>
        </w:rPr>
        <w:t>ПРОПИСИМА</w:t>
      </w:r>
      <w:r w:rsidR="002470D0" w:rsidRPr="005303F7">
        <w:rPr>
          <w:rFonts w:ascii="Times New Roman" w:hAnsi="Times New Roman" w:cs="Times New Roman"/>
          <w:sz w:val="27"/>
          <w:szCs w:val="27"/>
          <w:lang w:val="sr-Cyrl-CS"/>
        </w:rPr>
        <w:t xml:space="preserve"> </w:t>
      </w:r>
      <w:r w:rsidR="00321654" w:rsidRPr="005303F7">
        <w:rPr>
          <w:rFonts w:ascii="Times New Roman" w:hAnsi="Times New Roman" w:cs="Times New Roman"/>
          <w:sz w:val="27"/>
          <w:szCs w:val="27"/>
          <w:lang w:val="sr-Cyrl-CS"/>
        </w:rPr>
        <w:t>КОЈЕ</w:t>
      </w:r>
      <w:r w:rsidR="00347BAF" w:rsidRPr="005303F7">
        <w:rPr>
          <w:rFonts w:ascii="Times New Roman" w:hAnsi="Times New Roman" w:cs="Times New Roman"/>
          <w:sz w:val="27"/>
          <w:szCs w:val="27"/>
          <w:lang w:val="sr-Cyrl-CS"/>
        </w:rPr>
        <w:t xml:space="preserve"> </w:t>
      </w:r>
      <w:r w:rsidRPr="005303F7">
        <w:rPr>
          <w:rFonts w:ascii="Times New Roman" w:hAnsi="Times New Roman" w:cs="Times New Roman"/>
          <w:sz w:val="27"/>
          <w:szCs w:val="27"/>
          <w:lang w:val="sr-Cyrl-CS"/>
        </w:rPr>
        <w:t>ТРЕБА</w:t>
      </w:r>
      <w:r w:rsidR="00347BAF" w:rsidRPr="005303F7">
        <w:rPr>
          <w:rFonts w:ascii="Times New Roman" w:hAnsi="Times New Roman" w:cs="Times New Roman"/>
          <w:sz w:val="27"/>
          <w:szCs w:val="27"/>
          <w:lang w:val="sr-Cyrl-CS"/>
        </w:rPr>
        <w:t xml:space="preserve"> </w:t>
      </w:r>
      <w:r w:rsidRPr="005303F7">
        <w:rPr>
          <w:rFonts w:ascii="Times New Roman" w:hAnsi="Times New Roman" w:cs="Times New Roman"/>
          <w:sz w:val="27"/>
          <w:szCs w:val="27"/>
          <w:lang w:val="sr-Cyrl-CS"/>
        </w:rPr>
        <w:t>УСВОЈИТИ</w:t>
      </w:r>
      <w:r w:rsidR="00BD116A" w:rsidRPr="005303F7">
        <w:rPr>
          <w:rFonts w:ascii="Times New Roman" w:hAnsi="Times New Roman" w:cs="Times New Roman"/>
          <w:sz w:val="27"/>
          <w:szCs w:val="27"/>
          <w:lang w:val="sr-Cyrl-CS"/>
        </w:rPr>
        <w:t xml:space="preserve"> </w:t>
      </w:r>
      <w:r w:rsidRPr="005303F7">
        <w:rPr>
          <w:rFonts w:ascii="Times New Roman" w:hAnsi="Times New Roman" w:cs="Times New Roman"/>
          <w:sz w:val="27"/>
          <w:szCs w:val="27"/>
          <w:lang w:val="sr-Cyrl-CS"/>
        </w:rPr>
        <w:t>ИЛИ</w:t>
      </w:r>
      <w:r w:rsidR="00BD116A" w:rsidRPr="005303F7">
        <w:rPr>
          <w:rFonts w:ascii="Times New Roman" w:hAnsi="Times New Roman" w:cs="Times New Roman"/>
          <w:sz w:val="27"/>
          <w:szCs w:val="27"/>
          <w:lang w:val="sr-Cyrl-CS"/>
        </w:rPr>
        <w:t xml:space="preserve"> </w:t>
      </w:r>
      <w:r w:rsidRPr="005303F7">
        <w:rPr>
          <w:rFonts w:ascii="Times New Roman" w:hAnsi="Times New Roman" w:cs="Times New Roman"/>
          <w:sz w:val="27"/>
          <w:szCs w:val="27"/>
          <w:lang w:val="sr-Cyrl-CS"/>
        </w:rPr>
        <w:t>ИЗМЕНИТ</w:t>
      </w:r>
      <w:bookmarkEnd w:id="419"/>
      <w:r w:rsidRPr="005303F7">
        <w:rPr>
          <w:rFonts w:ascii="Times New Roman" w:hAnsi="Times New Roman" w:cs="Times New Roman"/>
          <w:sz w:val="27"/>
          <w:szCs w:val="27"/>
          <w:lang w:val="sr-Cyrl-CS"/>
        </w:rPr>
        <w:t>И</w:t>
      </w:r>
    </w:p>
    <w:p w14:paraId="106D51E0" w14:textId="545E9798" w:rsidR="00CC6886" w:rsidRPr="005303F7" w:rsidRDefault="00CC6964" w:rsidP="00E13F51">
      <w:pPr>
        <w:rPr>
          <w:rFonts w:ascii="Times New Roman" w:hAnsi="Times New Roman"/>
          <w:sz w:val="24"/>
          <w:szCs w:val="21"/>
          <w:lang w:val="sr-Cyrl-CS"/>
        </w:rPr>
      </w:pPr>
      <w:r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Следе</w:t>
      </w:r>
      <w:r w:rsidR="00016298" w:rsidRPr="005303F7">
        <w:rPr>
          <w:rFonts w:ascii="Times New Roman" w:hAnsi="Times New Roman"/>
          <w:sz w:val="24"/>
          <w:szCs w:val="21"/>
          <w:lang w:val="sr-Cyrl-CS"/>
        </w:rPr>
        <w:t>ћ</w:t>
      </w:r>
      <w:r w:rsidR="008D69AF" w:rsidRPr="005303F7">
        <w:rPr>
          <w:rFonts w:ascii="Times New Roman" w:hAnsi="Times New Roman"/>
          <w:sz w:val="24"/>
          <w:szCs w:val="21"/>
          <w:lang w:val="sr-Cyrl-CS"/>
        </w:rPr>
        <w:t>а</w:t>
      </w:r>
      <w:r w:rsidR="00CC6886"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листа</w:t>
      </w:r>
      <w:r w:rsidR="00CC6886"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обухвата</w:t>
      </w:r>
      <w:r w:rsidR="00CC6886"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само</w:t>
      </w:r>
      <w:r w:rsidR="00CC6886"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оне</w:t>
      </w:r>
      <w:r w:rsidR="00CC6886"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промене</w:t>
      </w:r>
      <w:r w:rsidR="00CC6886"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у</w:t>
      </w:r>
      <w:r w:rsidR="00CC6886"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законодавству</w:t>
      </w:r>
      <w:r w:rsidR="00CC6886"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које</w:t>
      </w:r>
      <w:r w:rsidR="00CC6886"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су</w:t>
      </w:r>
      <w:r w:rsidR="00CC6886"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потребне</w:t>
      </w:r>
      <w:r w:rsidR="00CC6886"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за</w:t>
      </w:r>
      <w:r w:rsidR="00CC6886"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потпуно</w:t>
      </w:r>
      <w:r w:rsidR="00CC6886"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спровођење</w:t>
      </w:r>
      <w:r w:rsidR="00CC6886"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ове</w:t>
      </w:r>
      <w:r w:rsidR="00CC6886" w:rsidRPr="005303F7">
        <w:rPr>
          <w:rFonts w:ascii="Times New Roman" w:hAnsi="Times New Roman"/>
          <w:sz w:val="24"/>
          <w:szCs w:val="21"/>
          <w:lang w:val="sr-Cyrl-CS"/>
        </w:rPr>
        <w:t xml:space="preserve"> </w:t>
      </w:r>
      <w:r w:rsidR="00DE69A8" w:rsidRPr="005303F7">
        <w:rPr>
          <w:rFonts w:ascii="Times New Roman" w:hAnsi="Times New Roman"/>
          <w:sz w:val="24"/>
          <w:szCs w:val="21"/>
          <w:lang w:val="sr-Cyrl-CS"/>
        </w:rPr>
        <w:t>с</w:t>
      </w:r>
      <w:r w:rsidR="008D69AF" w:rsidRPr="005303F7">
        <w:rPr>
          <w:rFonts w:ascii="Times New Roman" w:hAnsi="Times New Roman"/>
          <w:sz w:val="24"/>
          <w:szCs w:val="21"/>
          <w:lang w:val="sr-Cyrl-CS"/>
        </w:rPr>
        <w:t>тратегије</w:t>
      </w:r>
      <w:r w:rsidR="00CC6886"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а</w:t>
      </w:r>
      <w:r w:rsidR="00CC6886"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не</w:t>
      </w:r>
      <w:r w:rsidR="00CC6886"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и</w:t>
      </w:r>
      <w:r w:rsidR="00CC6886"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за</w:t>
      </w:r>
      <w:r w:rsidR="00CC6886"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транспозицију</w:t>
      </w:r>
      <w:r w:rsidR="00CC6886"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законодавства</w:t>
      </w:r>
      <w:r w:rsidR="00CC6886"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ЕУ</w:t>
      </w:r>
      <w:r w:rsidR="00CC6886" w:rsidRPr="005303F7">
        <w:rPr>
          <w:rFonts w:ascii="Times New Roman" w:hAnsi="Times New Roman"/>
          <w:sz w:val="24"/>
          <w:szCs w:val="21"/>
          <w:lang w:val="sr-Cyrl-CS"/>
        </w:rPr>
        <w:t>.</w:t>
      </w:r>
    </w:p>
    <w:p w14:paraId="527CABB8" w14:textId="1B371BC5" w:rsidR="000B7D4F" w:rsidRPr="005303F7" w:rsidRDefault="00224CED" w:rsidP="00224CED">
      <w:pPr>
        <w:ind w:left="567" w:hanging="567"/>
        <w:rPr>
          <w:rFonts w:ascii="Times New Roman" w:hAnsi="Times New Roman"/>
          <w:b/>
          <w:sz w:val="24"/>
          <w:szCs w:val="21"/>
          <w:lang w:val="sr-Cyrl-CS"/>
        </w:rPr>
      </w:pPr>
      <w:r w:rsidRPr="005303F7">
        <w:rPr>
          <w:rFonts w:ascii="Times New Roman" w:hAnsi="Times New Roman"/>
          <w:b/>
          <w:sz w:val="24"/>
          <w:szCs w:val="21"/>
          <w:lang w:val="sr-Cyrl-CS"/>
        </w:rPr>
        <w:tab/>
      </w:r>
      <w:r w:rsidR="008D69AF" w:rsidRPr="005303F7">
        <w:rPr>
          <w:rFonts w:ascii="Times New Roman" w:hAnsi="Times New Roman"/>
          <w:b/>
          <w:sz w:val="24"/>
          <w:szCs w:val="21"/>
          <w:lang w:val="sr-Cyrl-CS"/>
        </w:rPr>
        <w:t>Закон</w:t>
      </w:r>
      <w:r w:rsidR="00C20B14" w:rsidRPr="005303F7">
        <w:rPr>
          <w:rFonts w:ascii="Times New Roman" w:hAnsi="Times New Roman"/>
          <w:b/>
          <w:sz w:val="24"/>
          <w:szCs w:val="21"/>
          <w:lang w:val="sr-Cyrl-CS"/>
        </w:rPr>
        <w:t xml:space="preserve"> </w:t>
      </w:r>
      <w:r w:rsidR="008D69AF" w:rsidRPr="005303F7">
        <w:rPr>
          <w:rFonts w:ascii="Times New Roman" w:hAnsi="Times New Roman"/>
          <w:b/>
          <w:sz w:val="24"/>
          <w:szCs w:val="21"/>
          <w:lang w:val="sr-Cyrl-CS"/>
        </w:rPr>
        <w:t>о</w:t>
      </w:r>
      <w:r w:rsidR="00C20B14" w:rsidRPr="005303F7">
        <w:rPr>
          <w:rFonts w:ascii="Times New Roman" w:hAnsi="Times New Roman"/>
          <w:b/>
          <w:sz w:val="24"/>
          <w:szCs w:val="21"/>
          <w:lang w:val="sr-Cyrl-CS"/>
        </w:rPr>
        <w:t xml:space="preserve"> </w:t>
      </w:r>
      <w:r w:rsidR="008D69AF" w:rsidRPr="005303F7">
        <w:rPr>
          <w:rFonts w:ascii="Times New Roman" w:hAnsi="Times New Roman"/>
          <w:b/>
          <w:sz w:val="24"/>
          <w:szCs w:val="21"/>
          <w:lang w:val="sr-Cyrl-CS"/>
        </w:rPr>
        <w:t>климатским</w:t>
      </w:r>
      <w:r w:rsidR="00C20B14" w:rsidRPr="005303F7">
        <w:rPr>
          <w:rFonts w:ascii="Times New Roman" w:hAnsi="Times New Roman"/>
          <w:b/>
          <w:sz w:val="24"/>
          <w:szCs w:val="21"/>
          <w:lang w:val="sr-Cyrl-CS"/>
        </w:rPr>
        <w:t xml:space="preserve"> </w:t>
      </w:r>
      <w:r w:rsidR="008D69AF" w:rsidRPr="005303F7">
        <w:rPr>
          <w:rFonts w:ascii="Times New Roman" w:hAnsi="Times New Roman"/>
          <w:b/>
          <w:sz w:val="24"/>
          <w:szCs w:val="21"/>
          <w:lang w:val="sr-Cyrl-CS"/>
        </w:rPr>
        <w:t>променама</w:t>
      </w:r>
      <w:r w:rsidR="000B7D4F" w:rsidRPr="005303F7">
        <w:rPr>
          <w:rFonts w:ascii="Times New Roman" w:hAnsi="Times New Roman"/>
          <w:b/>
          <w:sz w:val="24"/>
          <w:szCs w:val="21"/>
          <w:lang w:val="sr-Cyrl-CS"/>
        </w:rPr>
        <w:t xml:space="preserve"> (</w:t>
      </w:r>
      <w:r w:rsidR="008D69AF" w:rsidRPr="005303F7">
        <w:rPr>
          <w:rFonts w:ascii="Times New Roman" w:hAnsi="Times New Roman"/>
          <w:b/>
          <w:sz w:val="24"/>
          <w:szCs w:val="21"/>
          <w:lang w:val="sr-Cyrl-CS"/>
        </w:rPr>
        <w:t>и</w:t>
      </w:r>
      <w:r w:rsidR="00C20B14" w:rsidRPr="005303F7">
        <w:rPr>
          <w:rFonts w:ascii="Times New Roman" w:hAnsi="Times New Roman"/>
          <w:b/>
          <w:sz w:val="24"/>
          <w:szCs w:val="21"/>
          <w:lang w:val="sr-Cyrl-CS"/>
        </w:rPr>
        <w:t xml:space="preserve"> </w:t>
      </w:r>
      <w:r w:rsidR="008D69AF" w:rsidRPr="005303F7">
        <w:rPr>
          <w:rFonts w:ascii="Times New Roman" w:hAnsi="Times New Roman"/>
          <w:b/>
          <w:sz w:val="24"/>
          <w:szCs w:val="21"/>
          <w:lang w:val="sr-Cyrl-CS"/>
        </w:rPr>
        <w:t>подзаконска</w:t>
      </w:r>
      <w:r w:rsidR="00443933" w:rsidRPr="005303F7">
        <w:rPr>
          <w:rFonts w:ascii="Times New Roman" w:hAnsi="Times New Roman"/>
          <w:b/>
          <w:sz w:val="24"/>
          <w:szCs w:val="21"/>
          <w:lang w:val="sr-Cyrl-CS"/>
        </w:rPr>
        <w:t xml:space="preserve"> </w:t>
      </w:r>
      <w:r w:rsidR="008D69AF" w:rsidRPr="005303F7">
        <w:rPr>
          <w:rFonts w:ascii="Times New Roman" w:hAnsi="Times New Roman"/>
          <w:b/>
          <w:sz w:val="24"/>
          <w:szCs w:val="21"/>
          <w:lang w:val="sr-Cyrl-CS"/>
        </w:rPr>
        <w:t>акта</w:t>
      </w:r>
      <w:r w:rsidR="000B7D4F" w:rsidRPr="005303F7">
        <w:rPr>
          <w:rFonts w:ascii="Times New Roman" w:hAnsi="Times New Roman"/>
          <w:b/>
          <w:sz w:val="24"/>
          <w:szCs w:val="21"/>
          <w:lang w:val="sr-Cyrl-CS"/>
        </w:rPr>
        <w:t>)</w:t>
      </w:r>
    </w:p>
    <w:p w14:paraId="13D4907B" w14:textId="428EE019" w:rsidR="000B7D4F" w:rsidRPr="005303F7" w:rsidRDefault="008D69AF" w:rsidP="00DE69A8">
      <w:pPr>
        <w:pStyle w:val="ListParagraph"/>
        <w:numPr>
          <w:ilvl w:val="0"/>
          <w:numId w:val="34"/>
        </w:numPr>
        <w:tabs>
          <w:tab w:val="clear" w:pos="3825"/>
        </w:tabs>
        <w:overflowPunct/>
        <w:autoSpaceDE/>
        <w:autoSpaceDN/>
        <w:adjustRightInd/>
        <w:spacing w:before="0" w:after="160"/>
        <w:ind w:left="0" w:firstLine="360"/>
        <w:contextualSpacing/>
        <w:textAlignment w:val="auto"/>
        <w:rPr>
          <w:rFonts w:ascii="Times New Roman" w:hAnsi="Times New Roman" w:cs="Times New Roman"/>
          <w:sz w:val="24"/>
          <w:szCs w:val="21"/>
          <w:lang w:val="sr-Cyrl-CS"/>
        </w:rPr>
      </w:pPr>
      <w:r w:rsidRPr="005303F7">
        <w:rPr>
          <w:rFonts w:ascii="Times New Roman" w:hAnsi="Times New Roman" w:cs="Times New Roman"/>
          <w:sz w:val="24"/>
          <w:szCs w:val="21"/>
          <w:lang w:val="sr-Cyrl-CS"/>
        </w:rPr>
        <w:t>увођење</w:t>
      </w:r>
      <w:r w:rsidR="00326A82" w:rsidRPr="005303F7">
        <w:rPr>
          <w:rFonts w:ascii="Times New Roman" w:hAnsi="Times New Roman" w:cs="Times New Roman"/>
          <w:sz w:val="24"/>
          <w:szCs w:val="21"/>
          <w:lang w:val="sr-Cyrl-CS"/>
        </w:rPr>
        <w:t xml:space="preserve"> </w:t>
      </w:r>
      <w:r w:rsidRPr="005303F7">
        <w:rPr>
          <w:rFonts w:ascii="Times New Roman" w:hAnsi="Times New Roman" w:cs="Times New Roman"/>
          <w:sz w:val="24"/>
          <w:szCs w:val="21"/>
          <w:lang w:val="sr-Cyrl-CS"/>
        </w:rPr>
        <w:t>одредби</w:t>
      </w:r>
      <w:r w:rsidR="00326A82" w:rsidRPr="005303F7">
        <w:rPr>
          <w:rFonts w:ascii="Times New Roman" w:hAnsi="Times New Roman" w:cs="Times New Roman"/>
          <w:sz w:val="24"/>
          <w:szCs w:val="21"/>
          <w:lang w:val="sr-Cyrl-CS"/>
        </w:rPr>
        <w:t xml:space="preserve"> </w:t>
      </w:r>
      <w:r w:rsidRPr="005303F7">
        <w:rPr>
          <w:rFonts w:ascii="Times New Roman" w:hAnsi="Times New Roman" w:cs="Times New Roman"/>
          <w:sz w:val="24"/>
          <w:szCs w:val="21"/>
          <w:lang w:val="sr-Cyrl-CS"/>
        </w:rPr>
        <w:t>за</w:t>
      </w:r>
      <w:r w:rsidR="00326A82" w:rsidRPr="005303F7">
        <w:rPr>
          <w:rFonts w:ascii="Times New Roman" w:hAnsi="Times New Roman" w:cs="Times New Roman"/>
          <w:sz w:val="24"/>
          <w:szCs w:val="21"/>
          <w:lang w:val="sr-Cyrl-CS"/>
        </w:rPr>
        <w:t xml:space="preserve"> </w:t>
      </w:r>
      <w:r w:rsidR="0099071F" w:rsidRPr="005303F7">
        <w:rPr>
          <w:rFonts w:ascii="Times New Roman" w:hAnsi="Times New Roman" w:cs="Times New Roman"/>
          <w:sz w:val="24"/>
          <w:szCs w:val="21"/>
          <w:lang w:val="sr-Cyrl-CS"/>
        </w:rPr>
        <w:t xml:space="preserve">примену </w:t>
      </w:r>
      <w:r w:rsidR="00326A82" w:rsidRPr="005303F7">
        <w:rPr>
          <w:rFonts w:ascii="Times New Roman" w:hAnsi="Times New Roman" w:cs="Times New Roman"/>
          <w:sz w:val="24"/>
          <w:szCs w:val="21"/>
          <w:lang w:val="sr-Cyrl-CS"/>
        </w:rPr>
        <w:t xml:space="preserve"> </w:t>
      </w:r>
      <w:r w:rsidRPr="005303F7">
        <w:rPr>
          <w:rFonts w:ascii="Times New Roman" w:hAnsi="Times New Roman" w:cs="Times New Roman"/>
          <w:sz w:val="24"/>
          <w:szCs w:val="21"/>
          <w:lang w:val="sr-Cyrl-CS"/>
        </w:rPr>
        <w:t>мера</w:t>
      </w:r>
      <w:r w:rsidR="00326A82" w:rsidRPr="005303F7">
        <w:rPr>
          <w:rFonts w:ascii="Times New Roman" w:hAnsi="Times New Roman" w:cs="Times New Roman"/>
          <w:sz w:val="24"/>
          <w:szCs w:val="21"/>
          <w:lang w:val="sr-Cyrl-CS"/>
        </w:rPr>
        <w:t xml:space="preserve"> </w:t>
      </w:r>
      <w:r w:rsidRPr="005303F7">
        <w:rPr>
          <w:rFonts w:ascii="Times New Roman" w:hAnsi="Times New Roman" w:cs="Times New Roman"/>
          <w:sz w:val="24"/>
          <w:szCs w:val="21"/>
          <w:lang w:val="sr-Cyrl-CS"/>
        </w:rPr>
        <w:t>за</w:t>
      </w:r>
      <w:r w:rsidR="0099071F" w:rsidRPr="005303F7">
        <w:rPr>
          <w:rFonts w:ascii="Times New Roman" w:hAnsi="Times New Roman" w:cs="Times New Roman"/>
          <w:sz w:val="24"/>
          <w:szCs w:val="21"/>
          <w:lang w:val="sr-Cyrl-CS"/>
        </w:rPr>
        <w:t xml:space="preserve"> усклађивање са Системом трговине емисијама </w:t>
      </w:r>
      <w:r w:rsidR="0088556C" w:rsidRPr="005303F7">
        <w:rPr>
          <w:rFonts w:ascii="Times New Roman" w:hAnsi="Times New Roman" w:cs="Times New Roman"/>
          <w:sz w:val="24"/>
          <w:szCs w:val="21"/>
          <w:lang w:val="sr-Cyrl-CS"/>
        </w:rPr>
        <w:t>GHG</w:t>
      </w:r>
      <w:r w:rsidR="0099071F" w:rsidRPr="005303F7">
        <w:rPr>
          <w:rFonts w:ascii="Times New Roman" w:hAnsi="Times New Roman" w:cs="Times New Roman"/>
          <w:sz w:val="24"/>
          <w:szCs w:val="21"/>
          <w:lang w:val="sr-Cyrl-CS"/>
        </w:rPr>
        <w:t xml:space="preserve"> и/или увођење других инструмената за одређивање цене угљеника</w:t>
      </w:r>
      <w:r w:rsidR="00326A82" w:rsidRPr="005303F7">
        <w:rPr>
          <w:rFonts w:ascii="Times New Roman" w:hAnsi="Times New Roman" w:cs="Times New Roman"/>
          <w:sz w:val="24"/>
          <w:szCs w:val="21"/>
          <w:lang w:val="sr-Cyrl-CS"/>
        </w:rPr>
        <w:t xml:space="preserve"> </w:t>
      </w:r>
      <w:r w:rsidR="00FE4960" w:rsidRPr="005303F7">
        <w:rPr>
          <w:rFonts w:ascii="Times New Roman" w:hAnsi="Times New Roman" w:cs="Times New Roman"/>
          <w:sz w:val="24"/>
          <w:szCs w:val="21"/>
          <w:lang w:val="sr-Cyrl-CS"/>
        </w:rPr>
        <w:t xml:space="preserve">за </w:t>
      </w:r>
      <w:r w:rsidRPr="005303F7">
        <w:rPr>
          <w:rFonts w:ascii="Times New Roman" w:hAnsi="Times New Roman" w:cs="Times New Roman"/>
          <w:sz w:val="24"/>
          <w:szCs w:val="21"/>
          <w:lang w:val="sr-Cyrl-CS"/>
        </w:rPr>
        <w:t>раздоб</w:t>
      </w:r>
      <w:r w:rsidR="00D553BE" w:rsidRPr="005303F7">
        <w:rPr>
          <w:rFonts w:ascii="Times New Roman" w:hAnsi="Times New Roman" w:cs="Times New Roman"/>
          <w:sz w:val="24"/>
          <w:szCs w:val="21"/>
          <w:lang w:val="sr-Cyrl-CS"/>
        </w:rPr>
        <w:t>љ</w:t>
      </w:r>
      <w:r w:rsidRPr="005303F7">
        <w:rPr>
          <w:rFonts w:ascii="Times New Roman" w:hAnsi="Times New Roman" w:cs="Times New Roman"/>
          <w:sz w:val="24"/>
          <w:szCs w:val="21"/>
          <w:lang w:val="sr-Cyrl-CS"/>
        </w:rPr>
        <w:t>е</w:t>
      </w:r>
      <w:r w:rsidR="00326A82" w:rsidRPr="005303F7">
        <w:rPr>
          <w:rFonts w:ascii="Times New Roman" w:hAnsi="Times New Roman" w:cs="Times New Roman"/>
          <w:sz w:val="24"/>
          <w:szCs w:val="21"/>
          <w:lang w:val="sr-Cyrl-CS"/>
        </w:rPr>
        <w:t xml:space="preserve"> </w:t>
      </w:r>
      <w:r w:rsidRPr="005303F7">
        <w:rPr>
          <w:rFonts w:ascii="Times New Roman" w:hAnsi="Times New Roman" w:cs="Times New Roman"/>
          <w:sz w:val="24"/>
          <w:szCs w:val="21"/>
          <w:lang w:val="sr-Cyrl-CS"/>
        </w:rPr>
        <w:t>од</w:t>
      </w:r>
      <w:r w:rsidR="00326A82" w:rsidRPr="005303F7">
        <w:rPr>
          <w:rFonts w:ascii="Times New Roman" w:hAnsi="Times New Roman" w:cs="Times New Roman"/>
          <w:sz w:val="24"/>
          <w:szCs w:val="21"/>
          <w:lang w:val="sr-Cyrl-CS"/>
        </w:rPr>
        <w:t xml:space="preserve"> </w:t>
      </w:r>
      <w:r w:rsidR="007A667C" w:rsidRPr="005303F7">
        <w:rPr>
          <w:rFonts w:ascii="Times New Roman" w:hAnsi="Times New Roman" w:cs="Times New Roman"/>
          <w:sz w:val="24"/>
          <w:szCs w:val="21"/>
          <w:lang w:val="sr-Cyrl-CS"/>
        </w:rPr>
        <w:t>2026</w:t>
      </w:r>
      <w:r w:rsidR="00326A82" w:rsidRPr="005303F7">
        <w:rPr>
          <w:rFonts w:ascii="Times New Roman" w:hAnsi="Times New Roman" w:cs="Times New Roman"/>
          <w:sz w:val="24"/>
          <w:szCs w:val="21"/>
          <w:lang w:val="sr-Cyrl-CS"/>
        </w:rPr>
        <w:t xml:space="preserve">. </w:t>
      </w:r>
      <w:r w:rsidRPr="005303F7">
        <w:rPr>
          <w:rFonts w:ascii="Times New Roman" w:hAnsi="Times New Roman" w:cs="Times New Roman"/>
          <w:sz w:val="24"/>
          <w:szCs w:val="21"/>
          <w:lang w:val="sr-Cyrl-CS"/>
        </w:rPr>
        <w:t>до</w:t>
      </w:r>
      <w:r w:rsidR="00326A82" w:rsidRPr="005303F7">
        <w:rPr>
          <w:rFonts w:ascii="Times New Roman" w:hAnsi="Times New Roman" w:cs="Times New Roman"/>
          <w:sz w:val="24"/>
          <w:szCs w:val="21"/>
          <w:lang w:val="sr-Cyrl-CS"/>
        </w:rPr>
        <w:t xml:space="preserve"> 202</w:t>
      </w:r>
      <w:r w:rsidR="00D64309" w:rsidRPr="005303F7">
        <w:rPr>
          <w:rFonts w:ascii="Times New Roman" w:hAnsi="Times New Roman" w:cs="Times New Roman"/>
          <w:sz w:val="24"/>
          <w:szCs w:val="21"/>
          <w:lang w:val="sr-Cyrl-CS"/>
        </w:rPr>
        <w:t>9</w:t>
      </w:r>
      <w:r w:rsidR="00326A82" w:rsidRPr="005303F7">
        <w:rPr>
          <w:rFonts w:ascii="Times New Roman" w:hAnsi="Times New Roman" w:cs="Times New Roman"/>
          <w:sz w:val="24"/>
          <w:szCs w:val="21"/>
          <w:lang w:val="sr-Cyrl-CS"/>
        </w:rPr>
        <w:t xml:space="preserve">. </w:t>
      </w:r>
      <w:r w:rsidRPr="005303F7">
        <w:rPr>
          <w:rFonts w:ascii="Times New Roman" w:hAnsi="Times New Roman" w:cs="Times New Roman"/>
          <w:sz w:val="24"/>
          <w:szCs w:val="21"/>
          <w:lang w:val="sr-Cyrl-CS"/>
        </w:rPr>
        <w:t>године</w:t>
      </w:r>
      <w:r w:rsidR="00326A82" w:rsidRPr="005303F7">
        <w:rPr>
          <w:rFonts w:ascii="Times New Roman" w:hAnsi="Times New Roman" w:cs="Times New Roman"/>
          <w:sz w:val="24"/>
          <w:szCs w:val="21"/>
          <w:lang w:val="sr-Cyrl-CS"/>
        </w:rPr>
        <w:t xml:space="preserve"> </w:t>
      </w:r>
      <w:r w:rsidRPr="005303F7">
        <w:rPr>
          <w:rFonts w:ascii="Times New Roman" w:hAnsi="Times New Roman" w:cs="Times New Roman"/>
          <w:sz w:val="24"/>
          <w:szCs w:val="21"/>
          <w:lang w:val="sr-Cyrl-CS"/>
        </w:rPr>
        <w:t>и</w:t>
      </w:r>
      <w:r w:rsidR="00326A82" w:rsidRPr="005303F7">
        <w:rPr>
          <w:rFonts w:ascii="Times New Roman" w:hAnsi="Times New Roman" w:cs="Times New Roman"/>
          <w:sz w:val="24"/>
          <w:szCs w:val="21"/>
          <w:lang w:val="sr-Cyrl-CS"/>
        </w:rPr>
        <w:t xml:space="preserve"> </w:t>
      </w:r>
      <w:r w:rsidRPr="005303F7">
        <w:rPr>
          <w:rFonts w:ascii="Times New Roman" w:hAnsi="Times New Roman" w:cs="Times New Roman"/>
          <w:sz w:val="24"/>
          <w:szCs w:val="21"/>
          <w:lang w:val="sr-Cyrl-CS"/>
        </w:rPr>
        <w:t>потпуно</w:t>
      </w:r>
      <w:r w:rsidR="00326A82" w:rsidRPr="005303F7">
        <w:rPr>
          <w:rFonts w:ascii="Times New Roman" w:hAnsi="Times New Roman" w:cs="Times New Roman"/>
          <w:sz w:val="24"/>
          <w:szCs w:val="21"/>
          <w:lang w:val="sr-Cyrl-CS"/>
        </w:rPr>
        <w:t xml:space="preserve"> </w:t>
      </w:r>
      <w:r w:rsidRPr="005303F7">
        <w:rPr>
          <w:rFonts w:ascii="Times New Roman" w:hAnsi="Times New Roman" w:cs="Times New Roman"/>
          <w:sz w:val="24"/>
          <w:szCs w:val="21"/>
          <w:lang w:val="sr-Cyrl-CS"/>
        </w:rPr>
        <w:t>спровођење</w:t>
      </w:r>
      <w:r w:rsidR="00326A82" w:rsidRPr="005303F7">
        <w:rPr>
          <w:rFonts w:ascii="Times New Roman" w:hAnsi="Times New Roman" w:cs="Times New Roman"/>
          <w:sz w:val="24"/>
          <w:szCs w:val="21"/>
          <w:lang w:val="sr-Cyrl-CS"/>
        </w:rPr>
        <w:t xml:space="preserve"> </w:t>
      </w:r>
      <w:r w:rsidRPr="005303F7">
        <w:rPr>
          <w:rFonts w:ascii="Times New Roman" w:hAnsi="Times New Roman" w:cs="Times New Roman"/>
          <w:sz w:val="24"/>
          <w:szCs w:val="21"/>
          <w:lang w:val="sr-Cyrl-CS"/>
        </w:rPr>
        <w:t>Е</w:t>
      </w:r>
      <w:r w:rsidR="00BC327E" w:rsidRPr="005303F7">
        <w:rPr>
          <w:rFonts w:ascii="Times New Roman" w:hAnsi="Times New Roman" w:cs="Times New Roman"/>
          <w:sz w:val="24"/>
          <w:szCs w:val="21"/>
          <w:lang w:val="sr-Cyrl-CS"/>
        </w:rPr>
        <w:t>U</w:t>
      </w:r>
      <w:r w:rsidR="00326A82" w:rsidRPr="005303F7">
        <w:rPr>
          <w:rFonts w:ascii="Times New Roman" w:hAnsi="Times New Roman" w:cs="Times New Roman"/>
          <w:sz w:val="24"/>
          <w:szCs w:val="21"/>
          <w:lang w:val="sr-Cyrl-CS"/>
        </w:rPr>
        <w:t>-</w:t>
      </w:r>
      <w:r w:rsidRPr="005303F7">
        <w:rPr>
          <w:rFonts w:ascii="Times New Roman" w:hAnsi="Times New Roman" w:cs="Times New Roman"/>
          <w:sz w:val="24"/>
          <w:szCs w:val="21"/>
          <w:lang w:val="sr-Cyrl-CS"/>
        </w:rPr>
        <w:t>ЕТ</w:t>
      </w:r>
      <w:r w:rsidR="00BC327E" w:rsidRPr="005303F7">
        <w:rPr>
          <w:rFonts w:ascii="Times New Roman" w:hAnsi="Times New Roman" w:cs="Times New Roman"/>
          <w:sz w:val="24"/>
          <w:szCs w:val="21"/>
          <w:lang w:val="sr-Cyrl-CS"/>
        </w:rPr>
        <w:t>S</w:t>
      </w:r>
      <w:r w:rsidR="00326A82" w:rsidRPr="005303F7">
        <w:rPr>
          <w:rFonts w:ascii="Times New Roman" w:hAnsi="Times New Roman" w:cs="Times New Roman"/>
          <w:sz w:val="24"/>
          <w:szCs w:val="21"/>
          <w:lang w:val="sr-Cyrl-CS"/>
        </w:rPr>
        <w:t>-</w:t>
      </w:r>
      <w:r w:rsidRPr="005303F7">
        <w:rPr>
          <w:rFonts w:ascii="Times New Roman" w:hAnsi="Times New Roman" w:cs="Times New Roman"/>
          <w:sz w:val="24"/>
          <w:szCs w:val="21"/>
          <w:lang w:val="sr-Cyrl-CS"/>
        </w:rPr>
        <w:t>а</w:t>
      </w:r>
      <w:r w:rsidR="00326A82" w:rsidRPr="005303F7">
        <w:rPr>
          <w:rFonts w:ascii="Times New Roman" w:hAnsi="Times New Roman" w:cs="Times New Roman"/>
          <w:sz w:val="24"/>
          <w:szCs w:val="21"/>
          <w:lang w:val="sr-Cyrl-CS"/>
        </w:rPr>
        <w:t xml:space="preserve"> </w:t>
      </w:r>
      <w:r w:rsidRPr="005303F7">
        <w:rPr>
          <w:rFonts w:ascii="Times New Roman" w:hAnsi="Times New Roman" w:cs="Times New Roman"/>
          <w:sz w:val="24"/>
          <w:szCs w:val="21"/>
          <w:lang w:val="sr-Cyrl-CS"/>
        </w:rPr>
        <w:t>од</w:t>
      </w:r>
      <w:r w:rsidR="00326A82" w:rsidRPr="005303F7">
        <w:rPr>
          <w:rFonts w:ascii="Times New Roman" w:hAnsi="Times New Roman" w:cs="Times New Roman"/>
          <w:sz w:val="24"/>
          <w:szCs w:val="21"/>
          <w:lang w:val="sr-Cyrl-CS"/>
        </w:rPr>
        <w:t xml:space="preserve"> </w:t>
      </w:r>
      <w:r w:rsidR="00DE69A8" w:rsidRPr="005303F7">
        <w:rPr>
          <w:rFonts w:ascii="Times New Roman" w:hAnsi="Times New Roman" w:cs="Times New Roman"/>
          <w:sz w:val="24"/>
          <w:szCs w:val="21"/>
          <w:lang w:val="sr-Cyrl-CS"/>
        </w:rPr>
        <w:t>уласка у ЕУ</w:t>
      </w:r>
    </w:p>
    <w:p w14:paraId="5CB781F8" w14:textId="60D0910F" w:rsidR="000B7D4F" w:rsidRPr="005303F7" w:rsidRDefault="00DE69A8" w:rsidP="00D93231">
      <w:pPr>
        <w:pStyle w:val="ListParagraph"/>
        <w:numPr>
          <w:ilvl w:val="0"/>
          <w:numId w:val="34"/>
        </w:numPr>
        <w:tabs>
          <w:tab w:val="clear" w:pos="3825"/>
        </w:tabs>
        <w:overflowPunct/>
        <w:autoSpaceDE/>
        <w:autoSpaceDN/>
        <w:adjustRightInd/>
        <w:spacing w:before="0" w:after="160"/>
        <w:contextualSpacing/>
        <w:jc w:val="left"/>
        <w:textAlignment w:val="auto"/>
        <w:rPr>
          <w:rFonts w:ascii="Times New Roman" w:hAnsi="Times New Roman" w:cs="Times New Roman"/>
          <w:sz w:val="24"/>
          <w:szCs w:val="21"/>
          <w:lang w:val="sr-Cyrl-CS"/>
        </w:rPr>
      </w:pPr>
      <w:r w:rsidRPr="005303F7">
        <w:rPr>
          <w:rFonts w:ascii="Times New Roman" w:hAnsi="Times New Roman" w:cs="Times New Roman"/>
          <w:sz w:val="24"/>
          <w:szCs w:val="21"/>
          <w:lang w:val="sr-Cyrl-CS"/>
        </w:rPr>
        <w:t>у</w:t>
      </w:r>
      <w:r w:rsidR="008D69AF" w:rsidRPr="005303F7">
        <w:rPr>
          <w:rFonts w:ascii="Times New Roman" w:hAnsi="Times New Roman" w:cs="Times New Roman"/>
          <w:sz w:val="24"/>
          <w:szCs w:val="21"/>
          <w:lang w:val="sr-Cyrl-CS"/>
        </w:rPr>
        <w:t>вођење</w:t>
      </w:r>
      <w:r w:rsidR="00326A82" w:rsidRPr="005303F7">
        <w:rPr>
          <w:rFonts w:ascii="Times New Roman" w:hAnsi="Times New Roman" w:cs="Times New Roman"/>
          <w:sz w:val="24"/>
          <w:szCs w:val="21"/>
          <w:lang w:val="sr-Cyrl-CS"/>
        </w:rPr>
        <w:t xml:space="preserve"> </w:t>
      </w:r>
      <w:r w:rsidR="00D64309" w:rsidRPr="005303F7">
        <w:rPr>
          <w:rFonts w:ascii="Times New Roman" w:hAnsi="Times New Roman" w:cs="Times New Roman"/>
          <w:sz w:val="24"/>
          <w:szCs w:val="21"/>
          <w:lang w:val="sr-Cyrl-CS"/>
        </w:rPr>
        <w:t>цене на угљеник</w:t>
      </w:r>
      <w:r w:rsidR="000B7D4F"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зависно</w:t>
      </w:r>
      <w:r w:rsidR="00326A82"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од</w:t>
      </w:r>
      <w:r w:rsidR="00326A82"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садржаја</w:t>
      </w:r>
      <w:r w:rsidR="00326A82"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уг</w:t>
      </w:r>
      <w:r w:rsidR="00D553BE" w:rsidRPr="005303F7">
        <w:rPr>
          <w:rFonts w:ascii="Times New Roman" w:hAnsi="Times New Roman" w:cs="Times New Roman"/>
          <w:sz w:val="24"/>
          <w:szCs w:val="21"/>
          <w:lang w:val="sr-Cyrl-CS"/>
        </w:rPr>
        <w:t>љ</w:t>
      </w:r>
      <w:r w:rsidR="008D69AF" w:rsidRPr="005303F7">
        <w:rPr>
          <w:rFonts w:ascii="Times New Roman" w:hAnsi="Times New Roman" w:cs="Times New Roman"/>
          <w:sz w:val="24"/>
          <w:szCs w:val="21"/>
          <w:lang w:val="sr-Cyrl-CS"/>
        </w:rPr>
        <w:t>еника</w:t>
      </w:r>
      <w:r w:rsidR="00326A82"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у</w:t>
      </w:r>
      <w:r w:rsidR="00326A82"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гориву</w:t>
      </w:r>
    </w:p>
    <w:p w14:paraId="2A1F8F9D" w14:textId="3331B9E5" w:rsidR="007A6781" w:rsidRPr="005303F7" w:rsidRDefault="00224CED" w:rsidP="00224CED">
      <w:pPr>
        <w:tabs>
          <w:tab w:val="clear" w:pos="3825"/>
        </w:tabs>
        <w:overflowPunct/>
        <w:autoSpaceDE/>
        <w:autoSpaceDN/>
        <w:adjustRightInd/>
        <w:spacing w:before="0" w:after="100" w:afterAutospacing="1"/>
        <w:ind w:firstLine="360"/>
        <w:jc w:val="left"/>
        <w:textAlignment w:val="auto"/>
        <w:rPr>
          <w:rFonts w:ascii="Times New Roman" w:hAnsi="Times New Roman"/>
          <w:sz w:val="24"/>
          <w:szCs w:val="21"/>
          <w:lang w:val="sr-Cyrl-CS"/>
        </w:rPr>
      </w:pPr>
      <w:r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Закон</w:t>
      </w:r>
      <w:r w:rsidR="00690075"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о</w:t>
      </w:r>
      <w:r w:rsidR="00690075"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ефикасном</w:t>
      </w:r>
      <w:r w:rsidR="00690075"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коришћењу</w:t>
      </w:r>
      <w:r w:rsidR="00690075"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енергије</w:t>
      </w:r>
      <w:r w:rsidR="000B7D4F" w:rsidRPr="005303F7">
        <w:rPr>
          <w:rFonts w:ascii="Times New Roman" w:hAnsi="Times New Roman"/>
          <w:b/>
          <w:bCs/>
          <w:sz w:val="24"/>
          <w:szCs w:val="21"/>
          <w:lang w:val="sr-Cyrl-CS"/>
        </w:rPr>
        <w:t xml:space="preserve"> </w:t>
      </w:r>
    </w:p>
    <w:p w14:paraId="32EF079D" w14:textId="4A1CCEAE" w:rsidR="00593969" w:rsidRPr="005303F7" w:rsidRDefault="00DE69A8" w:rsidP="00DE69A8">
      <w:pPr>
        <w:pStyle w:val="ListParagraph"/>
        <w:numPr>
          <w:ilvl w:val="0"/>
          <w:numId w:val="41"/>
        </w:numPr>
        <w:tabs>
          <w:tab w:val="clear" w:pos="3825"/>
        </w:tabs>
        <w:overflowPunct/>
        <w:autoSpaceDE/>
        <w:autoSpaceDN/>
        <w:adjustRightInd/>
        <w:spacing w:before="0" w:after="100" w:afterAutospacing="1"/>
        <w:ind w:left="0" w:firstLine="360"/>
        <w:textAlignment w:val="auto"/>
        <w:rPr>
          <w:rFonts w:ascii="Times New Roman" w:hAnsi="Times New Roman"/>
          <w:sz w:val="24"/>
          <w:szCs w:val="21"/>
          <w:lang w:val="sr-Cyrl-CS"/>
        </w:rPr>
      </w:pPr>
      <w:r w:rsidRPr="005303F7">
        <w:rPr>
          <w:rFonts w:ascii="Times New Roman" w:hAnsi="Times New Roman"/>
          <w:sz w:val="24"/>
          <w:szCs w:val="21"/>
          <w:lang w:val="sr-Cyrl-CS"/>
        </w:rPr>
        <w:t>у</w:t>
      </w:r>
      <w:r w:rsidR="008D69AF" w:rsidRPr="005303F7">
        <w:rPr>
          <w:rFonts w:ascii="Times New Roman" w:hAnsi="Times New Roman"/>
          <w:sz w:val="24"/>
          <w:szCs w:val="21"/>
          <w:lang w:val="sr-Cyrl-CS"/>
        </w:rPr>
        <w:t>напређење</w:t>
      </w:r>
      <w:r w:rsidR="007C03A9"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рада</w:t>
      </w:r>
      <w:r w:rsidR="007C03A9" w:rsidRPr="005303F7">
        <w:rPr>
          <w:rFonts w:ascii="Times New Roman" w:hAnsi="Times New Roman"/>
          <w:sz w:val="24"/>
          <w:szCs w:val="21"/>
          <w:lang w:val="sr-Cyrl-CS"/>
        </w:rPr>
        <w:t xml:space="preserve"> </w:t>
      </w:r>
      <w:r w:rsidR="00593969" w:rsidRPr="005303F7">
        <w:rPr>
          <w:rFonts w:ascii="Times New Roman" w:hAnsi="Times New Roman"/>
          <w:sz w:val="24"/>
          <w:szCs w:val="21"/>
          <w:lang w:val="sr-Cyrl-CS"/>
        </w:rPr>
        <w:t xml:space="preserve">Управе </w:t>
      </w:r>
      <w:r w:rsidR="008D69AF" w:rsidRPr="005303F7">
        <w:rPr>
          <w:rFonts w:ascii="Times New Roman" w:hAnsi="Times New Roman"/>
          <w:sz w:val="24"/>
          <w:szCs w:val="21"/>
          <w:lang w:val="sr-Cyrl-CS"/>
        </w:rPr>
        <w:t>за</w:t>
      </w:r>
      <w:r w:rsidR="007C03A9"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енергетску</w:t>
      </w:r>
      <w:r w:rsidR="007C03A9"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ефикасност</w:t>
      </w:r>
      <w:r w:rsidR="000B7D4F"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додатна</w:t>
      </w:r>
      <w:r w:rsidR="007C03A9"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средства</w:t>
      </w:r>
      <w:r w:rsidR="007C03A9"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и</w:t>
      </w:r>
      <w:r w:rsidR="007C03A9"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проширење</w:t>
      </w:r>
      <w:r w:rsidR="007C03A9"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типова</w:t>
      </w:r>
      <w:r w:rsidR="007C03A9"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подршке</w:t>
      </w:r>
      <w:r w:rsidR="007C03A9"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која</w:t>
      </w:r>
      <w:r w:rsidR="007C03A9"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се</w:t>
      </w:r>
      <w:r w:rsidR="007C03A9" w:rsidRPr="005303F7">
        <w:rPr>
          <w:rFonts w:ascii="Times New Roman" w:hAnsi="Times New Roman"/>
          <w:sz w:val="24"/>
          <w:szCs w:val="21"/>
          <w:lang w:val="sr-Cyrl-CS"/>
        </w:rPr>
        <w:t xml:space="preserve"> </w:t>
      </w:r>
      <w:r w:rsidR="008D69AF" w:rsidRPr="005303F7">
        <w:rPr>
          <w:rFonts w:ascii="Times New Roman" w:hAnsi="Times New Roman"/>
          <w:sz w:val="24"/>
          <w:szCs w:val="21"/>
          <w:lang w:val="sr-Cyrl-CS"/>
        </w:rPr>
        <w:t>пружа</w:t>
      </w:r>
      <w:r w:rsidR="007C03A9" w:rsidRPr="005303F7">
        <w:rPr>
          <w:rFonts w:ascii="Times New Roman" w:hAnsi="Times New Roman"/>
          <w:sz w:val="24"/>
          <w:szCs w:val="21"/>
          <w:lang w:val="sr-Cyrl-CS"/>
        </w:rPr>
        <w:t>)</w:t>
      </w:r>
    </w:p>
    <w:p w14:paraId="05593F92" w14:textId="7CF1FD39" w:rsidR="00593969" w:rsidRPr="005303F7" w:rsidRDefault="00224CED" w:rsidP="007D62DA">
      <w:pPr>
        <w:spacing w:before="0"/>
        <w:rPr>
          <w:rFonts w:ascii="Times New Roman" w:hAnsi="Times New Roman"/>
          <w:bCs/>
          <w:sz w:val="24"/>
          <w:szCs w:val="21"/>
          <w:lang w:val="sr-Cyrl-CS"/>
        </w:rPr>
      </w:pPr>
      <w:r w:rsidRPr="005303F7">
        <w:rPr>
          <w:rFonts w:ascii="Times New Roman" w:hAnsi="Times New Roman"/>
          <w:b/>
          <w:bCs/>
          <w:sz w:val="24"/>
          <w:szCs w:val="21"/>
          <w:lang w:val="sr-Cyrl-CS"/>
        </w:rPr>
        <w:t xml:space="preserve">        </w:t>
      </w:r>
      <w:r w:rsidR="00593969" w:rsidRPr="005303F7">
        <w:rPr>
          <w:rFonts w:ascii="Times New Roman" w:hAnsi="Times New Roman"/>
          <w:b/>
          <w:bCs/>
          <w:sz w:val="24"/>
          <w:szCs w:val="21"/>
          <w:lang w:val="sr-Cyrl-CS"/>
        </w:rPr>
        <w:t>Закон о коришћењу обновљивих извора енергије</w:t>
      </w:r>
    </w:p>
    <w:p w14:paraId="5FA131D7" w14:textId="17AEBE65" w:rsidR="00593969" w:rsidRPr="005303F7" w:rsidRDefault="006769AA" w:rsidP="00D93231">
      <w:pPr>
        <w:pStyle w:val="ListParagraph"/>
        <w:numPr>
          <w:ilvl w:val="0"/>
          <w:numId w:val="35"/>
        </w:numPr>
        <w:spacing w:before="0"/>
        <w:rPr>
          <w:rFonts w:ascii="Times New Roman" w:hAnsi="Times New Roman"/>
          <w:bCs/>
          <w:sz w:val="24"/>
          <w:szCs w:val="21"/>
          <w:lang w:val="sr-Cyrl-CS"/>
        </w:rPr>
      </w:pPr>
      <w:r w:rsidRPr="005303F7">
        <w:rPr>
          <w:rFonts w:ascii="Times New Roman" w:hAnsi="Times New Roman"/>
          <w:bCs/>
          <w:sz w:val="24"/>
          <w:szCs w:val="21"/>
          <w:lang w:val="sr-Cyrl-CS"/>
        </w:rPr>
        <w:t>п</w:t>
      </w:r>
      <w:r w:rsidR="00593969" w:rsidRPr="005303F7">
        <w:rPr>
          <w:rFonts w:ascii="Times New Roman" w:hAnsi="Times New Roman"/>
          <w:bCs/>
          <w:sz w:val="24"/>
          <w:szCs w:val="21"/>
          <w:lang w:val="sr-Cyrl-CS"/>
        </w:rPr>
        <w:t>одршка производњи топлотне енергије из ОИЕ за крајње кориснике</w:t>
      </w:r>
    </w:p>
    <w:p w14:paraId="3CAEB08E" w14:textId="5027042B" w:rsidR="00BF17D6" w:rsidRPr="005303F7" w:rsidRDefault="00BF746F" w:rsidP="00224CED">
      <w:pPr>
        <w:tabs>
          <w:tab w:val="clear" w:pos="3825"/>
          <w:tab w:val="left" w:pos="567"/>
        </w:tabs>
        <w:rPr>
          <w:rFonts w:ascii="Times New Roman" w:hAnsi="Times New Roman"/>
          <w:bCs/>
          <w:sz w:val="24"/>
          <w:szCs w:val="21"/>
          <w:lang w:val="sr-Cyrl-CS"/>
        </w:rPr>
      </w:pPr>
      <w:r w:rsidRPr="005303F7">
        <w:rPr>
          <w:rFonts w:ascii="Times New Roman" w:hAnsi="Times New Roman"/>
          <w:b/>
          <w:sz w:val="24"/>
          <w:szCs w:val="21"/>
          <w:lang w:val="sr-Cyrl-CS"/>
        </w:rPr>
        <w:tab/>
      </w:r>
      <w:r w:rsidR="00BF17D6" w:rsidRPr="005303F7">
        <w:rPr>
          <w:rFonts w:ascii="Times New Roman" w:hAnsi="Times New Roman"/>
          <w:b/>
          <w:sz w:val="24"/>
          <w:szCs w:val="21"/>
          <w:lang w:val="sr-Cyrl-CS"/>
        </w:rPr>
        <w:t>Измен</w:t>
      </w:r>
      <w:r w:rsidR="009E28AE" w:rsidRPr="005303F7">
        <w:rPr>
          <w:rFonts w:ascii="Times New Roman" w:hAnsi="Times New Roman"/>
          <w:b/>
          <w:sz w:val="24"/>
          <w:szCs w:val="21"/>
          <w:lang w:val="sr-Cyrl-CS"/>
        </w:rPr>
        <w:t>а</w:t>
      </w:r>
      <w:r w:rsidR="00BF17D6" w:rsidRPr="005303F7">
        <w:rPr>
          <w:rFonts w:ascii="Times New Roman" w:hAnsi="Times New Roman"/>
          <w:b/>
          <w:sz w:val="24"/>
          <w:szCs w:val="21"/>
          <w:lang w:val="sr-Cyrl-CS"/>
        </w:rPr>
        <w:t xml:space="preserve"> Закон</w:t>
      </w:r>
      <w:r w:rsidR="009E28AE" w:rsidRPr="005303F7">
        <w:rPr>
          <w:rFonts w:ascii="Times New Roman" w:hAnsi="Times New Roman"/>
          <w:b/>
          <w:sz w:val="24"/>
          <w:szCs w:val="21"/>
          <w:lang w:val="sr-Cyrl-CS"/>
        </w:rPr>
        <w:t>а</w:t>
      </w:r>
      <w:r w:rsidR="00BF17D6" w:rsidRPr="005303F7">
        <w:rPr>
          <w:rFonts w:ascii="Times New Roman" w:hAnsi="Times New Roman"/>
          <w:b/>
          <w:sz w:val="24"/>
          <w:szCs w:val="21"/>
          <w:lang w:val="sr-Cyrl-CS"/>
        </w:rPr>
        <w:t xml:space="preserve"> о порезима на употребу, држање и ношење добара, </w:t>
      </w:r>
      <w:r w:rsidR="00BF17D6" w:rsidRPr="005303F7">
        <w:rPr>
          <w:rFonts w:ascii="Times New Roman" w:hAnsi="Times New Roman"/>
          <w:bCs/>
          <w:sz w:val="24"/>
          <w:szCs w:val="21"/>
          <w:lang w:val="sr-Cyrl-CS"/>
        </w:rPr>
        <w:t xml:space="preserve">у делу пореза на употребу моторних возила, тако да се подстакне употреба моторних возила и возила чији је утицај на заштиту животне средине повољнији и  која мање доприносе ефекту стаклене баште. </w:t>
      </w:r>
    </w:p>
    <w:p w14:paraId="25416B8B" w14:textId="0B03126C" w:rsidR="00BF17D6" w:rsidRPr="005303F7" w:rsidRDefault="00BF17D6" w:rsidP="00D93231">
      <w:pPr>
        <w:pStyle w:val="ListParagraph"/>
        <w:numPr>
          <w:ilvl w:val="0"/>
          <w:numId w:val="35"/>
        </w:numPr>
        <w:rPr>
          <w:rFonts w:ascii="Times New Roman" w:hAnsi="Times New Roman"/>
          <w:bCs/>
          <w:sz w:val="24"/>
          <w:szCs w:val="21"/>
          <w:lang w:val="sr-Cyrl-CS"/>
        </w:rPr>
      </w:pPr>
      <w:r w:rsidRPr="005303F7">
        <w:rPr>
          <w:rFonts w:ascii="Times New Roman" w:hAnsi="Times New Roman"/>
          <w:bCs/>
          <w:sz w:val="24"/>
          <w:szCs w:val="21"/>
          <w:lang w:val="sr-Cyrl-CS"/>
        </w:rPr>
        <w:t xml:space="preserve">рок за доношење тог </w:t>
      </w:r>
      <w:r w:rsidR="00BF746F" w:rsidRPr="005303F7">
        <w:rPr>
          <w:rFonts w:ascii="Times New Roman" w:hAnsi="Times New Roman"/>
          <w:bCs/>
          <w:sz w:val="24"/>
          <w:szCs w:val="21"/>
          <w:lang w:val="sr-Cyrl-CS"/>
        </w:rPr>
        <w:t>з</w:t>
      </w:r>
      <w:r w:rsidRPr="005303F7">
        <w:rPr>
          <w:rFonts w:ascii="Times New Roman" w:hAnsi="Times New Roman"/>
          <w:bCs/>
          <w:sz w:val="24"/>
          <w:szCs w:val="21"/>
          <w:lang w:val="sr-Cyrl-CS"/>
        </w:rPr>
        <w:t>акона: крај 2024. године</w:t>
      </w:r>
    </w:p>
    <w:p w14:paraId="6B1CFE2C" w14:textId="2F95FF92" w:rsidR="00BF17D6" w:rsidRPr="005303F7" w:rsidRDefault="00BF17D6" w:rsidP="00D93231">
      <w:pPr>
        <w:pStyle w:val="ListParagraph"/>
        <w:numPr>
          <w:ilvl w:val="0"/>
          <w:numId w:val="35"/>
        </w:numPr>
        <w:rPr>
          <w:bCs/>
          <w:lang w:val="sr-Cyrl-CS"/>
        </w:rPr>
      </w:pPr>
      <w:r w:rsidRPr="005303F7">
        <w:rPr>
          <w:rFonts w:ascii="Times New Roman" w:hAnsi="Times New Roman"/>
          <w:bCs/>
          <w:sz w:val="24"/>
          <w:szCs w:val="21"/>
          <w:lang w:val="sr-Cyrl-CS"/>
        </w:rPr>
        <w:t xml:space="preserve">рок за примену тог </w:t>
      </w:r>
      <w:r w:rsidR="00BF746F" w:rsidRPr="005303F7">
        <w:rPr>
          <w:rFonts w:ascii="Times New Roman" w:hAnsi="Times New Roman"/>
          <w:bCs/>
          <w:sz w:val="24"/>
          <w:szCs w:val="21"/>
          <w:lang w:val="sr-Cyrl-CS"/>
        </w:rPr>
        <w:t>з</w:t>
      </w:r>
      <w:r w:rsidRPr="005303F7">
        <w:rPr>
          <w:rFonts w:ascii="Times New Roman" w:hAnsi="Times New Roman"/>
          <w:bCs/>
          <w:sz w:val="24"/>
          <w:szCs w:val="21"/>
          <w:lang w:val="sr-Cyrl-CS"/>
        </w:rPr>
        <w:t>акона: 1. јануар 2028. године</w:t>
      </w:r>
    </w:p>
    <w:p w14:paraId="5D8C35E9" w14:textId="75A0344B" w:rsidR="000B7D4F" w:rsidRPr="005303F7" w:rsidRDefault="007F7736" w:rsidP="00A31FE0">
      <w:pPr>
        <w:tabs>
          <w:tab w:val="clear" w:pos="3825"/>
        </w:tabs>
        <w:overflowPunct/>
        <w:autoSpaceDE/>
        <w:autoSpaceDN/>
        <w:adjustRightInd/>
        <w:spacing w:before="100" w:beforeAutospacing="1" w:after="100" w:afterAutospacing="1"/>
        <w:contextualSpacing/>
        <w:textAlignment w:val="auto"/>
        <w:rPr>
          <w:rFonts w:ascii="Times New Roman" w:hAnsi="Times New Roman"/>
          <w:b/>
          <w:bCs/>
          <w:sz w:val="24"/>
          <w:szCs w:val="21"/>
          <w:lang w:val="sr-Cyrl-CS"/>
        </w:rPr>
      </w:pPr>
      <w:r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Закон</w:t>
      </w:r>
      <w:r w:rsidR="00FF779F"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о</w:t>
      </w:r>
      <w:r w:rsidR="00FF779F"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безбедности</w:t>
      </w:r>
      <w:r w:rsidR="00FF779F"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саобраћаја</w:t>
      </w:r>
      <w:r w:rsidR="00FF779F"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на</w:t>
      </w:r>
      <w:r w:rsidR="00FF779F"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путевима</w:t>
      </w:r>
      <w:r w:rsidR="00FF779F"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Службени</w:t>
      </w:r>
      <w:r w:rsidR="00FF779F"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гласник</w:t>
      </w:r>
      <w:r w:rsidR="00FF779F" w:rsidRPr="005303F7">
        <w:rPr>
          <w:rFonts w:ascii="Times New Roman" w:hAnsi="Times New Roman"/>
          <w:b/>
          <w:bCs/>
          <w:sz w:val="24"/>
          <w:szCs w:val="21"/>
          <w:lang w:val="sr-Cyrl-CS"/>
        </w:rPr>
        <w:t xml:space="preserve"> </w:t>
      </w:r>
      <w:r w:rsidR="007A6781" w:rsidRPr="005303F7">
        <w:rPr>
          <w:rFonts w:ascii="Times New Roman" w:hAnsi="Times New Roman"/>
          <w:b/>
          <w:bCs/>
          <w:sz w:val="24"/>
          <w:szCs w:val="21"/>
          <w:lang w:val="sr-Cyrl-CS"/>
        </w:rPr>
        <w:t>РС</w:t>
      </w:r>
      <w:r w:rsidRPr="005303F7">
        <w:rPr>
          <w:rFonts w:ascii="Times New Roman" w:hAnsi="Times New Roman"/>
          <w:b/>
          <w:bCs/>
          <w:sz w:val="24"/>
          <w:szCs w:val="21"/>
          <w:lang w:val="sr-Cyrl-CS"/>
        </w:rPr>
        <w:t>ˮ,</w:t>
      </w:r>
      <w:r w:rsidR="007A6781"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бр</w:t>
      </w:r>
      <w:r w:rsidR="00FF779F" w:rsidRPr="005303F7">
        <w:rPr>
          <w:rFonts w:ascii="Times New Roman" w:hAnsi="Times New Roman"/>
          <w:b/>
          <w:bCs/>
          <w:sz w:val="24"/>
          <w:szCs w:val="21"/>
          <w:lang w:val="sr-Cyrl-CS"/>
        </w:rPr>
        <w:t xml:space="preserve">. </w:t>
      </w:r>
      <w:r w:rsidR="000B7D4F" w:rsidRPr="005303F7">
        <w:rPr>
          <w:rFonts w:ascii="Times New Roman" w:hAnsi="Times New Roman"/>
          <w:b/>
          <w:bCs/>
          <w:sz w:val="24"/>
          <w:szCs w:val="21"/>
          <w:lang w:val="sr-Cyrl-CS"/>
        </w:rPr>
        <w:t>41/09, 53/10, 101/11, 32/13 –</w:t>
      </w:r>
      <w:r w:rsidR="00D85AE6"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УС</w:t>
      </w:r>
      <w:r w:rsidR="000B7D4F" w:rsidRPr="005303F7">
        <w:rPr>
          <w:rFonts w:ascii="Times New Roman" w:hAnsi="Times New Roman"/>
          <w:b/>
          <w:bCs/>
          <w:sz w:val="24"/>
          <w:szCs w:val="21"/>
          <w:lang w:val="sr-Cyrl-CS"/>
        </w:rPr>
        <w:t xml:space="preserve">, 55/14, 96/15 – </w:t>
      </w:r>
      <w:r w:rsidR="00A31FE0" w:rsidRPr="005303F7">
        <w:rPr>
          <w:rFonts w:ascii="Times New Roman" w:hAnsi="Times New Roman"/>
          <w:b/>
          <w:bCs/>
          <w:sz w:val="24"/>
          <w:szCs w:val="21"/>
          <w:lang w:val="sr-Cyrl-CS"/>
        </w:rPr>
        <w:t>др.</w:t>
      </w:r>
      <w:r w:rsidR="00FF779F"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закон</w:t>
      </w:r>
      <w:r w:rsidR="000B7D4F" w:rsidRPr="005303F7">
        <w:rPr>
          <w:rFonts w:ascii="Times New Roman" w:hAnsi="Times New Roman"/>
          <w:b/>
          <w:bCs/>
          <w:sz w:val="24"/>
          <w:szCs w:val="21"/>
          <w:lang w:val="sr-Cyrl-CS"/>
        </w:rPr>
        <w:t>, 9/16 –</w:t>
      </w:r>
      <w:r w:rsidR="00A31FE0"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УС</w:t>
      </w:r>
      <w:r w:rsidR="000B7D4F" w:rsidRPr="005303F7">
        <w:rPr>
          <w:rFonts w:ascii="Times New Roman" w:hAnsi="Times New Roman"/>
          <w:b/>
          <w:bCs/>
          <w:sz w:val="24"/>
          <w:szCs w:val="21"/>
          <w:lang w:val="sr-Cyrl-CS"/>
        </w:rPr>
        <w:t xml:space="preserve">, 24/18, 41/18, 41/18 – </w:t>
      </w:r>
      <w:r w:rsidR="008D69AF" w:rsidRPr="005303F7">
        <w:rPr>
          <w:rFonts w:ascii="Times New Roman" w:hAnsi="Times New Roman"/>
          <w:b/>
          <w:bCs/>
          <w:sz w:val="24"/>
          <w:szCs w:val="21"/>
          <w:lang w:val="sr-Cyrl-CS"/>
        </w:rPr>
        <w:t>др</w:t>
      </w:r>
      <w:r w:rsidR="007A6781" w:rsidRPr="005303F7">
        <w:rPr>
          <w:rFonts w:ascii="Times New Roman" w:hAnsi="Times New Roman"/>
          <w:b/>
          <w:bCs/>
          <w:sz w:val="24"/>
          <w:szCs w:val="21"/>
          <w:lang w:val="sr-Cyrl-CS"/>
        </w:rPr>
        <w:t>.</w:t>
      </w:r>
      <w:r w:rsidR="00FF779F"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закон</w:t>
      </w:r>
      <w:r w:rsidR="000B7D4F" w:rsidRPr="005303F7">
        <w:rPr>
          <w:rFonts w:ascii="Times New Roman" w:hAnsi="Times New Roman"/>
          <w:b/>
          <w:bCs/>
          <w:sz w:val="24"/>
          <w:szCs w:val="21"/>
          <w:lang w:val="sr-Cyrl-CS"/>
        </w:rPr>
        <w:t>, 87/18</w:t>
      </w:r>
      <w:r w:rsidR="007A6781" w:rsidRPr="005303F7">
        <w:rPr>
          <w:rFonts w:ascii="Times New Roman" w:hAnsi="Times New Roman"/>
          <w:b/>
          <w:bCs/>
          <w:sz w:val="24"/>
          <w:szCs w:val="21"/>
          <w:lang w:val="sr-Cyrl-CS"/>
        </w:rPr>
        <w:t>,</w:t>
      </w:r>
      <w:r w:rsidR="000B7D4F" w:rsidRPr="005303F7">
        <w:rPr>
          <w:rFonts w:ascii="Times New Roman" w:hAnsi="Times New Roman"/>
          <w:b/>
          <w:bCs/>
          <w:sz w:val="24"/>
          <w:szCs w:val="21"/>
          <w:lang w:val="sr-Cyrl-CS"/>
        </w:rPr>
        <w:t xml:space="preserve"> 23/19</w:t>
      </w:r>
      <w:r w:rsidR="007A6781" w:rsidRPr="005303F7">
        <w:rPr>
          <w:rFonts w:ascii="Times New Roman" w:hAnsi="Times New Roman"/>
          <w:b/>
          <w:bCs/>
          <w:sz w:val="24"/>
          <w:szCs w:val="21"/>
          <w:lang w:val="sr-Cyrl-CS"/>
        </w:rPr>
        <w:t xml:space="preserve"> и 128/20 – др. закон</w:t>
      </w:r>
      <w:r w:rsidR="009D4115" w:rsidRPr="005303F7">
        <w:rPr>
          <w:rFonts w:ascii="Times New Roman" w:hAnsi="Times New Roman"/>
          <w:b/>
          <w:bCs/>
          <w:sz w:val="24"/>
          <w:szCs w:val="21"/>
          <w:lang w:val="sr-Cyrl-CS"/>
        </w:rPr>
        <w:t>)</w:t>
      </w:r>
    </w:p>
    <w:p w14:paraId="06F74343" w14:textId="6532B8F1" w:rsidR="00197124" w:rsidRPr="005303F7" w:rsidRDefault="0023509A" w:rsidP="00E67037">
      <w:pPr>
        <w:pStyle w:val="ListParagraph"/>
        <w:numPr>
          <w:ilvl w:val="0"/>
          <w:numId w:val="35"/>
        </w:numPr>
        <w:tabs>
          <w:tab w:val="clear" w:pos="3825"/>
        </w:tabs>
        <w:overflowPunct/>
        <w:autoSpaceDE/>
        <w:autoSpaceDN/>
        <w:adjustRightInd/>
        <w:spacing w:before="0" w:after="160"/>
        <w:ind w:left="0" w:firstLine="360"/>
        <w:contextualSpacing/>
        <w:jc w:val="left"/>
        <w:textAlignment w:val="auto"/>
        <w:rPr>
          <w:rFonts w:ascii="Times New Roman" w:hAnsi="Times New Roman" w:cs="Times New Roman"/>
          <w:sz w:val="24"/>
          <w:szCs w:val="21"/>
          <w:lang w:val="sr-Cyrl-CS"/>
        </w:rPr>
      </w:pPr>
      <w:r w:rsidRPr="005303F7">
        <w:rPr>
          <w:rFonts w:ascii="Times New Roman" w:hAnsi="Times New Roman" w:cs="Times New Roman"/>
          <w:sz w:val="24"/>
          <w:szCs w:val="21"/>
          <w:lang w:val="sr-Cyrl-CS"/>
        </w:rPr>
        <w:t>у</w:t>
      </w:r>
      <w:r w:rsidR="008D69AF" w:rsidRPr="005303F7">
        <w:rPr>
          <w:rFonts w:ascii="Times New Roman" w:hAnsi="Times New Roman" w:cs="Times New Roman"/>
          <w:sz w:val="24"/>
          <w:szCs w:val="21"/>
          <w:lang w:val="sr-Cyrl-CS"/>
        </w:rPr>
        <w:t>вођење</w:t>
      </w:r>
      <w:r w:rsidR="00790424" w:rsidRPr="005303F7">
        <w:rPr>
          <w:rFonts w:ascii="Times New Roman" w:hAnsi="Times New Roman" w:cs="Times New Roman"/>
          <w:sz w:val="24"/>
          <w:szCs w:val="21"/>
          <w:lang w:val="sr-Cyrl-CS"/>
        </w:rPr>
        <w:t xml:space="preserve"> „</w:t>
      </w:r>
      <w:r w:rsidR="000B7D4F"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Еко</w:t>
      </w:r>
      <w:r w:rsidR="00790424"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вожње</w:t>
      </w:r>
      <w:r w:rsidR="0035174D" w:rsidRPr="005303F7">
        <w:rPr>
          <w:rFonts w:ascii="Times New Roman" w:hAnsi="Times New Roman" w:cs="Times New Roman"/>
          <w:sz w:val="24"/>
          <w:szCs w:val="21"/>
          <w:lang w:val="sr-Cyrl-CS"/>
        </w:rPr>
        <w:t>”</w:t>
      </w:r>
      <w:r w:rsidR="00790424"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у</w:t>
      </w:r>
      <w:r w:rsidR="00790424"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наставни</w:t>
      </w:r>
      <w:r w:rsidR="00790424"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план</w:t>
      </w:r>
      <w:r w:rsidR="00790424"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и</w:t>
      </w:r>
      <w:r w:rsidR="00790424"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програм</w:t>
      </w:r>
      <w:r w:rsidR="00790424"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за</w:t>
      </w:r>
      <w:r w:rsidR="00790424"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возаче</w:t>
      </w:r>
      <w:r w:rsidR="00790424"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личних</w:t>
      </w:r>
      <w:r w:rsidR="00790424"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аутомобила</w:t>
      </w:r>
      <w:r w:rsidR="00790424"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и</w:t>
      </w:r>
      <w:r w:rsidR="00790424"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у</w:t>
      </w:r>
      <w:r w:rsidR="00790424"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редовне</w:t>
      </w:r>
      <w:r w:rsidR="00790424"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обуке</w:t>
      </w:r>
      <w:r w:rsidR="00790424"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за</w:t>
      </w:r>
      <w:r w:rsidR="00790424"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професионалне</w:t>
      </w:r>
      <w:r w:rsidR="00790424"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возаче</w:t>
      </w:r>
    </w:p>
    <w:p w14:paraId="18854125" w14:textId="2685420D" w:rsidR="000B7D4F" w:rsidRPr="005303F7" w:rsidRDefault="00D85AE6" w:rsidP="00197124">
      <w:pPr>
        <w:tabs>
          <w:tab w:val="clear" w:pos="3825"/>
        </w:tabs>
        <w:overflowPunct/>
        <w:autoSpaceDE/>
        <w:autoSpaceDN/>
        <w:adjustRightInd/>
        <w:spacing w:before="0" w:after="160"/>
        <w:contextualSpacing/>
        <w:jc w:val="left"/>
        <w:textAlignment w:val="auto"/>
        <w:rPr>
          <w:rFonts w:ascii="Times New Roman" w:hAnsi="Times New Roman"/>
          <w:sz w:val="24"/>
          <w:szCs w:val="21"/>
          <w:lang w:val="sr-Cyrl-CS"/>
        </w:rPr>
      </w:pPr>
      <w:r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Закон</w:t>
      </w:r>
      <w:r w:rsidR="00385B56"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о</w:t>
      </w:r>
      <w:r w:rsidR="00385B56"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планирању</w:t>
      </w:r>
      <w:r w:rsidR="00385B56"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и</w:t>
      </w:r>
      <w:r w:rsidR="00385B56"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изградњи</w:t>
      </w:r>
    </w:p>
    <w:p w14:paraId="78E249A8" w14:textId="0E573003" w:rsidR="007A7479" w:rsidRPr="005303F7" w:rsidRDefault="0023509A" w:rsidP="00E67037">
      <w:pPr>
        <w:pStyle w:val="ListParagraph"/>
        <w:numPr>
          <w:ilvl w:val="0"/>
          <w:numId w:val="35"/>
        </w:numPr>
        <w:tabs>
          <w:tab w:val="clear" w:pos="3825"/>
          <w:tab w:val="left" w:pos="709"/>
        </w:tabs>
        <w:spacing w:after="0"/>
        <w:ind w:left="0" w:firstLine="360"/>
        <w:rPr>
          <w:rFonts w:ascii="Times New Roman" w:hAnsi="Times New Roman" w:cs="Times New Roman"/>
          <w:sz w:val="24"/>
          <w:szCs w:val="21"/>
          <w:lang w:val="sr-Cyrl-CS"/>
        </w:rPr>
      </w:pPr>
      <w:r w:rsidRPr="005303F7">
        <w:rPr>
          <w:rFonts w:ascii="Times New Roman" w:hAnsi="Times New Roman" w:cs="Times New Roman"/>
          <w:sz w:val="24"/>
          <w:szCs w:val="21"/>
          <w:lang w:val="sr-Cyrl-CS"/>
        </w:rPr>
        <w:t>п</w:t>
      </w:r>
      <w:r w:rsidR="008D69AF" w:rsidRPr="005303F7">
        <w:rPr>
          <w:rFonts w:ascii="Times New Roman" w:hAnsi="Times New Roman" w:cs="Times New Roman"/>
          <w:sz w:val="24"/>
          <w:szCs w:val="21"/>
          <w:lang w:val="sr-Cyrl-CS"/>
        </w:rPr>
        <w:t>рипрема</w:t>
      </w:r>
      <w:r w:rsidR="007A747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ревидиране</w:t>
      </w:r>
      <w:r w:rsidR="007A747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стратегије</w:t>
      </w:r>
      <w:r w:rsidR="007A747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саобраћаја</w:t>
      </w:r>
      <w:r w:rsidR="007A747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са</w:t>
      </w:r>
      <w:r w:rsidR="007A747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ук</w:t>
      </w:r>
      <w:r w:rsidR="00D553BE" w:rsidRPr="005303F7">
        <w:rPr>
          <w:rFonts w:ascii="Times New Roman" w:hAnsi="Times New Roman" w:cs="Times New Roman"/>
          <w:sz w:val="24"/>
          <w:szCs w:val="21"/>
          <w:lang w:val="sr-Cyrl-CS"/>
        </w:rPr>
        <w:t>љ</w:t>
      </w:r>
      <w:r w:rsidR="008D69AF" w:rsidRPr="005303F7">
        <w:rPr>
          <w:rFonts w:ascii="Times New Roman" w:hAnsi="Times New Roman" w:cs="Times New Roman"/>
          <w:sz w:val="24"/>
          <w:szCs w:val="21"/>
          <w:lang w:val="sr-Cyrl-CS"/>
        </w:rPr>
        <w:t>учивањем</w:t>
      </w:r>
      <w:r w:rsidR="007A747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аспекта</w:t>
      </w:r>
      <w:r w:rsidR="007A747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климатских</w:t>
      </w:r>
      <w:r w:rsidR="007A747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промена</w:t>
      </w:r>
    </w:p>
    <w:p w14:paraId="4A676C97" w14:textId="0C82CA74" w:rsidR="000B7D4F" w:rsidRPr="005303F7" w:rsidRDefault="00045511" w:rsidP="00045511">
      <w:pPr>
        <w:pStyle w:val="ListParagraph"/>
        <w:numPr>
          <w:ilvl w:val="0"/>
          <w:numId w:val="35"/>
        </w:numPr>
        <w:tabs>
          <w:tab w:val="clear" w:pos="3825"/>
        </w:tabs>
        <w:overflowPunct/>
        <w:autoSpaceDE/>
        <w:autoSpaceDN/>
        <w:adjustRightInd/>
        <w:spacing w:before="0" w:after="160"/>
        <w:ind w:left="0" w:firstLine="360"/>
        <w:contextualSpacing/>
        <w:textAlignment w:val="auto"/>
        <w:rPr>
          <w:rFonts w:ascii="Times New Roman" w:hAnsi="Times New Roman" w:cs="Times New Roman"/>
          <w:sz w:val="24"/>
          <w:szCs w:val="21"/>
          <w:lang w:val="sr-Cyrl-CS"/>
        </w:rPr>
      </w:pPr>
      <w:r w:rsidRPr="005303F7">
        <w:rPr>
          <w:rFonts w:ascii="Times New Roman" w:hAnsi="Times New Roman" w:cs="Times New Roman"/>
          <w:sz w:val="24"/>
          <w:szCs w:val="21"/>
          <w:lang w:val="sr-Cyrl-CS"/>
        </w:rPr>
        <w:t>у</w:t>
      </w:r>
      <w:r w:rsidR="008D69AF" w:rsidRPr="005303F7">
        <w:rPr>
          <w:rFonts w:ascii="Times New Roman" w:hAnsi="Times New Roman" w:cs="Times New Roman"/>
          <w:sz w:val="24"/>
          <w:szCs w:val="21"/>
          <w:lang w:val="sr-Cyrl-CS"/>
        </w:rPr>
        <w:t>к</w:t>
      </w:r>
      <w:r w:rsidR="00D553BE" w:rsidRPr="005303F7">
        <w:rPr>
          <w:rFonts w:ascii="Times New Roman" w:hAnsi="Times New Roman" w:cs="Times New Roman"/>
          <w:sz w:val="24"/>
          <w:szCs w:val="21"/>
          <w:lang w:val="sr-Cyrl-CS"/>
        </w:rPr>
        <w:t>љ</w:t>
      </w:r>
      <w:r w:rsidR="008D69AF" w:rsidRPr="005303F7">
        <w:rPr>
          <w:rFonts w:ascii="Times New Roman" w:hAnsi="Times New Roman" w:cs="Times New Roman"/>
          <w:sz w:val="24"/>
          <w:szCs w:val="21"/>
          <w:lang w:val="sr-Cyrl-CS"/>
        </w:rPr>
        <w:t>учење</w:t>
      </w:r>
      <w:r w:rsidR="00DF3C5A"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припреме</w:t>
      </w:r>
      <w:r w:rsidR="007A747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локалних</w:t>
      </w:r>
      <w:r w:rsidR="007A7479" w:rsidRPr="005303F7">
        <w:rPr>
          <w:rFonts w:ascii="Times New Roman" w:hAnsi="Times New Roman" w:cs="Times New Roman"/>
          <w:sz w:val="24"/>
          <w:szCs w:val="21"/>
          <w:lang w:val="sr-Cyrl-CS"/>
        </w:rPr>
        <w:t>/</w:t>
      </w:r>
      <w:r w:rsidR="008D69AF" w:rsidRPr="005303F7">
        <w:rPr>
          <w:rFonts w:ascii="Times New Roman" w:hAnsi="Times New Roman" w:cs="Times New Roman"/>
          <w:sz w:val="24"/>
          <w:szCs w:val="21"/>
          <w:lang w:val="sr-Cyrl-CS"/>
        </w:rPr>
        <w:t>регионалних</w:t>
      </w:r>
      <w:r w:rsidR="007A747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нискоуг</w:t>
      </w:r>
      <w:r w:rsidR="00D553BE" w:rsidRPr="005303F7">
        <w:rPr>
          <w:rFonts w:ascii="Times New Roman" w:hAnsi="Times New Roman" w:cs="Times New Roman"/>
          <w:sz w:val="24"/>
          <w:szCs w:val="21"/>
          <w:lang w:val="sr-Cyrl-CS"/>
        </w:rPr>
        <w:t>љ</w:t>
      </w:r>
      <w:r w:rsidR="008D69AF" w:rsidRPr="005303F7">
        <w:rPr>
          <w:rFonts w:ascii="Times New Roman" w:hAnsi="Times New Roman" w:cs="Times New Roman"/>
          <w:sz w:val="24"/>
          <w:szCs w:val="21"/>
          <w:lang w:val="sr-Cyrl-CS"/>
        </w:rPr>
        <w:t>еничнких</w:t>
      </w:r>
      <w:r w:rsidR="007A747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саобраћајних</w:t>
      </w:r>
      <w:r w:rsidR="007A747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стратегија</w:t>
      </w:r>
      <w:r w:rsidR="007A747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и</w:t>
      </w:r>
      <w:r w:rsidR="007A747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планова</w:t>
      </w:r>
      <w:r w:rsidR="007A747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одрживе</w:t>
      </w:r>
      <w:r w:rsidR="007A747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урбане</w:t>
      </w:r>
      <w:r w:rsidR="007A747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мобилности</w:t>
      </w:r>
      <w:r w:rsidR="00DF3C5A"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у</w:t>
      </w:r>
      <w:r w:rsidR="00DF3C5A"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законски</w:t>
      </w:r>
      <w:r w:rsidR="00DF3C5A"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оквир</w:t>
      </w:r>
    </w:p>
    <w:p w14:paraId="7CBDB2A5" w14:textId="32859175" w:rsidR="000B7D4F" w:rsidRPr="005303F7" w:rsidRDefault="00D85AE6" w:rsidP="00E13F51">
      <w:pPr>
        <w:tabs>
          <w:tab w:val="clear" w:pos="3825"/>
        </w:tabs>
        <w:overflowPunct/>
        <w:autoSpaceDE/>
        <w:autoSpaceDN/>
        <w:adjustRightInd/>
        <w:spacing w:before="0" w:after="160"/>
        <w:contextualSpacing/>
        <w:jc w:val="left"/>
        <w:textAlignment w:val="auto"/>
        <w:rPr>
          <w:rFonts w:ascii="Times New Roman" w:hAnsi="Times New Roman"/>
          <w:b/>
          <w:bCs/>
          <w:sz w:val="24"/>
          <w:szCs w:val="21"/>
          <w:lang w:val="sr-Cyrl-CS"/>
        </w:rPr>
      </w:pPr>
      <w:r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Закон</w:t>
      </w:r>
      <w:r w:rsidR="00716A07"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о</w:t>
      </w:r>
      <w:r w:rsidR="00716A07"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накнадама</w:t>
      </w:r>
      <w:r w:rsidR="00716A07"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за</w:t>
      </w:r>
      <w:r w:rsidR="00716A07"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коришћење</w:t>
      </w:r>
      <w:r w:rsidR="00716A07"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јавних</w:t>
      </w:r>
      <w:r w:rsidR="00716A07"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добара</w:t>
      </w:r>
      <w:r w:rsidR="00716A07"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Службени</w:t>
      </w:r>
      <w:r w:rsidR="00716A07"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гласник</w:t>
      </w:r>
      <w:r w:rsidR="00B566CD" w:rsidRPr="005303F7">
        <w:rPr>
          <w:rFonts w:ascii="Times New Roman" w:hAnsi="Times New Roman"/>
          <w:b/>
          <w:bCs/>
          <w:sz w:val="24"/>
          <w:szCs w:val="21"/>
          <w:lang w:val="sr-Cyrl-CS"/>
        </w:rPr>
        <w:t xml:space="preserve"> </w:t>
      </w:r>
      <w:r w:rsidR="0023509A" w:rsidRPr="005303F7">
        <w:rPr>
          <w:rFonts w:ascii="Times New Roman" w:hAnsi="Times New Roman"/>
          <w:b/>
          <w:bCs/>
          <w:sz w:val="24"/>
          <w:szCs w:val="21"/>
          <w:lang w:val="sr-Cyrl-CS"/>
        </w:rPr>
        <w:t>РС</w:t>
      </w:r>
      <w:r w:rsidR="00B566CD" w:rsidRPr="005303F7">
        <w:rPr>
          <w:rFonts w:ascii="Times New Roman" w:hAnsi="Times New Roman"/>
          <w:b/>
          <w:bCs/>
          <w:sz w:val="24"/>
          <w:szCs w:val="21"/>
          <w:lang w:val="sr-Cyrl-CS"/>
        </w:rPr>
        <w:t>ˮ,</w:t>
      </w:r>
      <w:r w:rsidR="00716A07"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бр</w:t>
      </w:r>
      <w:r w:rsidR="00716A07" w:rsidRPr="005303F7">
        <w:rPr>
          <w:rFonts w:ascii="Times New Roman" w:hAnsi="Times New Roman"/>
          <w:b/>
          <w:bCs/>
          <w:sz w:val="24"/>
          <w:szCs w:val="21"/>
          <w:lang w:val="sr-Cyrl-CS"/>
        </w:rPr>
        <w:t xml:space="preserve">. </w:t>
      </w:r>
      <w:r w:rsidR="000B7D4F" w:rsidRPr="005303F7">
        <w:rPr>
          <w:rFonts w:ascii="Times New Roman" w:hAnsi="Times New Roman"/>
          <w:b/>
          <w:bCs/>
          <w:sz w:val="24"/>
          <w:szCs w:val="21"/>
          <w:lang w:val="sr-Cyrl-CS"/>
        </w:rPr>
        <w:t>95/18</w:t>
      </w:r>
      <w:r w:rsidR="0023509A" w:rsidRPr="005303F7">
        <w:rPr>
          <w:rFonts w:ascii="Times New Roman" w:hAnsi="Times New Roman"/>
          <w:b/>
          <w:bCs/>
          <w:sz w:val="24"/>
          <w:szCs w:val="21"/>
          <w:lang w:val="sr-Cyrl-CS"/>
        </w:rPr>
        <w:t xml:space="preserve"> и 49/19</w:t>
      </w:r>
      <w:r w:rsidR="000B7D4F" w:rsidRPr="005303F7">
        <w:rPr>
          <w:rFonts w:ascii="Times New Roman" w:hAnsi="Times New Roman"/>
          <w:b/>
          <w:bCs/>
          <w:sz w:val="24"/>
          <w:szCs w:val="21"/>
          <w:lang w:val="sr-Cyrl-CS"/>
        </w:rPr>
        <w:t>)</w:t>
      </w:r>
    </w:p>
    <w:p w14:paraId="0C5A00D8" w14:textId="02F9849D" w:rsidR="00C57366" w:rsidRPr="005303F7" w:rsidRDefault="0023509A" w:rsidP="00D93231">
      <w:pPr>
        <w:pStyle w:val="ListParagraph"/>
        <w:numPr>
          <w:ilvl w:val="0"/>
          <w:numId w:val="35"/>
        </w:numPr>
        <w:tabs>
          <w:tab w:val="clear" w:pos="3825"/>
        </w:tabs>
        <w:overflowPunct/>
        <w:autoSpaceDE/>
        <w:autoSpaceDN/>
        <w:adjustRightInd/>
        <w:spacing w:before="0" w:after="160"/>
        <w:contextualSpacing/>
        <w:jc w:val="left"/>
        <w:textAlignment w:val="auto"/>
        <w:rPr>
          <w:rFonts w:ascii="Times New Roman" w:hAnsi="Times New Roman" w:cs="Times New Roman"/>
          <w:sz w:val="24"/>
          <w:szCs w:val="21"/>
          <w:lang w:val="sr-Cyrl-CS"/>
        </w:rPr>
      </w:pPr>
      <w:r w:rsidRPr="005303F7">
        <w:rPr>
          <w:rFonts w:ascii="Times New Roman" w:hAnsi="Times New Roman" w:cs="Times New Roman"/>
          <w:sz w:val="24"/>
          <w:szCs w:val="21"/>
          <w:lang w:val="sr-Cyrl-CS"/>
        </w:rPr>
        <w:t>у</w:t>
      </w:r>
      <w:r w:rsidR="008D69AF" w:rsidRPr="005303F7">
        <w:rPr>
          <w:rFonts w:ascii="Times New Roman" w:hAnsi="Times New Roman" w:cs="Times New Roman"/>
          <w:sz w:val="24"/>
          <w:szCs w:val="21"/>
          <w:lang w:val="sr-Cyrl-CS"/>
        </w:rPr>
        <w:t>вођење</w:t>
      </w:r>
      <w:r w:rsidR="008249E2"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накнаде</w:t>
      </w:r>
      <w:r w:rsidR="008249E2"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за</w:t>
      </w:r>
      <w:r w:rsidR="008249E2"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коришћење</w:t>
      </w:r>
      <w:r w:rsidR="008249E2"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путева</w:t>
      </w:r>
      <w:r w:rsidR="008249E2"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на</w:t>
      </w:r>
      <w:r w:rsidR="008249E2"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основу</w:t>
      </w:r>
      <w:r w:rsidR="008249E2" w:rsidRPr="005303F7">
        <w:rPr>
          <w:rFonts w:ascii="Times New Roman" w:hAnsi="Times New Roman" w:cs="Times New Roman"/>
          <w:sz w:val="24"/>
          <w:szCs w:val="21"/>
          <w:lang w:val="sr-Cyrl-CS"/>
        </w:rPr>
        <w:t xml:space="preserve"> </w:t>
      </w:r>
      <w:r w:rsidR="00B566CD" w:rsidRPr="005303F7">
        <w:rPr>
          <w:rFonts w:ascii="Times New Roman" w:hAnsi="Times New Roman" w:cs="Times New Roman"/>
          <w:sz w:val="24"/>
          <w:szCs w:val="21"/>
          <w:lang w:val="sr-Cyrl-CS"/>
        </w:rPr>
        <w:t>ЕУ</w:t>
      </w:r>
      <w:r w:rsidR="0039680D" w:rsidRPr="005303F7">
        <w:rPr>
          <w:rFonts w:ascii="Times New Roman" w:hAnsi="Times New Roman" w:cs="Times New Roman"/>
          <w:sz w:val="24"/>
          <w:szCs w:val="21"/>
          <w:lang w:val="sr-Cyrl-CS"/>
        </w:rPr>
        <w:t>Р</w:t>
      </w:r>
      <w:r w:rsidR="008D69AF" w:rsidRPr="005303F7">
        <w:rPr>
          <w:rFonts w:ascii="Times New Roman" w:hAnsi="Times New Roman" w:cs="Times New Roman"/>
          <w:sz w:val="24"/>
          <w:szCs w:val="21"/>
          <w:lang w:val="sr-Cyrl-CS"/>
        </w:rPr>
        <w:t>О</w:t>
      </w:r>
      <w:r w:rsidR="008249E2"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стандарда</w:t>
      </w:r>
      <w:r w:rsidR="008249E2"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о</w:t>
      </w:r>
      <w:r w:rsidR="008249E2"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емисијама</w:t>
      </w:r>
    </w:p>
    <w:p w14:paraId="7768668E" w14:textId="77777777" w:rsidR="00BF17D6" w:rsidRPr="005303F7" w:rsidRDefault="00BF17D6" w:rsidP="00E13F51">
      <w:pPr>
        <w:rPr>
          <w:rFonts w:ascii="Times New Roman" w:hAnsi="Times New Roman"/>
          <w:b/>
          <w:bCs/>
          <w:sz w:val="24"/>
          <w:szCs w:val="21"/>
          <w:u w:val="single"/>
          <w:lang w:val="sr-Cyrl-CS"/>
        </w:rPr>
      </w:pPr>
    </w:p>
    <w:p w14:paraId="26929E29" w14:textId="0147CAF0" w:rsidR="000B7D4F" w:rsidRPr="005303F7" w:rsidRDefault="00422673" w:rsidP="00E13F51">
      <w:pPr>
        <w:rPr>
          <w:rFonts w:ascii="Times New Roman" w:hAnsi="Times New Roman"/>
          <w:b/>
          <w:bCs/>
          <w:sz w:val="24"/>
          <w:szCs w:val="21"/>
          <w:lang w:val="sr-Cyrl-CS"/>
        </w:rPr>
      </w:pPr>
      <w:r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Шумарство</w:t>
      </w:r>
    </w:p>
    <w:p w14:paraId="61CA6149" w14:textId="01D41B3E" w:rsidR="000B7D4F" w:rsidRPr="005303F7" w:rsidRDefault="00422673" w:rsidP="00E13F51">
      <w:pPr>
        <w:rPr>
          <w:rFonts w:ascii="Times New Roman" w:hAnsi="Times New Roman"/>
          <w:b/>
          <w:bCs/>
          <w:sz w:val="24"/>
          <w:szCs w:val="21"/>
          <w:lang w:val="sr-Cyrl-CS"/>
        </w:rPr>
      </w:pPr>
      <w:r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Програм</w:t>
      </w:r>
      <w:r w:rsidR="003504DE"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за</w:t>
      </w:r>
      <w:r w:rsidR="003504DE"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развој</w:t>
      </w:r>
      <w:r w:rsidR="003504DE" w:rsidRPr="005303F7">
        <w:rPr>
          <w:rFonts w:ascii="Times New Roman" w:hAnsi="Times New Roman"/>
          <w:b/>
          <w:bCs/>
          <w:sz w:val="24"/>
          <w:szCs w:val="21"/>
          <w:lang w:val="sr-Cyrl-CS"/>
        </w:rPr>
        <w:t xml:space="preserve"> </w:t>
      </w:r>
      <w:r w:rsidR="008D69AF" w:rsidRPr="005303F7">
        <w:rPr>
          <w:rFonts w:ascii="Times New Roman" w:hAnsi="Times New Roman"/>
          <w:b/>
          <w:bCs/>
          <w:sz w:val="24"/>
          <w:szCs w:val="21"/>
          <w:lang w:val="sr-Cyrl-CS"/>
        </w:rPr>
        <w:t>шумарства</w:t>
      </w:r>
      <w:r w:rsidR="0023509A" w:rsidRPr="005303F7">
        <w:rPr>
          <w:rFonts w:ascii="Times New Roman" w:hAnsi="Times New Roman"/>
          <w:b/>
          <w:bCs/>
          <w:sz w:val="24"/>
          <w:szCs w:val="21"/>
          <w:lang w:val="sr-Cyrl-CS"/>
        </w:rPr>
        <w:t xml:space="preserve"> </w:t>
      </w:r>
    </w:p>
    <w:p w14:paraId="02A5B5E6" w14:textId="02AA9928" w:rsidR="000B75F4" w:rsidRPr="005303F7" w:rsidRDefault="000578C5" w:rsidP="00C72692">
      <w:pPr>
        <w:pStyle w:val="ListParagraph"/>
        <w:numPr>
          <w:ilvl w:val="0"/>
          <w:numId w:val="35"/>
        </w:numPr>
        <w:tabs>
          <w:tab w:val="clear" w:pos="3825"/>
        </w:tabs>
        <w:overflowPunct/>
        <w:autoSpaceDE/>
        <w:autoSpaceDN/>
        <w:adjustRightInd/>
        <w:spacing w:before="0" w:after="0"/>
        <w:ind w:left="0" w:firstLine="360"/>
        <w:textAlignment w:val="auto"/>
        <w:rPr>
          <w:rFonts w:ascii="Times New Roman" w:hAnsi="Times New Roman" w:cs="Times New Roman"/>
          <w:b/>
          <w:caps/>
          <w:spacing w:val="36"/>
          <w:sz w:val="24"/>
          <w:szCs w:val="21"/>
          <w:lang w:val="sr-Cyrl-CS"/>
        </w:rPr>
        <w:sectPr w:rsidR="000B75F4" w:rsidRPr="005303F7" w:rsidSect="00603B1E">
          <w:headerReference w:type="default" r:id="rId30"/>
          <w:footerReference w:type="default" r:id="rId31"/>
          <w:headerReference w:type="first" r:id="rId32"/>
          <w:footerReference w:type="first" r:id="rId33"/>
          <w:pgSz w:w="11909" w:h="16834" w:code="9"/>
          <w:pgMar w:top="1440" w:right="1247" w:bottom="1440" w:left="1440" w:header="567" w:footer="567" w:gutter="0"/>
          <w:cols w:space="720"/>
          <w:docGrid w:linePitch="360"/>
        </w:sectPr>
      </w:pPr>
      <w:bookmarkStart w:id="420" w:name="_Ref11760796"/>
      <w:r w:rsidRPr="005303F7">
        <w:rPr>
          <w:rFonts w:ascii="Times New Roman" w:hAnsi="Times New Roman" w:cs="Times New Roman"/>
          <w:sz w:val="24"/>
          <w:szCs w:val="21"/>
          <w:lang w:val="sr-Cyrl-CS"/>
        </w:rPr>
        <w:t>д</w:t>
      </w:r>
      <w:r w:rsidR="008D69AF" w:rsidRPr="005303F7">
        <w:rPr>
          <w:rFonts w:ascii="Times New Roman" w:hAnsi="Times New Roman" w:cs="Times New Roman"/>
          <w:sz w:val="24"/>
          <w:szCs w:val="21"/>
          <w:lang w:val="sr-Cyrl-CS"/>
        </w:rPr>
        <w:t>опу</w:t>
      </w:r>
      <w:r w:rsidR="0023509A" w:rsidRPr="005303F7">
        <w:rPr>
          <w:rFonts w:ascii="Times New Roman" w:hAnsi="Times New Roman" w:cs="Times New Roman"/>
          <w:sz w:val="24"/>
          <w:szCs w:val="21"/>
          <w:lang w:val="sr-Cyrl-CS"/>
        </w:rPr>
        <w:t>на</w:t>
      </w:r>
      <w:r w:rsidR="007E5EF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нацрта</w:t>
      </w:r>
      <w:r w:rsidR="007E5EF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програма</w:t>
      </w:r>
      <w:r w:rsidR="007E5EF9" w:rsidRPr="005303F7">
        <w:rPr>
          <w:rFonts w:ascii="Times New Roman" w:hAnsi="Times New Roman" w:cs="Times New Roman"/>
          <w:sz w:val="24"/>
          <w:szCs w:val="21"/>
          <w:lang w:val="sr-Cyrl-CS"/>
        </w:rPr>
        <w:t xml:space="preserve"> </w:t>
      </w:r>
      <w:r w:rsidR="0023509A" w:rsidRPr="005303F7">
        <w:rPr>
          <w:rFonts w:ascii="Times New Roman" w:hAnsi="Times New Roman" w:cs="Times New Roman"/>
          <w:sz w:val="24"/>
          <w:szCs w:val="21"/>
          <w:lang w:val="sr-Cyrl-CS"/>
        </w:rPr>
        <w:t xml:space="preserve">за развој шумарства </w:t>
      </w:r>
      <w:r w:rsidR="008D69AF" w:rsidRPr="005303F7">
        <w:rPr>
          <w:rFonts w:ascii="Times New Roman" w:hAnsi="Times New Roman" w:cs="Times New Roman"/>
          <w:sz w:val="24"/>
          <w:szCs w:val="21"/>
          <w:lang w:val="sr-Cyrl-CS"/>
        </w:rPr>
        <w:t>тако</w:t>
      </w:r>
      <w:r w:rsidR="007E5EF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да</w:t>
      </w:r>
      <w:r w:rsidR="007E5EF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ук</w:t>
      </w:r>
      <w:r w:rsidR="00D553BE" w:rsidRPr="005303F7">
        <w:rPr>
          <w:rFonts w:ascii="Times New Roman" w:hAnsi="Times New Roman" w:cs="Times New Roman"/>
          <w:sz w:val="24"/>
          <w:szCs w:val="21"/>
          <w:lang w:val="sr-Cyrl-CS"/>
        </w:rPr>
        <w:t>љ</w:t>
      </w:r>
      <w:r w:rsidR="008D69AF" w:rsidRPr="005303F7">
        <w:rPr>
          <w:rFonts w:ascii="Times New Roman" w:hAnsi="Times New Roman" w:cs="Times New Roman"/>
          <w:sz w:val="24"/>
          <w:szCs w:val="21"/>
          <w:lang w:val="sr-Cyrl-CS"/>
        </w:rPr>
        <w:t>учује</w:t>
      </w:r>
      <w:r w:rsidR="007E5EF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мере</w:t>
      </w:r>
      <w:r w:rsidR="007E5EF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и</w:t>
      </w:r>
      <w:r w:rsidR="007E5EF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ци</w:t>
      </w:r>
      <w:r w:rsidR="00D553BE" w:rsidRPr="005303F7">
        <w:rPr>
          <w:rFonts w:ascii="Times New Roman" w:hAnsi="Times New Roman" w:cs="Times New Roman"/>
          <w:sz w:val="24"/>
          <w:szCs w:val="21"/>
          <w:lang w:val="sr-Cyrl-CS"/>
        </w:rPr>
        <w:t>љ</w:t>
      </w:r>
      <w:r w:rsidR="008D69AF" w:rsidRPr="005303F7">
        <w:rPr>
          <w:rFonts w:ascii="Times New Roman" w:hAnsi="Times New Roman" w:cs="Times New Roman"/>
          <w:sz w:val="24"/>
          <w:szCs w:val="21"/>
          <w:lang w:val="sr-Cyrl-CS"/>
        </w:rPr>
        <w:t>еве</w:t>
      </w:r>
      <w:r w:rsidR="007E5EF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предвиђене</w:t>
      </w:r>
      <w:r w:rsidR="007E5EF9" w:rsidRPr="005303F7">
        <w:rPr>
          <w:rFonts w:ascii="Times New Roman" w:hAnsi="Times New Roman" w:cs="Times New Roman"/>
          <w:sz w:val="24"/>
          <w:szCs w:val="21"/>
          <w:lang w:val="sr-Cyrl-CS"/>
        </w:rPr>
        <w:t xml:space="preserve"> </w:t>
      </w:r>
      <w:r w:rsidR="008D69AF" w:rsidRPr="005303F7">
        <w:rPr>
          <w:rFonts w:ascii="Times New Roman" w:hAnsi="Times New Roman" w:cs="Times New Roman"/>
          <w:sz w:val="24"/>
          <w:szCs w:val="21"/>
          <w:lang w:val="sr-Cyrl-CS"/>
        </w:rPr>
        <w:t>Стратегијом</w:t>
      </w:r>
      <w:r w:rsidR="0023509A" w:rsidRPr="005303F7">
        <w:rPr>
          <w:rFonts w:ascii="Times New Roman" w:hAnsi="Times New Roman" w:cs="Times New Roman"/>
          <w:sz w:val="24"/>
          <w:szCs w:val="21"/>
          <w:lang w:val="sr-Cyrl-CS"/>
        </w:rPr>
        <w:t xml:space="preserve">. </w:t>
      </w:r>
    </w:p>
    <w:p w14:paraId="2AD5262C" w14:textId="283A2BD1" w:rsidR="009F0205" w:rsidRPr="005303F7" w:rsidRDefault="009F0205" w:rsidP="00741FC8">
      <w:pPr>
        <w:pStyle w:val="Heading1"/>
        <w:numPr>
          <w:ilvl w:val="0"/>
          <w:numId w:val="0"/>
        </w:numPr>
        <w:ind w:left="1985" w:hanging="1985"/>
        <w:rPr>
          <w:rFonts w:ascii="Times New Roman" w:hAnsi="Times New Roman" w:cs="Times New Roman"/>
          <w:lang w:val="sr-Cyrl-CS"/>
        </w:rPr>
      </w:pPr>
      <w:bookmarkStart w:id="421" w:name="_Ref11776472"/>
      <w:bookmarkStart w:id="422" w:name="_Toc26686124"/>
      <w:r w:rsidRPr="005303F7">
        <w:rPr>
          <w:rFonts w:ascii="Times New Roman" w:hAnsi="Times New Roman" w:cs="Times New Roman"/>
          <w:lang w:val="sr-Cyrl-CS"/>
        </w:rPr>
        <w:lastRenderedPageBreak/>
        <w:tab/>
      </w:r>
      <w:r w:rsidRPr="005303F7">
        <w:rPr>
          <w:rFonts w:ascii="Times New Roman" w:hAnsi="Times New Roman" w:cs="Times New Roman"/>
          <w:lang w:val="sr-Cyrl-CS"/>
        </w:rPr>
        <w:tab/>
      </w:r>
      <w:r w:rsidRPr="005303F7">
        <w:rPr>
          <w:rFonts w:ascii="Times New Roman" w:hAnsi="Times New Roman" w:cs="Times New Roman"/>
          <w:lang w:val="sr-Cyrl-CS"/>
        </w:rPr>
        <w:tab/>
      </w:r>
      <w:r w:rsidRPr="005303F7">
        <w:rPr>
          <w:rFonts w:ascii="Times New Roman" w:hAnsi="Times New Roman" w:cs="Times New Roman"/>
          <w:lang w:val="sr-Cyrl-CS"/>
        </w:rPr>
        <w:tab/>
      </w:r>
      <w:r w:rsidRPr="005303F7">
        <w:rPr>
          <w:rFonts w:ascii="Times New Roman" w:hAnsi="Times New Roman" w:cs="Times New Roman"/>
          <w:lang w:val="sr-Cyrl-CS"/>
        </w:rPr>
        <w:tab/>
      </w:r>
      <w:r w:rsidRPr="005303F7">
        <w:rPr>
          <w:rFonts w:ascii="Times New Roman" w:hAnsi="Times New Roman" w:cs="Times New Roman"/>
          <w:lang w:val="sr-Cyrl-CS"/>
        </w:rPr>
        <w:tab/>
      </w:r>
      <w:r w:rsidRPr="005303F7">
        <w:rPr>
          <w:rFonts w:ascii="Times New Roman" w:hAnsi="Times New Roman" w:cs="Times New Roman"/>
          <w:lang w:val="sr-Cyrl-CS"/>
        </w:rPr>
        <w:tab/>
      </w:r>
      <w:r w:rsidRPr="005303F7">
        <w:rPr>
          <w:rFonts w:ascii="Times New Roman" w:hAnsi="Times New Roman" w:cs="Times New Roman"/>
          <w:lang w:val="sr-Cyrl-CS"/>
        </w:rPr>
        <w:tab/>
      </w:r>
      <w:r w:rsidRPr="005303F7">
        <w:rPr>
          <w:rFonts w:ascii="Times New Roman" w:hAnsi="Times New Roman" w:cs="Times New Roman"/>
          <w:lang w:val="sr-Cyrl-CS"/>
        </w:rPr>
        <w:tab/>
      </w:r>
      <w:r w:rsidRPr="005303F7">
        <w:rPr>
          <w:rFonts w:ascii="Times New Roman" w:hAnsi="Times New Roman" w:cs="Times New Roman"/>
          <w:lang w:val="sr-Cyrl-CS"/>
        </w:rPr>
        <w:tab/>
      </w:r>
      <w:r w:rsidRPr="005303F7">
        <w:rPr>
          <w:rFonts w:ascii="Times New Roman" w:hAnsi="Times New Roman" w:cs="Times New Roman"/>
          <w:lang w:val="sr-Cyrl-CS"/>
        </w:rPr>
        <w:tab/>
      </w:r>
      <w:r w:rsidRPr="005303F7">
        <w:rPr>
          <w:rFonts w:ascii="Times New Roman" w:hAnsi="Times New Roman" w:cs="Times New Roman"/>
          <w:lang w:val="sr-Cyrl-CS"/>
        </w:rPr>
        <w:tab/>
      </w:r>
      <w:r w:rsidRPr="005303F7">
        <w:rPr>
          <w:rFonts w:ascii="Times New Roman" w:hAnsi="Times New Roman" w:cs="Times New Roman"/>
          <w:lang w:val="sr-Cyrl-CS"/>
        </w:rPr>
        <w:tab/>
      </w:r>
      <w:r w:rsidR="00B05959" w:rsidRPr="005303F7">
        <w:rPr>
          <w:rFonts w:ascii="Times New Roman" w:hAnsi="Times New Roman" w:cs="Times New Roman"/>
          <w:lang w:val="sr-Cyrl-CS"/>
        </w:rPr>
        <w:t>ПРИЛОГ 4</w:t>
      </w:r>
    </w:p>
    <w:p w14:paraId="6511DC3A" w14:textId="7ED0C9A8" w:rsidR="00741FC8" w:rsidRPr="005303F7" w:rsidRDefault="008D69AF" w:rsidP="009F0205">
      <w:pPr>
        <w:pStyle w:val="Heading1"/>
        <w:numPr>
          <w:ilvl w:val="0"/>
          <w:numId w:val="0"/>
        </w:numPr>
        <w:ind w:left="1985" w:hanging="1985"/>
        <w:jc w:val="center"/>
        <w:rPr>
          <w:rFonts w:ascii="Times New Roman" w:hAnsi="Times New Roman" w:cs="Times New Roman"/>
          <w:lang w:val="sr-Cyrl-CS"/>
        </w:rPr>
      </w:pPr>
      <w:r w:rsidRPr="005303F7">
        <w:rPr>
          <w:rFonts w:ascii="Times New Roman" w:hAnsi="Times New Roman" w:cs="Times New Roman"/>
          <w:lang w:val="sr-Cyrl-CS"/>
        </w:rPr>
        <w:t>СЕКТОРСКА</w:t>
      </w:r>
      <w:r w:rsidR="00227499" w:rsidRPr="005303F7">
        <w:rPr>
          <w:rFonts w:ascii="Times New Roman" w:hAnsi="Times New Roman" w:cs="Times New Roman"/>
          <w:lang w:val="sr-Cyrl-CS"/>
        </w:rPr>
        <w:t xml:space="preserve"> </w:t>
      </w:r>
      <w:r w:rsidRPr="005303F7">
        <w:rPr>
          <w:rFonts w:ascii="Times New Roman" w:hAnsi="Times New Roman" w:cs="Times New Roman"/>
          <w:lang w:val="sr-Cyrl-CS"/>
        </w:rPr>
        <w:t>СТРУКТУРА</w:t>
      </w:r>
      <w:r w:rsidR="00227499" w:rsidRPr="005303F7">
        <w:rPr>
          <w:rFonts w:ascii="Times New Roman" w:hAnsi="Times New Roman" w:cs="Times New Roman"/>
          <w:lang w:val="sr-Cyrl-CS"/>
        </w:rPr>
        <w:t xml:space="preserve"> </w:t>
      </w:r>
      <w:r w:rsidRPr="005303F7">
        <w:rPr>
          <w:rFonts w:ascii="Times New Roman" w:hAnsi="Times New Roman" w:cs="Times New Roman"/>
          <w:lang w:val="sr-Cyrl-CS"/>
        </w:rPr>
        <w:t>СЦЕНАРИЈА</w:t>
      </w:r>
      <w:r w:rsidR="00227499" w:rsidRPr="005303F7">
        <w:rPr>
          <w:rFonts w:ascii="Times New Roman" w:hAnsi="Times New Roman" w:cs="Times New Roman"/>
          <w:lang w:val="sr-Cyrl-CS"/>
        </w:rPr>
        <w:t xml:space="preserve"> </w:t>
      </w:r>
      <w:r w:rsidRPr="005303F7">
        <w:rPr>
          <w:rFonts w:ascii="Times New Roman" w:hAnsi="Times New Roman" w:cs="Times New Roman"/>
          <w:lang w:val="sr-Cyrl-CS"/>
        </w:rPr>
        <w:t>ЕМИСИЈ</w:t>
      </w:r>
      <w:bookmarkEnd w:id="420"/>
      <w:bookmarkEnd w:id="421"/>
      <w:bookmarkEnd w:id="422"/>
      <w:r w:rsidRPr="005303F7">
        <w:rPr>
          <w:rFonts w:ascii="Times New Roman" w:hAnsi="Times New Roman" w:cs="Times New Roman"/>
          <w:lang w:val="sr-Cyrl-CS"/>
        </w:rPr>
        <w:t>А</w:t>
      </w:r>
    </w:p>
    <w:p w14:paraId="5568D11F" w14:textId="2D0C0AF7" w:rsidR="00182E68" w:rsidRPr="005303F7" w:rsidRDefault="00CC6964" w:rsidP="00182E68">
      <w:pPr>
        <w:rPr>
          <w:rFonts w:ascii="Times New Roman" w:hAnsi="Times New Roman"/>
          <w:sz w:val="24"/>
          <w:lang w:val="sr-Cyrl-CS"/>
        </w:rPr>
      </w:pPr>
      <w:r w:rsidRPr="005303F7">
        <w:rPr>
          <w:rFonts w:ascii="Times New Roman" w:hAnsi="Times New Roman"/>
          <w:sz w:val="24"/>
          <w:lang w:val="sr-Cyrl-CS"/>
        </w:rPr>
        <w:t xml:space="preserve">          </w:t>
      </w:r>
      <w:r w:rsidR="008D69AF" w:rsidRPr="005303F7">
        <w:rPr>
          <w:rFonts w:ascii="Times New Roman" w:hAnsi="Times New Roman"/>
          <w:sz w:val="24"/>
          <w:lang w:val="sr-Cyrl-CS"/>
        </w:rPr>
        <w:t>Следеће</w:t>
      </w:r>
      <w:r w:rsidR="00C415D0" w:rsidRPr="005303F7">
        <w:rPr>
          <w:rFonts w:ascii="Times New Roman" w:hAnsi="Times New Roman"/>
          <w:sz w:val="24"/>
          <w:lang w:val="sr-Cyrl-CS"/>
        </w:rPr>
        <w:t xml:space="preserve"> </w:t>
      </w:r>
      <w:r w:rsidR="008D69AF" w:rsidRPr="005303F7">
        <w:rPr>
          <w:rFonts w:ascii="Times New Roman" w:hAnsi="Times New Roman"/>
          <w:sz w:val="24"/>
          <w:lang w:val="sr-Cyrl-CS"/>
        </w:rPr>
        <w:t>табеле</w:t>
      </w:r>
      <w:r w:rsidR="00C415D0" w:rsidRPr="005303F7">
        <w:rPr>
          <w:rFonts w:ascii="Times New Roman" w:hAnsi="Times New Roman"/>
          <w:sz w:val="24"/>
          <w:lang w:val="sr-Cyrl-CS"/>
        </w:rPr>
        <w:t xml:space="preserve"> </w:t>
      </w:r>
      <w:r w:rsidR="008D69AF" w:rsidRPr="005303F7">
        <w:rPr>
          <w:rFonts w:ascii="Times New Roman" w:hAnsi="Times New Roman"/>
          <w:sz w:val="24"/>
          <w:lang w:val="sr-Cyrl-CS"/>
        </w:rPr>
        <w:t>представ</w:t>
      </w:r>
      <w:r w:rsidR="00D553BE" w:rsidRPr="005303F7">
        <w:rPr>
          <w:rFonts w:ascii="Times New Roman" w:hAnsi="Times New Roman"/>
          <w:sz w:val="24"/>
          <w:lang w:val="sr-Cyrl-CS"/>
        </w:rPr>
        <w:t>љ</w:t>
      </w:r>
      <w:r w:rsidR="008D69AF" w:rsidRPr="005303F7">
        <w:rPr>
          <w:rFonts w:ascii="Times New Roman" w:hAnsi="Times New Roman"/>
          <w:sz w:val="24"/>
          <w:lang w:val="sr-Cyrl-CS"/>
        </w:rPr>
        <w:t>ају</w:t>
      </w:r>
      <w:r w:rsidR="00C415D0" w:rsidRPr="005303F7">
        <w:rPr>
          <w:rFonts w:ascii="Times New Roman" w:hAnsi="Times New Roman"/>
          <w:sz w:val="24"/>
          <w:lang w:val="sr-Cyrl-CS"/>
        </w:rPr>
        <w:t xml:space="preserve"> </w:t>
      </w:r>
      <w:r w:rsidR="008D69AF" w:rsidRPr="005303F7">
        <w:rPr>
          <w:rFonts w:ascii="Times New Roman" w:hAnsi="Times New Roman"/>
          <w:sz w:val="24"/>
          <w:lang w:val="sr-Cyrl-CS"/>
        </w:rPr>
        <w:t>дета</w:t>
      </w:r>
      <w:r w:rsidR="00D553BE" w:rsidRPr="005303F7">
        <w:rPr>
          <w:rFonts w:ascii="Times New Roman" w:hAnsi="Times New Roman"/>
          <w:sz w:val="24"/>
          <w:lang w:val="sr-Cyrl-CS"/>
        </w:rPr>
        <w:t>љ</w:t>
      </w:r>
      <w:r w:rsidR="008D69AF" w:rsidRPr="005303F7">
        <w:rPr>
          <w:rFonts w:ascii="Times New Roman" w:hAnsi="Times New Roman"/>
          <w:sz w:val="24"/>
          <w:lang w:val="sr-Cyrl-CS"/>
        </w:rPr>
        <w:t>ну</w:t>
      </w:r>
      <w:r w:rsidR="00C415D0" w:rsidRPr="005303F7">
        <w:rPr>
          <w:rFonts w:ascii="Times New Roman" w:hAnsi="Times New Roman"/>
          <w:sz w:val="24"/>
          <w:lang w:val="sr-Cyrl-CS"/>
        </w:rPr>
        <w:t xml:space="preserve"> </w:t>
      </w:r>
      <w:r w:rsidR="008D69AF" w:rsidRPr="005303F7">
        <w:rPr>
          <w:rFonts w:ascii="Times New Roman" w:hAnsi="Times New Roman"/>
          <w:sz w:val="24"/>
          <w:lang w:val="sr-Cyrl-CS"/>
        </w:rPr>
        <w:t>секторску</w:t>
      </w:r>
      <w:r w:rsidR="00C415D0" w:rsidRPr="005303F7">
        <w:rPr>
          <w:rFonts w:ascii="Times New Roman" w:hAnsi="Times New Roman"/>
          <w:sz w:val="24"/>
          <w:lang w:val="sr-Cyrl-CS"/>
        </w:rPr>
        <w:t xml:space="preserve"> </w:t>
      </w:r>
      <w:r w:rsidR="008D69AF" w:rsidRPr="005303F7">
        <w:rPr>
          <w:rFonts w:ascii="Times New Roman" w:hAnsi="Times New Roman"/>
          <w:sz w:val="24"/>
          <w:lang w:val="sr-Cyrl-CS"/>
        </w:rPr>
        <w:t>поделу</w:t>
      </w:r>
      <w:r w:rsidR="00C415D0" w:rsidRPr="005303F7">
        <w:rPr>
          <w:rFonts w:ascii="Times New Roman" w:hAnsi="Times New Roman"/>
          <w:sz w:val="24"/>
          <w:lang w:val="sr-Cyrl-CS"/>
        </w:rPr>
        <w:t xml:space="preserve"> </w:t>
      </w:r>
      <w:r w:rsidR="008D69AF" w:rsidRPr="005303F7">
        <w:rPr>
          <w:rFonts w:ascii="Times New Roman" w:hAnsi="Times New Roman"/>
          <w:sz w:val="24"/>
          <w:lang w:val="sr-Cyrl-CS"/>
        </w:rPr>
        <w:t>емисија</w:t>
      </w:r>
      <w:r w:rsidR="00C415D0" w:rsidRPr="005303F7">
        <w:rPr>
          <w:rFonts w:ascii="Times New Roman" w:hAnsi="Times New Roman"/>
          <w:sz w:val="24"/>
          <w:lang w:val="sr-Cyrl-CS"/>
        </w:rPr>
        <w:t xml:space="preserve"> </w:t>
      </w:r>
      <w:r w:rsidR="008D69AF" w:rsidRPr="005303F7">
        <w:rPr>
          <w:rFonts w:ascii="Times New Roman" w:hAnsi="Times New Roman"/>
          <w:sz w:val="24"/>
          <w:lang w:val="sr-Cyrl-CS"/>
        </w:rPr>
        <w:t>до</w:t>
      </w:r>
      <w:r w:rsidR="00C415D0" w:rsidRPr="005303F7">
        <w:rPr>
          <w:rFonts w:ascii="Times New Roman" w:hAnsi="Times New Roman"/>
          <w:sz w:val="24"/>
          <w:lang w:val="sr-Cyrl-CS"/>
        </w:rPr>
        <w:t xml:space="preserve"> 2050. </w:t>
      </w:r>
      <w:r w:rsidR="008D69AF" w:rsidRPr="005303F7">
        <w:rPr>
          <w:rFonts w:ascii="Times New Roman" w:hAnsi="Times New Roman"/>
          <w:sz w:val="24"/>
          <w:lang w:val="sr-Cyrl-CS"/>
        </w:rPr>
        <w:t>године</w:t>
      </w:r>
      <w:r w:rsidR="00C415D0" w:rsidRPr="005303F7">
        <w:rPr>
          <w:rFonts w:ascii="Times New Roman" w:hAnsi="Times New Roman"/>
          <w:sz w:val="24"/>
          <w:lang w:val="sr-Cyrl-CS"/>
        </w:rPr>
        <w:t xml:space="preserve"> </w:t>
      </w:r>
      <w:r w:rsidR="008D69AF" w:rsidRPr="005303F7">
        <w:rPr>
          <w:rFonts w:ascii="Times New Roman" w:hAnsi="Times New Roman"/>
          <w:sz w:val="24"/>
          <w:lang w:val="sr-Cyrl-CS"/>
        </w:rPr>
        <w:t>у</w:t>
      </w:r>
      <w:r w:rsidR="00C415D0" w:rsidRPr="005303F7">
        <w:rPr>
          <w:rFonts w:ascii="Times New Roman" w:hAnsi="Times New Roman"/>
          <w:sz w:val="24"/>
          <w:lang w:val="sr-Cyrl-CS"/>
        </w:rPr>
        <w:t xml:space="preserve"> </w:t>
      </w:r>
      <w:r w:rsidR="008D69AF" w:rsidRPr="005303F7">
        <w:rPr>
          <w:rFonts w:ascii="Times New Roman" w:hAnsi="Times New Roman"/>
          <w:sz w:val="24"/>
          <w:lang w:val="sr-Cyrl-CS"/>
        </w:rPr>
        <w:t>сценаријима</w:t>
      </w:r>
      <w:r w:rsidR="00C415D0" w:rsidRPr="005303F7">
        <w:rPr>
          <w:rFonts w:ascii="Times New Roman" w:hAnsi="Times New Roman"/>
          <w:sz w:val="24"/>
          <w:lang w:val="sr-Cyrl-CS"/>
        </w:rPr>
        <w:t xml:space="preserve"> </w:t>
      </w:r>
      <w:r w:rsidR="003110D1" w:rsidRPr="005303F7">
        <w:rPr>
          <w:rFonts w:ascii="Times New Roman" w:hAnsi="Times New Roman"/>
          <w:sz w:val="24"/>
          <w:lang w:val="sr-Cyrl-CS"/>
        </w:rPr>
        <w:t>Б</w:t>
      </w:r>
      <w:r w:rsidR="00C415D0" w:rsidRPr="005303F7">
        <w:rPr>
          <w:rFonts w:ascii="Times New Roman" w:hAnsi="Times New Roman"/>
          <w:sz w:val="24"/>
          <w:lang w:val="sr-Cyrl-CS"/>
        </w:rPr>
        <w:t xml:space="preserve">1, </w:t>
      </w:r>
      <w:r w:rsidR="008D69AF" w:rsidRPr="005303F7">
        <w:rPr>
          <w:rFonts w:ascii="Times New Roman" w:hAnsi="Times New Roman"/>
          <w:sz w:val="24"/>
          <w:lang w:val="sr-Cyrl-CS"/>
        </w:rPr>
        <w:t>М</w:t>
      </w:r>
      <w:r w:rsidR="00C415D0" w:rsidRPr="005303F7">
        <w:rPr>
          <w:rFonts w:ascii="Times New Roman" w:hAnsi="Times New Roman"/>
          <w:sz w:val="24"/>
          <w:lang w:val="sr-Cyrl-CS"/>
        </w:rPr>
        <w:t xml:space="preserve">2, </w:t>
      </w:r>
      <w:r w:rsidR="008D69AF" w:rsidRPr="005303F7">
        <w:rPr>
          <w:rFonts w:ascii="Times New Roman" w:hAnsi="Times New Roman"/>
          <w:sz w:val="24"/>
          <w:lang w:val="sr-Cyrl-CS"/>
        </w:rPr>
        <w:t>М</w:t>
      </w:r>
      <w:r w:rsidR="00C415D0" w:rsidRPr="005303F7">
        <w:rPr>
          <w:rFonts w:ascii="Times New Roman" w:hAnsi="Times New Roman"/>
          <w:sz w:val="24"/>
          <w:lang w:val="sr-Cyrl-CS"/>
        </w:rPr>
        <w:t xml:space="preserve">3 </w:t>
      </w:r>
      <w:r w:rsidR="008D69AF" w:rsidRPr="005303F7">
        <w:rPr>
          <w:rFonts w:ascii="Times New Roman" w:hAnsi="Times New Roman"/>
          <w:sz w:val="24"/>
          <w:lang w:val="sr-Cyrl-CS"/>
        </w:rPr>
        <w:t>и</w:t>
      </w:r>
      <w:r w:rsidR="00C415D0" w:rsidRPr="005303F7">
        <w:rPr>
          <w:rFonts w:ascii="Times New Roman" w:hAnsi="Times New Roman"/>
          <w:sz w:val="24"/>
          <w:lang w:val="sr-Cyrl-CS"/>
        </w:rPr>
        <w:t xml:space="preserve"> </w:t>
      </w:r>
      <w:r w:rsidR="008D69AF" w:rsidRPr="005303F7">
        <w:rPr>
          <w:rFonts w:ascii="Times New Roman" w:hAnsi="Times New Roman"/>
          <w:sz w:val="24"/>
          <w:lang w:val="sr-Cyrl-CS"/>
        </w:rPr>
        <w:t>М</w:t>
      </w:r>
      <w:r w:rsidR="00C415D0" w:rsidRPr="005303F7">
        <w:rPr>
          <w:rFonts w:ascii="Times New Roman" w:hAnsi="Times New Roman"/>
          <w:sz w:val="24"/>
          <w:lang w:val="sr-Cyrl-CS"/>
        </w:rPr>
        <w:t xml:space="preserve">4, </w:t>
      </w:r>
      <w:r w:rsidR="008D69AF" w:rsidRPr="005303F7">
        <w:rPr>
          <w:rFonts w:ascii="Times New Roman" w:hAnsi="Times New Roman"/>
          <w:sz w:val="24"/>
          <w:lang w:val="sr-Cyrl-CS"/>
        </w:rPr>
        <w:t>са</w:t>
      </w:r>
      <w:r w:rsidR="00C415D0" w:rsidRPr="005303F7">
        <w:rPr>
          <w:rFonts w:ascii="Times New Roman" w:hAnsi="Times New Roman"/>
          <w:sz w:val="24"/>
          <w:lang w:val="sr-Cyrl-CS"/>
        </w:rPr>
        <w:t xml:space="preserve"> </w:t>
      </w:r>
      <w:r w:rsidR="008D69AF" w:rsidRPr="005303F7">
        <w:rPr>
          <w:rFonts w:ascii="Times New Roman" w:hAnsi="Times New Roman"/>
          <w:sz w:val="24"/>
          <w:lang w:val="sr-Cyrl-CS"/>
        </w:rPr>
        <w:t>поређењем</w:t>
      </w:r>
      <w:r w:rsidR="00C415D0" w:rsidRPr="005303F7">
        <w:rPr>
          <w:rFonts w:ascii="Times New Roman" w:hAnsi="Times New Roman"/>
          <w:sz w:val="24"/>
          <w:lang w:val="sr-Cyrl-CS"/>
        </w:rPr>
        <w:t xml:space="preserve"> 2030. </w:t>
      </w:r>
      <w:r w:rsidR="008D69AF" w:rsidRPr="005303F7">
        <w:rPr>
          <w:rFonts w:ascii="Times New Roman" w:hAnsi="Times New Roman"/>
          <w:sz w:val="24"/>
          <w:lang w:val="sr-Cyrl-CS"/>
        </w:rPr>
        <w:t>и</w:t>
      </w:r>
      <w:r w:rsidR="00C415D0" w:rsidRPr="005303F7">
        <w:rPr>
          <w:rFonts w:ascii="Times New Roman" w:hAnsi="Times New Roman"/>
          <w:sz w:val="24"/>
          <w:lang w:val="sr-Cyrl-CS"/>
        </w:rPr>
        <w:t xml:space="preserve"> 2050. </w:t>
      </w:r>
      <w:r w:rsidR="008D69AF" w:rsidRPr="005303F7">
        <w:rPr>
          <w:rFonts w:ascii="Times New Roman" w:hAnsi="Times New Roman"/>
          <w:sz w:val="24"/>
          <w:lang w:val="sr-Cyrl-CS"/>
        </w:rPr>
        <w:t>године</w:t>
      </w:r>
      <w:r w:rsidR="00C415D0" w:rsidRPr="005303F7">
        <w:rPr>
          <w:rFonts w:ascii="Times New Roman" w:hAnsi="Times New Roman"/>
          <w:sz w:val="24"/>
          <w:lang w:val="sr-Cyrl-CS"/>
        </w:rPr>
        <w:t xml:space="preserve"> </w:t>
      </w:r>
      <w:r w:rsidR="008D69AF" w:rsidRPr="005303F7">
        <w:rPr>
          <w:rFonts w:ascii="Times New Roman" w:hAnsi="Times New Roman"/>
          <w:sz w:val="24"/>
          <w:lang w:val="sr-Cyrl-CS"/>
        </w:rPr>
        <w:t>са</w:t>
      </w:r>
      <w:r w:rsidR="00C415D0" w:rsidRPr="005303F7">
        <w:rPr>
          <w:rFonts w:ascii="Times New Roman" w:hAnsi="Times New Roman"/>
          <w:sz w:val="24"/>
          <w:lang w:val="sr-Cyrl-CS"/>
        </w:rPr>
        <w:t xml:space="preserve"> 2010, 2005. </w:t>
      </w:r>
      <w:r w:rsidR="008D69AF" w:rsidRPr="005303F7">
        <w:rPr>
          <w:rFonts w:ascii="Times New Roman" w:hAnsi="Times New Roman"/>
          <w:sz w:val="24"/>
          <w:lang w:val="sr-Cyrl-CS"/>
        </w:rPr>
        <w:t>и</w:t>
      </w:r>
      <w:r w:rsidR="00C415D0" w:rsidRPr="005303F7">
        <w:rPr>
          <w:rFonts w:ascii="Times New Roman" w:hAnsi="Times New Roman"/>
          <w:sz w:val="24"/>
          <w:lang w:val="sr-Cyrl-CS"/>
        </w:rPr>
        <w:t xml:space="preserve"> 1990. </w:t>
      </w:r>
      <w:r w:rsidR="008D69AF" w:rsidRPr="005303F7">
        <w:rPr>
          <w:rFonts w:ascii="Times New Roman" w:hAnsi="Times New Roman"/>
          <w:sz w:val="24"/>
          <w:lang w:val="sr-Cyrl-CS"/>
        </w:rPr>
        <w:t>годином</w:t>
      </w:r>
      <w:r w:rsidR="00C415D0" w:rsidRPr="005303F7">
        <w:rPr>
          <w:rFonts w:ascii="Times New Roman" w:hAnsi="Times New Roman"/>
          <w:sz w:val="24"/>
          <w:lang w:val="sr-Cyrl-CS"/>
        </w:rPr>
        <w:t>.</w:t>
      </w:r>
    </w:p>
    <w:tbl>
      <w:tblPr>
        <w:tblW w:w="14170" w:type="dxa"/>
        <w:tblLayout w:type="fixed"/>
        <w:tblLook w:val="04A0" w:firstRow="1" w:lastRow="0" w:firstColumn="1" w:lastColumn="0" w:noHBand="0" w:noVBand="1"/>
      </w:tblPr>
      <w:tblGrid>
        <w:gridCol w:w="2830"/>
        <w:gridCol w:w="777"/>
        <w:gridCol w:w="777"/>
        <w:gridCol w:w="777"/>
        <w:gridCol w:w="777"/>
        <w:gridCol w:w="777"/>
        <w:gridCol w:w="777"/>
        <w:gridCol w:w="777"/>
        <w:gridCol w:w="777"/>
        <w:gridCol w:w="872"/>
        <w:gridCol w:w="850"/>
        <w:gridCol w:w="851"/>
        <w:gridCol w:w="850"/>
        <w:gridCol w:w="851"/>
        <w:gridCol w:w="850"/>
      </w:tblGrid>
      <w:tr w:rsidR="00B2496D" w:rsidRPr="005303F7" w14:paraId="6C3C3FE1" w14:textId="77777777" w:rsidTr="009741FC">
        <w:trPr>
          <w:trHeight w:val="290"/>
        </w:trPr>
        <w:tc>
          <w:tcPr>
            <w:tcW w:w="283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E90C2C4" w14:textId="2CF286FA" w:rsidR="00B2496D" w:rsidRPr="005303F7" w:rsidRDefault="008D69AF" w:rsidP="00B2496D">
            <w:pPr>
              <w:tabs>
                <w:tab w:val="clear" w:pos="3825"/>
              </w:tabs>
              <w:overflowPunct/>
              <w:autoSpaceDE/>
              <w:autoSpaceDN/>
              <w:adjustRightInd/>
              <w:spacing w:before="0" w:after="0"/>
              <w:jc w:val="lef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Б</w:t>
            </w:r>
            <w:r w:rsidR="00B2496D" w:rsidRPr="005303F7">
              <w:rPr>
                <w:rFonts w:ascii="Times New Roman" w:hAnsi="Times New Roman"/>
                <w:color w:val="000000"/>
                <w:sz w:val="20"/>
                <w:lang w:val="sr-Cyrl-CS" w:eastAsia="en-GB"/>
              </w:rPr>
              <w:t>2</w:t>
            </w:r>
          </w:p>
        </w:tc>
        <w:tc>
          <w:tcPr>
            <w:tcW w:w="777" w:type="dxa"/>
            <w:tcBorders>
              <w:top w:val="single" w:sz="4" w:space="0" w:color="auto"/>
              <w:left w:val="single" w:sz="4" w:space="0" w:color="auto"/>
              <w:bottom w:val="nil"/>
              <w:right w:val="single" w:sz="4" w:space="0" w:color="auto"/>
            </w:tcBorders>
            <w:shd w:val="clear" w:color="000000" w:fill="BFBFBF"/>
            <w:noWrap/>
            <w:vAlign w:val="center"/>
            <w:hideMark/>
          </w:tcPr>
          <w:p w14:paraId="228CA675" w14:textId="75EF5E4B" w:rsidR="00B2496D" w:rsidRPr="005303F7" w:rsidRDefault="00B2496D" w:rsidP="00B2496D">
            <w:pPr>
              <w:tabs>
                <w:tab w:val="clear" w:pos="3825"/>
              </w:tabs>
              <w:overflowPunct/>
              <w:autoSpaceDE/>
              <w:autoSpaceDN/>
              <w:adjustRightInd/>
              <w:spacing w:before="0" w:after="0"/>
              <w:jc w:val="center"/>
              <w:textAlignment w:val="auto"/>
              <w:rPr>
                <w:rFonts w:ascii="Times New Roman" w:hAnsi="Times New Roman"/>
                <w:color w:val="000000"/>
                <w:lang w:val="sr-Cyrl-CS" w:eastAsia="en-GB"/>
              </w:rPr>
            </w:pPr>
            <w:r w:rsidRPr="005303F7">
              <w:rPr>
                <w:rFonts w:ascii="Times New Roman" w:hAnsi="Times New Roman"/>
                <w:color w:val="000000"/>
                <w:lang w:val="sr-Cyrl-CS" w:eastAsia="en-GB"/>
              </w:rPr>
              <w:t>1990.</w:t>
            </w:r>
          </w:p>
        </w:tc>
        <w:tc>
          <w:tcPr>
            <w:tcW w:w="777" w:type="dxa"/>
            <w:tcBorders>
              <w:top w:val="single" w:sz="4" w:space="0" w:color="auto"/>
              <w:left w:val="nil"/>
              <w:bottom w:val="nil"/>
              <w:right w:val="single" w:sz="4" w:space="0" w:color="auto"/>
            </w:tcBorders>
            <w:shd w:val="clear" w:color="000000" w:fill="BFBFBF"/>
            <w:noWrap/>
            <w:vAlign w:val="center"/>
            <w:hideMark/>
          </w:tcPr>
          <w:p w14:paraId="08DA9466" w14:textId="7D6E1A3F" w:rsidR="00B2496D" w:rsidRPr="005303F7" w:rsidRDefault="00B2496D" w:rsidP="00B2496D">
            <w:pPr>
              <w:tabs>
                <w:tab w:val="clear" w:pos="3825"/>
              </w:tabs>
              <w:overflowPunct/>
              <w:autoSpaceDE/>
              <w:autoSpaceDN/>
              <w:adjustRightInd/>
              <w:spacing w:before="0" w:after="0"/>
              <w:jc w:val="center"/>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2005.</w:t>
            </w:r>
          </w:p>
        </w:tc>
        <w:tc>
          <w:tcPr>
            <w:tcW w:w="777" w:type="dxa"/>
            <w:tcBorders>
              <w:top w:val="single" w:sz="4" w:space="0" w:color="auto"/>
              <w:left w:val="nil"/>
              <w:bottom w:val="nil"/>
              <w:right w:val="single" w:sz="4" w:space="0" w:color="auto"/>
            </w:tcBorders>
            <w:shd w:val="clear" w:color="000000" w:fill="BFBFBF"/>
            <w:noWrap/>
            <w:vAlign w:val="center"/>
            <w:hideMark/>
          </w:tcPr>
          <w:p w14:paraId="447BC1E1" w14:textId="72E3AC9D" w:rsidR="00B2496D" w:rsidRPr="005303F7" w:rsidRDefault="00B2496D" w:rsidP="00B2496D">
            <w:pPr>
              <w:tabs>
                <w:tab w:val="clear" w:pos="3825"/>
              </w:tabs>
              <w:overflowPunct/>
              <w:autoSpaceDE/>
              <w:autoSpaceDN/>
              <w:adjustRightInd/>
              <w:spacing w:before="0" w:after="0"/>
              <w:jc w:val="center"/>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2010.</w:t>
            </w:r>
          </w:p>
        </w:tc>
        <w:tc>
          <w:tcPr>
            <w:tcW w:w="777" w:type="dxa"/>
            <w:tcBorders>
              <w:top w:val="single" w:sz="4" w:space="0" w:color="auto"/>
              <w:left w:val="nil"/>
              <w:bottom w:val="nil"/>
              <w:right w:val="single" w:sz="4" w:space="0" w:color="auto"/>
            </w:tcBorders>
            <w:shd w:val="clear" w:color="000000" w:fill="BFBFBF"/>
            <w:noWrap/>
            <w:vAlign w:val="center"/>
            <w:hideMark/>
          </w:tcPr>
          <w:p w14:paraId="5AC9B0C0" w14:textId="02EF23CE" w:rsidR="00B2496D" w:rsidRPr="005303F7" w:rsidRDefault="00B2496D" w:rsidP="00B2496D">
            <w:pPr>
              <w:tabs>
                <w:tab w:val="clear" w:pos="3825"/>
              </w:tabs>
              <w:overflowPunct/>
              <w:autoSpaceDE/>
              <w:autoSpaceDN/>
              <w:adjustRightInd/>
              <w:spacing w:before="0" w:after="0"/>
              <w:jc w:val="center"/>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2015.</w:t>
            </w:r>
          </w:p>
        </w:tc>
        <w:tc>
          <w:tcPr>
            <w:tcW w:w="77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68E91B1" w14:textId="679D05F8" w:rsidR="00B2496D" w:rsidRPr="005303F7" w:rsidRDefault="00B2496D" w:rsidP="00B2496D">
            <w:pPr>
              <w:tabs>
                <w:tab w:val="clear" w:pos="3825"/>
              </w:tabs>
              <w:overflowPunct/>
              <w:autoSpaceDE/>
              <w:autoSpaceDN/>
              <w:adjustRightInd/>
              <w:spacing w:before="0" w:after="0"/>
              <w:jc w:val="center"/>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2020.</w:t>
            </w:r>
          </w:p>
        </w:tc>
        <w:tc>
          <w:tcPr>
            <w:tcW w:w="777" w:type="dxa"/>
            <w:tcBorders>
              <w:top w:val="single" w:sz="4" w:space="0" w:color="auto"/>
              <w:left w:val="nil"/>
              <w:bottom w:val="single" w:sz="4" w:space="0" w:color="auto"/>
              <w:right w:val="single" w:sz="4" w:space="0" w:color="auto"/>
            </w:tcBorders>
            <w:shd w:val="clear" w:color="000000" w:fill="BFBFBF"/>
            <w:noWrap/>
            <w:vAlign w:val="center"/>
            <w:hideMark/>
          </w:tcPr>
          <w:p w14:paraId="2677E1E8" w14:textId="6F0075DE" w:rsidR="00B2496D" w:rsidRPr="005303F7" w:rsidRDefault="00B2496D" w:rsidP="00B2496D">
            <w:pPr>
              <w:tabs>
                <w:tab w:val="clear" w:pos="3825"/>
              </w:tabs>
              <w:overflowPunct/>
              <w:autoSpaceDE/>
              <w:autoSpaceDN/>
              <w:adjustRightInd/>
              <w:spacing w:before="0" w:after="0"/>
              <w:jc w:val="center"/>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2025.</w:t>
            </w:r>
          </w:p>
        </w:tc>
        <w:tc>
          <w:tcPr>
            <w:tcW w:w="777" w:type="dxa"/>
            <w:tcBorders>
              <w:top w:val="single" w:sz="4" w:space="0" w:color="auto"/>
              <w:left w:val="nil"/>
              <w:bottom w:val="single" w:sz="4" w:space="0" w:color="auto"/>
              <w:right w:val="single" w:sz="4" w:space="0" w:color="auto"/>
            </w:tcBorders>
            <w:shd w:val="clear" w:color="000000" w:fill="BFBFBF"/>
            <w:noWrap/>
            <w:vAlign w:val="center"/>
            <w:hideMark/>
          </w:tcPr>
          <w:p w14:paraId="60225A5F" w14:textId="1F80E896" w:rsidR="00B2496D" w:rsidRPr="005303F7" w:rsidRDefault="00B2496D" w:rsidP="00B2496D">
            <w:pPr>
              <w:tabs>
                <w:tab w:val="clear" w:pos="3825"/>
              </w:tabs>
              <w:overflowPunct/>
              <w:autoSpaceDE/>
              <w:autoSpaceDN/>
              <w:adjustRightInd/>
              <w:spacing w:before="0" w:after="0"/>
              <w:jc w:val="center"/>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2030.</w:t>
            </w:r>
          </w:p>
        </w:tc>
        <w:tc>
          <w:tcPr>
            <w:tcW w:w="777" w:type="dxa"/>
            <w:tcBorders>
              <w:top w:val="single" w:sz="4" w:space="0" w:color="auto"/>
              <w:left w:val="nil"/>
              <w:bottom w:val="single" w:sz="4" w:space="0" w:color="auto"/>
              <w:right w:val="single" w:sz="4" w:space="0" w:color="auto"/>
            </w:tcBorders>
            <w:shd w:val="clear" w:color="000000" w:fill="BFBFBF"/>
            <w:noWrap/>
            <w:vAlign w:val="center"/>
            <w:hideMark/>
          </w:tcPr>
          <w:p w14:paraId="20F1C73B" w14:textId="30E028DA" w:rsidR="00B2496D" w:rsidRPr="005303F7" w:rsidRDefault="00B2496D" w:rsidP="00B2496D">
            <w:pPr>
              <w:tabs>
                <w:tab w:val="clear" w:pos="3825"/>
              </w:tabs>
              <w:overflowPunct/>
              <w:autoSpaceDE/>
              <w:autoSpaceDN/>
              <w:adjustRightInd/>
              <w:spacing w:before="0" w:after="0"/>
              <w:jc w:val="center"/>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2050.</w:t>
            </w:r>
          </w:p>
        </w:tc>
        <w:tc>
          <w:tcPr>
            <w:tcW w:w="872" w:type="dxa"/>
            <w:tcBorders>
              <w:top w:val="single" w:sz="4" w:space="0" w:color="auto"/>
              <w:left w:val="nil"/>
              <w:bottom w:val="single" w:sz="4" w:space="0" w:color="auto"/>
              <w:right w:val="single" w:sz="4" w:space="0" w:color="auto"/>
            </w:tcBorders>
            <w:shd w:val="clear" w:color="000000" w:fill="9BC2E6"/>
            <w:vAlign w:val="center"/>
            <w:hideMark/>
          </w:tcPr>
          <w:p w14:paraId="6EAC88AB" w14:textId="77777777"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2030/</w:t>
            </w:r>
          </w:p>
          <w:p w14:paraId="7674D84E" w14:textId="6C03F4FD" w:rsidR="00B2496D" w:rsidRPr="005303F7" w:rsidRDefault="00B2496D" w:rsidP="00B2496D">
            <w:pPr>
              <w:tabs>
                <w:tab w:val="clear" w:pos="3825"/>
              </w:tabs>
              <w:overflowPunct/>
              <w:autoSpaceDE/>
              <w:autoSpaceDN/>
              <w:adjustRightInd/>
              <w:spacing w:before="0" w:after="0"/>
              <w:jc w:val="center"/>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2010.</w:t>
            </w:r>
          </w:p>
        </w:tc>
        <w:tc>
          <w:tcPr>
            <w:tcW w:w="850" w:type="dxa"/>
            <w:tcBorders>
              <w:top w:val="single" w:sz="4" w:space="0" w:color="auto"/>
              <w:left w:val="nil"/>
              <w:bottom w:val="single" w:sz="4" w:space="0" w:color="auto"/>
              <w:right w:val="single" w:sz="4" w:space="0" w:color="auto"/>
            </w:tcBorders>
            <w:shd w:val="clear" w:color="000000" w:fill="9BC2E6"/>
            <w:vAlign w:val="center"/>
            <w:hideMark/>
          </w:tcPr>
          <w:p w14:paraId="511D8532" w14:textId="77777777"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2050/</w:t>
            </w:r>
          </w:p>
          <w:p w14:paraId="7B9B192D" w14:textId="748BB2BE" w:rsidR="00B2496D" w:rsidRPr="005303F7" w:rsidRDefault="00B2496D" w:rsidP="00B2496D">
            <w:pPr>
              <w:tabs>
                <w:tab w:val="clear" w:pos="3825"/>
              </w:tabs>
              <w:overflowPunct/>
              <w:autoSpaceDE/>
              <w:autoSpaceDN/>
              <w:adjustRightInd/>
              <w:spacing w:before="0" w:after="0"/>
              <w:jc w:val="center"/>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2010.</w:t>
            </w:r>
          </w:p>
        </w:tc>
        <w:tc>
          <w:tcPr>
            <w:tcW w:w="851" w:type="dxa"/>
            <w:tcBorders>
              <w:top w:val="single" w:sz="4" w:space="0" w:color="auto"/>
              <w:left w:val="nil"/>
              <w:bottom w:val="single" w:sz="4" w:space="0" w:color="auto"/>
              <w:right w:val="single" w:sz="4" w:space="0" w:color="auto"/>
            </w:tcBorders>
            <w:shd w:val="clear" w:color="000000" w:fill="FFE699"/>
            <w:vAlign w:val="center"/>
            <w:hideMark/>
          </w:tcPr>
          <w:p w14:paraId="0FC2C173" w14:textId="77777777"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2030/</w:t>
            </w:r>
          </w:p>
          <w:p w14:paraId="0821C278" w14:textId="3D840AFB" w:rsidR="00B2496D" w:rsidRPr="005303F7" w:rsidRDefault="00B2496D" w:rsidP="00B2496D">
            <w:pPr>
              <w:tabs>
                <w:tab w:val="clear" w:pos="3825"/>
              </w:tabs>
              <w:overflowPunct/>
              <w:autoSpaceDE/>
              <w:autoSpaceDN/>
              <w:adjustRightInd/>
              <w:spacing w:before="0" w:after="0"/>
              <w:jc w:val="center"/>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2005.</w:t>
            </w:r>
          </w:p>
        </w:tc>
        <w:tc>
          <w:tcPr>
            <w:tcW w:w="850" w:type="dxa"/>
            <w:tcBorders>
              <w:top w:val="single" w:sz="4" w:space="0" w:color="auto"/>
              <w:left w:val="nil"/>
              <w:bottom w:val="single" w:sz="4" w:space="0" w:color="auto"/>
              <w:right w:val="single" w:sz="4" w:space="0" w:color="auto"/>
            </w:tcBorders>
            <w:shd w:val="clear" w:color="000000" w:fill="FFE699"/>
            <w:vAlign w:val="center"/>
            <w:hideMark/>
          </w:tcPr>
          <w:p w14:paraId="366020C5" w14:textId="77777777"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2050/</w:t>
            </w:r>
          </w:p>
          <w:p w14:paraId="122E3775" w14:textId="20D5ED6D" w:rsidR="00B2496D" w:rsidRPr="005303F7" w:rsidRDefault="00B2496D" w:rsidP="00B2496D">
            <w:pPr>
              <w:tabs>
                <w:tab w:val="clear" w:pos="3825"/>
              </w:tabs>
              <w:overflowPunct/>
              <w:autoSpaceDE/>
              <w:autoSpaceDN/>
              <w:adjustRightInd/>
              <w:spacing w:before="0" w:after="0"/>
              <w:jc w:val="center"/>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2005.</w:t>
            </w:r>
          </w:p>
        </w:tc>
        <w:tc>
          <w:tcPr>
            <w:tcW w:w="851"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4FFE97C5" w14:textId="77777777"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2030/</w:t>
            </w:r>
          </w:p>
          <w:p w14:paraId="12125062" w14:textId="751147F7"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1990.</w:t>
            </w:r>
          </w:p>
        </w:tc>
        <w:tc>
          <w:tcPr>
            <w:tcW w:w="850" w:type="dxa"/>
            <w:tcBorders>
              <w:top w:val="single" w:sz="4" w:space="0" w:color="auto"/>
              <w:left w:val="nil"/>
              <w:bottom w:val="single" w:sz="4" w:space="0" w:color="auto"/>
              <w:right w:val="single" w:sz="4" w:space="0" w:color="auto"/>
            </w:tcBorders>
            <w:shd w:val="clear" w:color="000000" w:fill="F8CBAD"/>
            <w:vAlign w:val="center"/>
            <w:hideMark/>
          </w:tcPr>
          <w:p w14:paraId="0BDB0ED2" w14:textId="77777777"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2050/</w:t>
            </w:r>
          </w:p>
          <w:p w14:paraId="63A28103" w14:textId="6DD43433"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1990.</w:t>
            </w:r>
          </w:p>
        </w:tc>
      </w:tr>
      <w:tr w:rsidR="006070B1" w:rsidRPr="005303F7" w14:paraId="363E5852" w14:textId="77777777" w:rsidTr="009741FC">
        <w:trPr>
          <w:trHeight w:val="30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E6B9B3D" w14:textId="493621C8" w:rsidR="006070B1" w:rsidRPr="005303F7" w:rsidRDefault="008D69AF" w:rsidP="006070B1">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t>Енергетска</w:t>
            </w:r>
            <w:r w:rsidR="00C415D0" w:rsidRPr="005303F7">
              <w:rPr>
                <w:rFonts w:ascii="Times New Roman" w:hAnsi="Times New Roman"/>
                <w:color w:val="000000"/>
                <w:lang w:val="sr-Cyrl-CS" w:eastAsia="en-GB"/>
              </w:rPr>
              <w:t xml:space="preserve"> </w:t>
            </w:r>
            <w:r w:rsidRPr="005303F7">
              <w:rPr>
                <w:rFonts w:ascii="Times New Roman" w:hAnsi="Times New Roman"/>
                <w:color w:val="000000"/>
                <w:lang w:val="sr-Cyrl-CS" w:eastAsia="en-GB"/>
              </w:rPr>
              <w:t>индустрија</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F60C7"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44.146</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71A0A887"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35.557</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3B6E3502"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33.050</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0DF47235"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34.700</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75CE24FB"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34.451</w:t>
            </w:r>
          </w:p>
        </w:tc>
        <w:tc>
          <w:tcPr>
            <w:tcW w:w="777" w:type="dxa"/>
            <w:tcBorders>
              <w:top w:val="nil"/>
              <w:left w:val="nil"/>
              <w:bottom w:val="single" w:sz="4" w:space="0" w:color="auto"/>
              <w:right w:val="single" w:sz="4" w:space="0" w:color="auto"/>
            </w:tcBorders>
            <w:shd w:val="clear" w:color="auto" w:fill="auto"/>
            <w:noWrap/>
            <w:vAlign w:val="bottom"/>
            <w:hideMark/>
          </w:tcPr>
          <w:p w14:paraId="006DA733"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34.188</w:t>
            </w:r>
          </w:p>
        </w:tc>
        <w:tc>
          <w:tcPr>
            <w:tcW w:w="777" w:type="dxa"/>
            <w:tcBorders>
              <w:top w:val="nil"/>
              <w:left w:val="nil"/>
              <w:bottom w:val="single" w:sz="4" w:space="0" w:color="auto"/>
              <w:right w:val="single" w:sz="4" w:space="0" w:color="auto"/>
            </w:tcBorders>
            <w:shd w:val="clear" w:color="auto" w:fill="auto"/>
            <w:noWrap/>
            <w:vAlign w:val="bottom"/>
            <w:hideMark/>
          </w:tcPr>
          <w:p w14:paraId="09B4064E"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34.590</w:t>
            </w:r>
          </w:p>
        </w:tc>
        <w:tc>
          <w:tcPr>
            <w:tcW w:w="777" w:type="dxa"/>
            <w:tcBorders>
              <w:top w:val="nil"/>
              <w:left w:val="nil"/>
              <w:bottom w:val="single" w:sz="4" w:space="0" w:color="auto"/>
              <w:right w:val="single" w:sz="4" w:space="0" w:color="auto"/>
            </w:tcBorders>
            <w:shd w:val="clear" w:color="auto" w:fill="auto"/>
            <w:noWrap/>
            <w:vAlign w:val="bottom"/>
            <w:hideMark/>
          </w:tcPr>
          <w:p w14:paraId="5A628958"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37.472</w:t>
            </w:r>
          </w:p>
        </w:tc>
        <w:tc>
          <w:tcPr>
            <w:tcW w:w="872" w:type="dxa"/>
            <w:tcBorders>
              <w:top w:val="nil"/>
              <w:left w:val="nil"/>
              <w:bottom w:val="single" w:sz="4" w:space="0" w:color="auto"/>
              <w:right w:val="single" w:sz="4" w:space="0" w:color="auto"/>
            </w:tcBorders>
            <w:shd w:val="clear" w:color="auto" w:fill="auto"/>
            <w:noWrap/>
            <w:vAlign w:val="bottom"/>
            <w:hideMark/>
          </w:tcPr>
          <w:p w14:paraId="113BE45A"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14:paraId="41B417BA"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13,4%</w:t>
            </w:r>
          </w:p>
        </w:tc>
        <w:tc>
          <w:tcPr>
            <w:tcW w:w="851" w:type="dxa"/>
            <w:tcBorders>
              <w:top w:val="nil"/>
              <w:left w:val="nil"/>
              <w:bottom w:val="single" w:sz="4" w:space="0" w:color="auto"/>
              <w:right w:val="single" w:sz="4" w:space="0" w:color="auto"/>
            </w:tcBorders>
            <w:shd w:val="clear" w:color="auto" w:fill="auto"/>
            <w:noWrap/>
            <w:vAlign w:val="bottom"/>
            <w:hideMark/>
          </w:tcPr>
          <w:p w14:paraId="34FF1BE7"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-2,7%</w:t>
            </w:r>
          </w:p>
        </w:tc>
        <w:tc>
          <w:tcPr>
            <w:tcW w:w="850" w:type="dxa"/>
            <w:tcBorders>
              <w:top w:val="nil"/>
              <w:left w:val="nil"/>
              <w:bottom w:val="single" w:sz="4" w:space="0" w:color="auto"/>
              <w:right w:val="single" w:sz="4" w:space="0" w:color="auto"/>
            </w:tcBorders>
            <w:shd w:val="clear" w:color="auto" w:fill="auto"/>
            <w:noWrap/>
            <w:vAlign w:val="bottom"/>
            <w:hideMark/>
          </w:tcPr>
          <w:p w14:paraId="39DE44E2"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057562"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-21,6%</w:t>
            </w:r>
          </w:p>
        </w:tc>
        <w:tc>
          <w:tcPr>
            <w:tcW w:w="850" w:type="dxa"/>
            <w:tcBorders>
              <w:top w:val="nil"/>
              <w:left w:val="nil"/>
              <w:bottom w:val="single" w:sz="4" w:space="0" w:color="auto"/>
              <w:right w:val="single" w:sz="4" w:space="0" w:color="auto"/>
            </w:tcBorders>
            <w:shd w:val="clear" w:color="auto" w:fill="auto"/>
            <w:noWrap/>
            <w:vAlign w:val="bottom"/>
            <w:hideMark/>
          </w:tcPr>
          <w:p w14:paraId="2F74FDEE"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-15,1%</w:t>
            </w:r>
          </w:p>
        </w:tc>
      </w:tr>
      <w:tr w:rsidR="006070B1" w:rsidRPr="005303F7" w14:paraId="33F2C9D8" w14:textId="77777777" w:rsidTr="009741FC">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0CF18DC" w14:textId="1144C98A" w:rsidR="006070B1" w:rsidRPr="005303F7" w:rsidRDefault="008D69AF" w:rsidP="006070B1">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t>Производна</w:t>
            </w:r>
            <w:r w:rsidR="00C415D0" w:rsidRPr="005303F7">
              <w:rPr>
                <w:rFonts w:ascii="Times New Roman" w:hAnsi="Times New Roman"/>
                <w:color w:val="000000"/>
                <w:lang w:val="sr-Cyrl-CS" w:eastAsia="en-GB"/>
              </w:rPr>
              <w:t xml:space="preserve"> </w:t>
            </w:r>
            <w:r w:rsidRPr="005303F7">
              <w:rPr>
                <w:rFonts w:ascii="Times New Roman" w:hAnsi="Times New Roman"/>
                <w:color w:val="000000"/>
                <w:lang w:val="sr-Cyrl-CS" w:eastAsia="en-GB"/>
              </w:rPr>
              <w:t>индустрија</w:t>
            </w:r>
            <w:r w:rsidR="00C415D0" w:rsidRPr="005303F7">
              <w:rPr>
                <w:rFonts w:ascii="Times New Roman" w:hAnsi="Times New Roman"/>
                <w:color w:val="000000"/>
                <w:lang w:val="sr-Cyrl-CS" w:eastAsia="en-GB"/>
              </w:rPr>
              <w:t xml:space="preserve"> </w:t>
            </w:r>
            <w:r w:rsidR="00051C32" w:rsidRPr="005303F7">
              <w:rPr>
                <w:rFonts w:ascii="Times New Roman" w:hAnsi="Times New Roman"/>
                <w:color w:val="000000"/>
                <w:lang w:val="sr-Cyrl-CS" w:eastAsia="en-GB"/>
              </w:rPr>
              <w:t>и</w:t>
            </w:r>
            <w:r w:rsidR="00C415D0" w:rsidRPr="005303F7">
              <w:rPr>
                <w:rFonts w:ascii="Times New Roman" w:hAnsi="Times New Roman"/>
                <w:color w:val="000000"/>
                <w:lang w:val="sr-Cyrl-CS" w:eastAsia="en-GB"/>
              </w:rPr>
              <w:t xml:space="preserve"> </w:t>
            </w:r>
            <w:r w:rsidRPr="005303F7">
              <w:rPr>
                <w:rFonts w:ascii="Times New Roman" w:hAnsi="Times New Roman"/>
                <w:color w:val="000000"/>
                <w:lang w:val="sr-Cyrl-CS" w:eastAsia="en-GB"/>
              </w:rPr>
              <w:t>грађевинарство</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73F965F1"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6.418</w:t>
            </w:r>
          </w:p>
        </w:tc>
        <w:tc>
          <w:tcPr>
            <w:tcW w:w="777" w:type="dxa"/>
            <w:tcBorders>
              <w:top w:val="nil"/>
              <w:left w:val="nil"/>
              <w:bottom w:val="single" w:sz="4" w:space="0" w:color="auto"/>
              <w:right w:val="single" w:sz="4" w:space="0" w:color="auto"/>
            </w:tcBorders>
            <w:shd w:val="clear" w:color="auto" w:fill="auto"/>
            <w:noWrap/>
            <w:vAlign w:val="center"/>
            <w:hideMark/>
          </w:tcPr>
          <w:p w14:paraId="41C8CD54"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6.064</w:t>
            </w:r>
          </w:p>
        </w:tc>
        <w:tc>
          <w:tcPr>
            <w:tcW w:w="777" w:type="dxa"/>
            <w:tcBorders>
              <w:top w:val="nil"/>
              <w:left w:val="nil"/>
              <w:bottom w:val="single" w:sz="4" w:space="0" w:color="auto"/>
              <w:right w:val="single" w:sz="4" w:space="0" w:color="auto"/>
            </w:tcBorders>
            <w:shd w:val="clear" w:color="auto" w:fill="auto"/>
            <w:noWrap/>
            <w:vAlign w:val="center"/>
            <w:hideMark/>
          </w:tcPr>
          <w:p w14:paraId="4F79F63E"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4.278</w:t>
            </w:r>
          </w:p>
        </w:tc>
        <w:tc>
          <w:tcPr>
            <w:tcW w:w="777" w:type="dxa"/>
            <w:tcBorders>
              <w:top w:val="nil"/>
              <w:left w:val="nil"/>
              <w:bottom w:val="single" w:sz="4" w:space="0" w:color="auto"/>
              <w:right w:val="single" w:sz="4" w:space="0" w:color="auto"/>
            </w:tcBorders>
            <w:shd w:val="clear" w:color="auto" w:fill="auto"/>
            <w:noWrap/>
            <w:vAlign w:val="center"/>
            <w:hideMark/>
          </w:tcPr>
          <w:p w14:paraId="14E8837D"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3.452</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37091985"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3.898</w:t>
            </w:r>
          </w:p>
        </w:tc>
        <w:tc>
          <w:tcPr>
            <w:tcW w:w="777" w:type="dxa"/>
            <w:tcBorders>
              <w:top w:val="nil"/>
              <w:left w:val="nil"/>
              <w:bottom w:val="single" w:sz="4" w:space="0" w:color="auto"/>
              <w:right w:val="single" w:sz="4" w:space="0" w:color="auto"/>
            </w:tcBorders>
            <w:shd w:val="clear" w:color="auto" w:fill="auto"/>
            <w:noWrap/>
            <w:vAlign w:val="center"/>
            <w:hideMark/>
          </w:tcPr>
          <w:p w14:paraId="7324C540"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4.062</w:t>
            </w:r>
          </w:p>
        </w:tc>
        <w:tc>
          <w:tcPr>
            <w:tcW w:w="777" w:type="dxa"/>
            <w:tcBorders>
              <w:top w:val="nil"/>
              <w:left w:val="nil"/>
              <w:bottom w:val="single" w:sz="4" w:space="0" w:color="auto"/>
              <w:right w:val="single" w:sz="4" w:space="0" w:color="auto"/>
            </w:tcBorders>
            <w:shd w:val="clear" w:color="auto" w:fill="auto"/>
            <w:noWrap/>
            <w:vAlign w:val="center"/>
            <w:hideMark/>
          </w:tcPr>
          <w:p w14:paraId="64B02275"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4.014</w:t>
            </w:r>
          </w:p>
        </w:tc>
        <w:tc>
          <w:tcPr>
            <w:tcW w:w="777" w:type="dxa"/>
            <w:tcBorders>
              <w:top w:val="nil"/>
              <w:left w:val="nil"/>
              <w:bottom w:val="single" w:sz="4" w:space="0" w:color="auto"/>
              <w:right w:val="single" w:sz="4" w:space="0" w:color="auto"/>
            </w:tcBorders>
            <w:shd w:val="clear" w:color="auto" w:fill="auto"/>
            <w:noWrap/>
            <w:vAlign w:val="center"/>
            <w:hideMark/>
          </w:tcPr>
          <w:p w14:paraId="5426C63C"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3.837</w:t>
            </w:r>
          </w:p>
        </w:tc>
        <w:tc>
          <w:tcPr>
            <w:tcW w:w="872" w:type="dxa"/>
            <w:tcBorders>
              <w:top w:val="nil"/>
              <w:left w:val="nil"/>
              <w:bottom w:val="single" w:sz="4" w:space="0" w:color="auto"/>
              <w:right w:val="single" w:sz="4" w:space="0" w:color="auto"/>
            </w:tcBorders>
            <w:shd w:val="clear" w:color="auto" w:fill="auto"/>
            <w:noWrap/>
            <w:vAlign w:val="center"/>
            <w:hideMark/>
          </w:tcPr>
          <w:p w14:paraId="6E8FBC91"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-6,2%</w:t>
            </w:r>
          </w:p>
        </w:tc>
        <w:tc>
          <w:tcPr>
            <w:tcW w:w="850" w:type="dxa"/>
            <w:tcBorders>
              <w:top w:val="nil"/>
              <w:left w:val="nil"/>
              <w:bottom w:val="single" w:sz="4" w:space="0" w:color="auto"/>
              <w:right w:val="single" w:sz="4" w:space="0" w:color="auto"/>
            </w:tcBorders>
            <w:shd w:val="clear" w:color="auto" w:fill="auto"/>
            <w:noWrap/>
            <w:vAlign w:val="center"/>
            <w:hideMark/>
          </w:tcPr>
          <w:p w14:paraId="1B41FF8A"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-10,3%</w:t>
            </w:r>
          </w:p>
        </w:tc>
        <w:tc>
          <w:tcPr>
            <w:tcW w:w="851" w:type="dxa"/>
            <w:tcBorders>
              <w:top w:val="nil"/>
              <w:left w:val="nil"/>
              <w:bottom w:val="single" w:sz="4" w:space="0" w:color="auto"/>
              <w:right w:val="single" w:sz="4" w:space="0" w:color="auto"/>
            </w:tcBorders>
            <w:shd w:val="clear" w:color="auto" w:fill="auto"/>
            <w:noWrap/>
            <w:vAlign w:val="center"/>
            <w:hideMark/>
          </w:tcPr>
          <w:p w14:paraId="4DF50429"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-33,8%</w:t>
            </w:r>
          </w:p>
        </w:tc>
        <w:tc>
          <w:tcPr>
            <w:tcW w:w="850" w:type="dxa"/>
            <w:tcBorders>
              <w:top w:val="nil"/>
              <w:left w:val="nil"/>
              <w:bottom w:val="single" w:sz="4" w:space="0" w:color="auto"/>
              <w:right w:val="single" w:sz="4" w:space="0" w:color="auto"/>
            </w:tcBorders>
            <w:shd w:val="clear" w:color="auto" w:fill="auto"/>
            <w:noWrap/>
            <w:vAlign w:val="center"/>
            <w:hideMark/>
          </w:tcPr>
          <w:p w14:paraId="4BAD671F"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-36,7%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59DC03"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-37,5%</w:t>
            </w:r>
          </w:p>
        </w:tc>
        <w:tc>
          <w:tcPr>
            <w:tcW w:w="850" w:type="dxa"/>
            <w:tcBorders>
              <w:top w:val="nil"/>
              <w:left w:val="nil"/>
              <w:bottom w:val="single" w:sz="4" w:space="0" w:color="auto"/>
              <w:right w:val="single" w:sz="4" w:space="0" w:color="auto"/>
            </w:tcBorders>
            <w:shd w:val="clear" w:color="auto" w:fill="auto"/>
            <w:noWrap/>
            <w:vAlign w:val="center"/>
            <w:hideMark/>
          </w:tcPr>
          <w:p w14:paraId="505A516E"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-40,2%</w:t>
            </w:r>
          </w:p>
        </w:tc>
      </w:tr>
      <w:tr w:rsidR="006070B1" w:rsidRPr="005303F7" w14:paraId="44ABF612" w14:textId="77777777" w:rsidTr="009741FC">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43637FE" w14:textId="4A908EA4" w:rsidR="006070B1" w:rsidRPr="005303F7" w:rsidRDefault="008D69AF" w:rsidP="006070B1">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t>Саобраћај</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2F0EBA8E"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4.564</w:t>
            </w:r>
          </w:p>
        </w:tc>
        <w:tc>
          <w:tcPr>
            <w:tcW w:w="777" w:type="dxa"/>
            <w:tcBorders>
              <w:top w:val="nil"/>
              <w:left w:val="nil"/>
              <w:bottom w:val="single" w:sz="4" w:space="0" w:color="auto"/>
              <w:right w:val="single" w:sz="4" w:space="0" w:color="auto"/>
            </w:tcBorders>
            <w:shd w:val="clear" w:color="auto" w:fill="auto"/>
            <w:noWrap/>
            <w:vAlign w:val="bottom"/>
            <w:hideMark/>
          </w:tcPr>
          <w:p w14:paraId="6317A4AA"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6.702</w:t>
            </w:r>
          </w:p>
        </w:tc>
        <w:tc>
          <w:tcPr>
            <w:tcW w:w="777" w:type="dxa"/>
            <w:tcBorders>
              <w:top w:val="nil"/>
              <w:left w:val="nil"/>
              <w:bottom w:val="single" w:sz="4" w:space="0" w:color="auto"/>
              <w:right w:val="single" w:sz="4" w:space="0" w:color="auto"/>
            </w:tcBorders>
            <w:shd w:val="clear" w:color="auto" w:fill="auto"/>
            <w:noWrap/>
            <w:vAlign w:val="bottom"/>
            <w:hideMark/>
          </w:tcPr>
          <w:p w14:paraId="1D14E7C0"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6.742</w:t>
            </w:r>
          </w:p>
        </w:tc>
        <w:tc>
          <w:tcPr>
            <w:tcW w:w="777" w:type="dxa"/>
            <w:tcBorders>
              <w:top w:val="nil"/>
              <w:left w:val="nil"/>
              <w:bottom w:val="single" w:sz="4" w:space="0" w:color="auto"/>
              <w:right w:val="single" w:sz="4" w:space="0" w:color="auto"/>
            </w:tcBorders>
            <w:shd w:val="clear" w:color="auto" w:fill="auto"/>
            <w:noWrap/>
            <w:vAlign w:val="bottom"/>
            <w:hideMark/>
          </w:tcPr>
          <w:p w14:paraId="460B69FF"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5.995</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3EEE2CC9"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7.197</w:t>
            </w:r>
          </w:p>
        </w:tc>
        <w:tc>
          <w:tcPr>
            <w:tcW w:w="777" w:type="dxa"/>
            <w:tcBorders>
              <w:top w:val="nil"/>
              <w:left w:val="nil"/>
              <w:bottom w:val="single" w:sz="4" w:space="0" w:color="auto"/>
              <w:right w:val="single" w:sz="4" w:space="0" w:color="auto"/>
            </w:tcBorders>
            <w:shd w:val="clear" w:color="auto" w:fill="auto"/>
            <w:noWrap/>
            <w:vAlign w:val="bottom"/>
            <w:hideMark/>
          </w:tcPr>
          <w:p w14:paraId="5238E9FE"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7.822</w:t>
            </w:r>
          </w:p>
        </w:tc>
        <w:tc>
          <w:tcPr>
            <w:tcW w:w="777" w:type="dxa"/>
            <w:tcBorders>
              <w:top w:val="nil"/>
              <w:left w:val="nil"/>
              <w:bottom w:val="single" w:sz="4" w:space="0" w:color="auto"/>
              <w:right w:val="single" w:sz="4" w:space="0" w:color="auto"/>
            </w:tcBorders>
            <w:shd w:val="clear" w:color="auto" w:fill="auto"/>
            <w:noWrap/>
            <w:vAlign w:val="bottom"/>
            <w:hideMark/>
          </w:tcPr>
          <w:p w14:paraId="6C75A058"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8.354</w:t>
            </w:r>
          </w:p>
        </w:tc>
        <w:tc>
          <w:tcPr>
            <w:tcW w:w="777" w:type="dxa"/>
            <w:tcBorders>
              <w:top w:val="nil"/>
              <w:left w:val="nil"/>
              <w:bottom w:val="single" w:sz="4" w:space="0" w:color="auto"/>
              <w:right w:val="single" w:sz="4" w:space="0" w:color="auto"/>
            </w:tcBorders>
            <w:shd w:val="clear" w:color="auto" w:fill="auto"/>
            <w:noWrap/>
            <w:vAlign w:val="bottom"/>
            <w:hideMark/>
          </w:tcPr>
          <w:p w14:paraId="77953F75"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9.518</w:t>
            </w:r>
          </w:p>
        </w:tc>
        <w:tc>
          <w:tcPr>
            <w:tcW w:w="872" w:type="dxa"/>
            <w:tcBorders>
              <w:top w:val="nil"/>
              <w:left w:val="nil"/>
              <w:bottom w:val="single" w:sz="4" w:space="0" w:color="auto"/>
              <w:right w:val="single" w:sz="4" w:space="0" w:color="auto"/>
            </w:tcBorders>
            <w:shd w:val="clear" w:color="auto" w:fill="auto"/>
            <w:noWrap/>
            <w:vAlign w:val="bottom"/>
            <w:hideMark/>
          </w:tcPr>
          <w:p w14:paraId="33B0767F"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23,9%</w:t>
            </w:r>
          </w:p>
        </w:tc>
        <w:tc>
          <w:tcPr>
            <w:tcW w:w="850" w:type="dxa"/>
            <w:tcBorders>
              <w:top w:val="nil"/>
              <w:left w:val="nil"/>
              <w:bottom w:val="single" w:sz="4" w:space="0" w:color="auto"/>
              <w:right w:val="single" w:sz="4" w:space="0" w:color="auto"/>
            </w:tcBorders>
            <w:shd w:val="clear" w:color="auto" w:fill="auto"/>
            <w:noWrap/>
            <w:vAlign w:val="bottom"/>
            <w:hideMark/>
          </w:tcPr>
          <w:p w14:paraId="13BEBDE1"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41,2%</w:t>
            </w:r>
          </w:p>
        </w:tc>
        <w:tc>
          <w:tcPr>
            <w:tcW w:w="851" w:type="dxa"/>
            <w:tcBorders>
              <w:top w:val="nil"/>
              <w:left w:val="nil"/>
              <w:bottom w:val="single" w:sz="4" w:space="0" w:color="auto"/>
              <w:right w:val="single" w:sz="4" w:space="0" w:color="auto"/>
            </w:tcBorders>
            <w:shd w:val="clear" w:color="auto" w:fill="auto"/>
            <w:noWrap/>
            <w:vAlign w:val="bottom"/>
            <w:hideMark/>
          </w:tcPr>
          <w:p w14:paraId="17872F1E"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24,6%</w:t>
            </w:r>
          </w:p>
        </w:tc>
        <w:tc>
          <w:tcPr>
            <w:tcW w:w="850" w:type="dxa"/>
            <w:tcBorders>
              <w:top w:val="nil"/>
              <w:left w:val="nil"/>
              <w:bottom w:val="single" w:sz="4" w:space="0" w:color="auto"/>
              <w:right w:val="single" w:sz="4" w:space="0" w:color="auto"/>
            </w:tcBorders>
            <w:shd w:val="clear" w:color="auto" w:fill="auto"/>
            <w:noWrap/>
            <w:vAlign w:val="bottom"/>
            <w:hideMark/>
          </w:tcPr>
          <w:p w14:paraId="3827453A"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42,0%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59785CE"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83,0%</w:t>
            </w:r>
          </w:p>
        </w:tc>
        <w:tc>
          <w:tcPr>
            <w:tcW w:w="850" w:type="dxa"/>
            <w:tcBorders>
              <w:top w:val="nil"/>
              <w:left w:val="nil"/>
              <w:bottom w:val="single" w:sz="4" w:space="0" w:color="auto"/>
              <w:right w:val="single" w:sz="4" w:space="0" w:color="auto"/>
            </w:tcBorders>
            <w:shd w:val="clear" w:color="auto" w:fill="auto"/>
            <w:noWrap/>
            <w:vAlign w:val="bottom"/>
            <w:hideMark/>
          </w:tcPr>
          <w:p w14:paraId="30F51178"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108,6%</w:t>
            </w:r>
          </w:p>
        </w:tc>
      </w:tr>
      <w:tr w:rsidR="006070B1" w:rsidRPr="005303F7" w14:paraId="01C14638" w14:textId="77777777" w:rsidTr="009741FC">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40BE356" w14:textId="0C46AFCA" w:rsidR="006070B1" w:rsidRPr="005303F7" w:rsidRDefault="008D69AF" w:rsidP="006070B1">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t>Други</w:t>
            </w:r>
            <w:r w:rsidR="00C415D0" w:rsidRPr="005303F7">
              <w:rPr>
                <w:rFonts w:ascii="Times New Roman" w:hAnsi="Times New Roman"/>
                <w:color w:val="000000"/>
                <w:lang w:val="sr-Cyrl-CS" w:eastAsia="en-GB"/>
              </w:rPr>
              <w:t xml:space="preserve"> </w:t>
            </w:r>
            <w:r w:rsidRPr="005303F7">
              <w:rPr>
                <w:rFonts w:ascii="Times New Roman" w:hAnsi="Times New Roman"/>
                <w:color w:val="000000"/>
                <w:lang w:val="sr-Cyrl-CS" w:eastAsia="en-GB"/>
              </w:rPr>
              <w:t>сектори</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271D2912"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7.048</w:t>
            </w:r>
          </w:p>
        </w:tc>
        <w:tc>
          <w:tcPr>
            <w:tcW w:w="777" w:type="dxa"/>
            <w:tcBorders>
              <w:top w:val="nil"/>
              <w:left w:val="nil"/>
              <w:bottom w:val="single" w:sz="4" w:space="0" w:color="auto"/>
              <w:right w:val="single" w:sz="4" w:space="0" w:color="auto"/>
            </w:tcBorders>
            <w:shd w:val="clear" w:color="auto" w:fill="auto"/>
            <w:noWrap/>
            <w:vAlign w:val="bottom"/>
            <w:hideMark/>
          </w:tcPr>
          <w:p w14:paraId="24BD4E50"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3.029</w:t>
            </w:r>
          </w:p>
        </w:tc>
        <w:tc>
          <w:tcPr>
            <w:tcW w:w="777" w:type="dxa"/>
            <w:tcBorders>
              <w:top w:val="nil"/>
              <w:left w:val="nil"/>
              <w:bottom w:val="single" w:sz="4" w:space="0" w:color="auto"/>
              <w:right w:val="single" w:sz="4" w:space="0" w:color="auto"/>
            </w:tcBorders>
            <w:shd w:val="clear" w:color="auto" w:fill="auto"/>
            <w:noWrap/>
            <w:vAlign w:val="bottom"/>
            <w:hideMark/>
          </w:tcPr>
          <w:p w14:paraId="0D722470"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3.477</w:t>
            </w:r>
          </w:p>
        </w:tc>
        <w:tc>
          <w:tcPr>
            <w:tcW w:w="777" w:type="dxa"/>
            <w:tcBorders>
              <w:top w:val="nil"/>
              <w:left w:val="nil"/>
              <w:bottom w:val="single" w:sz="4" w:space="0" w:color="auto"/>
              <w:right w:val="single" w:sz="4" w:space="0" w:color="auto"/>
            </w:tcBorders>
            <w:shd w:val="clear" w:color="auto" w:fill="auto"/>
            <w:noWrap/>
            <w:vAlign w:val="bottom"/>
            <w:hideMark/>
          </w:tcPr>
          <w:p w14:paraId="6EEC9A33"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2.711</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05E49B9B"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2.627</w:t>
            </w:r>
          </w:p>
        </w:tc>
        <w:tc>
          <w:tcPr>
            <w:tcW w:w="777" w:type="dxa"/>
            <w:tcBorders>
              <w:top w:val="nil"/>
              <w:left w:val="nil"/>
              <w:bottom w:val="single" w:sz="4" w:space="0" w:color="auto"/>
              <w:right w:val="single" w:sz="4" w:space="0" w:color="auto"/>
            </w:tcBorders>
            <w:shd w:val="clear" w:color="auto" w:fill="auto"/>
            <w:noWrap/>
            <w:vAlign w:val="bottom"/>
            <w:hideMark/>
          </w:tcPr>
          <w:p w14:paraId="2E322D33"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2.660</w:t>
            </w:r>
          </w:p>
        </w:tc>
        <w:tc>
          <w:tcPr>
            <w:tcW w:w="777" w:type="dxa"/>
            <w:tcBorders>
              <w:top w:val="nil"/>
              <w:left w:val="nil"/>
              <w:bottom w:val="single" w:sz="4" w:space="0" w:color="auto"/>
              <w:right w:val="single" w:sz="4" w:space="0" w:color="auto"/>
            </w:tcBorders>
            <w:shd w:val="clear" w:color="auto" w:fill="auto"/>
            <w:noWrap/>
            <w:vAlign w:val="bottom"/>
            <w:hideMark/>
          </w:tcPr>
          <w:p w14:paraId="55FCD797"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2.677</w:t>
            </w:r>
          </w:p>
        </w:tc>
        <w:tc>
          <w:tcPr>
            <w:tcW w:w="777" w:type="dxa"/>
            <w:tcBorders>
              <w:top w:val="nil"/>
              <w:left w:val="nil"/>
              <w:bottom w:val="single" w:sz="4" w:space="0" w:color="auto"/>
              <w:right w:val="single" w:sz="4" w:space="0" w:color="auto"/>
            </w:tcBorders>
            <w:shd w:val="clear" w:color="auto" w:fill="auto"/>
            <w:noWrap/>
            <w:vAlign w:val="bottom"/>
            <w:hideMark/>
          </w:tcPr>
          <w:p w14:paraId="5FE7A26E"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2.532</w:t>
            </w:r>
          </w:p>
        </w:tc>
        <w:tc>
          <w:tcPr>
            <w:tcW w:w="872" w:type="dxa"/>
            <w:tcBorders>
              <w:top w:val="nil"/>
              <w:left w:val="nil"/>
              <w:bottom w:val="single" w:sz="4" w:space="0" w:color="auto"/>
              <w:right w:val="single" w:sz="4" w:space="0" w:color="auto"/>
            </w:tcBorders>
            <w:shd w:val="clear" w:color="auto" w:fill="auto"/>
            <w:noWrap/>
            <w:vAlign w:val="bottom"/>
            <w:hideMark/>
          </w:tcPr>
          <w:p w14:paraId="544F4959"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-23,0%</w:t>
            </w:r>
          </w:p>
        </w:tc>
        <w:tc>
          <w:tcPr>
            <w:tcW w:w="850" w:type="dxa"/>
            <w:tcBorders>
              <w:top w:val="nil"/>
              <w:left w:val="nil"/>
              <w:bottom w:val="single" w:sz="4" w:space="0" w:color="auto"/>
              <w:right w:val="single" w:sz="4" w:space="0" w:color="auto"/>
            </w:tcBorders>
            <w:shd w:val="clear" w:color="auto" w:fill="auto"/>
            <w:noWrap/>
            <w:vAlign w:val="bottom"/>
            <w:hideMark/>
          </w:tcPr>
          <w:p w14:paraId="00BDD10C"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-27,2%</w:t>
            </w:r>
          </w:p>
        </w:tc>
        <w:tc>
          <w:tcPr>
            <w:tcW w:w="851" w:type="dxa"/>
            <w:tcBorders>
              <w:top w:val="nil"/>
              <w:left w:val="nil"/>
              <w:bottom w:val="single" w:sz="4" w:space="0" w:color="auto"/>
              <w:right w:val="single" w:sz="4" w:space="0" w:color="auto"/>
            </w:tcBorders>
            <w:shd w:val="clear" w:color="auto" w:fill="auto"/>
            <w:noWrap/>
            <w:vAlign w:val="bottom"/>
            <w:hideMark/>
          </w:tcPr>
          <w:p w14:paraId="0D097A8D"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-11,6%</w:t>
            </w:r>
          </w:p>
        </w:tc>
        <w:tc>
          <w:tcPr>
            <w:tcW w:w="850" w:type="dxa"/>
            <w:tcBorders>
              <w:top w:val="nil"/>
              <w:left w:val="nil"/>
              <w:bottom w:val="single" w:sz="4" w:space="0" w:color="auto"/>
              <w:right w:val="single" w:sz="4" w:space="0" w:color="auto"/>
            </w:tcBorders>
            <w:shd w:val="clear" w:color="auto" w:fill="auto"/>
            <w:noWrap/>
            <w:vAlign w:val="bottom"/>
            <w:hideMark/>
          </w:tcPr>
          <w:p w14:paraId="3FAF27C0"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-16,4%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D94BC64"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-62,0%</w:t>
            </w:r>
          </w:p>
        </w:tc>
        <w:tc>
          <w:tcPr>
            <w:tcW w:w="850" w:type="dxa"/>
            <w:tcBorders>
              <w:top w:val="nil"/>
              <w:left w:val="nil"/>
              <w:bottom w:val="single" w:sz="4" w:space="0" w:color="auto"/>
              <w:right w:val="single" w:sz="4" w:space="0" w:color="auto"/>
            </w:tcBorders>
            <w:shd w:val="clear" w:color="auto" w:fill="auto"/>
            <w:noWrap/>
            <w:vAlign w:val="bottom"/>
            <w:hideMark/>
          </w:tcPr>
          <w:p w14:paraId="0E0C1D00"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-64,1%</w:t>
            </w:r>
          </w:p>
        </w:tc>
      </w:tr>
      <w:tr w:rsidR="006070B1" w:rsidRPr="005303F7" w14:paraId="001371EA" w14:textId="77777777" w:rsidTr="009741FC">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EAF952D" w14:textId="0C58AC91" w:rsidR="006070B1" w:rsidRPr="005303F7" w:rsidRDefault="008D69AF" w:rsidP="00C415D0">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t>Фугитивне</w:t>
            </w:r>
            <w:r w:rsidR="00C415D0" w:rsidRPr="005303F7">
              <w:rPr>
                <w:rFonts w:ascii="Times New Roman" w:hAnsi="Times New Roman"/>
                <w:color w:val="000000"/>
                <w:lang w:val="sr-Cyrl-CS" w:eastAsia="en-GB"/>
              </w:rPr>
              <w:t xml:space="preserve"> </w:t>
            </w:r>
            <w:r w:rsidRPr="005303F7">
              <w:rPr>
                <w:rFonts w:ascii="Times New Roman" w:hAnsi="Times New Roman"/>
                <w:color w:val="000000"/>
                <w:lang w:val="sr-Cyrl-CS" w:eastAsia="en-GB"/>
              </w:rPr>
              <w:t>емисије</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60FAE073"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3.841</w:t>
            </w:r>
          </w:p>
        </w:tc>
        <w:tc>
          <w:tcPr>
            <w:tcW w:w="777" w:type="dxa"/>
            <w:tcBorders>
              <w:top w:val="nil"/>
              <w:left w:val="nil"/>
              <w:bottom w:val="single" w:sz="4" w:space="0" w:color="auto"/>
              <w:right w:val="single" w:sz="4" w:space="0" w:color="auto"/>
            </w:tcBorders>
            <w:shd w:val="clear" w:color="auto" w:fill="auto"/>
            <w:noWrap/>
            <w:vAlign w:val="bottom"/>
            <w:hideMark/>
          </w:tcPr>
          <w:p w14:paraId="13818B59"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2.973</w:t>
            </w:r>
          </w:p>
        </w:tc>
        <w:tc>
          <w:tcPr>
            <w:tcW w:w="777" w:type="dxa"/>
            <w:tcBorders>
              <w:top w:val="nil"/>
              <w:left w:val="nil"/>
              <w:bottom w:val="single" w:sz="4" w:space="0" w:color="auto"/>
              <w:right w:val="single" w:sz="4" w:space="0" w:color="auto"/>
            </w:tcBorders>
            <w:shd w:val="clear" w:color="auto" w:fill="auto"/>
            <w:noWrap/>
            <w:vAlign w:val="bottom"/>
            <w:hideMark/>
          </w:tcPr>
          <w:p w14:paraId="6BCB9A90"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2.409</w:t>
            </w:r>
          </w:p>
        </w:tc>
        <w:tc>
          <w:tcPr>
            <w:tcW w:w="777" w:type="dxa"/>
            <w:tcBorders>
              <w:top w:val="nil"/>
              <w:left w:val="nil"/>
              <w:bottom w:val="single" w:sz="4" w:space="0" w:color="auto"/>
              <w:right w:val="single" w:sz="4" w:space="0" w:color="auto"/>
            </w:tcBorders>
            <w:shd w:val="clear" w:color="auto" w:fill="auto"/>
            <w:noWrap/>
            <w:vAlign w:val="bottom"/>
            <w:hideMark/>
          </w:tcPr>
          <w:p w14:paraId="7CF58038"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2.523</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7144D290"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2.406</w:t>
            </w:r>
          </w:p>
        </w:tc>
        <w:tc>
          <w:tcPr>
            <w:tcW w:w="777" w:type="dxa"/>
            <w:tcBorders>
              <w:top w:val="nil"/>
              <w:left w:val="nil"/>
              <w:bottom w:val="single" w:sz="4" w:space="0" w:color="auto"/>
              <w:right w:val="single" w:sz="4" w:space="0" w:color="auto"/>
            </w:tcBorders>
            <w:shd w:val="clear" w:color="auto" w:fill="auto"/>
            <w:noWrap/>
            <w:vAlign w:val="bottom"/>
            <w:hideMark/>
          </w:tcPr>
          <w:p w14:paraId="784EBFA4"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2.474</w:t>
            </w:r>
          </w:p>
        </w:tc>
        <w:tc>
          <w:tcPr>
            <w:tcW w:w="777" w:type="dxa"/>
            <w:tcBorders>
              <w:top w:val="nil"/>
              <w:left w:val="nil"/>
              <w:bottom w:val="single" w:sz="4" w:space="0" w:color="auto"/>
              <w:right w:val="single" w:sz="4" w:space="0" w:color="auto"/>
            </w:tcBorders>
            <w:shd w:val="clear" w:color="auto" w:fill="auto"/>
            <w:noWrap/>
            <w:vAlign w:val="bottom"/>
            <w:hideMark/>
          </w:tcPr>
          <w:p w14:paraId="001AF4FD"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2.221</w:t>
            </w:r>
          </w:p>
        </w:tc>
        <w:tc>
          <w:tcPr>
            <w:tcW w:w="777" w:type="dxa"/>
            <w:tcBorders>
              <w:top w:val="nil"/>
              <w:left w:val="nil"/>
              <w:bottom w:val="single" w:sz="4" w:space="0" w:color="auto"/>
              <w:right w:val="single" w:sz="4" w:space="0" w:color="auto"/>
            </w:tcBorders>
            <w:shd w:val="clear" w:color="auto" w:fill="auto"/>
            <w:noWrap/>
            <w:vAlign w:val="bottom"/>
            <w:hideMark/>
          </w:tcPr>
          <w:p w14:paraId="25352B82"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1.750</w:t>
            </w:r>
          </w:p>
        </w:tc>
        <w:tc>
          <w:tcPr>
            <w:tcW w:w="872" w:type="dxa"/>
            <w:tcBorders>
              <w:top w:val="nil"/>
              <w:left w:val="nil"/>
              <w:bottom w:val="single" w:sz="4" w:space="0" w:color="auto"/>
              <w:right w:val="single" w:sz="4" w:space="0" w:color="auto"/>
            </w:tcBorders>
            <w:shd w:val="clear" w:color="auto" w:fill="auto"/>
            <w:noWrap/>
            <w:vAlign w:val="bottom"/>
            <w:hideMark/>
          </w:tcPr>
          <w:p w14:paraId="03D2EA68"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-7,8%</w:t>
            </w:r>
          </w:p>
        </w:tc>
        <w:tc>
          <w:tcPr>
            <w:tcW w:w="850" w:type="dxa"/>
            <w:tcBorders>
              <w:top w:val="nil"/>
              <w:left w:val="nil"/>
              <w:bottom w:val="single" w:sz="4" w:space="0" w:color="auto"/>
              <w:right w:val="single" w:sz="4" w:space="0" w:color="auto"/>
            </w:tcBorders>
            <w:shd w:val="clear" w:color="auto" w:fill="auto"/>
            <w:noWrap/>
            <w:vAlign w:val="bottom"/>
            <w:hideMark/>
          </w:tcPr>
          <w:p w14:paraId="4D7740EB"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-27,3%</w:t>
            </w:r>
          </w:p>
        </w:tc>
        <w:tc>
          <w:tcPr>
            <w:tcW w:w="851" w:type="dxa"/>
            <w:tcBorders>
              <w:top w:val="nil"/>
              <w:left w:val="nil"/>
              <w:bottom w:val="single" w:sz="4" w:space="0" w:color="auto"/>
              <w:right w:val="single" w:sz="4" w:space="0" w:color="auto"/>
            </w:tcBorders>
            <w:shd w:val="clear" w:color="auto" w:fill="auto"/>
            <w:noWrap/>
            <w:vAlign w:val="bottom"/>
            <w:hideMark/>
          </w:tcPr>
          <w:p w14:paraId="7302467E"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-25,3%</w:t>
            </w:r>
          </w:p>
        </w:tc>
        <w:tc>
          <w:tcPr>
            <w:tcW w:w="850" w:type="dxa"/>
            <w:tcBorders>
              <w:top w:val="nil"/>
              <w:left w:val="nil"/>
              <w:bottom w:val="single" w:sz="4" w:space="0" w:color="auto"/>
              <w:right w:val="single" w:sz="4" w:space="0" w:color="auto"/>
            </w:tcBorders>
            <w:shd w:val="clear" w:color="auto" w:fill="auto"/>
            <w:noWrap/>
            <w:vAlign w:val="bottom"/>
            <w:hideMark/>
          </w:tcPr>
          <w:p w14:paraId="395748C9"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-41,1%</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49007FB"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-42,2%</w:t>
            </w:r>
          </w:p>
        </w:tc>
        <w:tc>
          <w:tcPr>
            <w:tcW w:w="850" w:type="dxa"/>
            <w:tcBorders>
              <w:top w:val="nil"/>
              <w:left w:val="nil"/>
              <w:bottom w:val="single" w:sz="4" w:space="0" w:color="auto"/>
              <w:right w:val="single" w:sz="4" w:space="0" w:color="auto"/>
            </w:tcBorders>
            <w:shd w:val="clear" w:color="auto" w:fill="auto"/>
            <w:noWrap/>
            <w:vAlign w:val="bottom"/>
            <w:hideMark/>
          </w:tcPr>
          <w:p w14:paraId="048F1489"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-54,4%</w:t>
            </w:r>
          </w:p>
        </w:tc>
      </w:tr>
      <w:tr w:rsidR="006070B1" w:rsidRPr="005303F7" w14:paraId="52F6D1CB" w14:textId="77777777" w:rsidTr="009741FC">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505BC95" w14:textId="40E0E595" w:rsidR="006070B1" w:rsidRPr="005303F7" w:rsidRDefault="00BC327E" w:rsidP="006070B1">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t>IPPU</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482057CD"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5.455</w:t>
            </w:r>
          </w:p>
        </w:tc>
        <w:tc>
          <w:tcPr>
            <w:tcW w:w="777" w:type="dxa"/>
            <w:tcBorders>
              <w:top w:val="nil"/>
              <w:left w:val="nil"/>
              <w:bottom w:val="single" w:sz="4" w:space="0" w:color="auto"/>
              <w:right w:val="single" w:sz="4" w:space="0" w:color="auto"/>
            </w:tcBorders>
            <w:shd w:val="clear" w:color="auto" w:fill="auto"/>
            <w:noWrap/>
            <w:vAlign w:val="bottom"/>
            <w:hideMark/>
          </w:tcPr>
          <w:p w14:paraId="1BD53965"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4.729</w:t>
            </w:r>
          </w:p>
        </w:tc>
        <w:tc>
          <w:tcPr>
            <w:tcW w:w="777" w:type="dxa"/>
            <w:tcBorders>
              <w:top w:val="nil"/>
              <w:left w:val="nil"/>
              <w:bottom w:val="single" w:sz="4" w:space="0" w:color="auto"/>
              <w:right w:val="single" w:sz="4" w:space="0" w:color="auto"/>
            </w:tcBorders>
            <w:shd w:val="clear" w:color="auto" w:fill="auto"/>
            <w:noWrap/>
            <w:vAlign w:val="bottom"/>
            <w:hideMark/>
          </w:tcPr>
          <w:p w14:paraId="5E07AADC"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4.660</w:t>
            </w:r>
          </w:p>
        </w:tc>
        <w:tc>
          <w:tcPr>
            <w:tcW w:w="777" w:type="dxa"/>
            <w:tcBorders>
              <w:top w:val="nil"/>
              <w:left w:val="nil"/>
              <w:bottom w:val="single" w:sz="4" w:space="0" w:color="auto"/>
              <w:right w:val="single" w:sz="4" w:space="0" w:color="auto"/>
            </w:tcBorders>
            <w:shd w:val="clear" w:color="auto" w:fill="auto"/>
            <w:noWrap/>
            <w:vAlign w:val="bottom"/>
            <w:hideMark/>
          </w:tcPr>
          <w:p w14:paraId="6732AB96"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3.883</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1DED8863"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4.736</w:t>
            </w:r>
          </w:p>
        </w:tc>
        <w:tc>
          <w:tcPr>
            <w:tcW w:w="777" w:type="dxa"/>
            <w:tcBorders>
              <w:top w:val="nil"/>
              <w:left w:val="nil"/>
              <w:bottom w:val="single" w:sz="4" w:space="0" w:color="auto"/>
              <w:right w:val="single" w:sz="4" w:space="0" w:color="auto"/>
            </w:tcBorders>
            <w:shd w:val="clear" w:color="auto" w:fill="auto"/>
            <w:noWrap/>
            <w:vAlign w:val="bottom"/>
            <w:hideMark/>
          </w:tcPr>
          <w:p w14:paraId="3C961136"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5.384</w:t>
            </w:r>
          </w:p>
        </w:tc>
        <w:tc>
          <w:tcPr>
            <w:tcW w:w="777" w:type="dxa"/>
            <w:tcBorders>
              <w:top w:val="nil"/>
              <w:left w:val="nil"/>
              <w:bottom w:val="single" w:sz="4" w:space="0" w:color="auto"/>
              <w:right w:val="single" w:sz="4" w:space="0" w:color="auto"/>
            </w:tcBorders>
            <w:shd w:val="clear" w:color="auto" w:fill="auto"/>
            <w:noWrap/>
            <w:vAlign w:val="bottom"/>
            <w:hideMark/>
          </w:tcPr>
          <w:p w14:paraId="641F16E3"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5.671</w:t>
            </w:r>
          </w:p>
        </w:tc>
        <w:tc>
          <w:tcPr>
            <w:tcW w:w="777" w:type="dxa"/>
            <w:tcBorders>
              <w:top w:val="nil"/>
              <w:left w:val="nil"/>
              <w:bottom w:val="single" w:sz="4" w:space="0" w:color="auto"/>
              <w:right w:val="single" w:sz="4" w:space="0" w:color="auto"/>
            </w:tcBorders>
            <w:shd w:val="clear" w:color="auto" w:fill="auto"/>
            <w:noWrap/>
            <w:vAlign w:val="bottom"/>
            <w:hideMark/>
          </w:tcPr>
          <w:p w14:paraId="17BDED3E"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6.608</w:t>
            </w:r>
          </w:p>
        </w:tc>
        <w:tc>
          <w:tcPr>
            <w:tcW w:w="872" w:type="dxa"/>
            <w:tcBorders>
              <w:top w:val="nil"/>
              <w:left w:val="nil"/>
              <w:bottom w:val="single" w:sz="4" w:space="0" w:color="auto"/>
              <w:right w:val="single" w:sz="4" w:space="0" w:color="auto"/>
            </w:tcBorders>
            <w:shd w:val="clear" w:color="auto" w:fill="auto"/>
            <w:noWrap/>
            <w:vAlign w:val="bottom"/>
            <w:hideMark/>
          </w:tcPr>
          <w:p w14:paraId="6C4310C7"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21,7%</w:t>
            </w:r>
          </w:p>
        </w:tc>
        <w:tc>
          <w:tcPr>
            <w:tcW w:w="850" w:type="dxa"/>
            <w:tcBorders>
              <w:top w:val="nil"/>
              <w:left w:val="nil"/>
              <w:bottom w:val="single" w:sz="4" w:space="0" w:color="auto"/>
              <w:right w:val="single" w:sz="4" w:space="0" w:color="auto"/>
            </w:tcBorders>
            <w:shd w:val="clear" w:color="auto" w:fill="auto"/>
            <w:noWrap/>
            <w:vAlign w:val="bottom"/>
            <w:hideMark/>
          </w:tcPr>
          <w:p w14:paraId="63E79767"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41,8%</w:t>
            </w:r>
          </w:p>
        </w:tc>
        <w:tc>
          <w:tcPr>
            <w:tcW w:w="851" w:type="dxa"/>
            <w:tcBorders>
              <w:top w:val="nil"/>
              <w:left w:val="nil"/>
              <w:bottom w:val="single" w:sz="4" w:space="0" w:color="auto"/>
              <w:right w:val="single" w:sz="4" w:space="0" w:color="auto"/>
            </w:tcBorders>
            <w:shd w:val="clear" w:color="auto" w:fill="auto"/>
            <w:noWrap/>
            <w:vAlign w:val="bottom"/>
            <w:hideMark/>
          </w:tcPr>
          <w:p w14:paraId="46A84706"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19,9%</w:t>
            </w:r>
          </w:p>
        </w:tc>
        <w:tc>
          <w:tcPr>
            <w:tcW w:w="850" w:type="dxa"/>
            <w:tcBorders>
              <w:top w:val="nil"/>
              <w:left w:val="nil"/>
              <w:bottom w:val="single" w:sz="4" w:space="0" w:color="auto"/>
              <w:right w:val="single" w:sz="4" w:space="0" w:color="auto"/>
            </w:tcBorders>
            <w:shd w:val="clear" w:color="auto" w:fill="auto"/>
            <w:noWrap/>
            <w:vAlign w:val="bottom"/>
            <w:hideMark/>
          </w:tcPr>
          <w:p w14:paraId="40B98DA4"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39,7%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97BABF7"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4,0%</w:t>
            </w:r>
          </w:p>
        </w:tc>
        <w:tc>
          <w:tcPr>
            <w:tcW w:w="850" w:type="dxa"/>
            <w:tcBorders>
              <w:top w:val="nil"/>
              <w:left w:val="nil"/>
              <w:bottom w:val="single" w:sz="4" w:space="0" w:color="auto"/>
              <w:right w:val="single" w:sz="4" w:space="0" w:color="auto"/>
            </w:tcBorders>
            <w:shd w:val="clear" w:color="auto" w:fill="auto"/>
            <w:noWrap/>
            <w:vAlign w:val="bottom"/>
            <w:hideMark/>
          </w:tcPr>
          <w:p w14:paraId="0880DEFA"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21,2%</w:t>
            </w:r>
          </w:p>
        </w:tc>
      </w:tr>
      <w:tr w:rsidR="006070B1" w:rsidRPr="005303F7" w14:paraId="2D5D7EA4" w14:textId="77777777" w:rsidTr="009741FC">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1DB42B1" w14:textId="416B8769" w:rsidR="006070B1" w:rsidRPr="005303F7" w:rsidRDefault="008D69AF" w:rsidP="006070B1">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t>По</w:t>
            </w:r>
            <w:r w:rsidR="00D553BE" w:rsidRPr="005303F7">
              <w:rPr>
                <w:rFonts w:ascii="Times New Roman" w:hAnsi="Times New Roman"/>
                <w:lang w:val="sr-Cyrl-CS" w:eastAsia="en-GB"/>
              </w:rPr>
              <w:t>љ</w:t>
            </w:r>
            <w:r w:rsidRPr="005303F7">
              <w:rPr>
                <w:rFonts w:ascii="Times New Roman" w:hAnsi="Times New Roman"/>
                <w:color w:val="000000"/>
                <w:lang w:val="sr-Cyrl-CS" w:eastAsia="en-GB"/>
              </w:rPr>
              <w:t>опривреда</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339A7A5C"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6.186</w:t>
            </w:r>
          </w:p>
        </w:tc>
        <w:tc>
          <w:tcPr>
            <w:tcW w:w="777" w:type="dxa"/>
            <w:tcBorders>
              <w:top w:val="nil"/>
              <w:left w:val="nil"/>
              <w:bottom w:val="single" w:sz="4" w:space="0" w:color="auto"/>
              <w:right w:val="single" w:sz="4" w:space="0" w:color="auto"/>
            </w:tcBorders>
            <w:shd w:val="clear" w:color="auto" w:fill="auto"/>
            <w:noWrap/>
            <w:vAlign w:val="bottom"/>
            <w:hideMark/>
          </w:tcPr>
          <w:p w14:paraId="4854F124"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6.238</w:t>
            </w:r>
          </w:p>
        </w:tc>
        <w:tc>
          <w:tcPr>
            <w:tcW w:w="777" w:type="dxa"/>
            <w:tcBorders>
              <w:top w:val="nil"/>
              <w:left w:val="nil"/>
              <w:bottom w:val="single" w:sz="4" w:space="0" w:color="auto"/>
              <w:right w:val="single" w:sz="4" w:space="0" w:color="auto"/>
            </w:tcBorders>
            <w:shd w:val="clear" w:color="auto" w:fill="auto"/>
            <w:noWrap/>
            <w:vAlign w:val="bottom"/>
            <w:hideMark/>
          </w:tcPr>
          <w:p w14:paraId="7DB3C41F"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5.305</w:t>
            </w:r>
          </w:p>
        </w:tc>
        <w:tc>
          <w:tcPr>
            <w:tcW w:w="777" w:type="dxa"/>
            <w:tcBorders>
              <w:top w:val="nil"/>
              <w:left w:val="nil"/>
              <w:bottom w:val="single" w:sz="4" w:space="0" w:color="auto"/>
              <w:right w:val="single" w:sz="4" w:space="0" w:color="auto"/>
            </w:tcBorders>
            <w:shd w:val="clear" w:color="auto" w:fill="auto"/>
            <w:noWrap/>
            <w:vAlign w:val="bottom"/>
            <w:hideMark/>
          </w:tcPr>
          <w:p w14:paraId="7477D57D"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5.259</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344622E8"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5.133</w:t>
            </w:r>
          </w:p>
        </w:tc>
        <w:tc>
          <w:tcPr>
            <w:tcW w:w="777" w:type="dxa"/>
            <w:tcBorders>
              <w:top w:val="nil"/>
              <w:left w:val="nil"/>
              <w:bottom w:val="single" w:sz="4" w:space="0" w:color="auto"/>
              <w:right w:val="single" w:sz="4" w:space="0" w:color="auto"/>
            </w:tcBorders>
            <w:shd w:val="clear" w:color="auto" w:fill="auto"/>
            <w:noWrap/>
            <w:vAlign w:val="bottom"/>
            <w:hideMark/>
          </w:tcPr>
          <w:p w14:paraId="01B5F9EC"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5.046</w:t>
            </w:r>
          </w:p>
        </w:tc>
        <w:tc>
          <w:tcPr>
            <w:tcW w:w="777" w:type="dxa"/>
            <w:tcBorders>
              <w:top w:val="nil"/>
              <w:left w:val="nil"/>
              <w:bottom w:val="single" w:sz="4" w:space="0" w:color="auto"/>
              <w:right w:val="single" w:sz="4" w:space="0" w:color="auto"/>
            </w:tcBorders>
            <w:shd w:val="clear" w:color="auto" w:fill="auto"/>
            <w:noWrap/>
            <w:vAlign w:val="bottom"/>
            <w:hideMark/>
          </w:tcPr>
          <w:p w14:paraId="3D418BD5"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4.752</w:t>
            </w:r>
          </w:p>
        </w:tc>
        <w:tc>
          <w:tcPr>
            <w:tcW w:w="777" w:type="dxa"/>
            <w:tcBorders>
              <w:top w:val="nil"/>
              <w:left w:val="nil"/>
              <w:bottom w:val="single" w:sz="4" w:space="0" w:color="auto"/>
              <w:right w:val="single" w:sz="4" w:space="0" w:color="auto"/>
            </w:tcBorders>
            <w:shd w:val="clear" w:color="auto" w:fill="auto"/>
            <w:noWrap/>
            <w:vAlign w:val="bottom"/>
            <w:hideMark/>
          </w:tcPr>
          <w:p w14:paraId="169E2D98"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5.721</w:t>
            </w:r>
          </w:p>
        </w:tc>
        <w:tc>
          <w:tcPr>
            <w:tcW w:w="872" w:type="dxa"/>
            <w:tcBorders>
              <w:top w:val="nil"/>
              <w:left w:val="nil"/>
              <w:bottom w:val="single" w:sz="4" w:space="0" w:color="auto"/>
              <w:right w:val="single" w:sz="4" w:space="0" w:color="auto"/>
            </w:tcBorders>
            <w:shd w:val="clear" w:color="auto" w:fill="auto"/>
            <w:noWrap/>
            <w:vAlign w:val="bottom"/>
            <w:hideMark/>
          </w:tcPr>
          <w:p w14:paraId="4D47E813"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-10,4%</w:t>
            </w:r>
          </w:p>
        </w:tc>
        <w:tc>
          <w:tcPr>
            <w:tcW w:w="850" w:type="dxa"/>
            <w:tcBorders>
              <w:top w:val="nil"/>
              <w:left w:val="nil"/>
              <w:bottom w:val="single" w:sz="4" w:space="0" w:color="auto"/>
              <w:right w:val="single" w:sz="4" w:space="0" w:color="auto"/>
            </w:tcBorders>
            <w:shd w:val="clear" w:color="auto" w:fill="auto"/>
            <w:noWrap/>
            <w:vAlign w:val="bottom"/>
            <w:hideMark/>
          </w:tcPr>
          <w:p w14:paraId="5A9F0228"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7,8%</w:t>
            </w:r>
          </w:p>
        </w:tc>
        <w:tc>
          <w:tcPr>
            <w:tcW w:w="851" w:type="dxa"/>
            <w:tcBorders>
              <w:top w:val="nil"/>
              <w:left w:val="nil"/>
              <w:bottom w:val="single" w:sz="4" w:space="0" w:color="auto"/>
              <w:right w:val="single" w:sz="4" w:space="0" w:color="auto"/>
            </w:tcBorders>
            <w:shd w:val="clear" w:color="auto" w:fill="auto"/>
            <w:noWrap/>
            <w:vAlign w:val="bottom"/>
            <w:hideMark/>
          </w:tcPr>
          <w:p w14:paraId="2122AFE5"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-23,8%</w:t>
            </w:r>
          </w:p>
        </w:tc>
        <w:tc>
          <w:tcPr>
            <w:tcW w:w="850" w:type="dxa"/>
            <w:tcBorders>
              <w:top w:val="nil"/>
              <w:left w:val="nil"/>
              <w:bottom w:val="single" w:sz="4" w:space="0" w:color="auto"/>
              <w:right w:val="single" w:sz="4" w:space="0" w:color="auto"/>
            </w:tcBorders>
            <w:shd w:val="clear" w:color="auto" w:fill="auto"/>
            <w:noWrap/>
            <w:vAlign w:val="bottom"/>
            <w:hideMark/>
          </w:tcPr>
          <w:p w14:paraId="4AC2A53B"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-8,3%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8499563"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-23,2%</w:t>
            </w:r>
          </w:p>
        </w:tc>
        <w:tc>
          <w:tcPr>
            <w:tcW w:w="850" w:type="dxa"/>
            <w:tcBorders>
              <w:top w:val="nil"/>
              <w:left w:val="nil"/>
              <w:bottom w:val="single" w:sz="4" w:space="0" w:color="auto"/>
              <w:right w:val="single" w:sz="4" w:space="0" w:color="auto"/>
            </w:tcBorders>
            <w:shd w:val="clear" w:color="auto" w:fill="auto"/>
            <w:noWrap/>
            <w:vAlign w:val="bottom"/>
            <w:hideMark/>
          </w:tcPr>
          <w:p w14:paraId="29F4BF59"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-7,5%</w:t>
            </w:r>
          </w:p>
        </w:tc>
      </w:tr>
      <w:tr w:rsidR="006070B1" w:rsidRPr="005303F7" w14:paraId="7E19F402" w14:textId="77777777" w:rsidTr="009741FC">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6D03417" w14:textId="0FA500EF" w:rsidR="006070B1" w:rsidRPr="005303F7" w:rsidRDefault="008D69AF" w:rsidP="006070B1">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t>Отпад</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2C6B4061"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3.868</w:t>
            </w:r>
          </w:p>
        </w:tc>
        <w:tc>
          <w:tcPr>
            <w:tcW w:w="777" w:type="dxa"/>
            <w:tcBorders>
              <w:top w:val="nil"/>
              <w:left w:val="nil"/>
              <w:bottom w:val="single" w:sz="4" w:space="0" w:color="auto"/>
              <w:right w:val="single" w:sz="4" w:space="0" w:color="auto"/>
            </w:tcBorders>
            <w:shd w:val="clear" w:color="auto" w:fill="auto"/>
            <w:noWrap/>
            <w:vAlign w:val="bottom"/>
            <w:hideMark/>
          </w:tcPr>
          <w:p w14:paraId="2991A3FA"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2.800</w:t>
            </w:r>
          </w:p>
        </w:tc>
        <w:tc>
          <w:tcPr>
            <w:tcW w:w="777" w:type="dxa"/>
            <w:tcBorders>
              <w:top w:val="nil"/>
              <w:left w:val="nil"/>
              <w:bottom w:val="single" w:sz="4" w:space="0" w:color="auto"/>
              <w:right w:val="single" w:sz="4" w:space="0" w:color="auto"/>
            </w:tcBorders>
            <w:shd w:val="clear" w:color="auto" w:fill="auto"/>
            <w:noWrap/>
            <w:vAlign w:val="bottom"/>
            <w:hideMark/>
          </w:tcPr>
          <w:p w14:paraId="534C8662"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2.730</w:t>
            </w:r>
          </w:p>
        </w:tc>
        <w:tc>
          <w:tcPr>
            <w:tcW w:w="777" w:type="dxa"/>
            <w:tcBorders>
              <w:top w:val="nil"/>
              <w:left w:val="nil"/>
              <w:bottom w:val="single" w:sz="4" w:space="0" w:color="auto"/>
              <w:right w:val="single" w:sz="4" w:space="0" w:color="auto"/>
            </w:tcBorders>
            <w:shd w:val="clear" w:color="auto" w:fill="auto"/>
            <w:noWrap/>
            <w:vAlign w:val="bottom"/>
            <w:hideMark/>
          </w:tcPr>
          <w:p w14:paraId="39CC5244"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2.709</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6E7CCD6C"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2.755</w:t>
            </w:r>
          </w:p>
        </w:tc>
        <w:tc>
          <w:tcPr>
            <w:tcW w:w="777" w:type="dxa"/>
            <w:tcBorders>
              <w:top w:val="nil"/>
              <w:left w:val="nil"/>
              <w:bottom w:val="single" w:sz="4" w:space="0" w:color="auto"/>
              <w:right w:val="single" w:sz="4" w:space="0" w:color="auto"/>
            </w:tcBorders>
            <w:shd w:val="clear" w:color="auto" w:fill="auto"/>
            <w:noWrap/>
            <w:vAlign w:val="bottom"/>
            <w:hideMark/>
          </w:tcPr>
          <w:p w14:paraId="44E19674"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2.582</w:t>
            </w:r>
          </w:p>
        </w:tc>
        <w:tc>
          <w:tcPr>
            <w:tcW w:w="777" w:type="dxa"/>
            <w:tcBorders>
              <w:top w:val="nil"/>
              <w:left w:val="nil"/>
              <w:bottom w:val="single" w:sz="4" w:space="0" w:color="auto"/>
              <w:right w:val="single" w:sz="4" w:space="0" w:color="auto"/>
            </w:tcBorders>
            <w:shd w:val="clear" w:color="auto" w:fill="auto"/>
            <w:noWrap/>
            <w:vAlign w:val="bottom"/>
            <w:hideMark/>
          </w:tcPr>
          <w:p w14:paraId="1D55C17A"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2.371</w:t>
            </w:r>
          </w:p>
        </w:tc>
        <w:tc>
          <w:tcPr>
            <w:tcW w:w="777" w:type="dxa"/>
            <w:tcBorders>
              <w:top w:val="nil"/>
              <w:left w:val="nil"/>
              <w:bottom w:val="single" w:sz="4" w:space="0" w:color="auto"/>
              <w:right w:val="single" w:sz="4" w:space="0" w:color="auto"/>
            </w:tcBorders>
            <w:shd w:val="clear" w:color="auto" w:fill="auto"/>
            <w:noWrap/>
            <w:vAlign w:val="bottom"/>
            <w:hideMark/>
          </w:tcPr>
          <w:p w14:paraId="7DEC16EB"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1.936</w:t>
            </w:r>
          </w:p>
        </w:tc>
        <w:tc>
          <w:tcPr>
            <w:tcW w:w="872" w:type="dxa"/>
            <w:tcBorders>
              <w:top w:val="nil"/>
              <w:left w:val="nil"/>
              <w:bottom w:val="single" w:sz="4" w:space="0" w:color="auto"/>
              <w:right w:val="single" w:sz="4" w:space="0" w:color="auto"/>
            </w:tcBorders>
            <w:shd w:val="clear" w:color="auto" w:fill="auto"/>
            <w:noWrap/>
            <w:vAlign w:val="bottom"/>
            <w:hideMark/>
          </w:tcPr>
          <w:p w14:paraId="65383F03"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-13,1%</w:t>
            </w:r>
          </w:p>
        </w:tc>
        <w:tc>
          <w:tcPr>
            <w:tcW w:w="850" w:type="dxa"/>
            <w:tcBorders>
              <w:top w:val="nil"/>
              <w:left w:val="nil"/>
              <w:bottom w:val="single" w:sz="4" w:space="0" w:color="auto"/>
              <w:right w:val="single" w:sz="4" w:space="0" w:color="auto"/>
            </w:tcBorders>
            <w:shd w:val="clear" w:color="auto" w:fill="auto"/>
            <w:noWrap/>
            <w:vAlign w:val="bottom"/>
            <w:hideMark/>
          </w:tcPr>
          <w:p w14:paraId="39D649DB"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-29,1%</w:t>
            </w:r>
          </w:p>
        </w:tc>
        <w:tc>
          <w:tcPr>
            <w:tcW w:w="851" w:type="dxa"/>
            <w:tcBorders>
              <w:top w:val="nil"/>
              <w:left w:val="nil"/>
              <w:bottom w:val="single" w:sz="4" w:space="0" w:color="auto"/>
              <w:right w:val="single" w:sz="4" w:space="0" w:color="auto"/>
            </w:tcBorders>
            <w:shd w:val="clear" w:color="auto" w:fill="auto"/>
            <w:noWrap/>
            <w:vAlign w:val="bottom"/>
            <w:hideMark/>
          </w:tcPr>
          <w:p w14:paraId="6CDC2262"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-15,3%</w:t>
            </w:r>
          </w:p>
        </w:tc>
        <w:tc>
          <w:tcPr>
            <w:tcW w:w="850" w:type="dxa"/>
            <w:tcBorders>
              <w:top w:val="nil"/>
              <w:left w:val="nil"/>
              <w:bottom w:val="single" w:sz="4" w:space="0" w:color="auto"/>
              <w:right w:val="single" w:sz="4" w:space="0" w:color="auto"/>
            </w:tcBorders>
            <w:shd w:val="clear" w:color="auto" w:fill="auto"/>
            <w:noWrap/>
            <w:vAlign w:val="bottom"/>
            <w:hideMark/>
          </w:tcPr>
          <w:p w14:paraId="542002E9"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-30,9%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1C817A"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-38,7%</w:t>
            </w:r>
          </w:p>
        </w:tc>
        <w:tc>
          <w:tcPr>
            <w:tcW w:w="850" w:type="dxa"/>
            <w:tcBorders>
              <w:top w:val="nil"/>
              <w:left w:val="nil"/>
              <w:bottom w:val="single" w:sz="4" w:space="0" w:color="auto"/>
              <w:right w:val="single" w:sz="4" w:space="0" w:color="auto"/>
            </w:tcBorders>
            <w:shd w:val="clear" w:color="auto" w:fill="auto"/>
            <w:noWrap/>
            <w:vAlign w:val="bottom"/>
            <w:hideMark/>
          </w:tcPr>
          <w:p w14:paraId="3FA0278C"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-49,9%</w:t>
            </w:r>
          </w:p>
        </w:tc>
      </w:tr>
      <w:tr w:rsidR="006070B1" w:rsidRPr="005303F7" w14:paraId="38308CD2" w14:textId="77777777" w:rsidTr="009741FC">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4B2DBE0" w14:textId="399A3716" w:rsidR="006070B1" w:rsidRPr="005303F7" w:rsidRDefault="008D69AF" w:rsidP="00C415D0">
            <w:pPr>
              <w:tabs>
                <w:tab w:val="clear" w:pos="3825"/>
              </w:tabs>
              <w:overflowPunct/>
              <w:autoSpaceDE/>
              <w:autoSpaceDN/>
              <w:adjustRightInd/>
              <w:spacing w:before="0" w:after="0"/>
              <w:jc w:val="left"/>
              <w:textAlignment w:val="auto"/>
              <w:rPr>
                <w:rFonts w:ascii="Times New Roman" w:hAnsi="Times New Roman"/>
                <w:b/>
                <w:bCs/>
                <w:color w:val="000000"/>
                <w:lang w:val="sr-Cyrl-CS" w:eastAsia="en-GB"/>
              </w:rPr>
            </w:pPr>
            <w:r w:rsidRPr="005303F7">
              <w:rPr>
                <w:rFonts w:ascii="Times New Roman" w:hAnsi="Times New Roman"/>
                <w:b/>
                <w:bCs/>
                <w:color w:val="000000"/>
                <w:lang w:val="sr-Cyrl-CS" w:eastAsia="en-GB"/>
              </w:rPr>
              <w:t>Укупно</w:t>
            </w:r>
            <w:r w:rsidR="00C415D0" w:rsidRPr="005303F7">
              <w:rPr>
                <w:rFonts w:ascii="Times New Roman" w:hAnsi="Times New Roman"/>
                <w:b/>
                <w:bCs/>
                <w:color w:val="000000"/>
                <w:lang w:val="sr-Cyrl-CS" w:eastAsia="en-GB"/>
              </w:rPr>
              <w:t xml:space="preserve"> </w:t>
            </w:r>
            <w:r w:rsidRPr="005303F7">
              <w:rPr>
                <w:rFonts w:ascii="Times New Roman" w:hAnsi="Times New Roman"/>
                <w:b/>
                <w:bCs/>
                <w:color w:val="000000"/>
                <w:lang w:val="sr-Cyrl-CS" w:eastAsia="en-GB"/>
              </w:rPr>
              <w:t>Б</w:t>
            </w:r>
            <w:r w:rsidR="00C415D0" w:rsidRPr="005303F7">
              <w:rPr>
                <w:rFonts w:ascii="Times New Roman" w:hAnsi="Times New Roman"/>
                <w:b/>
                <w:bCs/>
                <w:color w:val="000000"/>
                <w:lang w:val="sr-Cyrl-CS" w:eastAsia="en-GB"/>
              </w:rPr>
              <w:t>2 (</w:t>
            </w:r>
            <w:r w:rsidRPr="005303F7">
              <w:rPr>
                <w:rFonts w:ascii="Times New Roman" w:hAnsi="Times New Roman"/>
                <w:b/>
                <w:bCs/>
                <w:color w:val="000000"/>
                <w:lang w:val="sr-Cyrl-CS" w:eastAsia="en-GB"/>
              </w:rPr>
              <w:t>без</w:t>
            </w:r>
            <w:r w:rsidR="00C415D0" w:rsidRPr="005303F7">
              <w:rPr>
                <w:rFonts w:ascii="Times New Roman" w:hAnsi="Times New Roman"/>
                <w:b/>
                <w:bCs/>
                <w:color w:val="000000"/>
                <w:lang w:val="sr-Cyrl-CS" w:eastAsia="en-GB"/>
              </w:rPr>
              <w:t xml:space="preserve"> </w:t>
            </w:r>
            <w:r w:rsidR="00BC327E" w:rsidRPr="005303F7">
              <w:rPr>
                <w:rFonts w:ascii="Times New Roman" w:hAnsi="Times New Roman"/>
                <w:b/>
                <w:bCs/>
                <w:color w:val="000000"/>
                <w:lang w:val="sr-Cyrl-CS" w:eastAsia="en-GB"/>
              </w:rPr>
              <w:t>LULUCF</w:t>
            </w:r>
            <w:r w:rsidR="006070B1" w:rsidRPr="005303F7">
              <w:rPr>
                <w:rFonts w:ascii="Times New Roman" w:hAnsi="Times New Roman"/>
                <w:b/>
                <w:bCs/>
                <w:color w:val="000000"/>
                <w:lang w:val="sr-Cyrl-CS" w:eastAsia="en-GB"/>
              </w:rPr>
              <w:t>)</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1CA9F0A0"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81.526</w:t>
            </w:r>
          </w:p>
        </w:tc>
        <w:tc>
          <w:tcPr>
            <w:tcW w:w="777" w:type="dxa"/>
            <w:tcBorders>
              <w:top w:val="nil"/>
              <w:left w:val="nil"/>
              <w:bottom w:val="single" w:sz="4" w:space="0" w:color="auto"/>
              <w:right w:val="single" w:sz="4" w:space="0" w:color="auto"/>
            </w:tcBorders>
            <w:shd w:val="clear" w:color="auto" w:fill="auto"/>
            <w:noWrap/>
            <w:vAlign w:val="bottom"/>
            <w:hideMark/>
          </w:tcPr>
          <w:p w14:paraId="3E80F235"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68.091</w:t>
            </w:r>
          </w:p>
        </w:tc>
        <w:tc>
          <w:tcPr>
            <w:tcW w:w="777" w:type="dxa"/>
            <w:tcBorders>
              <w:top w:val="nil"/>
              <w:left w:val="nil"/>
              <w:bottom w:val="single" w:sz="4" w:space="0" w:color="auto"/>
              <w:right w:val="single" w:sz="4" w:space="0" w:color="auto"/>
            </w:tcBorders>
            <w:shd w:val="clear" w:color="auto" w:fill="auto"/>
            <w:noWrap/>
            <w:vAlign w:val="bottom"/>
            <w:hideMark/>
          </w:tcPr>
          <w:p w14:paraId="73D8AB0D"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62.650</w:t>
            </w:r>
          </w:p>
        </w:tc>
        <w:tc>
          <w:tcPr>
            <w:tcW w:w="777" w:type="dxa"/>
            <w:tcBorders>
              <w:top w:val="nil"/>
              <w:left w:val="nil"/>
              <w:bottom w:val="single" w:sz="4" w:space="0" w:color="auto"/>
              <w:right w:val="single" w:sz="4" w:space="0" w:color="auto"/>
            </w:tcBorders>
            <w:shd w:val="clear" w:color="auto" w:fill="auto"/>
            <w:noWrap/>
            <w:vAlign w:val="bottom"/>
            <w:hideMark/>
          </w:tcPr>
          <w:p w14:paraId="5A26FCB8"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61.233</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24BA075F"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63.204</w:t>
            </w:r>
          </w:p>
        </w:tc>
        <w:tc>
          <w:tcPr>
            <w:tcW w:w="777" w:type="dxa"/>
            <w:tcBorders>
              <w:top w:val="nil"/>
              <w:left w:val="nil"/>
              <w:bottom w:val="single" w:sz="4" w:space="0" w:color="auto"/>
              <w:right w:val="single" w:sz="4" w:space="0" w:color="auto"/>
            </w:tcBorders>
            <w:shd w:val="clear" w:color="auto" w:fill="auto"/>
            <w:noWrap/>
            <w:vAlign w:val="bottom"/>
            <w:hideMark/>
          </w:tcPr>
          <w:p w14:paraId="0FB989E7"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64.218</w:t>
            </w:r>
          </w:p>
        </w:tc>
        <w:tc>
          <w:tcPr>
            <w:tcW w:w="777" w:type="dxa"/>
            <w:tcBorders>
              <w:top w:val="nil"/>
              <w:left w:val="nil"/>
              <w:bottom w:val="single" w:sz="4" w:space="0" w:color="auto"/>
              <w:right w:val="single" w:sz="4" w:space="0" w:color="auto"/>
            </w:tcBorders>
            <w:shd w:val="clear" w:color="auto" w:fill="auto"/>
            <w:noWrap/>
            <w:vAlign w:val="bottom"/>
            <w:hideMark/>
          </w:tcPr>
          <w:p w14:paraId="5BEC13D8"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64.650</w:t>
            </w:r>
          </w:p>
        </w:tc>
        <w:tc>
          <w:tcPr>
            <w:tcW w:w="777" w:type="dxa"/>
            <w:tcBorders>
              <w:top w:val="nil"/>
              <w:left w:val="nil"/>
              <w:bottom w:val="single" w:sz="4" w:space="0" w:color="auto"/>
              <w:right w:val="single" w:sz="4" w:space="0" w:color="auto"/>
            </w:tcBorders>
            <w:shd w:val="clear" w:color="auto" w:fill="auto"/>
            <w:noWrap/>
            <w:vAlign w:val="bottom"/>
            <w:hideMark/>
          </w:tcPr>
          <w:p w14:paraId="0AC236C4"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69.374</w:t>
            </w:r>
          </w:p>
        </w:tc>
        <w:tc>
          <w:tcPr>
            <w:tcW w:w="872" w:type="dxa"/>
            <w:tcBorders>
              <w:top w:val="nil"/>
              <w:left w:val="nil"/>
              <w:bottom w:val="single" w:sz="4" w:space="0" w:color="auto"/>
              <w:right w:val="single" w:sz="4" w:space="0" w:color="auto"/>
            </w:tcBorders>
            <w:shd w:val="clear" w:color="auto" w:fill="auto"/>
            <w:noWrap/>
            <w:vAlign w:val="bottom"/>
            <w:hideMark/>
          </w:tcPr>
          <w:p w14:paraId="57BBA2E4"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3,2%</w:t>
            </w:r>
          </w:p>
        </w:tc>
        <w:tc>
          <w:tcPr>
            <w:tcW w:w="850" w:type="dxa"/>
            <w:tcBorders>
              <w:top w:val="nil"/>
              <w:left w:val="nil"/>
              <w:bottom w:val="single" w:sz="4" w:space="0" w:color="auto"/>
              <w:right w:val="single" w:sz="4" w:space="0" w:color="auto"/>
            </w:tcBorders>
            <w:shd w:val="clear" w:color="auto" w:fill="auto"/>
            <w:noWrap/>
            <w:vAlign w:val="bottom"/>
            <w:hideMark/>
          </w:tcPr>
          <w:p w14:paraId="5464ECAE"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10,7%</w:t>
            </w:r>
          </w:p>
        </w:tc>
        <w:tc>
          <w:tcPr>
            <w:tcW w:w="851" w:type="dxa"/>
            <w:tcBorders>
              <w:top w:val="nil"/>
              <w:left w:val="nil"/>
              <w:bottom w:val="single" w:sz="4" w:space="0" w:color="auto"/>
              <w:right w:val="single" w:sz="4" w:space="0" w:color="auto"/>
            </w:tcBorders>
            <w:shd w:val="clear" w:color="auto" w:fill="auto"/>
            <w:noWrap/>
            <w:vAlign w:val="bottom"/>
            <w:hideMark/>
          </w:tcPr>
          <w:p w14:paraId="3ED89F9C"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-5,1%</w:t>
            </w:r>
          </w:p>
        </w:tc>
        <w:tc>
          <w:tcPr>
            <w:tcW w:w="850" w:type="dxa"/>
            <w:tcBorders>
              <w:top w:val="nil"/>
              <w:left w:val="nil"/>
              <w:bottom w:val="single" w:sz="4" w:space="0" w:color="auto"/>
              <w:right w:val="single" w:sz="4" w:space="0" w:color="auto"/>
            </w:tcBorders>
            <w:shd w:val="clear" w:color="auto" w:fill="auto"/>
            <w:noWrap/>
            <w:vAlign w:val="bottom"/>
            <w:hideMark/>
          </w:tcPr>
          <w:p w14:paraId="176FF9B1"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1,9%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DCAC2DC"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szCs w:val="22"/>
                <w:lang w:val="sr-Cyrl-CS" w:eastAsia="en-GB"/>
              </w:rPr>
            </w:pPr>
            <w:r w:rsidRPr="005303F7">
              <w:rPr>
                <w:rFonts w:ascii="Times New Roman" w:hAnsi="Times New Roman"/>
                <w:b/>
                <w:bCs/>
                <w:color w:val="000000"/>
                <w:sz w:val="20"/>
                <w:szCs w:val="22"/>
                <w:lang w:val="sr-Cyrl-CS" w:eastAsia="en-GB"/>
              </w:rPr>
              <w:t>-20,7%</w:t>
            </w:r>
          </w:p>
        </w:tc>
        <w:tc>
          <w:tcPr>
            <w:tcW w:w="850" w:type="dxa"/>
            <w:tcBorders>
              <w:top w:val="nil"/>
              <w:left w:val="nil"/>
              <w:bottom w:val="single" w:sz="4" w:space="0" w:color="auto"/>
              <w:right w:val="single" w:sz="4" w:space="0" w:color="auto"/>
            </w:tcBorders>
            <w:shd w:val="clear" w:color="auto" w:fill="auto"/>
            <w:noWrap/>
            <w:vAlign w:val="bottom"/>
            <w:hideMark/>
          </w:tcPr>
          <w:p w14:paraId="26A2374F"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szCs w:val="22"/>
                <w:lang w:val="sr-Cyrl-CS" w:eastAsia="en-GB"/>
              </w:rPr>
            </w:pPr>
            <w:r w:rsidRPr="005303F7">
              <w:rPr>
                <w:rFonts w:ascii="Times New Roman" w:hAnsi="Times New Roman"/>
                <w:b/>
                <w:bCs/>
                <w:color w:val="000000"/>
                <w:sz w:val="20"/>
                <w:szCs w:val="22"/>
                <w:lang w:val="sr-Cyrl-CS" w:eastAsia="en-GB"/>
              </w:rPr>
              <w:t>-14,9%</w:t>
            </w:r>
          </w:p>
        </w:tc>
      </w:tr>
      <w:tr w:rsidR="006070B1" w:rsidRPr="005303F7" w14:paraId="74E644CD" w14:textId="77777777" w:rsidTr="009741FC">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99713D4" w14:textId="6C400B8D" w:rsidR="006070B1" w:rsidRPr="005303F7" w:rsidRDefault="00BC327E" w:rsidP="006070B1">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t>LULUCF</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73E0870D"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-1.432</w:t>
            </w:r>
          </w:p>
        </w:tc>
        <w:tc>
          <w:tcPr>
            <w:tcW w:w="777" w:type="dxa"/>
            <w:tcBorders>
              <w:top w:val="nil"/>
              <w:left w:val="nil"/>
              <w:bottom w:val="single" w:sz="4" w:space="0" w:color="auto"/>
              <w:right w:val="single" w:sz="4" w:space="0" w:color="auto"/>
            </w:tcBorders>
            <w:shd w:val="clear" w:color="auto" w:fill="auto"/>
            <w:noWrap/>
            <w:vAlign w:val="bottom"/>
            <w:hideMark/>
          </w:tcPr>
          <w:p w14:paraId="07A9F22A" w14:textId="37A6BEC2"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w:t>
            </w:r>
            <w:r w:rsidR="00BF0F1F" w:rsidRPr="005303F7">
              <w:rPr>
                <w:rFonts w:ascii="Times New Roman" w:hAnsi="Times New Roman"/>
                <w:color w:val="000000"/>
                <w:sz w:val="20"/>
                <w:lang w:val="sr-Cyrl-CS" w:eastAsia="en-GB"/>
              </w:rPr>
              <w:t>7.090</w:t>
            </w:r>
          </w:p>
        </w:tc>
        <w:tc>
          <w:tcPr>
            <w:tcW w:w="777" w:type="dxa"/>
            <w:tcBorders>
              <w:top w:val="nil"/>
              <w:left w:val="nil"/>
              <w:bottom w:val="single" w:sz="4" w:space="0" w:color="auto"/>
              <w:right w:val="single" w:sz="4" w:space="0" w:color="auto"/>
            </w:tcBorders>
            <w:shd w:val="clear" w:color="auto" w:fill="auto"/>
            <w:noWrap/>
            <w:vAlign w:val="bottom"/>
            <w:hideMark/>
          </w:tcPr>
          <w:p w14:paraId="1DBBF33A"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-5.627</w:t>
            </w:r>
          </w:p>
        </w:tc>
        <w:tc>
          <w:tcPr>
            <w:tcW w:w="777" w:type="dxa"/>
            <w:tcBorders>
              <w:top w:val="nil"/>
              <w:left w:val="nil"/>
              <w:bottom w:val="single" w:sz="4" w:space="0" w:color="auto"/>
              <w:right w:val="single" w:sz="4" w:space="0" w:color="auto"/>
            </w:tcBorders>
            <w:shd w:val="clear" w:color="auto" w:fill="auto"/>
            <w:noWrap/>
            <w:vAlign w:val="bottom"/>
            <w:hideMark/>
          </w:tcPr>
          <w:p w14:paraId="4E6EB3DD"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-4.533</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07F6FD2E"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-6.532</w:t>
            </w:r>
          </w:p>
        </w:tc>
        <w:tc>
          <w:tcPr>
            <w:tcW w:w="777" w:type="dxa"/>
            <w:tcBorders>
              <w:top w:val="nil"/>
              <w:left w:val="nil"/>
              <w:bottom w:val="single" w:sz="4" w:space="0" w:color="auto"/>
              <w:right w:val="single" w:sz="4" w:space="0" w:color="auto"/>
            </w:tcBorders>
            <w:shd w:val="clear" w:color="auto" w:fill="auto"/>
            <w:noWrap/>
            <w:vAlign w:val="bottom"/>
            <w:hideMark/>
          </w:tcPr>
          <w:p w14:paraId="295B83A9"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-5.451</w:t>
            </w:r>
          </w:p>
        </w:tc>
        <w:tc>
          <w:tcPr>
            <w:tcW w:w="777" w:type="dxa"/>
            <w:tcBorders>
              <w:top w:val="nil"/>
              <w:left w:val="nil"/>
              <w:bottom w:val="single" w:sz="4" w:space="0" w:color="auto"/>
              <w:right w:val="single" w:sz="4" w:space="0" w:color="auto"/>
            </w:tcBorders>
            <w:shd w:val="clear" w:color="auto" w:fill="auto"/>
            <w:noWrap/>
            <w:vAlign w:val="bottom"/>
            <w:hideMark/>
          </w:tcPr>
          <w:p w14:paraId="36D6BBD8"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-5.050</w:t>
            </w:r>
          </w:p>
        </w:tc>
        <w:tc>
          <w:tcPr>
            <w:tcW w:w="777" w:type="dxa"/>
            <w:tcBorders>
              <w:top w:val="nil"/>
              <w:left w:val="nil"/>
              <w:bottom w:val="single" w:sz="4" w:space="0" w:color="auto"/>
              <w:right w:val="single" w:sz="4" w:space="0" w:color="auto"/>
            </w:tcBorders>
            <w:shd w:val="clear" w:color="auto" w:fill="auto"/>
            <w:noWrap/>
            <w:vAlign w:val="bottom"/>
            <w:hideMark/>
          </w:tcPr>
          <w:p w14:paraId="66F111F3"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-4.161</w:t>
            </w:r>
          </w:p>
        </w:tc>
        <w:tc>
          <w:tcPr>
            <w:tcW w:w="872" w:type="dxa"/>
            <w:tcBorders>
              <w:top w:val="nil"/>
              <w:left w:val="nil"/>
              <w:bottom w:val="single" w:sz="4" w:space="0" w:color="auto"/>
              <w:right w:val="single" w:sz="4" w:space="0" w:color="auto"/>
            </w:tcBorders>
            <w:shd w:val="clear" w:color="auto" w:fill="auto"/>
            <w:noWrap/>
            <w:vAlign w:val="bottom"/>
            <w:hideMark/>
          </w:tcPr>
          <w:p w14:paraId="494A983B"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-10,3%</w:t>
            </w:r>
          </w:p>
        </w:tc>
        <w:tc>
          <w:tcPr>
            <w:tcW w:w="850" w:type="dxa"/>
            <w:tcBorders>
              <w:top w:val="nil"/>
              <w:left w:val="nil"/>
              <w:bottom w:val="single" w:sz="4" w:space="0" w:color="auto"/>
              <w:right w:val="single" w:sz="4" w:space="0" w:color="auto"/>
            </w:tcBorders>
            <w:shd w:val="clear" w:color="auto" w:fill="auto"/>
            <w:noWrap/>
            <w:vAlign w:val="bottom"/>
            <w:hideMark/>
          </w:tcPr>
          <w:p w14:paraId="4DBEDA10"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-26,1%</w:t>
            </w:r>
          </w:p>
        </w:tc>
        <w:tc>
          <w:tcPr>
            <w:tcW w:w="851" w:type="dxa"/>
            <w:tcBorders>
              <w:top w:val="nil"/>
              <w:left w:val="nil"/>
              <w:bottom w:val="single" w:sz="4" w:space="0" w:color="auto"/>
              <w:right w:val="single" w:sz="4" w:space="0" w:color="auto"/>
            </w:tcBorders>
            <w:shd w:val="clear" w:color="auto" w:fill="auto"/>
            <w:noWrap/>
            <w:vAlign w:val="bottom"/>
            <w:hideMark/>
          </w:tcPr>
          <w:p w14:paraId="2DC06E5B" w14:textId="12F0F10B" w:rsidR="006070B1" w:rsidRPr="005303F7" w:rsidRDefault="00390D52" w:rsidP="006070B1">
            <w:pPr>
              <w:tabs>
                <w:tab w:val="clear" w:pos="3825"/>
              </w:tabs>
              <w:overflowPunct/>
              <w:autoSpaceDE/>
              <w:autoSpaceDN/>
              <w:adjustRightInd/>
              <w:spacing w:before="0" w:after="0"/>
              <w:jc w:val="right"/>
              <w:textAlignment w:val="auto"/>
              <w:rPr>
                <w:rFonts w:ascii="Times New Roman" w:hAnsi="Times New Roman"/>
                <w:color w:val="000000"/>
                <w:sz w:val="20"/>
                <w:highlight w:val="yellow"/>
                <w:lang w:val="sr-Cyrl-CS" w:eastAsia="en-GB"/>
              </w:rPr>
            </w:pPr>
            <w:r w:rsidRPr="005303F7">
              <w:rPr>
                <w:rFonts w:ascii="Times New Roman" w:hAnsi="Times New Roman"/>
                <w:color w:val="000000"/>
                <w:sz w:val="20"/>
                <w:lang w:val="sr-Cyrl-CS" w:eastAsia="en-GB"/>
              </w:rPr>
              <w:t>-28,8</w:t>
            </w:r>
            <w:r w:rsidR="006070B1" w:rsidRPr="005303F7">
              <w:rPr>
                <w:rFonts w:ascii="Times New Roman" w:hAnsi="Times New Roman"/>
                <w:color w:val="000000"/>
                <w:sz w:val="20"/>
                <w:lang w:val="sr-Cyrl-CS" w:eastAsia="en-GB"/>
              </w:rPr>
              <w:t>%</w:t>
            </w:r>
          </w:p>
        </w:tc>
        <w:tc>
          <w:tcPr>
            <w:tcW w:w="850" w:type="dxa"/>
            <w:tcBorders>
              <w:top w:val="nil"/>
              <w:left w:val="nil"/>
              <w:bottom w:val="single" w:sz="4" w:space="0" w:color="auto"/>
              <w:right w:val="single" w:sz="4" w:space="0" w:color="auto"/>
            </w:tcBorders>
            <w:shd w:val="clear" w:color="auto" w:fill="auto"/>
            <w:noWrap/>
            <w:vAlign w:val="bottom"/>
            <w:hideMark/>
          </w:tcPr>
          <w:p w14:paraId="4A566B08" w14:textId="405C014C"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highlight w:val="yellow"/>
                <w:lang w:val="sr-Cyrl-CS" w:eastAsia="en-GB"/>
              </w:rPr>
            </w:pPr>
            <w:r w:rsidRPr="005303F7">
              <w:rPr>
                <w:rFonts w:ascii="Times New Roman" w:hAnsi="Times New Roman"/>
                <w:color w:val="000000"/>
                <w:sz w:val="20"/>
                <w:lang w:val="sr-Cyrl-CS" w:eastAsia="en-GB"/>
              </w:rPr>
              <w:t>-</w:t>
            </w:r>
            <w:r w:rsidR="00390D52" w:rsidRPr="005303F7">
              <w:rPr>
                <w:rFonts w:ascii="Times New Roman" w:hAnsi="Times New Roman"/>
                <w:color w:val="000000"/>
                <w:sz w:val="20"/>
                <w:lang w:val="sr-Cyrl-CS" w:eastAsia="en-GB"/>
              </w:rPr>
              <w:t>41,3</w:t>
            </w:r>
            <w:r w:rsidRPr="005303F7">
              <w:rPr>
                <w:rFonts w:ascii="Times New Roman" w:hAnsi="Times New Roman"/>
                <w:color w:val="000000"/>
                <w:sz w:val="20"/>
                <w:lang w:val="sr-Cyrl-CS" w:eastAsia="en-GB"/>
              </w:rPr>
              <w: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054E0CE" w14:textId="24AA9355" w:rsidR="006070B1" w:rsidRPr="005303F7" w:rsidRDefault="007F3A1F" w:rsidP="006070B1">
            <w:pPr>
              <w:tabs>
                <w:tab w:val="clear" w:pos="3825"/>
              </w:tabs>
              <w:overflowPunct/>
              <w:autoSpaceDE/>
              <w:autoSpaceDN/>
              <w:adjustRightInd/>
              <w:spacing w:before="0" w:after="0"/>
              <w:jc w:val="right"/>
              <w:textAlignment w:val="auto"/>
              <w:rPr>
                <w:rFonts w:ascii="Times New Roman" w:hAnsi="Times New Roman"/>
                <w:color w:val="000000"/>
                <w:sz w:val="20"/>
                <w:szCs w:val="22"/>
                <w:highlight w:val="yellow"/>
                <w:lang w:val="sr-Cyrl-CS" w:eastAsia="en-GB"/>
              </w:rPr>
            </w:pPr>
            <w:r w:rsidRPr="005303F7">
              <w:rPr>
                <w:rFonts w:ascii="Times New Roman" w:hAnsi="Times New Roman"/>
                <w:color w:val="000000"/>
                <w:sz w:val="20"/>
                <w:szCs w:val="22"/>
                <w:lang w:val="sr-Cyrl-CS" w:eastAsia="en-GB"/>
              </w:rPr>
              <w:t>252,7</w:t>
            </w:r>
            <w:r w:rsidR="006070B1" w:rsidRPr="005303F7">
              <w:rPr>
                <w:rFonts w:ascii="Times New Roman" w:hAnsi="Times New Roman"/>
                <w:color w:val="000000"/>
                <w:sz w:val="20"/>
                <w:szCs w:val="22"/>
                <w:lang w:val="sr-Cyrl-CS" w:eastAsia="en-GB"/>
              </w:rPr>
              <w:t>%</w:t>
            </w:r>
          </w:p>
        </w:tc>
        <w:tc>
          <w:tcPr>
            <w:tcW w:w="850" w:type="dxa"/>
            <w:tcBorders>
              <w:top w:val="nil"/>
              <w:left w:val="nil"/>
              <w:bottom w:val="single" w:sz="4" w:space="0" w:color="auto"/>
              <w:right w:val="single" w:sz="4" w:space="0" w:color="auto"/>
            </w:tcBorders>
            <w:shd w:val="clear" w:color="auto" w:fill="auto"/>
            <w:noWrap/>
            <w:vAlign w:val="bottom"/>
            <w:hideMark/>
          </w:tcPr>
          <w:p w14:paraId="034122F2" w14:textId="3EE2EBBC" w:rsidR="006070B1" w:rsidRPr="005303F7" w:rsidRDefault="00D03E3A" w:rsidP="006070B1">
            <w:pPr>
              <w:tabs>
                <w:tab w:val="clear" w:pos="3825"/>
              </w:tabs>
              <w:overflowPunct/>
              <w:autoSpaceDE/>
              <w:autoSpaceDN/>
              <w:adjustRightInd/>
              <w:spacing w:before="0" w:after="0"/>
              <w:jc w:val="right"/>
              <w:textAlignment w:val="auto"/>
              <w:rPr>
                <w:rFonts w:ascii="Times New Roman" w:hAnsi="Times New Roman"/>
                <w:color w:val="000000"/>
                <w:sz w:val="20"/>
                <w:szCs w:val="22"/>
                <w:highlight w:val="yellow"/>
                <w:lang w:val="sr-Cyrl-CS" w:eastAsia="en-GB"/>
              </w:rPr>
            </w:pPr>
            <w:r w:rsidRPr="005303F7">
              <w:rPr>
                <w:rFonts w:ascii="Times New Roman" w:hAnsi="Times New Roman"/>
                <w:color w:val="000000"/>
                <w:sz w:val="20"/>
                <w:szCs w:val="22"/>
                <w:lang w:val="sr-Cyrl-CS" w:eastAsia="en-GB"/>
              </w:rPr>
              <w:t>190,6%</w:t>
            </w:r>
          </w:p>
        </w:tc>
      </w:tr>
      <w:tr w:rsidR="006070B1" w:rsidRPr="005303F7" w14:paraId="1910C8A6" w14:textId="77777777" w:rsidTr="009741FC">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0EA50BB" w14:textId="2B3831F1" w:rsidR="006070B1" w:rsidRPr="005303F7" w:rsidRDefault="008D69AF" w:rsidP="006070B1">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t>Укупно</w:t>
            </w:r>
            <w:r w:rsidR="00C415D0" w:rsidRPr="005303F7">
              <w:rPr>
                <w:rFonts w:ascii="Times New Roman" w:hAnsi="Times New Roman"/>
                <w:color w:val="000000"/>
                <w:lang w:val="sr-Cyrl-CS" w:eastAsia="en-GB"/>
              </w:rPr>
              <w:t xml:space="preserve"> </w:t>
            </w:r>
            <w:r w:rsidRPr="005303F7">
              <w:rPr>
                <w:rFonts w:ascii="Times New Roman" w:hAnsi="Times New Roman"/>
                <w:color w:val="000000"/>
                <w:lang w:val="sr-Cyrl-CS" w:eastAsia="en-GB"/>
              </w:rPr>
              <w:t>са</w:t>
            </w:r>
            <w:r w:rsidR="006070B1" w:rsidRPr="005303F7">
              <w:rPr>
                <w:rFonts w:ascii="Times New Roman" w:hAnsi="Times New Roman"/>
                <w:color w:val="000000"/>
                <w:lang w:val="sr-Cyrl-CS" w:eastAsia="en-GB"/>
              </w:rPr>
              <w:t xml:space="preserve"> </w:t>
            </w:r>
            <w:r w:rsidR="00BC327E" w:rsidRPr="005303F7">
              <w:rPr>
                <w:rFonts w:ascii="Times New Roman" w:hAnsi="Times New Roman"/>
                <w:color w:val="000000"/>
                <w:lang w:val="sr-Cyrl-CS" w:eastAsia="en-GB"/>
              </w:rPr>
              <w:t>LULUCF</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7827E1D5"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80.094</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2D0FA8A8" w14:textId="227A6C8E" w:rsidR="006070B1" w:rsidRPr="005303F7" w:rsidRDefault="00BF0F1F">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61.001</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4CC60DAC"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57.023</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650754C0"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56.700</w:t>
            </w:r>
          </w:p>
        </w:tc>
        <w:tc>
          <w:tcPr>
            <w:tcW w:w="777" w:type="dxa"/>
            <w:tcBorders>
              <w:top w:val="nil"/>
              <w:left w:val="nil"/>
              <w:bottom w:val="single" w:sz="4" w:space="0" w:color="auto"/>
              <w:right w:val="single" w:sz="4" w:space="0" w:color="auto"/>
            </w:tcBorders>
            <w:shd w:val="clear" w:color="auto" w:fill="auto"/>
            <w:noWrap/>
            <w:vAlign w:val="bottom"/>
            <w:hideMark/>
          </w:tcPr>
          <w:p w14:paraId="654B3EB6"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56.672</w:t>
            </w:r>
          </w:p>
        </w:tc>
        <w:tc>
          <w:tcPr>
            <w:tcW w:w="777" w:type="dxa"/>
            <w:tcBorders>
              <w:top w:val="nil"/>
              <w:left w:val="nil"/>
              <w:bottom w:val="single" w:sz="4" w:space="0" w:color="auto"/>
              <w:right w:val="single" w:sz="4" w:space="0" w:color="auto"/>
            </w:tcBorders>
            <w:shd w:val="clear" w:color="auto" w:fill="auto"/>
            <w:noWrap/>
            <w:vAlign w:val="bottom"/>
            <w:hideMark/>
          </w:tcPr>
          <w:p w14:paraId="12B1BAB7"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58.767</w:t>
            </w:r>
          </w:p>
        </w:tc>
        <w:tc>
          <w:tcPr>
            <w:tcW w:w="777" w:type="dxa"/>
            <w:tcBorders>
              <w:top w:val="nil"/>
              <w:left w:val="nil"/>
              <w:bottom w:val="single" w:sz="4" w:space="0" w:color="auto"/>
              <w:right w:val="single" w:sz="4" w:space="0" w:color="auto"/>
            </w:tcBorders>
            <w:shd w:val="clear" w:color="auto" w:fill="auto"/>
            <w:noWrap/>
            <w:vAlign w:val="bottom"/>
            <w:hideMark/>
          </w:tcPr>
          <w:p w14:paraId="4754B5DA"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59.600</w:t>
            </w:r>
          </w:p>
        </w:tc>
        <w:tc>
          <w:tcPr>
            <w:tcW w:w="777" w:type="dxa"/>
            <w:tcBorders>
              <w:top w:val="nil"/>
              <w:left w:val="nil"/>
              <w:bottom w:val="single" w:sz="4" w:space="0" w:color="auto"/>
              <w:right w:val="single" w:sz="4" w:space="0" w:color="auto"/>
            </w:tcBorders>
            <w:shd w:val="clear" w:color="auto" w:fill="auto"/>
            <w:noWrap/>
            <w:vAlign w:val="bottom"/>
            <w:hideMark/>
          </w:tcPr>
          <w:p w14:paraId="17D14EF4"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65.213</w:t>
            </w:r>
          </w:p>
        </w:tc>
        <w:tc>
          <w:tcPr>
            <w:tcW w:w="872" w:type="dxa"/>
            <w:tcBorders>
              <w:top w:val="nil"/>
              <w:left w:val="nil"/>
              <w:bottom w:val="single" w:sz="4" w:space="0" w:color="auto"/>
              <w:right w:val="single" w:sz="4" w:space="0" w:color="auto"/>
            </w:tcBorders>
            <w:shd w:val="clear" w:color="auto" w:fill="auto"/>
            <w:noWrap/>
            <w:vAlign w:val="bottom"/>
            <w:hideMark/>
          </w:tcPr>
          <w:p w14:paraId="53CEA98D"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14:paraId="3A4B67EE"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14,4%</w:t>
            </w:r>
          </w:p>
        </w:tc>
        <w:tc>
          <w:tcPr>
            <w:tcW w:w="851" w:type="dxa"/>
            <w:tcBorders>
              <w:top w:val="nil"/>
              <w:left w:val="nil"/>
              <w:bottom w:val="single" w:sz="4" w:space="0" w:color="auto"/>
              <w:right w:val="single" w:sz="4" w:space="0" w:color="auto"/>
            </w:tcBorders>
            <w:shd w:val="clear" w:color="auto" w:fill="auto"/>
            <w:noWrap/>
            <w:vAlign w:val="bottom"/>
            <w:hideMark/>
          </w:tcPr>
          <w:p w14:paraId="79DEE9E7" w14:textId="4DA35495" w:rsidR="006070B1" w:rsidRPr="005303F7" w:rsidRDefault="00390D52" w:rsidP="006070B1">
            <w:pPr>
              <w:tabs>
                <w:tab w:val="clear" w:pos="3825"/>
              </w:tabs>
              <w:overflowPunct/>
              <w:autoSpaceDE/>
              <w:autoSpaceDN/>
              <w:adjustRightInd/>
              <w:spacing w:before="0" w:after="0"/>
              <w:jc w:val="right"/>
              <w:textAlignment w:val="auto"/>
              <w:rPr>
                <w:rFonts w:ascii="Times New Roman" w:hAnsi="Times New Roman"/>
                <w:color w:val="000000"/>
                <w:sz w:val="20"/>
                <w:highlight w:val="yellow"/>
                <w:lang w:val="sr-Cyrl-CS" w:eastAsia="en-GB"/>
              </w:rPr>
            </w:pPr>
            <w:r w:rsidRPr="005303F7">
              <w:rPr>
                <w:rFonts w:ascii="Times New Roman" w:hAnsi="Times New Roman"/>
                <w:color w:val="000000"/>
                <w:sz w:val="20"/>
                <w:lang w:val="sr-Cyrl-CS" w:eastAsia="en-GB"/>
              </w:rPr>
              <w:t>-2,3</w:t>
            </w:r>
            <w:r w:rsidR="006070B1" w:rsidRPr="005303F7">
              <w:rPr>
                <w:rFonts w:ascii="Times New Roman" w:hAnsi="Times New Roman"/>
                <w:color w:val="000000"/>
                <w:sz w:val="20"/>
                <w:lang w:val="sr-Cyrl-CS" w:eastAsia="en-GB"/>
              </w:rPr>
              <w:t>%</w:t>
            </w:r>
          </w:p>
        </w:tc>
        <w:tc>
          <w:tcPr>
            <w:tcW w:w="850" w:type="dxa"/>
            <w:tcBorders>
              <w:top w:val="nil"/>
              <w:left w:val="nil"/>
              <w:bottom w:val="single" w:sz="4" w:space="0" w:color="auto"/>
              <w:right w:val="single" w:sz="4" w:space="0" w:color="auto"/>
            </w:tcBorders>
            <w:shd w:val="clear" w:color="auto" w:fill="auto"/>
            <w:noWrap/>
            <w:vAlign w:val="bottom"/>
            <w:hideMark/>
          </w:tcPr>
          <w:p w14:paraId="77C037F4" w14:textId="0DF0BF89" w:rsidR="006070B1" w:rsidRPr="005303F7" w:rsidRDefault="007F3A1F" w:rsidP="006070B1">
            <w:pPr>
              <w:tabs>
                <w:tab w:val="clear" w:pos="3825"/>
              </w:tabs>
              <w:overflowPunct/>
              <w:autoSpaceDE/>
              <w:autoSpaceDN/>
              <w:adjustRightInd/>
              <w:spacing w:before="0" w:after="0"/>
              <w:jc w:val="right"/>
              <w:textAlignment w:val="auto"/>
              <w:rPr>
                <w:rFonts w:ascii="Times New Roman" w:hAnsi="Times New Roman"/>
                <w:color w:val="000000"/>
                <w:sz w:val="20"/>
                <w:highlight w:val="yellow"/>
                <w:lang w:val="sr-Cyrl-CS" w:eastAsia="en-GB"/>
              </w:rPr>
            </w:pPr>
            <w:r w:rsidRPr="005303F7">
              <w:rPr>
                <w:rFonts w:ascii="Times New Roman" w:hAnsi="Times New Roman"/>
                <w:color w:val="000000"/>
                <w:sz w:val="20"/>
                <w:lang w:val="sr-Cyrl-CS" w:eastAsia="en-GB"/>
              </w:rPr>
              <w:t>6,9</w:t>
            </w:r>
            <w:r w:rsidR="006070B1" w:rsidRPr="005303F7">
              <w:rPr>
                <w:rFonts w:ascii="Times New Roman" w:hAnsi="Times New Roman"/>
                <w:color w:val="000000"/>
                <w:sz w:val="20"/>
                <w:lang w:val="sr-Cyrl-CS" w:eastAsia="en-GB"/>
              </w:rPr>
              <w: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42F815B" w14:textId="67F0915B" w:rsidR="006070B1" w:rsidRPr="005303F7" w:rsidRDefault="007F3A1F">
            <w:pPr>
              <w:tabs>
                <w:tab w:val="clear" w:pos="3825"/>
              </w:tabs>
              <w:overflowPunct/>
              <w:autoSpaceDE/>
              <w:autoSpaceDN/>
              <w:adjustRightInd/>
              <w:spacing w:before="0" w:after="0"/>
              <w:jc w:val="right"/>
              <w:textAlignment w:val="auto"/>
              <w:rPr>
                <w:rFonts w:ascii="Times New Roman" w:hAnsi="Times New Roman"/>
                <w:color w:val="000000"/>
                <w:sz w:val="20"/>
                <w:szCs w:val="22"/>
                <w:highlight w:val="yellow"/>
                <w:lang w:val="sr-Cyrl-CS" w:eastAsia="en-GB"/>
              </w:rPr>
            </w:pPr>
            <w:r w:rsidRPr="005303F7">
              <w:rPr>
                <w:rFonts w:ascii="Times New Roman" w:hAnsi="Times New Roman"/>
                <w:color w:val="000000"/>
                <w:sz w:val="20"/>
                <w:szCs w:val="22"/>
                <w:lang w:val="sr-Cyrl-CS" w:eastAsia="en-GB"/>
              </w:rPr>
              <w:t>-25,6</w:t>
            </w:r>
            <w:r w:rsidR="006070B1" w:rsidRPr="005303F7">
              <w:rPr>
                <w:rFonts w:ascii="Times New Roman" w:hAnsi="Times New Roman"/>
                <w:color w:val="000000"/>
                <w:sz w:val="20"/>
                <w:szCs w:val="22"/>
                <w:lang w:val="sr-Cyrl-CS" w:eastAsia="en-GB"/>
              </w:rPr>
              <w:t>%</w:t>
            </w:r>
          </w:p>
        </w:tc>
        <w:tc>
          <w:tcPr>
            <w:tcW w:w="850" w:type="dxa"/>
            <w:tcBorders>
              <w:top w:val="nil"/>
              <w:left w:val="nil"/>
              <w:bottom w:val="single" w:sz="4" w:space="0" w:color="auto"/>
              <w:right w:val="single" w:sz="4" w:space="0" w:color="auto"/>
            </w:tcBorders>
            <w:shd w:val="clear" w:color="auto" w:fill="auto"/>
            <w:noWrap/>
            <w:vAlign w:val="bottom"/>
            <w:hideMark/>
          </w:tcPr>
          <w:p w14:paraId="4D824152" w14:textId="13053ECE" w:rsidR="006070B1" w:rsidRPr="005303F7" w:rsidRDefault="00D03E3A">
            <w:pPr>
              <w:tabs>
                <w:tab w:val="clear" w:pos="3825"/>
              </w:tabs>
              <w:overflowPunct/>
              <w:autoSpaceDE/>
              <w:autoSpaceDN/>
              <w:adjustRightInd/>
              <w:spacing w:before="0" w:after="0"/>
              <w:jc w:val="right"/>
              <w:textAlignment w:val="auto"/>
              <w:rPr>
                <w:rFonts w:ascii="Times New Roman" w:hAnsi="Times New Roman"/>
                <w:color w:val="000000"/>
                <w:sz w:val="20"/>
                <w:szCs w:val="22"/>
                <w:highlight w:val="yellow"/>
                <w:lang w:val="sr-Cyrl-CS" w:eastAsia="en-GB"/>
              </w:rPr>
            </w:pPr>
            <w:r w:rsidRPr="005303F7">
              <w:rPr>
                <w:rFonts w:ascii="Times New Roman" w:hAnsi="Times New Roman"/>
                <w:color w:val="000000"/>
                <w:sz w:val="20"/>
                <w:szCs w:val="22"/>
                <w:lang w:val="sr-Cyrl-CS" w:eastAsia="en-GB"/>
              </w:rPr>
              <w:t>-18,6</w:t>
            </w:r>
            <w:r w:rsidR="006070B1" w:rsidRPr="005303F7">
              <w:rPr>
                <w:rFonts w:ascii="Times New Roman" w:hAnsi="Times New Roman"/>
                <w:color w:val="000000"/>
                <w:sz w:val="20"/>
                <w:szCs w:val="22"/>
                <w:lang w:val="sr-Cyrl-CS" w:eastAsia="en-GB"/>
              </w:rPr>
              <w:t>%</w:t>
            </w:r>
          </w:p>
        </w:tc>
      </w:tr>
    </w:tbl>
    <w:p w14:paraId="5AFB7FFA" w14:textId="77777777" w:rsidR="00182E68" w:rsidRPr="005303F7" w:rsidRDefault="00182E68">
      <w:pPr>
        <w:tabs>
          <w:tab w:val="clear" w:pos="3825"/>
        </w:tabs>
        <w:overflowPunct/>
        <w:autoSpaceDE/>
        <w:autoSpaceDN/>
        <w:adjustRightInd/>
        <w:spacing w:before="0" w:after="0"/>
        <w:jc w:val="left"/>
        <w:textAlignment w:val="auto"/>
        <w:rPr>
          <w:rFonts w:ascii="Times New Roman" w:hAnsi="Times New Roman"/>
          <w:b/>
          <w:bCs/>
          <w:lang w:val="sr-Cyrl-CS"/>
        </w:rPr>
      </w:pPr>
      <w:r w:rsidRPr="005303F7">
        <w:rPr>
          <w:rFonts w:ascii="Times New Roman" w:hAnsi="Times New Roman"/>
          <w:b/>
          <w:bCs/>
          <w:lang w:val="sr-Cyrl-CS"/>
        </w:rPr>
        <w:br w:type="page"/>
      </w:r>
    </w:p>
    <w:tbl>
      <w:tblPr>
        <w:tblW w:w="14170" w:type="dxa"/>
        <w:tblLayout w:type="fixed"/>
        <w:tblLook w:val="04A0" w:firstRow="1" w:lastRow="0" w:firstColumn="1" w:lastColumn="0" w:noHBand="0" w:noVBand="1"/>
      </w:tblPr>
      <w:tblGrid>
        <w:gridCol w:w="2830"/>
        <w:gridCol w:w="777"/>
        <w:gridCol w:w="777"/>
        <w:gridCol w:w="777"/>
        <w:gridCol w:w="777"/>
        <w:gridCol w:w="777"/>
        <w:gridCol w:w="777"/>
        <w:gridCol w:w="777"/>
        <w:gridCol w:w="777"/>
        <w:gridCol w:w="872"/>
        <w:gridCol w:w="850"/>
        <w:gridCol w:w="851"/>
        <w:gridCol w:w="850"/>
        <w:gridCol w:w="851"/>
        <w:gridCol w:w="850"/>
      </w:tblGrid>
      <w:tr w:rsidR="00B2496D" w:rsidRPr="005303F7" w14:paraId="493F5F26" w14:textId="77777777" w:rsidTr="00182E68">
        <w:trPr>
          <w:trHeight w:val="290"/>
        </w:trPr>
        <w:tc>
          <w:tcPr>
            <w:tcW w:w="283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6EC7BB3" w14:textId="25E0AF0A" w:rsidR="00B2496D" w:rsidRPr="005303F7" w:rsidRDefault="008D69AF" w:rsidP="00B2496D">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lastRenderedPageBreak/>
              <w:t>М</w:t>
            </w:r>
            <w:r w:rsidR="00B2496D" w:rsidRPr="005303F7">
              <w:rPr>
                <w:rFonts w:ascii="Times New Roman" w:hAnsi="Times New Roman"/>
                <w:color w:val="000000"/>
                <w:lang w:val="sr-Cyrl-CS" w:eastAsia="en-GB"/>
              </w:rPr>
              <w:t>2</w:t>
            </w:r>
          </w:p>
        </w:tc>
        <w:tc>
          <w:tcPr>
            <w:tcW w:w="777" w:type="dxa"/>
            <w:tcBorders>
              <w:top w:val="single" w:sz="4" w:space="0" w:color="auto"/>
              <w:left w:val="single" w:sz="4" w:space="0" w:color="auto"/>
              <w:bottom w:val="nil"/>
              <w:right w:val="single" w:sz="4" w:space="0" w:color="auto"/>
            </w:tcBorders>
            <w:shd w:val="clear" w:color="000000" w:fill="BFBFBF"/>
            <w:noWrap/>
            <w:vAlign w:val="center"/>
            <w:hideMark/>
          </w:tcPr>
          <w:p w14:paraId="29525294" w14:textId="506B3966"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1990.</w:t>
            </w:r>
          </w:p>
        </w:tc>
        <w:tc>
          <w:tcPr>
            <w:tcW w:w="777" w:type="dxa"/>
            <w:tcBorders>
              <w:top w:val="single" w:sz="4" w:space="0" w:color="auto"/>
              <w:left w:val="nil"/>
              <w:bottom w:val="nil"/>
              <w:right w:val="single" w:sz="4" w:space="0" w:color="auto"/>
            </w:tcBorders>
            <w:shd w:val="clear" w:color="000000" w:fill="BFBFBF"/>
            <w:noWrap/>
            <w:vAlign w:val="center"/>
            <w:hideMark/>
          </w:tcPr>
          <w:p w14:paraId="5636B55B" w14:textId="74AFC9C2"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2005.</w:t>
            </w:r>
          </w:p>
        </w:tc>
        <w:tc>
          <w:tcPr>
            <w:tcW w:w="777" w:type="dxa"/>
            <w:tcBorders>
              <w:top w:val="single" w:sz="4" w:space="0" w:color="auto"/>
              <w:left w:val="nil"/>
              <w:bottom w:val="nil"/>
              <w:right w:val="single" w:sz="4" w:space="0" w:color="auto"/>
            </w:tcBorders>
            <w:shd w:val="clear" w:color="000000" w:fill="BFBFBF"/>
            <w:noWrap/>
            <w:vAlign w:val="center"/>
            <w:hideMark/>
          </w:tcPr>
          <w:p w14:paraId="0BD849BD" w14:textId="13C7887F"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2010.</w:t>
            </w:r>
          </w:p>
        </w:tc>
        <w:tc>
          <w:tcPr>
            <w:tcW w:w="777" w:type="dxa"/>
            <w:tcBorders>
              <w:top w:val="single" w:sz="4" w:space="0" w:color="auto"/>
              <w:left w:val="nil"/>
              <w:bottom w:val="nil"/>
              <w:right w:val="single" w:sz="4" w:space="0" w:color="auto"/>
            </w:tcBorders>
            <w:shd w:val="clear" w:color="000000" w:fill="BFBFBF"/>
            <w:noWrap/>
            <w:vAlign w:val="center"/>
            <w:hideMark/>
          </w:tcPr>
          <w:p w14:paraId="03919DCC" w14:textId="7BFD5E81"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2015.</w:t>
            </w:r>
          </w:p>
        </w:tc>
        <w:tc>
          <w:tcPr>
            <w:tcW w:w="77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45F4F30" w14:textId="4B0940C9"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2020.</w:t>
            </w:r>
          </w:p>
        </w:tc>
        <w:tc>
          <w:tcPr>
            <w:tcW w:w="777" w:type="dxa"/>
            <w:tcBorders>
              <w:top w:val="single" w:sz="4" w:space="0" w:color="auto"/>
              <w:left w:val="nil"/>
              <w:bottom w:val="single" w:sz="4" w:space="0" w:color="auto"/>
              <w:right w:val="single" w:sz="4" w:space="0" w:color="auto"/>
            </w:tcBorders>
            <w:shd w:val="clear" w:color="000000" w:fill="BFBFBF"/>
            <w:noWrap/>
            <w:vAlign w:val="center"/>
            <w:hideMark/>
          </w:tcPr>
          <w:p w14:paraId="576DA121" w14:textId="57E3CFB0"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2025.</w:t>
            </w:r>
          </w:p>
        </w:tc>
        <w:tc>
          <w:tcPr>
            <w:tcW w:w="777" w:type="dxa"/>
            <w:tcBorders>
              <w:top w:val="single" w:sz="4" w:space="0" w:color="auto"/>
              <w:left w:val="nil"/>
              <w:bottom w:val="single" w:sz="4" w:space="0" w:color="auto"/>
              <w:right w:val="single" w:sz="4" w:space="0" w:color="auto"/>
            </w:tcBorders>
            <w:shd w:val="clear" w:color="000000" w:fill="BFBFBF"/>
            <w:noWrap/>
            <w:vAlign w:val="center"/>
            <w:hideMark/>
          </w:tcPr>
          <w:p w14:paraId="23CB4DC6" w14:textId="719311CB"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2030.</w:t>
            </w:r>
          </w:p>
        </w:tc>
        <w:tc>
          <w:tcPr>
            <w:tcW w:w="777" w:type="dxa"/>
            <w:tcBorders>
              <w:top w:val="single" w:sz="4" w:space="0" w:color="auto"/>
              <w:left w:val="nil"/>
              <w:bottom w:val="single" w:sz="4" w:space="0" w:color="auto"/>
              <w:right w:val="single" w:sz="4" w:space="0" w:color="auto"/>
            </w:tcBorders>
            <w:shd w:val="clear" w:color="000000" w:fill="BFBFBF"/>
            <w:noWrap/>
            <w:vAlign w:val="center"/>
            <w:hideMark/>
          </w:tcPr>
          <w:p w14:paraId="49737627" w14:textId="58CAAC06"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2050.</w:t>
            </w:r>
          </w:p>
        </w:tc>
        <w:tc>
          <w:tcPr>
            <w:tcW w:w="872" w:type="dxa"/>
            <w:tcBorders>
              <w:top w:val="single" w:sz="4" w:space="0" w:color="auto"/>
              <w:left w:val="nil"/>
              <w:bottom w:val="single" w:sz="4" w:space="0" w:color="auto"/>
              <w:right w:val="single" w:sz="4" w:space="0" w:color="auto"/>
            </w:tcBorders>
            <w:shd w:val="clear" w:color="000000" w:fill="9BC2E6"/>
            <w:vAlign w:val="center"/>
            <w:hideMark/>
          </w:tcPr>
          <w:p w14:paraId="26F3EE9E" w14:textId="77777777"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2030/</w:t>
            </w:r>
          </w:p>
          <w:p w14:paraId="6D888C1C" w14:textId="7715EF4C"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2010.</w:t>
            </w:r>
          </w:p>
        </w:tc>
        <w:tc>
          <w:tcPr>
            <w:tcW w:w="850" w:type="dxa"/>
            <w:tcBorders>
              <w:top w:val="single" w:sz="4" w:space="0" w:color="auto"/>
              <w:left w:val="nil"/>
              <w:bottom w:val="single" w:sz="4" w:space="0" w:color="auto"/>
              <w:right w:val="single" w:sz="4" w:space="0" w:color="auto"/>
            </w:tcBorders>
            <w:shd w:val="clear" w:color="000000" w:fill="9BC2E6"/>
            <w:vAlign w:val="center"/>
            <w:hideMark/>
          </w:tcPr>
          <w:p w14:paraId="14687B1C" w14:textId="77777777"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2050/</w:t>
            </w:r>
          </w:p>
          <w:p w14:paraId="2A73F520" w14:textId="07479015"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2010.</w:t>
            </w:r>
          </w:p>
        </w:tc>
        <w:tc>
          <w:tcPr>
            <w:tcW w:w="851" w:type="dxa"/>
            <w:tcBorders>
              <w:top w:val="single" w:sz="4" w:space="0" w:color="auto"/>
              <w:left w:val="nil"/>
              <w:bottom w:val="single" w:sz="4" w:space="0" w:color="auto"/>
              <w:right w:val="single" w:sz="4" w:space="0" w:color="auto"/>
            </w:tcBorders>
            <w:shd w:val="clear" w:color="000000" w:fill="FFE699"/>
            <w:vAlign w:val="center"/>
            <w:hideMark/>
          </w:tcPr>
          <w:p w14:paraId="44D995E1" w14:textId="77777777"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2030/</w:t>
            </w:r>
          </w:p>
          <w:p w14:paraId="3D8F9648" w14:textId="6A57B679"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2005.</w:t>
            </w:r>
          </w:p>
        </w:tc>
        <w:tc>
          <w:tcPr>
            <w:tcW w:w="850" w:type="dxa"/>
            <w:tcBorders>
              <w:top w:val="single" w:sz="4" w:space="0" w:color="auto"/>
              <w:left w:val="nil"/>
              <w:bottom w:val="single" w:sz="4" w:space="0" w:color="auto"/>
              <w:right w:val="single" w:sz="4" w:space="0" w:color="auto"/>
            </w:tcBorders>
            <w:shd w:val="clear" w:color="000000" w:fill="FFE699"/>
            <w:vAlign w:val="center"/>
            <w:hideMark/>
          </w:tcPr>
          <w:p w14:paraId="1A408965" w14:textId="77777777"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2050/</w:t>
            </w:r>
          </w:p>
          <w:p w14:paraId="488510D6" w14:textId="38E3A309"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2005.</w:t>
            </w:r>
          </w:p>
        </w:tc>
        <w:tc>
          <w:tcPr>
            <w:tcW w:w="851"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610E8F27" w14:textId="77777777"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2030/</w:t>
            </w:r>
          </w:p>
          <w:p w14:paraId="33E3C2ED" w14:textId="0696C0BC"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1990.</w:t>
            </w:r>
          </w:p>
        </w:tc>
        <w:tc>
          <w:tcPr>
            <w:tcW w:w="850" w:type="dxa"/>
            <w:tcBorders>
              <w:top w:val="single" w:sz="4" w:space="0" w:color="auto"/>
              <w:left w:val="nil"/>
              <w:bottom w:val="single" w:sz="4" w:space="0" w:color="auto"/>
              <w:right w:val="single" w:sz="4" w:space="0" w:color="auto"/>
            </w:tcBorders>
            <w:shd w:val="clear" w:color="000000" w:fill="F8CBAD"/>
            <w:vAlign w:val="center"/>
            <w:hideMark/>
          </w:tcPr>
          <w:p w14:paraId="4231A0FD" w14:textId="77777777"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2050/</w:t>
            </w:r>
          </w:p>
          <w:p w14:paraId="43B9C820" w14:textId="04F9EFAB"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1990.</w:t>
            </w:r>
          </w:p>
        </w:tc>
      </w:tr>
      <w:tr w:rsidR="001B6C5B" w:rsidRPr="005303F7" w14:paraId="0B4E99DA" w14:textId="77777777" w:rsidTr="00182E68">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F320162" w14:textId="05451861" w:rsidR="001B6C5B" w:rsidRPr="005303F7" w:rsidRDefault="008D69AF" w:rsidP="001B6C5B">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t>Енергетска</w:t>
            </w:r>
            <w:r w:rsidR="001B6C5B" w:rsidRPr="005303F7">
              <w:rPr>
                <w:rFonts w:ascii="Times New Roman" w:hAnsi="Times New Roman"/>
                <w:color w:val="000000"/>
                <w:lang w:val="sr-Cyrl-CS" w:eastAsia="en-GB"/>
              </w:rPr>
              <w:t xml:space="preserve"> </w:t>
            </w:r>
            <w:r w:rsidRPr="005303F7">
              <w:rPr>
                <w:rFonts w:ascii="Times New Roman" w:hAnsi="Times New Roman"/>
                <w:color w:val="000000"/>
                <w:lang w:val="sr-Cyrl-CS" w:eastAsia="en-GB"/>
              </w:rPr>
              <w:t>индустрија</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BD881"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44.146</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305DA6C7"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35.557</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13D3F8F0"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33.050</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4601BE18"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34.700</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4BE66D51"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34.548</w:t>
            </w:r>
          </w:p>
        </w:tc>
        <w:tc>
          <w:tcPr>
            <w:tcW w:w="777" w:type="dxa"/>
            <w:tcBorders>
              <w:top w:val="nil"/>
              <w:left w:val="nil"/>
              <w:bottom w:val="single" w:sz="4" w:space="0" w:color="auto"/>
              <w:right w:val="single" w:sz="4" w:space="0" w:color="auto"/>
            </w:tcBorders>
            <w:shd w:val="clear" w:color="auto" w:fill="auto"/>
            <w:noWrap/>
            <w:vAlign w:val="bottom"/>
            <w:hideMark/>
          </w:tcPr>
          <w:p w14:paraId="61FCAB05"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31.164</w:t>
            </w:r>
          </w:p>
        </w:tc>
        <w:tc>
          <w:tcPr>
            <w:tcW w:w="777" w:type="dxa"/>
            <w:tcBorders>
              <w:top w:val="nil"/>
              <w:left w:val="nil"/>
              <w:bottom w:val="single" w:sz="4" w:space="0" w:color="auto"/>
              <w:right w:val="single" w:sz="4" w:space="0" w:color="auto"/>
            </w:tcBorders>
            <w:shd w:val="clear" w:color="auto" w:fill="auto"/>
            <w:noWrap/>
            <w:vAlign w:val="bottom"/>
            <w:hideMark/>
          </w:tcPr>
          <w:p w14:paraId="3539BC8D"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27.426</w:t>
            </w:r>
          </w:p>
        </w:tc>
        <w:tc>
          <w:tcPr>
            <w:tcW w:w="777" w:type="dxa"/>
            <w:tcBorders>
              <w:top w:val="nil"/>
              <w:left w:val="nil"/>
              <w:bottom w:val="single" w:sz="4" w:space="0" w:color="auto"/>
              <w:right w:val="single" w:sz="4" w:space="0" w:color="auto"/>
            </w:tcBorders>
            <w:shd w:val="clear" w:color="auto" w:fill="auto"/>
            <w:noWrap/>
            <w:vAlign w:val="bottom"/>
            <w:hideMark/>
          </w:tcPr>
          <w:p w14:paraId="03034FFB"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7.596</w:t>
            </w:r>
          </w:p>
        </w:tc>
        <w:tc>
          <w:tcPr>
            <w:tcW w:w="872" w:type="dxa"/>
            <w:tcBorders>
              <w:top w:val="nil"/>
              <w:left w:val="nil"/>
              <w:bottom w:val="single" w:sz="4" w:space="0" w:color="auto"/>
              <w:right w:val="single" w:sz="4" w:space="0" w:color="auto"/>
            </w:tcBorders>
            <w:shd w:val="clear" w:color="auto" w:fill="auto"/>
            <w:noWrap/>
            <w:vAlign w:val="bottom"/>
            <w:hideMark/>
          </w:tcPr>
          <w:p w14:paraId="31201319"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-17,0%</w:t>
            </w:r>
          </w:p>
        </w:tc>
        <w:tc>
          <w:tcPr>
            <w:tcW w:w="850" w:type="dxa"/>
            <w:tcBorders>
              <w:top w:val="nil"/>
              <w:left w:val="nil"/>
              <w:bottom w:val="single" w:sz="4" w:space="0" w:color="auto"/>
              <w:right w:val="single" w:sz="4" w:space="0" w:color="auto"/>
            </w:tcBorders>
            <w:shd w:val="clear" w:color="auto" w:fill="auto"/>
            <w:noWrap/>
            <w:vAlign w:val="bottom"/>
            <w:hideMark/>
          </w:tcPr>
          <w:p w14:paraId="3689616E"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-77,0%</w:t>
            </w:r>
          </w:p>
        </w:tc>
        <w:tc>
          <w:tcPr>
            <w:tcW w:w="851" w:type="dxa"/>
            <w:tcBorders>
              <w:top w:val="nil"/>
              <w:left w:val="nil"/>
              <w:bottom w:val="single" w:sz="4" w:space="0" w:color="auto"/>
              <w:right w:val="single" w:sz="4" w:space="0" w:color="auto"/>
            </w:tcBorders>
            <w:shd w:val="clear" w:color="auto" w:fill="auto"/>
            <w:noWrap/>
            <w:vAlign w:val="bottom"/>
            <w:hideMark/>
          </w:tcPr>
          <w:p w14:paraId="4F6B7E0B"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-22,9%</w:t>
            </w:r>
          </w:p>
        </w:tc>
        <w:tc>
          <w:tcPr>
            <w:tcW w:w="850" w:type="dxa"/>
            <w:tcBorders>
              <w:top w:val="nil"/>
              <w:left w:val="nil"/>
              <w:bottom w:val="single" w:sz="4" w:space="0" w:color="auto"/>
              <w:right w:val="single" w:sz="4" w:space="0" w:color="auto"/>
            </w:tcBorders>
            <w:shd w:val="clear" w:color="auto" w:fill="auto"/>
            <w:noWrap/>
            <w:vAlign w:val="bottom"/>
            <w:hideMark/>
          </w:tcPr>
          <w:p w14:paraId="69CF57F7"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-78,6%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26E951E"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-37,9%</w:t>
            </w:r>
          </w:p>
        </w:tc>
        <w:tc>
          <w:tcPr>
            <w:tcW w:w="850" w:type="dxa"/>
            <w:tcBorders>
              <w:top w:val="nil"/>
              <w:left w:val="nil"/>
              <w:bottom w:val="single" w:sz="4" w:space="0" w:color="auto"/>
              <w:right w:val="single" w:sz="4" w:space="0" w:color="auto"/>
            </w:tcBorders>
            <w:shd w:val="clear" w:color="auto" w:fill="auto"/>
            <w:noWrap/>
            <w:vAlign w:val="bottom"/>
            <w:hideMark/>
          </w:tcPr>
          <w:p w14:paraId="775B796F"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-82,8%</w:t>
            </w:r>
          </w:p>
        </w:tc>
      </w:tr>
      <w:tr w:rsidR="001B6C5B" w:rsidRPr="005303F7" w14:paraId="32322368" w14:textId="77777777" w:rsidTr="00EC6141">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17103DB" w14:textId="4B472A25" w:rsidR="001B6C5B" w:rsidRPr="005303F7" w:rsidRDefault="008D69AF" w:rsidP="001B6C5B">
            <w:pPr>
              <w:tabs>
                <w:tab w:val="clear" w:pos="3825"/>
              </w:tabs>
              <w:overflowPunct/>
              <w:autoSpaceDE/>
              <w:autoSpaceDN/>
              <w:adjustRightInd/>
              <w:spacing w:before="0" w:after="0"/>
              <w:jc w:val="left"/>
              <w:textAlignment w:val="auto"/>
              <w:rPr>
                <w:rFonts w:ascii="Times New Roman" w:hAnsi="Times New Roman"/>
                <w:lang w:val="sr-Cyrl-CS" w:eastAsia="en-GB"/>
              </w:rPr>
            </w:pPr>
            <w:r w:rsidRPr="005303F7">
              <w:rPr>
                <w:rFonts w:ascii="Times New Roman" w:hAnsi="Times New Roman"/>
                <w:lang w:val="sr-Cyrl-CS" w:eastAsia="en-GB"/>
              </w:rPr>
              <w:t>Производна</w:t>
            </w:r>
            <w:r w:rsidR="001B6C5B" w:rsidRPr="005303F7">
              <w:rPr>
                <w:rFonts w:ascii="Times New Roman" w:hAnsi="Times New Roman"/>
                <w:lang w:val="sr-Cyrl-CS" w:eastAsia="en-GB"/>
              </w:rPr>
              <w:t xml:space="preserve"> </w:t>
            </w:r>
            <w:r w:rsidRPr="005303F7">
              <w:rPr>
                <w:rFonts w:ascii="Times New Roman" w:hAnsi="Times New Roman"/>
                <w:lang w:val="sr-Cyrl-CS" w:eastAsia="en-GB"/>
              </w:rPr>
              <w:t>индустрија</w:t>
            </w:r>
            <w:r w:rsidR="001B6C5B" w:rsidRPr="005303F7">
              <w:rPr>
                <w:rFonts w:ascii="Times New Roman" w:hAnsi="Times New Roman"/>
                <w:lang w:val="sr-Cyrl-CS" w:eastAsia="en-GB"/>
              </w:rPr>
              <w:t xml:space="preserve"> </w:t>
            </w:r>
            <w:r w:rsidR="00282085" w:rsidRPr="005303F7">
              <w:rPr>
                <w:rFonts w:ascii="Times New Roman" w:hAnsi="Times New Roman"/>
                <w:lang w:val="sr-Cyrl-CS" w:eastAsia="en-GB"/>
              </w:rPr>
              <w:t>и</w:t>
            </w:r>
            <w:r w:rsidR="001B6C5B" w:rsidRPr="005303F7">
              <w:rPr>
                <w:rFonts w:ascii="Times New Roman" w:hAnsi="Times New Roman"/>
                <w:lang w:val="sr-Cyrl-CS" w:eastAsia="en-GB"/>
              </w:rPr>
              <w:t xml:space="preserve"> </w:t>
            </w:r>
            <w:r w:rsidRPr="005303F7">
              <w:rPr>
                <w:rFonts w:ascii="Times New Roman" w:hAnsi="Times New Roman"/>
                <w:lang w:val="sr-Cyrl-CS" w:eastAsia="en-GB"/>
              </w:rPr>
              <w:t>грађевинарство</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47ADC339"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6.418</w:t>
            </w:r>
          </w:p>
        </w:tc>
        <w:tc>
          <w:tcPr>
            <w:tcW w:w="777" w:type="dxa"/>
            <w:tcBorders>
              <w:top w:val="nil"/>
              <w:left w:val="nil"/>
              <w:bottom w:val="single" w:sz="4" w:space="0" w:color="auto"/>
              <w:right w:val="single" w:sz="4" w:space="0" w:color="auto"/>
            </w:tcBorders>
            <w:shd w:val="clear" w:color="auto" w:fill="auto"/>
            <w:noWrap/>
            <w:vAlign w:val="center"/>
            <w:hideMark/>
          </w:tcPr>
          <w:p w14:paraId="7027334D"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6.064</w:t>
            </w:r>
          </w:p>
        </w:tc>
        <w:tc>
          <w:tcPr>
            <w:tcW w:w="777" w:type="dxa"/>
            <w:tcBorders>
              <w:top w:val="nil"/>
              <w:left w:val="nil"/>
              <w:bottom w:val="single" w:sz="4" w:space="0" w:color="auto"/>
              <w:right w:val="single" w:sz="4" w:space="0" w:color="auto"/>
            </w:tcBorders>
            <w:shd w:val="clear" w:color="auto" w:fill="auto"/>
            <w:noWrap/>
            <w:vAlign w:val="center"/>
            <w:hideMark/>
          </w:tcPr>
          <w:p w14:paraId="2AE809C2"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4.278</w:t>
            </w:r>
          </w:p>
        </w:tc>
        <w:tc>
          <w:tcPr>
            <w:tcW w:w="777" w:type="dxa"/>
            <w:tcBorders>
              <w:top w:val="nil"/>
              <w:left w:val="nil"/>
              <w:bottom w:val="single" w:sz="4" w:space="0" w:color="auto"/>
              <w:right w:val="single" w:sz="4" w:space="0" w:color="auto"/>
            </w:tcBorders>
            <w:shd w:val="clear" w:color="auto" w:fill="auto"/>
            <w:noWrap/>
            <w:vAlign w:val="center"/>
            <w:hideMark/>
          </w:tcPr>
          <w:p w14:paraId="22CB29D3"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3.452</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67104F07"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3.842</w:t>
            </w:r>
          </w:p>
        </w:tc>
        <w:tc>
          <w:tcPr>
            <w:tcW w:w="777" w:type="dxa"/>
            <w:tcBorders>
              <w:top w:val="nil"/>
              <w:left w:val="nil"/>
              <w:bottom w:val="single" w:sz="4" w:space="0" w:color="auto"/>
              <w:right w:val="single" w:sz="4" w:space="0" w:color="auto"/>
            </w:tcBorders>
            <w:shd w:val="clear" w:color="auto" w:fill="auto"/>
            <w:noWrap/>
            <w:vAlign w:val="center"/>
            <w:hideMark/>
          </w:tcPr>
          <w:p w14:paraId="77B4B567"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4.101</w:t>
            </w:r>
          </w:p>
        </w:tc>
        <w:tc>
          <w:tcPr>
            <w:tcW w:w="777" w:type="dxa"/>
            <w:tcBorders>
              <w:top w:val="nil"/>
              <w:left w:val="nil"/>
              <w:bottom w:val="single" w:sz="4" w:space="0" w:color="auto"/>
              <w:right w:val="single" w:sz="4" w:space="0" w:color="auto"/>
            </w:tcBorders>
            <w:shd w:val="clear" w:color="auto" w:fill="auto"/>
            <w:noWrap/>
            <w:vAlign w:val="center"/>
            <w:hideMark/>
          </w:tcPr>
          <w:p w14:paraId="6AA025E7"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3.651</w:t>
            </w:r>
          </w:p>
        </w:tc>
        <w:tc>
          <w:tcPr>
            <w:tcW w:w="777" w:type="dxa"/>
            <w:tcBorders>
              <w:top w:val="nil"/>
              <w:left w:val="nil"/>
              <w:bottom w:val="single" w:sz="4" w:space="0" w:color="auto"/>
              <w:right w:val="single" w:sz="4" w:space="0" w:color="auto"/>
            </w:tcBorders>
            <w:shd w:val="clear" w:color="auto" w:fill="auto"/>
            <w:noWrap/>
            <w:vAlign w:val="center"/>
            <w:hideMark/>
          </w:tcPr>
          <w:p w14:paraId="1CDB07EE"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2.691</w:t>
            </w:r>
          </w:p>
        </w:tc>
        <w:tc>
          <w:tcPr>
            <w:tcW w:w="872" w:type="dxa"/>
            <w:tcBorders>
              <w:top w:val="nil"/>
              <w:left w:val="nil"/>
              <w:bottom w:val="single" w:sz="4" w:space="0" w:color="auto"/>
              <w:right w:val="single" w:sz="4" w:space="0" w:color="auto"/>
            </w:tcBorders>
            <w:shd w:val="clear" w:color="auto" w:fill="auto"/>
            <w:noWrap/>
            <w:vAlign w:val="center"/>
            <w:hideMark/>
          </w:tcPr>
          <w:p w14:paraId="19CBF65A"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-14,7%</w:t>
            </w:r>
          </w:p>
        </w:tc>
        <w:tc>
          <w:tcPr>
            <w:tcW w:w="850" w:type="dxa"/>
            <w:tcBorders>
              <w:top w:val="nil"/>
              <w:left w:val="nil"/>
              <w:bottom w:val="single" w:sz="4" w:space="0" w:color="auto"/>
              <w:right w:val="single" w:sz="4" w:space="0" w:color="auto"/>
            </w:tcBorders>
            <w:shd w:val="clear" w:color="auto" w:fill="auto"/>
            <w:noWrap/>
            <w:vAlign w:val="center"/>
            <w:hideMark/>
          </w:tcPr>
          <w:p w14:paraId="40B699B6"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-37,1%</w:t>
            </w:r>
          </w:p>
        </w:tc>
        <w:tc>
          <w:tcPr>
            <w:tcW w:w="851" w:type="dxa"/>
            <w:tcBorders>
              <w:top w:val="nil"/>
              <w:left w:val="nil"/>
              <w:bottom w:val="single" w:sz="4" w:space="0" w:color="auto"/>
              <w:right w:val="single" w:sz="4" w:space="0" w:color="auto"/>
            </w:tcBorders>
            <w:shd w:val="clear" w:color="auto" w:fill="auto"/>
            <w:noWrap/>
            <w:vAlign w:val="center"/>
            <w:hideMark/>
          </w:tcPr>
          <w:p w14:paraId="3833ABBE"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-39,8%</w:t>
            </w:r>
          </w:p>
        </w:tc>
        <w:tc>
          <w:tcPr>
            <w:tcW w:w="850" w:type="dxa"/>
            <w:tcBorders>
              <w:top w:val="nil"/>
              <w:left w:val="nil"/>
              <w:bottom w:val="single" w:sz="4" w:space="0" w:color="auto"/>
              <w:right w:val="single" w:sz="4" w:space="0" w:color="auto"/>
            </w:tcBorders>
            <w:shd w:val="clear" w:color="auto" w:fill="auto"/>
            <w:noWrap/>
            <w:vAlign w:val="center"/>
            <w:hideMark/>
          </w:tcPr>
          <w:p w14:paraId="31505C96"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-55,6%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FCA1AF"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-43,1%</w:t>
            </w:r>
          </w:p>
        </w:tc>
        <w:tc>
          <w:tcPr>
            <w:tcW w:w="850" w:type="dxa"/>
            <w:tcBorders>
              <w:top w:val="nil"/>
              <w:left w:val="nil"/>
              <w:bottom w:val="single" w:sz="4" w:space="0" w:color="auto"/>
              <w:right w:val="single" w:sz="4" w:space="0" w:color="auto"/>
            </w:tcBorders>
            <w:shd w:val="clear" w:color="auto" w:fill="auto"/>
            <w:noWrap/>
            <w:vAlign w:val="center"/>
            <w:hideMark/>
          </w:tcPr>
          <w:p w14:paraId="60D3A371"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-58,1%</w:t>
            </w:r>
          </w:p>
        </w:tc>
      </w:tr>
      <w:tr w:rsidR="001B6C5B" w:rsidRPr="005303F7" w14:paraId="52507111" w14:textId="77777777" w:rsidTr="00182E68">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8852233" w14:textId="0903568D" w:rsidR="001B6C5B" w:rsidRPr="005303F7" w:rsidRDefault="008D69AF" w:rsidP="001B6C5B">
            <w:pPr>
              <w:tabs>
                <w:tab w:val="clear" w:pos="3825"/>
              </w:tabs>
              <w:overflowPunct/>
              <w:autoSpaceDE/>
              <w:autoSpaceDN/>
              <w:adjustRightInd/>
              <w:spacing w:before="0" w:after="0"/>
              <w:jc w:val="left"/>
              <w:textAlignment w:val="auto"/>
              <w:rPr>
                <w:rFonts w:ascii="Times New Roman" w:hAnsi="Times New Roman"/>
                <w:lang w:val="sr-Cyrl-CS" w:eastAsia="en-GB"/>
              </w:rPr>
            </w:pPr>
            <w:r w:rsidRPr="005303F7">
              <w:rPr>
                <w:rFonts w:ascii="Times New Roman" w:hAnsi="Times New Roman"/>
                <w:lang w:val="sr-Cyrl-CS" w:eastAsia="en-GB"/>
              </w:rPr>
              <w:t>Саобраћај</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367DDB11"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4.564</w:t>
            </w:r>
          </w:p>
        </w:tc>
        <w:tc>
          <w:tcPr>
            <w:tcW w:w="777" w:type="dxa"/>
            <w:tcBorders>
              <w:top w:val="nil"/>
              <w:left w:val="nil"/>
              <w:bottom w:val="single" w:sz="4" w:space="0" w:color="auto"/>
              <w:right w:val="single" w:sz="4" w:space="0" w:color="auto"/>
            </w:tcBorders>
            <w:shd w:val="clear" w:color="auto" w:fill="auto"/>
            <w:noWrap/>
            <w:vAlign w:val="bottom"/>
            <w:hideMark/>
          </w:tcPr>
          <w:p w14:paraId="1549DB2B"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6.702</w:t>
            </w:r>
          </w:p>
        </w:tc>
        <w:tc>
          <w:tcPr>
            <w:tcW w:w="777" w:type="dxa"/>
            <w:tcBorders>
              <w:top w:val="nil"/>
              <w:left w:val="nil"/>
              <w:bottom w:val="single" w:sz="4" w:space="0" w:color="auto"/>
              <w:right w:val="single" w:sz="4" w:space="0" w:color="auto"/>
            </w:tcBorders>
            <w:shd w:val="clear" w:color="auto" w:fill="auto"/>
            <w:noWrap/>
            <w:vAlign w:val="bottom"/>
            <w:hideMark/>
          </w:tcPr>
          <w:p w14:paraId="4D69B8BE"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6.742</w:t>
            </w:r>
          </w:p>
        </w:tc>
        <w:tc>
          <w:tcPr>
            <w:tcW w:w="777" w:type="dxa"/>
            <w:tcBorders>
              <w:top w:val="nil"/>
              <w:left w:val="nil"/>
              <w:bottom w:val="single" w:sz="4" w:space="0" w:color="auto"/>
              <w:right w:val="single" w:sz="4" w:space="0" w:color="auto"/>
            </w:tcBorders>
            <w:shd w:val="clear" w:color="auto" w:fill="auto"/>
            <w:noWrap/>
            <w:vAlign w:val="bottom"/>
            <w:hideMark/>
          </w:tcPr>
          <w:p w14:paraId="6BE12CBC"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5.995</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387E0EBA"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7.096</w:t>
            </w:r>
          </w:p>
        </w:tc>
        <w:tc>
          <w:tcPr>
            <w:tcW w:w="777" w:type="dxa"/>
            <w:tcBorders>
              <w:top w:val="nil"/>
              <w:left w:val="nil"/>
              <w:bottom w:val="single" w:sz="4" w:space="0" w:color="auto"/>
              <w:right w:val="single" w:sz="4" w:space="0" w:color="auto"/>
            </w:tcBorders>
            <w:shd w:val="clear" w:color="auto" w:fill="auto"/>
            <w:noWrap/>
            <w:vAlign w:val="bottom"/>
            <w:hideMark/>
          </w:tcPr>
          <w:p w14:paraId="5707B4BC"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7.406</w:t>
            </w:r>
          </w:p>
        </w:tc>
        <w:tc>
          <w:tcPr>
            <w:tcW w:w="777" w:type="dxa"/>
            <w:tcBorders>
              <w:top w:val="nil"/>
              <w:left w:val="nil"/>
              <w:bottom w:val="single" w:sz="4" w:space="0" w:color="auto"/>
              <w:right w:val="single" w:sz="4" w:space="0" w:color="auto"/>
            </w:tcBorders>
            <w:shd w:val="clear" w:color="auto" w:fill="auto"/>
            <w:noWrap/>
            <w:vAlign w:val="bottom"/>
            <w:hideMark/>
          </w:tcPr>
          <w:p w14:paraId="5DAD6EDB"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7.433</w:t>
            </w:r>
          </w:p>
        </w:tc>
        <w:tc>
          <w:tcPr>
            <w:tcW w:w="777" w:type="dxa"/>
            <w:tcBorders>
              <w:top w:val="nil"/>
              <w:left w:val="nil"/>
              <w:bottom w:val="single" w:sz="4" w:space="0" w:color="auto"/>
              <w:right w:val="single" w:sz="4" w:space="0" w:color="auto"/>
            </w:tcBorders>
            <w:shd w:val="clear" w:color="auto" w:fill="auto"/>
            <w:noWrap/>
            <w:vAlign w:val="bottom"/>
            <w:hideMark/>
          </w:tcPr>
          <w:p w14:paraId="6182AA3D"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4.731</w:t>
            </w:r>
          </w:p>
        </w:tc>
        <w:tc>
          <w:tcPr>
            <w:tcW w:w="872" w:type="dxa"/>
            <w:tcBorders>
              <w:top w:val="nil"/>
              <w:left w:val="nil"/>
              <w:bottom w:val="single" w:sz="4" w:space="0" w:color="auto"/>
              <w:right w:val="single" w:sz="4" w:space="0" w:color="auto"/>
            </w:tcBorders>
            <w:shd w:val="clear" w:color="auto" w:fill="auto"/>
            <w:noWrap/>
            <w:vAlign w:val="bottom"/>
            <w:hideMark/>
          </w:tcPr>
          <w:p w14:paraId="6CC9C877"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10,2%</w:t>
            </w:r>
          </w:p>
        </w:tc>
        <w:tc>
          <w:tcPr>
            <w:tcW w:w="850" w:type="dxa"/>
            <w:tcBorders>
              <w:top w:val="nil"/>
              <w:left w:val="nil"/>
              <w:bottom w:val="single" w:sz="4" w:space="0" w:color="auto"/>
              <w:right w:val="single" w:sz="4" w:space="0" w:color="auto"/>
            </w:tcBorders>
            <w:shd w:val="clear" w:color="auto" w:fill="auto"/>
            <w:noWrap/>
            <w:vAlign w:val="bottom"/>
            <w:hideMark/>
          </w:tcPr>
          <w:p w14:paraId="141C6310"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-29,8%</w:t>
            </w:r>
          </w:p>
        </w:tc>
        <w:tc>
          <w:tcPr>
            <w:tcW w:w="851" w:type="dxa"/>
            <w:tcBorders>
              <w:top w:val="nil"/>
              <w:left w:val="nil"/>
              <w:bottom w:val="single" w:sz="4" w:space="0" w:color="auto"/>
              <w:right w:val="single" w:sz="4" w:space="0" w:color="auto"/>
            </w:tcBorders>
            <w:shd w:val="clear" w:color="auto" w:fill="auto"/>
            <w:noWrap/>
            <w:vAlign w:val="bottom"/>
            <w:hideMark/>
          </w:tcPr>
          <w:p w14:paraId="20110A99"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10,9%</w:t>
            </w:r>
          </w:p>
        </w:tc>
        <w:tc>
          <w:tcPr>
            <w:tcW w:w="850" w:type="dxa"/>
            <w:tcBorders>
              <w:top w:val="nil"/>
              <w:left w:val="nil"/>
              <w:bottom w:val="single" w:sz="4" w:space="0" w:color="auto"/>
              <w:right w:val="single" w:sz="4" w:space="0" w:color="auto"/>
            </w:tcBorders>
            <w:shd w:val="clear" w:color="auto" w:fill="auto"/>
            <w:noWrap/>
            <w:vAlign w:val="bottom"/>
            <w:hideMark/>
          </w:tcPr>
          <w:p w14:paraId="48D04262"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-29,4%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88F8948"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62,9%</w:t>
            </w:r>
          </w:p>
        </w:tc>
        <w:tc>
          <w:tcPr>
            <w:tcW w:w="850" w:type="dxa"/>
            <w:tcBorders>
              <w:top w:val="nil"/>
              <w:left w:val="nil"/>
              <w:bottom w:val="single" w:sz="4" w:space="0" w:color="auto"/>
              <w:right w:val="single" w:sz="4" w:space="0" w:color="auto"/>
            </w:tcBorders>
            <w:shd w:val="clear" w:color="auto" w:fill="auto"/>
            <w:noWrap/>
            <w:vAlign w:val="bottom"/>
            <w:hideMark/>
          </w:tcPr>
          <w:p w14:paraId="35928DA3"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3,7%</w:t>
            </w:r>
          </w:p>
        </w:tc>
      </w:tr>
      <w:tr w:rsidR="001B6C5B" w:rsidRPr="005303F7" w14:paraId="505F0B52" w14:textId="77777777" w:rsidTr="00182E68">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30E849F" w14:textId="351239DF" w:rsidR="001B6C5B" w:rsidRPr="005303F7" w:rsidRDefault="008D69AF" w:rsidP="001B6C5B">
            <w:pPr>
              <w:tabs>
                <w:tab w:val="clear" w:pos="3825"/>
              </w:tabs>
              <w:overflowPunct/>
              <w:autoSpaceDE/>
              <w:autoSpaceDN/>
              <w:adjustRightInd/>
              <w:spacing w:before="0" w:after="0"/>
              <w:jc w:val="left"/>
              <w:textAlignment w:val="auto"/>
              <w:rPr>
                <w:rFonts w:ascii="Times New Roman" w:hAnsi="Times New Roman"/>
                <w:lang w:val="sr-Cyrl-CS" w:eastAsia="en-GB"/>
              </w:rPr>
            </w:pPr>
            <w:r w:rsidRPr="005303F7">
              <w:rPr>
                <w:rFonts w:ascii="Times New Roman" w:hAnsi="Times New Roman"/>
                <w:lang w:val="sr-Cyrl-CS" w:eastAsia="en-GB"/>
              </w:rPr>
              <w:t>Други</w:t>
            </w:r>
            <w:r w:rsidR="001B6C5B" w:rsidRPr="005303F7">
              <w:rPr>
                <w:rFonts w:ascii="Times New Roman" w:hAnsi="Times New Roman"/>
                <w:lang w:val="sr-Cyrl-CS" w:eastAsia="en-GB"/>
              </w:rPr>
              <w:t xml:space="preserve"> </w:t>
            </w:r>
            <w:r w:rsidRPr="005303F7">
              <w:rPr>
                <w:rFonts w:ascii="Times New Roman" w:hAnsi="Times New Roman"/>
                <w:lang w:val="sr-Cyrl-CS" w:eastAsia="en-GB"/>
              </w:rPr>
              <w:t>сектори</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0F02B3BD"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7.048</w:t>
            </w:r>
          </w:p>
        </w:tc>
        <w:tc>
          <w:tcPr>
            <w:tcW w:w="777" w:type="dxa"/>
            <w:tcBorders>
              <w:top w:val="nil"/>
              <w:left w:val="nil"/>
              <w:bottom w:val="single" w:sz="4" w:space="0" w:color="auto"/>
              <w:right w:val="single" w:sz="4" w:space="0" w:color="auto"/>
            </w:tcBorders>
            <w:shd w:val="clear" w:color="auto" w:fill="auto"/>
            <w:noWrap/>
            <w:vAlign w:val="bottom"/>
            <w:hideMark/>
          </w:tcPr>
          <w:p w14:paraId="75B60364"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3.029</w:t>
            </w:r>
          </w:p>
        </w:tc>
        <w:tc>
          <w:tcPr>
            <w:tcW w:w="777" w:type="dxa"/>
            <w:tcBorders>
              <w:top w:val="nil"/>
              <w:left w:val="nil"/>
              <w:bottom w:val="single" w:sz="4" w:space="0" w:color="auto"/>
              <w:right w:val="single" w:sz="4" w:space="0" w:color="auto"/>
            </w:tcBorders>
            <w:shd w:val="clear" w:color="auto" w:fill="auto"/>
            <w:noWrap/>
            <w:vAlign w:val="bottom"/>
            <w:hideMark/>
          </w:tcPr>
          <w:p w14:paraId="62AD1A32"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3.477</w:t>
            </w:r>
          </w:p>
        </w:tc>
        <w:tc>
          <w:tcPr>
            <w:tcW w:w="777" w:type="dxa"/>
            <w:tcBorders>
              <w:top w:val="nil"/>
              <w:left w:val="nil"/>
              <w:bottom w:val="single" w:sz="4" w:space="0" w:color="auto"/>
              <w:right w:val="single" w:sz="4" w:space="0" w:color="auto"/>
            </w:tcBorders>
            <w:shd w:val="clear" w:color="auto" w:fill="auto"/>
            <w:noWrap/>
            <w:vAlign w:val="bottom"/>
            <w:hideMark/>
          </w:tcPr>
          <w:p w14:paraId="25D2EE92"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2.711</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28171AED"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2.393</w:t>
            </w:r>
          </w:p>
        </w:tc>
        <w:tc>
          <w:tcPr>
            <w:tcW w:w="777" w:type="dxa"/>
            <w:tcBorders>
              <w:top w:val="nil"/>
              <w:left w:val="nil"/>
              <w:bottom w:val="single" w:sz="4" w:space="0" w:color="auto"/>
              <w:right w:val="single" w:sz="4" w:space="0" w:color="auto"/>
            </w:tcBorders>
            <w:shd w:val="clear" w:color="auto" w:fill="auto"/>
            <w:noWrap/>
            <w:vAlign w:val="bottom"/>
            <w:hideMark/>
          </w:tcPr>
          <w:p w14:paraId="1970BF4E"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2.267</w:t>
            </w:r>
          </w:p>
        </w:tc>
        <w:tc>
          <w:tcPr>
            <w:tcW w:w="777" w:type="dxa"/>
            <w:tcBorders>
              <w:top w:val="nil"/>
              <w:left w:val="nil"/>
              <w:bottom w:val="single" w:sz="4" w:space="0" w:color="auto"/>
              <w:right w:val="single" w:sz="4" w:space="0" w:color="auto"/>
            </w:tcBorders>
            <w:shd w:val="clear" w:color="auto" w:fill="auto"/>
            <w:noWrap/>
            <w:vAlign w:val="bottom"/>
            <w:hideMark/>
          </w:tcPr>
          <w:p w14:paraId="1567D893"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2.089</w:t>
            </w:r>
          </w:p>
        </w:tc>
        <w:tc>
          <w:tcPr>
            <w:tcW w:w="777" w:type="dxa"/>
            <w:tcBorders>
              <w:top w:val="nil"/>
              <w:left w:val="nil"/>
              <w:bottom w:val="single" w:sz="4" w:space="0" w:color="auto"/>
              <w:right w:val="single" w:sz="4" w:space="0" w:color="auto"/>
            </w:tcBorders>
            <w:shd w:val="clear" w:color="auto" w:fill="auto"/>
            <w:noWrap/>
            <w:vAlign w:val="bottom"/>
            <w:hideMark/>
          </w:tcPr>
          <w:p w14:paraId="4BEC2C95"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1.035</w:t>
            </w:r>
          </w:p>
        </w:tc>
        <w:tc>
          <w:tcPr>
            <w:tcW w:w="872" w:type="dxa"/>
            <w:tcBorders>
              <w:top w:val="nil"/>
              <w:left w:val="nil"/>
              <w:bottom w:val="single" w:sz="4" w:space="0" w:color="auto"/>
              <w:right w:val="single" w:sz="4" w:space="0" w:color="auto"/>
            </w:tcBorders>
            <w:shd w:val="clear" w:color="auto" w:fill="auto"/>
            <w:noWrap/>
            <w:vAlign w:val="bottom"/>
            <w:hideMark/>
          </w:tcPr>
          <w:p w14:paraId="3E773E46"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-39,9%</w:t>
            </w:r>
          </w:p>
        </w:tc>
        <w:tc>
          <w:tcPr>
            <w:tcW w:w="850" w:type="dxa"/>
            <w:tcBorders>
              <w:top w:val="nil"/>
              <w:left w:val="nil"/>
              <w:bottom w:val="single" w:sz="4" w:space="0" w:color="auto"/>
              <w:right w:val="single" w:sz="4" w:space="0" w:color="auto"/>
            </w:tcBorders>
            <w:shd w:val="clear" w:color="auto" w:fill="auto"/>
            <w:noWrap/>
            <w:vAlign w:val="bottom"/>
            <w:hideMark/>
          </w:tcPr>
          <w:p w14:paraId="7F9CDDB7"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-70,2%</w:t>
            </w:r>
          </w:p>
        </w:tc>
        <w:tc>
          <w:tcPr>
            <w:tcW w:w="851" w:type="dxa"/>
            <w:tcBorders>
              <w:top w:val="nil"/>
              <w:left w:val="nil"/>
              <w:bottom w:val="single" w:sz="4" w:space="0" w:color="auto"/>
              <w:right w:val="single" w:sz="4" w:space="0" w:color="auto"/>
            </w:tcBorders>
            <w:shd w:val="clear" w:color="auto" w:fill="auto"/>
            <w:noWrap/>
            <w:vAlign w:val="bottom"/>
            <w:hideMark/>
          </w:tcPr>
          <w:p w14:paraId="3FF2B0F6"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-31,0%</w:t>
            </w:r>
          </w:p>
        </w:tc>
        <w:tc>
          <w:tcPr>
            <w:tcW w:w="850" w:type="dxa"/>
            <w:tcBorders>
              <w:top w:val="nil"/>
              <w:left w:val="nil"/>
              <w:bottom w:val="single" w:sz="4" w:space="0" w:color="auto"/>
              <w:right w:val="single" w:sz="4" w:space="0" w:color="auto"/>
            </w:tcBorders>
            <w:shd w:val="clear" w:color="auto" w:fill="auto"/>
            <w:noWrap/>
            <w:vAlign w:val="bottom"/>
            <w:hideMark/>
          </w:tcPr>
          <w:p w14:paraId="5C7BB464"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-65,8%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0C4572B"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-70,4%</w:t>
            </w:r>
          </w:p>
        </w:tc>
        <w:tc>
          <w:tcPr>
            <w:tcW w:w="850" w:type="dxa"/>
            <w:tcBorders>
              <w:top w:val="nil"/>
              <w:left w:val="nil"/>
              <w:bottom w:val="single" w:sz="4" w:space="0" w:color="auto"/>
              <w:right w:val="single" w:sz="4" w:space="0" w:color="auto"/>
            </w:tcBorders>
            <w:shd w:val="clear" w:color="auto" w:fill="auto"/>
            <w:noWrap/>
            <w:vAlign w:val="bottom"/>
            <w:hideMark/>
          </w:tcPr>
          <w:p w14:paraId="5750C33E"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-85,3%</w:t>
            </w:r>
          </w:p>
        </w:tc>
      </w:tr>
      <w:tr w:rsidR="001B6C5B" w:rsidRPr="005303F7" w14:paraId="61897D37" w14:textId="77777777" w:rsidTr="00182E68">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94234E9" w14:textId="35081FE3" w:rsidR="001B6C5B" w:rsidRPr="005303F7" w:rsidRDefault="008D69AF" w:rsidP="001B6C5B">
            <w:pPr>
              <w:tabs>
                <w:tab w:val="clear" w:pos="3825"/>
              </w:tabs>
              <w:overflowPunct/>
              <w:autoSpaceDE/>
              <w:autoSpaceDN/>
              <w:adjustRightInd/>
              <w:spacing w:before="0" w:after="0"/>
              <w:jc w:val="left"/>
              <w:textAlignment w:val="auto"/>
              <w:rPr>
                <w:rFonts w:ascii="Times New Roman" w:hAnsi="Times New Roman"/>
                <w:lang w:val="sr-Cyrl-CS" w:eastAsia="en-GB"/>
              </w:rPr>
            </w:pPr>
            <w:r w:rsidRPr="005303F7">
              <w:rPr>
                <w:rFonts w:ascii="Times New Roman" w:hAnsi="Times New Roman"/>
                <w:lang w:val="sr-Cyrl-CS" w:eastAsia="en-GB"/>
              </w:rPr>
              <w:t>Фугитивне</w:t>
            </w:r>
            <w:r w:rsidR="001B6C5B" w:rsidRPr="005303F7">
              <w:rPr>
                <w:rFonts w:ascii="Times New Roman" w:hAnsi="Times New Roman"/>
                <w:lang w:val="sr-Cyrl-CS" w:eastAsia="en-GB"/>
              </w:rPr>
              <w:t xml:space="preserve"> </w:t>
            </w:r>
            <w:r w:rsidRPr="005303F7">
              <w:rPr>
                <w:rFonts w:ascii="Times New Roman" w:hAnsi="Times New Roman"/>
                <w:lang w:val="sr-Cyrl-CS" w:eastAsia="en-GB"/>
              </w:rPr>
              <w:t>емисије</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2BF4AC9B"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3.841</w:t>
            </w:r>
          </w:p>
        </w:tc>
        <w:tc>
          <w:tcPr>
            <w:tcW w:w="777" w:type="dxa"/>
            <w:tcBorders>
              <w:top w:val="nil"/>
              <w:left w:val="nil"/>
              <w:bottom w:val="single" w:sz="4" w:space="0" w:color="auto"/>
              <w:right w:val="single" w:sz="4" w:space="0" w:color="auto"/>
            </w:tcBorders>
            <w:shd w:val="clear" w:color="auto" w:fill="auto"/>
            <w:noWrap/>
            <w:vAlign w:val="bottom"/>
            <w:hideMark/>
          </w:tcPr>
          <w:p w14:paraId="648E879B"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2.973</w:t>
            </w:r>
          </w:p>
        </w:tc>
        <w:tc>
          <w:tcPr>
            <w:tcW w:w="777" w:type="dxa"/>
            <w:tcBorders>
              <w:top w:val="nil"/>
              <w:left w:val="nil"/>
              <w:bottom w:val="single" w:sz="4" w:space="0" w:color="auto"/>
              <w:right w:val="single" w:sz="4" w:space="0" w:color="auto"/>
            </w:tcBorders>
            <w:shd w:val="clear" w:color="auto" w:fill="auto"/>
            <w:noWrap/>
            <w:vAlign w:val="bottom"/>
            <w:hideMark/>
          </w:tcPr>
          <w:p w14:paraId="4AF52238"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2.409</w:t>
            </w:r>
          </w:p>
        </w:tc>
        <w:tc>
          <w:tcPr>
            <w:tcW w:w="777" w:type="dxa"/>
            <w:tcBorders>
              <w:top w:val="nil"/>
              <w:left w:val="nil"/>
              <w:bottom w:val="single" w:sz="4" w:space="0" w:color="auto"/>
              <w:right w:val="single" w:sz="4" w:space="0" w:color="auto"/>
            </w:tcBorders>
            <w:shd w:val="clear" w:color="auto" w:fill="auto"/>
            <w:noWrap/>
            <w:vAlign w:val="bottom"/>
            <w:hideMark/>
          </w:tcPr>
          <w:p w14:paraId="392EA12D"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2.523</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4CEA053A"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2.429</w:t>
            </w:r>
          </w:p>
        </w:tc>
        <w:tc>
          <w:tcPr>
            <w:tcW w:w="777" w:type="dxa"/>
            <w:tcBorders>
              <w:top w:val="nil"/>
              <w:left w:val="nil"/>
              <w:bottom w:val="single" w:sz="4" w:space="0" w:color="auto"/>
              <w:right w:val="single" w:sz="4" w:space="0" w:color="auto"/>
            </w:tcBorders>
            <w:shd w:val="clear" w:color="auto" w:fill="auto"/>
            <w:noWrap/>
            <w:vAlign w:val="bottom"/>
            <w:hideMark/>
          </w:tcPr>
          <w:p w14:paraId="48D75FA8"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2.279</w:t>
            </w:r>
          </w:p>
        </w:tc>
        <w:tc>
          <w:tcPr>
            <w:tcW w:w="777" w:type="dxa"/>
            <w:tcBorders>
              <w:top w:val="nil"/>
              <w:left w:val="nil"/>
              <w:bottom w:val="single" w:sz="4" w:space="0" w:color="auto"/>
              <w:right w:val="single" w:sz="4" w:space="0" w:color="auto"/>
            </w:tcBorders>
            <w:shd w:val="clear" w:color="auto" w:fill="auto"/>
            <w:noWrap/>
            <w:vAlign w:val="bottom"/>
            <w:hideMark/>
          </w:tcPr>
          <w:p w14:paraId="097D84DB"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1.938</w:t>
            </w:r>
          </w:p>
        </w:tc>
        <w:tc>
          <w:tcPr>
            <w:tcW w:w="777" w:type="dxa"/>
            <w:tcBorders>
              <w:top w:val="nil"/>
              <w:left w:val="nil"/>
              <w:bottom w:val="single" w:sz="4" w:space="0" w:color="auto"/>
              <w:right w:val="single" w:sz="4" w:space="0" w:color="auto"/>
            </w:tcBorders>
            <w:shd w:val="clear" w:color="auto" w:fill="auto"/>
            <w:noWrap/>
            <w:vAlign w:val="bottom"/>
            <w:hideMark/>
          </w:tcPr>
          <w:p w14:paraId="2F5E6A5A"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220</w:t>
            </w:r>
          </w:p>
        </w:tc>
        <w:tc>
          <w:tcPr>
            <w:tcW w:w="872" w:type="dxa"/>
            <w:tcBorders>
              <w:top w:val="nil"/>
              <w:left w:val="nil"/>
              <w:bottom w:val="single" w:sz="4" w:space="0" w:color="auto"/>
              <w:right w:val="single" w:sz="4" w:space="0" w:color="auto"/>
            </w:tcBorders>
            <w:shd w:val="clear" w:color="auto" w:fill="auto"/>
            <w:noWrap/>
            <w:vAlign w:val="bottom"/>
            <w:hideMark/>
          </w:tcPr>
          <w:p w14:paraId="5422B94A"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-19,6%</w:t>
            </w:r>
          </w:p>
        </w:tc>
        <w:tc>
          <w:tcPr>
            <w:tcW w:w="850" w:type="dxa"/>
            <w:tcBorders>
              <w:top w:val="nil"/>
              <w:left w:val="nil"/>
              <w:bottom w:val="single" w:sz="4" w:space="0" w:color="auto"/>
              <w:right w:val="single" w:sz="4" w:space="0" w:color="auto"/>
            </w:tcBorders>
            <w:shd w:val="clear" w:color="auto" w:fill="auto"/>
            <w:noWrap/>
            <w:vAlign w:val="bottom"/>
            <w:hideMark/>
          </w:tcPr>
          <w:p w14:paraId="532B275F"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-90,9%</w:t>
            </w:r>
          </w:p>
        </w:tc>
        <w:tc>
          <w:tcPr>
            <w:tcW w:w="851" w:type="dxa"/>
            <w:tcBorders>
              <w:top w:val="nil"/>
              <w:left w:val="nil"/>
              <w:bottom w:val="single" w:sz="4" w:space="0" w:color="auto"/>
              <w:right w:val="single" w:sz="4" w:space="0" w:color="auto"/>
            </w:tcBorders>
            <w:shd w:val="clear" w:color="auto" w:fill="auto"/>
            <w:noWrap/>
            <w:vAlign w:val="bottom"/>
            <w:hideMark/>
          </w:tcPr>
          <w:p w14:paraId="39923909"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-34,8%</w:t>
            </w:r>
          </w:p>
        </w:tc>
        <w:tc>
          <w:tcPr>
            <w:tcW w:w="850" w:type="dxa"/>
            <w:tcBorders>
              <w:top w:val="nil"/>
              <w:left w:val="nil"/>
              <w:bottom w:val="single" w:sz="4" w:space="0" w:color="auto"/>
              <w:right w:val="single" w:sz="4" w:space="0" w:color="auto"/>
            </w:tcBorders>
            <w:shd w:val="clear" w:color="auto" w:fill="auto"/>
            <w:noWrap/>
            <w:vAlign w:val="bottom"/>
            <w:hideMark/>
          </w:tcPr>
          <w:p w14:paraId="39A2D9B9"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-92,6%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78764AD"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-49,5%</w:t>
            </w:r>
          </w:p>
        </w:tc>
        <w:tc>
          <w:tcPr>
            <w:tcW w:w="850" w:type="dxa"/>
            <w:tcBorders>
              <w:top w:val="nil"/>
              <w:left w:val="nil"/>
              <w:bottom w:val="single" w:sz="4" w:space="0" w:color="auto"/>
              <w:right w:val="single" w:sz="4" w:space="0" w:color="auto"/>
            </w:tcBorders>
            <w:shd w:val="clear" w:color="auto" w:fill="auto"/>
            <w:noWrap/>
            <w:vAlign w:val="bottom"/>
            <w:hideMark/>
          </w:tcPr>
          <w:p w14:paraId="602E0BD9"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-94,3%</w:t>
            </w:r>
          </w:p>
        </w:tc>
      </w:tr>
      <w:tr w:rsidR="001B6C5B" w:rsidRPr="005303F7" w14:paraId="44030392" w14:textId="77777777" w:rsidTr="00182E68">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2958AB5" w14:textId="13BC0B0E" w:rsidR="001B6C5B" w:rsidRPr="005303F7" w:rsidRDefault="00BC327E" w:rsidP="001B6C5B">
            <w:pPr>
              <w:tabs>
                <w:tab w:val="clear" w:pos="3825"/>
              </w:tabs>
              <w:overflowPunct/>
              <w:autoSpaceDE/>
              <w:autoSpaceDN/>
              <w:adjustRightInd/>
              <w:spacing w:before="0" w:after="0"/>
              <w:jc w:val="left"/>
              <w:textAlignment w:val="auto"/>
              <w:rPr>
                <w:rFonts w:ascii="Times New Roman" w:hAnsi="Times New Roman"/>
                <w:lang w:val="sr-Cyrl-CS" w:eastAsia="en-GB"/>
              </w:rPr>
            </w:pPr>
            <w:r w:rsidRPr="005303F7">
              <w:rPr>
                <w:rFonts w:ascii="Times New Roman" w:hAnsi="Times New Roman"/>
                <w:lang w:val="sr-Cyrl-CS" w:eastAsia="en-GB"/>
              </w:rPr>
              <w:t>IPPU</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6DF738E3"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5.455</w:t>
            </w:r>
          </w:p>
        </w:tc>
        <w:tc>
          <w:tcPr>
            <w:tcW w:w="777" w:type="dxa"/>
            <w:tcBorders>
              <w:top w:val="nil"/>
              <w:left w:val="nil"/>
              <w:bottom w:val="single" w:sz="4" w:space="0" w:color="auto"/>
              <w:right w:val="single" w:sz="4" w:space="0" w:color="auto"/>
            </w:tcBorders>
            <w:shd w:val="clear" w:color="auto" w:fill="auto"/>
            <w:noWrap/>
            <w:vAlign w:val="bottom"/>
            <w:hideMark/>
          </w:tcPr>
          <w:p w14:paraId="404E5579"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4.729</w:t>
            </w:r>
          </w:p>
        </w:tc>
        <w:tc>
          <w:tcPr>
            <w:tcW w:w="777" w:type="dxa"/>
            <w:tcBorders>
              <w:top w:val="nil"/>
              <w:left w:val="nil"/>
              <w:bottom w:val="single" w:sz="4" w:space="0" w:color="auto"/>
              <w:right w:val="single" w:sz="4" w:space="0" w:color="auto"/>
            </w:tcBorders>
            <w:shd w:val="clear" w:color="auto" w:fill="auto"/>
            <w:noWrap/>
            <w:vAlign w:val="bottom"/>
            <w:hideMark/>
          </w:tcPr>
          <w:p w14:paraId="1831EA49"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4.660</w:t>
            </w:r>
          </w:p>
        </w:tc>
        <w:tc>
          <w:tcPr>
            <w:tcW w:w="777" w:type="dxa"/>
            <w:tcBorders>
              <w:top w:val="nil"/>
              <w:left w:val="nil"/>
              <w:bottom w:val="single" w:sz="4" w:space="0" w:color="auto"/>
              <w:right w:val="single" w:sz="4" w:space="0" w:color="auto"/>
            </w:tcBorders>
            <w:shd w:val="clear" w:color="auto" w:fill="auto"/>
            <w:noWrap/>
            <w:vAlign w:val="bottom"/>
            <w:hideMark/>
          </w:tcPr>
          <w:p w14:paraId="4DF5B881"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3.883</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66B3F95D"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4.736</w:t>
            </w:r>
          </w:p>
        </w:tc>
        <w:tc>
          <w:tcPr>
            <w:tcW w:w="777" w:type="dxa"/>
            <w:tcBorders>
              <w:top w:val="nil"/>
              <w:left w:val="nil"/>
              <w:bottom w:val="single" w:sz="4" w:space="0" w:color="auto"/>
              <w:right w:val="single" w:sz="4" w:space="0" w:color="auto"/>
            </w:tcBorders>
            <w:shd w:val="clear" w:color="auto" w:fill="auto"/>
            <w:noWrap/>
            <w:vAlign w:val="bottom"/>
            <w:hideMark/>
          </w:tcPr>
          <w:p w14:paraId="21725016"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5.178</w:t>
            </w:r>
          </w:p>
        </w:tc>
        <w:tc>
          <w:tcPr>
            <w:tcW w:w="777" w:type="dxa"/>
            <w:tcBorders>
              <w:top w:val="nil"/>
              <w:left w:val="nil"/>
              <w:bottom w:val="single" w:sz="4" w:space="0" w:color="auto"/>
              <w:right w:val="single" w:sz="4" w:space="0" w:color="auto"/>
            </w:tcBorders>
            <w:shd w:val="clear" w:color="auto" w:fill="auto"/>
            <w:noWrap/>
            <w:vAlign w:val="bottom"/>
            <w:hideMark/>
          </w:tcPr>
          <w:p w14:paraId="397713AA"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4.994</w:t>
            </w:r>
          </w:p>
        </w:tc>
        <w:tc>
          <w:tcPr>
            <w:tcW w:w="777" w:type="dxa"/>
            <w:tcBorders>
              <w:top w:val="nil"/>
              <w:left w:val="nil"/>
              <w:bottom w:val="single" w:sz="4" w:space="0" w:color="auto"/>
              <w:right w:val="single" w:sz="4" w:space="0" w:color="auto"/>
            </w:tcBorders>
            <w:shd w:val="clear" w:color="auto" w:fill="auto"/>
            <w:noWrap/>
            <w:vAlign w:val="bottom"/>
            <w:hideMark/>
          </w:tcPr>
          <w:p w14:paraId="283A3906"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4.539</w:t>
            </w:r>
          </w:p>
        </w:tc>
        <w:tc>
          <w:tcPr>
            <w:tcW w:w="872" w:type="dxa"/>
            <w:tcBorders>
              <w:top w:val="nil"/>
              <w:left w:val="nil"/>
              <w:bottom w:val="single" w:sz="4" w:space="0" w:color="auto"/>
              <w:right w:val="single" w:sz="4" w:space="0" w:color="auto"/>
            </w:tcBorders>
            <w:shd w:val="clear" w:color="auto" w:fill="auto"/>
            <w:noWrap/>
            <w:vAlign w:val="bottom"/>
            <w:hideMark/>
          </w:tcPr>
          <w:p w14:paraId="5CAA73F8"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7,2%</w:t>
            </w:r>
          </w:p>
        </w:tc>
        <w:tc>
          <w:tcPr>
            <w:tcW w:w="850" w:type="dxa"/>
            <w:tcBorders>
              <w:top w:val="nil"/>
              <w:left w:val="nil"/>
              <w:bottom w:val="single" w:sz="4" w:space="0" w:color="auto"/>
              <w:right w:val="single" w:sz="4" w:space="0" w:color="auto"/>
            </w:tcBorders>
            <w:shd w:val="clear" w:color="auto" w:fill="auto"/>
            <w:noWrap/>
            <w:vAlign w:val="bottom"/>
            <w:hideMark/>
          </w:tcPr>
          <w:p w14:paraId="122FD44D"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-2,6%</w:t>
            </w:r>
          </w:p>
        </w:tc>
        <w:tc>
          <w:tcPr>
            <w:tcW w:w="851" w:type="dxa"/>
            <w:tcBorders>
              <w:top w:val="nil"/>
              <w:left w:val="nil"/>
              <w:bottom w:val="single" w:sz="4" w:space="0" w:color="auto"/>
              <w:right w:val="single" w:sz="4" w:space="0" w:color="auto"/>
            </w:tcBorders>
            <w:shd w:val="clear" w:color="auto" w:fill="auto"/>
            <w:noWrap/>
            <w:vAlign w:val="bottom"/>
            <w:hideMark/>
          </w:tcPr>
          <w:p w14:paraId="4FF05454"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5,6%</w:t>
            </w:r>
          </w:p>
        </w:tc>
        <w:tc>
          <w:tcPr>
            <w:tcW w:w="850" w:type="dxa"/>
            <w:tcBorders>
              <w:top w:val="nil"/>
              <w:left w:val="nil"/>
              <w:bottom w:val="single" w:sz="4" w:space="0" w:color="auto"/>
              <w:right w:val="single" w:sz="4" w:space="0" w:color="auto"/>
            </w:tcBorders>
            <w:shd w:val="clear" w:color="auto" w:fill="auto"/>
            <w:noWrap/>
            <w:vAlign w:val="bottom"/>
            <w:hideMark/>
          </w:tcPr>
          <w:p w14:paraId="51E009DC"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AE7139E"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-8,4%</w:t>
            </w:r>
          </w:p>
        </w:tc>
        <w:tc>
          <w:tcPr>
            <w:tcW w:w="850" w:type="dxa"/>
            <w:tcBorders>
              <w:top w:val="nil"/>
              <w:left w:val="nil"/>
              <w:bottom w:val="single" w:sz="4" w:space="0" w:color="auto"/>
              <w:right w:val="single" w:sz="4" w:space="0" w:color="auto"/>
            </w:tcBorders>
            <w:shd w:val="clear" w:color="auto" w:fill="auto"/>
            <w:noWrap/>
            <w:vAlign w:val="bottom"/>
            <w:hideMark/>
          </w:tcPr>
          <w:p w14:paraId="2DE84DF2"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-16,8%</w:t>
            </w:r>
          </w:p>
        </w:tc>
      </w:tr>
      <w:tr w:rsidR="001B6C5B" w:rsidRPr="005303F7" w14:paraId="7C61C070" w14:textId="77777777" w:rsidTr="00182E68">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2ACDCE5" w14:textId="2C2F50B2" w:rsidR="001B6C5B" w:rsidRPr="005303F7" w:rsidRDefault="008D69AF" w:rsidP="001B6C5B">
            <w:pPr>
              <w:tabs>
                <w:tab w:val="clear" w:pos="3825"/>
              </w:tabs>
              <w:overflowPunct/>
              <w:autoSpaceDE/>
              <w:autoSpaceDN/>
              <w:adjustRightInd/>
              <w:spacing w:before="0" w:after="0"/>
              <w:jc w:val="left"/>
              <w:textAlignment w:val="auto"/>
              <w:rPr>
                <w:rFonts w:ascii="Times New Roman" w:hAnsi="Times New Roman"/>
                <w:lang w:val="sr-Cyrl-CS" w:eastAsia="en-GB"/>
              </w:rPr>
            </w:pPr>
            <w:r w:rsidRPr="005303F7">
              <w:rPr>
                <w:rFonts w:ascii="Times New Roman" w:hAnsi="Times New Roman"/>
                <w:lang w:val="sr-Cyrl-CS" w:eastAsia="en-GB"/>
              </w:rPr>
              <w:t>По</w:t>
            </w:r>
            <w:r w:rsidR="00D553BE" w:rsidRPr="005303F7">
              <w:rPr>
                <w:rFonts w:ascii="Times New Roman" w:hAnsi="Times New Roman"/>
                <w:lang w:val="sr-Cyrl-CS" w:eastAsia="en-GB"/>
              </w:rPr>
              <w:t>љ</w:t>
            </w:r>
            <w:r w:rsidRPr="005303F7">
              <w:rPr>
                <w:rFonts w:ascii="Times New Roman" w:hAnsi="Times New Roman"/>
                <w:lang w:val="sr-Cyrl-CS" w:eastAsia="en-GB"/>
              </w:rPr>
              <w:t>опривреда</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7CA30365"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6.186</w:t>
            </w:r>
          </w:p>
        </w:tc>
        <w:tc>
          <w:tcPr>
            <w:tcW w:w="777" w:type="dxa"/>
            <w:tcBorders>
              <w:top w:val="nil"/>
              <w:left w:val="nil"/>
              <w:bottom w:val="single" w:sz="4" w:space="0" w:color="auto"/>
              <w:right w:val="single" w:sz="4" w:space="0" w:color="auto"/>
            </w:tcBorders>
            <w:shd w:val="clear" w:color="auto" w:fill="auto"/>
            <w:noWrap/>
            <w:vAlign w:val="bottom"/>
            <w:hideMark/>
          </w:tcPr>
          <w:p w14:paraId="14C64177"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6.238</w:t>
            </w:r>
          </w:p>
        </w:tc>
        <w:tc>
          <w:tcPr>
            <w:tcW w:w="777" w:type="dxa"/>
            <w:tcBorders>
              <w:top w:val="nil"/>
              <w:left w:val="nil"/>
              <w:bottom w:val="single" w:sz="4" w:space="0" w:color="auto"/>
              <w:right w:val="single" w:sz="4" w:space="0" w:color="auto"/>
            </w:tcBorders>
            <w:shd w:val="clear" w:color="auto" w:fill="auto"/>
            <w:noWrap/>
            <w:vAlign w:val="bottom"/>
            <w:hideMark/>
          </w:tcPr>
          <w:p w14:paraId="14CA2ACE"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5.305</w:t>
            </w:r>
          </w:p>
        </w:tc>
        <w:tc>
          <w:tcPr>
            <w:tcW w:w="777" w:type="dxa"/>
            <w:tcBorders>
              <w:top w:val="nil"/>
              <w:left w:val="nil"/>
              <w:bottom w:val="single" w:sz="4" w:space="0" w:color="auto"/>
              <w:right w:val="single" w:sz="4" w:space="0" w:color="auto"/>
            </w:tcBorders>
            <w:shd w:val="clear" w:color="auto" w:fill="auto"/>
            <w:noWrap/>
            <w:vAlign w:val="bottom"/>
            <w:hideMark/>
          </w:tcPr>
          <w:p w14:paraId="2AD8D9A2"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5.259</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5C21E98D"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5.132</w:t>
            </w:r>
          </w:p>
        </w:tc>
        <w:tc>
          <w:tcPr>
            <w:tcW w:w="777" w:type="dxa"/>
            <w:tcBorders>
              <w:top w:val="nil"/>
              <w:left w:val="nil"/>
              <w:bottom w:val="single" w:sz="4" w:space="0" w:color="auto"/>
              <w:right w:val="single" w:sz="4" w:space="0" w:color="auto"/>
            </w:tcBorders>
            <w:shd w:val="clear" w:color="auto" w:fill="auto"/>
            <w:noWrap/>
            <w:vAlign w:val="bottom"/>
            <w:hideMark/>
          </w:tcPr>
          <w:p w14:paraId="1C09ADED"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4.813</w:t>
            </w:r>
          </w:p>
        </w:tc>
        <w:tc>
          <w:tcPr>
            <w:tcW w:w="777" w:type="dxa"/>
            <w:tcBorders>
              <w:top w:val="nil"/>
              <w:left w:val="nil"/>
              <w:bottom w:val="single" w:sz="4" w:space="0" w:color="auto"/>
              <w:right w:val="single" w:sz="4" w:space="0" w:color="auto"/>
            </w:tcBorders>
            <w:shd w:val="clear" w:color="auto" w:fill="auto"/>
            <w:noWrap/>
            <w:vAlign w:val="bottom"/>
            <w:hideMark/>
          </w:tcPr>
          <w:p w14:paraId="3A621F8F"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4.493</w:t>
            </w:r>
          </w:p>
        </w:tc>
        <w:tc>
          <w:tcPr>
            <w:tcW w:w="777" w:type="dxa"/>
            <w:tcBorders>
              <w:top w:val="nil"/>
              <w:left w:val="nil"/>
              <w:bottom w:val="single" w:sz="4" w:space="0" w:color="auto"/>
              <w:right w:val="single" w:sz="4" w:space="0" w:color="auto"/>
            </w:tcBorders>
            <w:shd w:val="clear" w:color="auto" w:fill="auto"/>
            <w:noWrap/>
            <w:vAlign w:val="bottom"/>
            <w:hideMark/>
          </w:tcPr>
          <w:p w14:paraId="61618F35"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5.432</w:t>
            </w:r>
          </w:p>
        </w:tc>
        <w:tc>
          <w:tcPr>
            <w:tcW w:w="872" w:type="dxa"/>
            <w:tcBorders>
              <w:top w:val="nil"/>
              <w:left w:val="nil"/>
              <w:bottom w:val="single" w:sz="4" w:space="0" w:color="auto"/>
              <w:right w:val="single" w:sz="4" w:space="0" w:color="auto"/>
            </w:tcBorders>
            <w:shd w:val="clear" w:color="auto" w:fill="auto"/>
            <w:noWrap/>
            <w:vAlign w:val="bottom"/>
            <w:hideMark/>
          </w:tcPr>
          <w:p w14:paraId="76BFD16C"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-15,3%</w:t>
            </w:r>
          </w:p>
        </w:tc>
        <w:tc>
          <w:tcPr>
            <w:tcW w:w="850" w:type="dxa"/>
            <w:tcBorders>
              <w:top w:val="nil"/>
              <w:left w:val="nil"/>
              <w:bottom w:val="single" w:sz="4" w:space="0" w:color="auto"/>
              <w:right w:val="single" w:sz="4" w:space="0" w:color="auto"/>
            </w:tcBorders>
            <w:shd w:val="clear" w:color="auto" w:fill="auto"/>
            <w:noWrap/>
            <w:vAlign w:val="bottom"/>
            <w:hideMark/>
          </w:tcPr>
          <w:p w14:paraId="37D20F06"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2,4%</w:t>
            </w:r>
          </w:p>
        </w:tc>
        <w:tc>
          <w:tcPr>
            <w:tcW w:w="851" w:type="dxa"/>
            <w:tcBorders>
              <w:top w:val="nil"/>
              <w:left w:val="nil"/>
              <w:bottom w:val="single" w:sz="4" w:space="0" w:color="auto"/>
              <w:right w:val="single" w:sz="4" w:space="0" w:color="auto"/>
            </w:tcBorders>
            <w:shd w:val="clear" w:color="auto" w:fill="auto"/>
            <w:noWrap/>
            <w:vAlign w:val="bottom"/>
            <w:hideMark/>
          </w:tcPr>
          <w:p w14:paraId="10973D83"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-28,0%</w:t>
            </w:r>
          </w:p>
        </w:tc>
        <w:tc>
          <w:tcPr>
            <w:tcW w:w="850" w:type="dxa"/>
            <w:tcBorders>
              <w:top w:val="nil"/>
              <w:left w:val="nil"/>
              <w:bottom w:val="single" w:sz="4" w:space="0" w:color="auto"/>
              <w:right w:val="single" w:sz="4" w:space="0" w:color="auto"/>
            </w:tcBorders>
            <w:shd w:val="clear" w:color="auto" w:fill="auto"/>
            <w:noWrap/>
            <w:vAlign w:val="bottom"/>
            <w:hideMark/>
          </w:tcPr>
          <w:p w14:paraId="151F8663"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-12,9%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73357D"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-27,4%</w:t>
            </w:r>
          </w:p>
        </w:tc>
        <w:tc>
          <w:tcPr>
            <w:tcW w:w="850" w:type="dxa"/>
            <w:tcBorders>
              <w:top w:val="nil"/>
              <w:left w:val="nil"/>
              <w:bottom w:val="single" w:sz="4" w:space="0" w:color="auto"/>
              <w:right w:val="single" w:sz="4" w:space="0" w:color="auto"/>
            </w:tcBorders>
            <w:shd w:val="clear" w:color="auto" w:fill="auto"/>
            <w:noWrap/>
            <w:vAlign w:val="bottom"/>
            <w:hideMark/>
          </w:tcPr>
          <w:p w14:paraId="5FD7FF15"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-12,2%</w:t>
            </w:r>
          </w:p>
        </w:tc>
      </w:tr>
      <w:tr w:rsidR="001B6C5B" w:rsidRPr="005303F7" w14:paraId="36ABDA28" w14:textId="77777777" w:rsidTr="00182E68">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D207389" w14:textId="43B238B8" w:rsidR="001B6C5B" w:rsidRPr="005303F7" w:rsidRDefault="008D69AF" w:rsidP="001B6C5B">
            <w:pPr>
              <w:tabs>
                <w:tab w:val="clear" w:pos="3825"/>
              </w:tabs>
              <w:overflowPunct/>
              <w:autoSpaceDE/>
              <w:autoSpaceDN/>
              <w:adjustRightInd/>
              <w:spacing w:before="0" w:after="0"/>
              <w:jc w:val="left"/>
              <w:textAlignment w:val="auto"/>
              <w:rPr>
                <w:rFonts w:ascii="Times New Roman" w:hAnsi="Times New Roman"/>
                <w:lang w:val="sr-Cyrl-CS" w:eastAsia="en-GB"/>
              </w:rPr>
            </w:pPr>
            <w:r w:rsidRPr="005303F7">
              <w:rPr>
                <w:rFonts w:ascii="Times New Roman" w:hAnsi="Times New Roman"/>
                <w:lang w:val="sr-Cyrl-CS" w:eastAsia="en-GB"/>
              </w:rPr>
              <w:t>Отпад</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70FD2981"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3.868</w:t>
            </w:r>
          </w:p>
        </w:tc>
        <w:tc>
          <w:tcPr>
            <w:tcW w:w="777" w:type="dxa"/>
            <w:tcBorders>
              <w:top w:val="nil"/>
              <w:left w:val="nil"/>
              <w:bottom w:val="single" w:sz="4" w:space="0" w:color="auto"/>
              <w:right w:val="single" w:sz="4" w:space="0" w:color="auto"/>
            </w:tcBorders>
            <w:shd w:val="clear" w:color="auto" w:fill="auto"/>
            <w:noWrap/>
            <w:vAlign w:val="bottom"/>
            <w:hideMark/>
          </w:tcPr>
          <w:p w14:paraId="3B2E38CB"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2.800</w:t>
            </w:r>
          </w:p>
        </w:tc>
        <w:tc>
          <w:tcPr>
            <w:tcW w:w="777" w:type="dxa"/>
            <w:tcBorders>
              <w:top w:val="nil"/>
              <w:left w:val="nil"/>
              <w:bottom w:val="single" w:sz="4" w:space="0" w:color="auto"/>
              <w:right w:val="single" w:sz="4" w:space="0" w:color="auto"/>
            </w:tcBorders>
            <w:shd w:val="clear" w:color="auto" w:fill="auto"/>
            <w:noWrap/>
            <w:vAlign w:val="bottom"/>
            <w:hideMark/>
          </w:tcPr>
          <w:p w14:paraId="77459231"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2.730</w:t>
            </w:r>
          </w:p>
        </w:tc>
        <w:tc>
          <w:tcPr>
            <w:tcW w:w="777" w:type="dxa"/>
            <w:tcBorders>
              <w:top w:val="nil"/>
              <w:left w:val="nil"/>
              <w:bottom w:val="single" w:sz="4" w:space="0" w:color="auto"/>
              <w:right w:val="single" w:sz="4" w:space="0" w:color="auto"/>
            </w:tcBorders>
            <w:shd w:val="clear" w:color="auto" w:fill="auto"/>
            <w:noWrap/>
            <w:vAlign w:val="bottom"/>
            <w:hideMark/>
          </w:tcPr>
          <w:p w14:paraId="430668D2"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2.709</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67F0266A"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2.755</w:t>
            </w:r>
          </w:p>
        </w:tc>
        <w:tc>
          <w:tcPr>
            <w:tcW w:w="777" w:type="dxa"/>
            <w:tcBorders>
              <w:top w:val="nil"/>
              <w:left w:val="nil"/>
              <w:bottom w:val="single" w:sz="4" w:space="0" w:color="auto"/>
              <w:right w:val="single" w:sz="4" w:space="0" w:color="auto"/>
            </w:tcBorders>
            <w:shd w:val="clear" w:color="auto" w:fill="auto"/>
            <w:noWrap/>
            <w:vAlign w:val="bottom"/>
            <w:hideMark/>
          </w:tcPr>
          <w:p w14:paraId="02FEA074"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2.582</w:t>
            </w:r>
          </w:p>
        </w:tc>
        <w:tc>
          <w:tcPr>
            <w:tcW w:w="777" w:type="dxa"/>
            <w:tcBorders>
              <w:top w:val="nil"/>
              <w:left w:val="nil"/>
              <w:bottom w:val="single" w:sz="4" w:space="0" w:color="auto"/>
              <w:right w:val="single" w:sz="4" w:space="0" w:color="auto"/>
            </w:tcBorders>
            <w:shd w:val="clear" w:color="auto" w:fill="auto"/>
            <w:noWrap/>
            <w:vAlign w:val="bottom"/>
            <w:hideMark/>
          </w:tcPr>
          <w:p w14:paraId="7D5E43D9"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2.371</w:t>
            </w:r>
          </w:p>
        </w:tc>
        <w:tc>
          <w:tcPr>
            <w:tcW w:w="777" w:type="dxa"/>
            <w:tcBorders>
              <w:top w:val="nil"/>
              <w:left w:val="nil"/>
              <w:bottom w:val="single" w:sz="4" w:space="0" w:color="auto"/>
              <w:right w:val="single" w:sz="4" w:space="0" w:color="auto"/>
            </w:tcBorders>
            <w:shd w:val="clear" w:color="auto" w:fill="auto"/>
            <w:noWrap/>
            <w:vAlign w:val="bottom"/>
            <w:hideMark/>
          </w:tcPr>
          <w:p w14:paraId="245DE781"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1.936</w:t>
            </w:r>
          </w:p>
        </w:tc>
        <w:tc>
          <w:tcPr>
            <w:tcW w:w="872" w:type="dxa"/>
            <w:tcBorders>
              <w:top w:val="nil"/>
              <w:left w:val="nil"/>
              <w:bottom w:val="single" w:sz="4" w:space="0" w:color="auto"/>
              <w:right w:val="single" w:sz="4" w:space="0" w:color="auto"/>
            </w:tcBorders>
            <w:shd w:val="clear" w:color="auto" w:fill="auto"/>
            <w:noWrap/>
            <w:vAlign w:val="bottom"/>
            <w:hideMark/>
          </w:tcPr>
          <w:p w14:paraId="4186FA3C"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-13,1%</w:t>
            </w:r>
          </w:p>
        </w:tc>
        <w:tc>
          <w:tcPr>
            <w:tcW w:w="850" w:type="dxa"/>
            <w:tcBorders>
              <w:top w:val="nil"/>
              <w:left w:val="nil"/>
              <w:bottom w:val="single" w:sz="4" w:space="0" w:color="auto"/>
              <w:right w:val="single" w:sz="4" w:space="0" w:color="auto"/>
            </w:tcBorders>
            <w:shd w:val="clear" w:color="auto" w:fill="auto"/>
            <w:noWrap/>
            <w:vAlign w:val="bottom"/>
            <w:hideMark/>
          </w:tcPr>
          <w:p w14:paraId="723A9660"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-29,1%</w:t>
            </w:r>
          </w:p>
        </w:tc>
        <w:tc>
          <w:tcPr>
            <w:tcW w:w="851" w:type="dxa"/>
            <w:tcBorders>
              <w:top w:val="nil"/>
              <w:left w:val="nil"/>
              <w:bottom w:val="single" w:sz="4" w:space="0" w:color="auto"/>
              <w:right w:val="single" w:sz="4" w:space="0" w:color="auto"/>
            </w:tcBorders>
            <w:shd w:val="clear" w:color="auto" w:fill="auto"/>
            <w:noWrap/>
            <w:vAlign w:val="bottom"/>
            <w:hideMark/>
          </w:tcPr>
          <w:p w14:paraId="4CA7E51F"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-15,3%</w:t>
            </w:r>
          </w:p>
        </w:tc>
        <w:tc>
          <w:tcPr>
            <w:tcW w:w="850" w:type="dxa"/>
            <w:tcBorders>
              <w:top w:val="nil"/>
              <w:left w:val="nil"/>
              <w:bottom w:val="single" w:sz="4" w:space="0" w:color="auto"/>
              <w:right w:val="single" w:sz="4" w:space="0" w:color="auto"/>
            </w:tcBorders>
            <w:shd w:val="clear" w:color="auto" w:fill="auto"/>
            <w:noWrap/>
            <w:vAlign w:val="bottom"/>
            <w:hideMark/>
          </w:tcPr>
          <w:p w14:paraId="600DC707"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-30,9%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B993F8C"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-38,7%</w:t>
            </w:r>
          </w:p>
        </w:tc>
        <w:tc>
          <w:tcPr>
            <w:tcW w:w="850" w:type="dxa"/>
            <w:tcBorders>
              <w:top w:val="nil"/>
              <w:left w:val="nil"/>
              <w:bottom w:val="single" w:sz="4" w:space="0" w:color="auto"/>
              <w:right w:val="single" w:sz="4" w:space="0" w:color="auto"/>
            </w:tcBorders>
            <w:shd w:val="clear" w:color="auto" w:fill="auto"/>
            <w:noWrap/>
            <w:vAlign w:val="bottom"/>
            <w:hideMark/>
          </w:tcPr>
          <w:p w14:paraId="112795D6" w14:textId="77777777" w:rsidR="001B6C5B" w:rsidRPr="005303F7" w:rsidRDefault="001B6C5B" w:rsidP="001B6C5B">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-49,9%</w:t>
            </w:r>
          </w:p>
        </w:tc>
      </w:tr>
      <w:tr w:rsidR="006070B1" w:rsidRPr="005303F7" w14:paraId="65444040" w14:textId="77777777" w:rsidTr="00182E68">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9DCF8D5" w14:textId="11A98BF1" w:rsidR="006070B1" w:rsidRPr="005303F7" w:rsidRDefault="008D69AF" w:rsidP="001B6C5B">
            <w:pPr>
              <w:tabs>
                <w:tab w:val="clear" w:pos="3825"/>
              </w:tabs>
              <w:overflowPunct/>
              <w:autoSpaceDE/>
              <w:autoSpaceDN/>
              <w:adjustRightInd/>
              <w:spacing w:before="0" w:after="0"/>
              <w:jc w:val="left"/>
              <w:textAlignment w:val="auto"/>
              <w:rPr>
                <w:rFonts w:ascii="Times New Roman" w:hAnsi="Times New Roman"/>
                <w:b/>
                <w:bCs/>
                <w:lang w:val="sr-Cyrl-CS" w:eastAsia="en-GB"/>
              </w:rPr>
            </w:pPr>
            <w:r w:rsidRPr="005303F7">
              <w:rPr>
                <w:rFonts w:ascii="Times New Roman" w:hAnsi="Times New Roman"/>
                <w:b/>
                <w:bCs/>
                <w:lang w:val="sr-Cyrl-CS" w:eastAsia="en-GB"/>
              </w:rPr>
              <w:t>Укупно</w:t>
            </w:r>
            <w:r w:rsidR="001B6C5B" w:rsidRPr="005303F7">
              <w:rPr>
                <w:rFonts w:ascii="Times New Roman" w:hAnsi="Times New Roman"/>
                <w:b/>
                <w:bCs/>
                <w:lang w:val="sr-Cyrl-CS" w:eastAsia="en-GB"/>
              </w:rPr>
              <w:t xml:space="preserve"> </w:t>
            </w:r>
            <w:r w:rsidRPr="005303F7">
              <w:rPr>
                <w:rFonts w:ascii="Times New Roman" w:hAnsi="Times New Roman"/>
                <w:b/>
                <w:bCs/>
                <w:lang w:val="sr-Cyrl-CS" w:eastAsia="en-GB"/>
              </w:rPr>
              <w:t>М</w:t>
            </w:r>
            <w:r w:rsidR="001B6C5B" w:rsidRPr="005303F7">
              <w:rPr>
                <w:rFonts w:ascii="Times New Roman" w:hAnsi="Times New Roman"/>
                <w:b/>
                <w:bCs/>
                <w:lang w:val="sr-Cyrl-CS" w:eastAsia="en-GB"/>
              </w:rPr>
              <w:t>2 (</w:t>
            </w:r>
            <w:r w:rsidRPr="005303F7">
              <w:rPr>
                <w:rFonts w:ascii="Times New Roman" w:hAnsi="Times New Roman"/>
                <w:b/>
                <w:bCs/>
                <w:lang w:val="sr-Cyrl-CS" w:eastAsia="en-GB"/>
              </w:rPr>
              <w:t>без</w:t>
            </w:r>
            <w:r w:rsidR="006070B1" w:rsidRPr="005303F7">
              <w:rPr>
                <w:rFonts w:ascii="Times New Roman" w:hAnsi="Times New Roman"/>
                <w:b/>
                <w:bCs/>
                <w:lang w:val="sr-Cyrl-CS" w:eastAsia="en-GB"/>
              </w:rPr>
              <w:t xml:space="preserve"> </w:t>
            </w:r>
            <w:r w:rsidR="00BC327E" w:rsidRPr="005303F7">
              <w:rPr>
                <w:rFonts w:ascii="Times New Roman" w:hAnsi="Times New Roman"/>
                <w:b/>
                <w:bCs/>
                <w:lang w:val="sr-Cyrl-CS" w:eastAsia="en-GB"/>
              </w:rPr>
              <w:t>LULUCF</w:t>
            </w:r>
            <w:r w:rsidR="006070B1" w:rsidRPr="005303F7">
              <w:rPr>
                <w:rFonts w:ascii="Times New Roman" w:hAnsi="Times New Roman"/>
                <w:b/>
                <w:bCs/>
                <w:lang w:val="sr-Cyrl-CS" w:eastAsia="en-GB"/>
              </w:rPr>
              <w:t>)</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2D430E73"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81.526</w:t>
            </w:r>
          </w:p>
        </w:tc>
        <w:tc>
          <w:tcPr>
            <w:tcW w:w="777" w:type="dxa"/>
            <w:tcBorders>
              <w:top w:val="nil"/>
              <w:left w:val="nil"/>
              <w:bottom w:val="single" w:sz="4" w:space="0" w:color="auto"/>
              <w:right w:val="single" w:sz="4" w:space="0" w:color="auto"/>
            </w:tcBorders>
            <w:shd w:val="clear" w:color="auto" w:fill="auto"/>
            <w:noWrap/>
            <w:vAlign w:val="bottom"/>
            <w:hideMark/>
          </w:tcPr>
          <w:p w14:paraId="008E0A0D" w14:textId="0428A7F5" w:rsidR="006070B1" w:rsidRPr="005303F7" w:rsidRDefault="006070B1" w:rsidP="00ED5ECA">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68.09</w:t>
            </w:r>
            <w:r w:rsidR="00DA3648" w:rsidRPr="005303F7">
              <w:rPr>
                <w:rFonts w:ascii="Times New Roman" w:hAnsi="Times New Roman"/>
                <w:b/>
                <w:bCs/>
                <w:color w:val="000000"/>
                <w:sz w:val="20"/>
                <w:lang w:val="sr-Cyrl-CS" w:eastAsia="en-GB"/>
              </w:rPr>
              <w:t>1</w:t>
            </w:r>
          </w:p>
        </w:tc>
        <w:tc>
          <w:tcPr>
            <w:tcW w:w="777" w:type="dxa"/>
            <w:tcBorders>
              <w:top w:val="nil"/>
              <w:left w:val="nil"/>
              <w:bottom w:val="single" w:sz="4" w:space="0" w:color="auto"/>
              <w:right w:val="single" w:sz="4" w:space="0" w:color="auto"/>
            </w:tcBorders>
            <w:shd w:val="clear" w:color="auto" w:fill="auto"/>
            <w:noWrap/>
            <w:vAlign w:val="bottom"/>
            <w:hideMark/>
          </w:tcPr>
          <w:p w14:paraId="64245802"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62.650</w:t>
            </w:r>
          </w:p>
        </w:tc>
        <w:tc>
          <w:tcPr>
            <w:tcW w:w="777" w:type="dxa"/>
            <w:tcBorders>
              <w:top w:val="nil"/>
              <w:left w:val="nil"/>
              <w:bottom w:val="single" w:sz="4" w:space="0" w:color="auto"/>
              <w:right w:val="single" w:sz="4" w:space="0" w:color="auto"/>
            </w:tcBorders>
            <w:shd w:val="clear" w:color="auto" w:fill="auto"/>
            <w:noWrap/>
            <w:vAlign w:val="bottom"/>
            <w:hideMark/>
          </w:tcPr>
          <w:p w14:paraId="615122E9"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61.233</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00B53651"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62.931</w:t>
            </w:r>
          </w:p>
        </w:tc>
        <w:tc>
          <w:tcPr>
            <w:tcW w:w="777" w:type="dxa"/>
            <w:tcBorders>
              <w:top w:val="nil"/>
              <w:left w:val="nil"/>
              <w:bottom w:val="single" w:sz="4" w:space="0" w:color="auto"/>
              <w:right w:val="single" w:sz="4" w:space="0" w:color="auto"/>
            </w:tcBorders>
            <w:shd w:val="clear" w:color="auto" w:fill="auto"/>
            <w:noWrap/>
            <w:vAlign w:val="bottom"/>
            <w:hideMark/>
          </w:tcPr>
          <w:p w14:paraId="42F16398"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59.790</w:t>
            </w:r>
          </w:p>
        </w:tc>
        <w:tc>
          <w:tcPr>
            <w:tcW w:w="777" w:type="dxa"/>
            <w:tcBorders>
              <w:top w:val="nil"/>
              <w:left w:val="nil"/>
              <w:bottom w:val="single" w:sz="4" w:space="0" w:color="auto"/>
              <w:right w:val="single" w:sz="4" w:space="0" w:color="auto"/>
            </w:tcBorders>
            <w:shd w:val="clear" w:color="auto" w:fill="auto"/>
            <w:noWrap/>
            <w:vAlign w:val="bottom"/>
            <w:hideMark/>
          </w:tcPr>
          <w:p w14:paraId="41869177"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54.396</w:t>
            </w:r>
          </w:p>
        </w:tc>
        <w:tc>
          <w:tcPr>
            <w:tcW w:w="777" w:type="dxa"/>
            <w:tcBorders>
              <w:top w:val="nil"/>
              <w:left w:val="nil"/>
              <w:bottom w:val="single" w:sz="4" w:space="0" w:color="auto"/>
              <w:right w:val="single" w:sz="4" w:space="0" w:color="auto"/>
            </w:tcBorders>
            <w:shd w:val="clear" w:color="auto" w:fill="auto"/>
            <w:noWrap/>
            <w:vAlign w:val="bottom"/>
            <w:hideMark/>
          </w:tcPr>
          <w:p w14:paraId="62875FF7"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28.180</w:t>
            </w:r>
          </w:p>
        </w:tc>
        <w:tc>
          <w:tcPr>
            <w:tcW w:w="872" w:type="dxa"/>
            <w:tcBorders>
              <w:top w:val="nil"/>
              <w:left w:val="nil"/>
              <w:bottom w:val="single" w:sz="4" w:space="0" w:color="auto"/>
              <w:right w:val="single" w:sz="4" w:space="0" w:color="auto"/>
            </w:tcBorders>
            <w:shd w:val="clear" w:color="auto" w:fill="auto"/>
            <w:noWrap/>
            <w:vAlign w:val="bottom"/>
            <w:hideMark/>
          </w:tcPr>
          <w:p w14:paraId="7E79697C"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-13,2%</w:t>
            </w:r>
          </w:p>
        </w:tc>
        <w:tc>
          <w:tcPr>
            <w:tcW w:w="850" w:type="dxa"/>
            <w:tcBorders>
              <w:top w:val="nil"/>
              <w:left w:val="nil"/>
              <w:bottom w:val="single" w:sz="4" w:space="0" w:color="auto"/>
              <w:right w:val="single" w:sz="4" w:space="0" w:color="auto"/>
            </w:tcBorders>
            <w:shd w:val="clear" w:color="auto" w:fill="auto"/>
            <w:noWrap/>
            <w:vAlign w:val="bottom"/>
            <w:hideMark/>
          </w:tcPr>
          <w:p w14:paraId="12D0A353"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-55,0%</w:t>
            </w:r>
          </w:p>
        </w:tc>
        <w:tc>
          <w:tcPr>
            <w:tcW w:w="851" w:type="dxa"/>
            <w:tcBorders>
              <w:top w:val="nil"/>
              <w:left w:val="nil"/>
              <w:bottom w:val="single" w:sz="4" w:space="0" w:color="auto"/>
              <w:right w:val="single" w:sz="4" w:space="0" w:color="auto"/>
            </w:tcBorders>
            <w:shd w:val="clear" w:color="auto" w:fill="auto"/>
            <w:noWrap/>
            <w:vAlign w:val="bottom"/>
            <w:hideMark/>
          </w:tcPr>
          <w:p w14:paraId="69166291"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-20,1%</w:t>
            </w:r>
          </w:p>
        </w:tc>
        <w:tc>
          <w:tcPr>
            <w:tcW w:w="850" w:type="dxa"/>
            <w:tcBorders>
              <w:top w:val="nil"/>
              <w:left w:val="nil"/>
              <w:bottom w:val="single" w:sz="4" w:space="0" w:color="auto"/>
              <w:right w:val="single" w:sz="4" w:space="0" w:color="auto"/>
            </w:tcBorders>
            <w:shd w:val="clear" w:color="auto" w:fill="auto"/>
            <w:noWrap/>
            <w:vAlign w:val="bottom"/>
            <w:hideMark/>
          </w:tcPr>
          <w:p w14:paraId="1AD05674"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-58,6%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5916AB2"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szCs w:val="22"/>
                <w:lang w:val="sr-Cyrl-CS" w:eastAsia="en-GB"/>
              </w:rPr>
            </w:pPr>
            <w:r w:rsidRPr="005303F7">
              <w:rPr>
                <w:rFonts w:ascii="Times New Roman" w:hAnsi="Times New Roman"/>
                <w:b/>
                <w:bCs/>
                <w:color w:val="000000"/>
                <w:sz w:val="20"/>
                <w:szCs w:val="22"/>
                <w:lang w:val="sr-Cyrl-CS" w:eastAsia="en-GB"/>
              </w:rPr>
              <w:t>-33,3%</w:t>
            </w:r>
          </w:p>
        </w:tc>
        <w:tc>
          <w:tcPr>
            <w:tcW w:w="850" w:type="dxa"/>
            <w:tcBorders>
              <w:top w:val="nil"/>
              <w:left w:val="nil"/>
              <w:bottom w:val="single" w:sz="4" w:space="0" w:color="auto"/>
              <w:right w:val="single" w:sz="4" w:space="0" w:color="auto"/>
            </w:tcBorders>
            <w:shd w:val="clear" w:color="auto" w:fill="auto"/>
            <w:noWrap/>
            <w:vAlign w:val="bottom"/>
            <w:hideMark/>
          </w:tcPr>
          <w:p w14:paraId="76B6FE3C"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szCs w:val="22"/>
                <w:lang w:val="sr-Cyrl-CS" w:eastAsia="en-GB"/>
              </w:rPr>
            </w:pPr>
            <w:r w:rsidRPr="005303F7">
              <w:rPr>
                <w:rFonts w:ascii="Times New Roman" w:hAnsi="Times New Roman"/>
                <w:b/>
                <w:bCs/>
                <w:color w:val="000000"/>
                <w:sz w:val="20"/>
                <w:szCs w:val="22"/>
                <w:lang w:val="sr-Cyrl-CS" w:eastAsia="en-GB"/>
              </w:rPr>
              <w:t>-65,4%</w:t>
            </w:r>
          </w:p>
        </w:tc>
      </w:tr>
      <w:tr w:rsidR="006070B1" w:rsidRPr="005303F7" w14:paraId="14461EB0" w14:textId="77777777" w:rsidTr="00182E68">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661CC38" w14:textId="306A6130" w:rsidR="006070B1" w:rsidRPr="005303F7" w:rsidRDefault="00BC327E" w:rsidP="006070B1">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t>LULUCF</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70E42235"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-1.432</w:t>
            </w:r>
          </w:p>
        </w:tc>
        <w:tc>
          <w:tcPr>
            <w:tcW w:w="777" w:type="dxa"/>
            <w:tcBorders>
              <w:top w:val="nil"/>
              <w:left w:val="nil"/>
              <w:bottom w:val="single" w:sz="4" w:space="0" w:color="auto"/>
              <w:right w:val="single" w:sz="4" w:space="0" w:color="auto"/>
            </w:tcBorders>
            <w:shd w:val="clear" w:color="auto" w:fill="auto"/>
            <w:noWrap/>
            <w:vAlign w:val="bottom"/>
            <w:hideMark/>
          </w:tcPr>
          <w:p w14:paraId="7B014F59" w14:textId="26C025AB" w:rsidR="006070B1" w:rsidRPr="005303F7" w:rsidRDefault="006070B1" w:rsidP="00ED5ECA">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w:t>
            </w:r>
            <w:r w:rsidR="00282085" w:rsidRPr="005303F7">
              <w:rPr>
                <w:rFonts w:ascii="Times New Roman" w:hAnsi="Times New Roman"/>
                <w:color w:val="000000"/>
                <w:sz w:val="20"/>
                <w:lang w:val="sr-Cyrl-CS" w:eastAsia="en-GB"/>
              </w:rPr>
              <w:t>7.090</w:t>
            </w:r>
          </w:p>
        </w:tc>
        <w:tc>
          <w:tcPr>
            <w:tcW w:w="777" w:type="dxa"/>
            <w:tcBorders>
              <w:top w:val="nil"/>
              <w:left w:val="nil"/>
              <w:bottom w:val="single" w:sz="4" w:space="0" w:color="auto"/>
              <w:right w:val="single" w:sz="4" w:space="0" w:color="auto"/>
            </w:tcBorders>
            <w:shd w:val="clear" w:color="auto" w:fill="auto"/>
            <w:noWrap/>
            <w:vAlign w:val="bottom"/>
            <w:hideMark/>
          </w:tcPr>
          <w:p w14:paraId="7C4E1286"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-5.627</w:t>
            </w:r>
          </w:p>
        </w:tc>
        <w:tc>
          <w:tcPr>
            <w:tcW w:w="777" w:type="dxa"/>
            <w:tcBorders>
              <w:top w:val="nil"/>
              <w:left w:val="nil"/>
              <w:bottom w:val="single" w:sz="4" w:space="0" w:color="auto"/>
              <w:right w:val="single" w:sz="4" w:space="0" w:color="auto"/>
            </w:tcBorders>
            <w:shd w:val="clear" w:color="auto" w:fill="auto"/>
            <w:noWrap/>
            <w:vAlign w:val="bottom"/>
            <w:hideMark/>
          </w:tcPr>
          <w:p w14:paraId="5A298EFF"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-4.533</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075FB145"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-6.766</w:t>
            </w:r>
          </w:p>
        </w:tc>
        <w:tc>
          <w:tcPr>
            <w:tcW w:w="777" w:type="dxa"/>
            <w:tcBorders>
              <w:top w:val="nil"/>
              <w:left w:val="nil"/>
              <w:bottom w:val="single" w:sz="4" w:space="0" w:color="auto"/>
              <w:right w:val="single" w:sz="4" w:space="0" w:color="auto"/>
            </w:tcBorders>
            <w:shd w:val="clear" w:color="auto" w:fill="auto"/>
            <w:noWrap/>
            <w:vAlign w:val="bottom"/>
            <w:hideMark/>
          </w:tcPr>
          <w:p w14:paraId="7D20555E"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-6.323</w:t>
            </w:r>
          </w:p>
        </w:tc>
        <w:tc>
          <w:tcPr>
            <w:tcW w:w="777" w:type="dxa"/>
            <w:tcBorders>
              <w:top w:val="nil"/>
              <w:left w:val="nil"/>
              <w:bottom w:val="single" w:sz="4" w:space="0" w:color="auto"/>
              <w:right w:val="single" w:sz="4" w:space="0" w:color="auto"/>
            </w:tcBorders>
            <w:shd w:val="clear" w:color="auto" w:fill="auto"/>
            <w:noWrap/>
            <w:vAlign w:val="bottom"/>
            <w:hideMark/>
          </w:tcPr>
          <w:p w14:paraId="5C77E4EB"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-6.576</w:t>
            </w:r>
          </w:p>
        </w:tc>
        <w:tc>
          <w:tcPr>
            <w:tcW w:w="777" w:type="dxa"/>
            <w:tcBorders>
              <w:top w:val="nil"/>
              <w:left w:val="nil"/>
              <w:bottom w:val="single" w:sz="4" w:space="0" w:color="auto"/>
              <w:right w:val="single" w:sz="4" w:space="0" w:color="auto"/>
            </w:tcBorders>
            <w:shd w:val="clear" w:color="auto" w:fill="auto"/>
            <w:noWrap/>
            <w:vAlign w:val="bottom"/>
            <w:hideMark/>
          </w:tcPr>
          <w:p w14:paraId="7E95E941"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-4.414</w:t>
            </w:r>
          </w:p>
        </w:tc>
        <w:tc>
          <w:tcPr>
            <w:tcW w:w="872" w:type="dxa"/>
            <w:tcBorders>
              <w:top w:val="nil"/>
              <w:left w:val="nil"/>
              <w:bottom w:val="single" w:sz="4" w:space="0" w:color="auto"/>
              <w:right w:val="single" w:sz="4" w:space="0" w:color="auto"/>
            </w:tcBorders>
            <w:shd w:val="clear" w:color="auto" w:fill="auto"/>
            <w:noWrap/>
            <w:vAlign w:val="bottom"/>
            <w:hideMark/>
          </w:tcPr>
          <w:p w14:paraId="5822534E"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16,9%</w:t>
            </w:r>
          </w:p>
        </w:tc>
        <w:tc>
          <w:tcPr>
            <w:tcW w:w="850" w:type="dxa"/>
            <w:tcBorders>
              <w:top w:val="nil"/>
              <w:left w:val="nil"/>
              <w:bottom w:val="single" w:sz="4" w:space="0" w:color="auto"/>
              <w:right w:val="single" w:sz="4" w:space="0" w:color="auto"/>
            </w:tcBorders>
            <w:shd w:val="clear" w:color="auto" w:fill="auto"/>
            <w:noWrap/>
            <w:vAlign w:val="bottom"/>
            <w:hideMark/>
          </w:tcPr>
          <w:p w14:paraId="37E2B85E"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-21,6%</w:t>
            </w:r>
          </w:p>
        </w:tc>
        <w:tc>
          <w:tcPr>
            <w:tcW w:w="851" w:type="dxa"/>
            <w:tcBorders>
              <w:top w:val="nil"/>
              <w:left w:val="nil"/>
              <w:bottom w:val="single" w:sz="4" w:space="0" w:color="auto"/>
              <w:right w:val="single" w:sz="4" w:space="0" w:color="auto"/>
            </w:tcBorders>
            <w:shd w:val="clear" w:color="auto" w:fill="auto"/>
            <w:noWrap/>
            <w:vAlign w:val="bottom"/>
            <w:hideMark/>
          </w:tcPr>
          <w:p w14:paraId="0FC7D09C" w14:textId="3471C56C" w:rsidR="006070B1" w:rsidRPr="005303F7" w:rsidRDefault="00DA3648">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-7,2</w:t>
            </w:r>
            <w:r w:rsidR="006070B1" w:rsidRPr="005303F7">
              <w:rPr>
                <w:rFonts w:ascii="Times New Roman" w:hAnsi="Times New Roman"/>
                <w:color w:val="000000"/>
                <w:sz w:val="20"/>
                <w:lang w:val="sr-Cyrl-CS" w:eastAsia="en-GB"/>
              </w:rPr>
              <w:t>%</w:t>
            </w:r>
          </w:p>
        </w:tc>
        <w:tc>
          <w:tcPr>
            <w:tcW w:w="850" w:type="dxa"/>
            <w:tcBorders>
              <w:top w:val="nil"/>
              <w:left w:val="nil"/>
              <w:bottom w:val="single" w:sz="4" w:space="0" w:color="auto"/>
              <w:right w:val="single" w:sz="4" w:space="0" w:color="auto"/>
            </w:tcBorders>
            <w:shd w:val="clear" w:color="auto" w:fill="auto"/>
            <w:noWrap/>
            <w:vAlign w:val="bottom"/>
            <w:hideMark/>
          </w:tcPr>
          <w:p w14:paraId="7F9A97B5" w14:textId="0BAF91D6" w:rsidR="006070B1" w:rsidRPr="005303F7" w:rsidRDefault="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w:t>
            </w:r>
            <w:r w:rsidR="00DA3648" w:rsidRPr="005303F7">
              <w:rPr>
                <w:rFonts w:ascii="Times New Roman" w:hAnsi="Times New Roman"/>
                <w:color w:val="000000"/>
                <w:sz w:val="20"/>
                <w:lang w:val="sr-Cyrl-CS" w:eastAsia="en-GB"/>
              </w:rPr>
              <w:t>37,7</w:t>
            </w:r>
            <w:r w:rsidRPr="005303F7">
              <w:rPr>
                <w:rFonts w:ascii="Times New Roman" w:hAnsi="Times New Roman"/>
                <w:color w:val="000000"/>
                <w:sz w:val="20"/>
                <w:lang w:val="sr-Cyrl-CS" w:eastAsia="en-GB"/>
              </w:rPr>
              <w: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8BAECF1" w14:textId="697A6ACC" w:rsidR="006070B1" w:rsidRPr="005303F7" w:rsidRDefault="00DA3648">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359,2</w:t>
            </w:r>
            <w:r w:rsidR="006070B1" w:rsidRPr="005303F7">
              <w:rPr>
                <w:rFonts w:ascii="Times New Roman" w:hAnsi="Times New Roman"/>
                <w:color w:val="000000"/>
                <w:sz w:val="20"/>
                <w:szCs w:val="22"/>
                <w:lang w:val="sr-Cyrl-CS" w:eastAsia="en-GB"/>
              </w:rPr>
              <w:t>%</w:t>
            </w:r>
          </w:p>
        </w:tc>
        <w:tc>
          <w:tcPr>
            <w:tcW w:w="850" w:type="dxa"/>
            <w:tcBorders>
              <w:top w:val="nil"/>
              <w:left w:val="nil"/>
              <w:bottom w:val="single" w:sz="4" w:space="0" w:color="auto"/>
              <w:right w:val="single" w:sz="4" w:space="0" w:color="auto"/>
            </w:tcBorders>
            <w:shd w:val="clear" w:color="auto" w:fill="auto"/>
            <w:noWrap/>
            <w:vAlign w:val="bottom"/>
            <w:hideMark/>
          </w:tcPr>
          <w:p w14:paraId="6620D2DC" w14:textId="0C7232A0" w:rsidR="006070B1" w:rsidRPr="005303F7" w:rsidRDefault="006070B1">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2</w:t>
            </w:r>
            <w:r w:rsidR="00F02344" w:rsidRPr="005303F7">
              <w:rPr>
                <w:rFonts w:ascii="Times New Roman" w:hAnsi="Times New Roman"/>
                <w:color w:val="000000"/>
                <w:sz w:val="20"/>
                <w:szCs w:val="22"/>
                <w:lang w:val="sr-Cyrl-CS" w:eastAsia="en-GB"/>
              </w:rPr>
              <w:t>08,2</w:t>
            </w:r>
            <w:r w:rsidRPr="005303F7">
              <w:rPr>
                <w:rFonts w:ascii="Times New Roman" w:hAnsi="Times New Roman"/>
                <w:color w:val="000000"/>
                <w:sz w:val="20"/>
                <w:szCs w:val="22"/>
                <w:lang w:val="sr-Cyrl-CS" w:eastAsia="en-GB"/>
              </w:rPr>
              <w:t>%</w:t>
            </w:r>
          </w:p>
        </w:tc>
      </w:tr>
      <w:tr w:rsidR="006070B1" w:rsidRPr="005303F7" w14:paraId="24704FCD" w14:textId="77777777" w:rsidTr="00182E68">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113F477" w14:textId="7FDFF96B" w:rsidR="006070B1" w:rsidRPr="005303F7" w:rsidRDefault="008D69AF" w:rsidP="006070B1">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t>Укупно</w:t>
            </w:r>
            <w:r w:rsidR="001B6C5B" w:rsidRPr="005303F7">
              <w:rPr>
                <w:rFonts w:ascii="Times New Roman" w:hAnsi="Times New Roman"/>
                <w:color w:val="000000"/>
                <w:lang w:val="sr-Cyrl-CS" w:eastAsia="en-GB"/>
              </w:rPr>
              <w:t xml:space="preserve"> </w:t>
            </w:r>
            <w:r w:rsidRPr="005303F7">
              <w:rPr>
                <w:rFonts w:ascii="Times New Roman" w:hAnsi="Times New Roman"/>
                <w:color w:val="000000"/>
                <w:lang w:val="sr-Cyrl-CS" w:eastAsia="en-GB"/>
              </w:rPr>
              <w:t>са</w:t>
            </w:r>
            <w:r w:rsidR="006070B1" w:rsidRPr="005303F7">
              <w:rPr>
                <w:rFonts w:ascii="Times New Roman" w:hAnsi="Times New Roman"/>
                <w:color w:val="000000"/>
                <w:lang w:val="sr-Cyrl-CS" w:eastAsia="en-GB"/>
              </w:rPr>
              <w:t xml:space="preserve"> </w:t>
            </w:r>
            <w:r w:rsidR="00BC327E" w:rsidRPr="005303F7">
              <w:rPr>
                <w:rFonts w:ascii="Times New Roman" w:hAnsi="Times New Roman"/>
                <w:color w:val="000000"/>
                <w:lang w:val="sr-Cyrl-CS" w:eastAsia="en-GB"/>
              </w:rPr>
              <w:t>LULUCF</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559671B7"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80.094</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07955652" w14:textId="140CCCE4" w:rsidR="006070B1" w:rsidRPr="005303F7" w:rsidRDefault="006070B1" w:rsidP="00ED5ECA">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w:t>
            </w:r>
            <w:r w:rsidR="00282085" w:rsidRPr="005303F7">
              <w:rPr>
                <w:rFonts w:ascii="Times New Roman" w:hAnsi="Times New Roman"/>
                <w:color w:val="000000"/>
                <w:sz w:val="20"/>
                <w:lang w:val="sr-Cyrl-CS" w:eastAsia="en-GB"/>
              </w:rPr>
              <w:t>1.00</w:t>
            </w:r>
            <w:r w:rsidR="00DA3648" w:rsidRPr="005303F7">
              <w:rPr>
                <w:rFonts w:ascii="Times New Roman" w:hAnsi="Times New Roman"/>
                <w:color w:val="000000"/>
                <w:sz w:val="20"/>
                <w:lang w:val="sr-Cyrl-CS" w:eastAsia="en-GB"/>
              </w:rPr>
              <w:t>1</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071D3D4B"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57.023</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07C50DE3"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56.700</w:t>
            </w:r>
          </w:p>
        </w:tc>
        <w:tc>
          <w:tcPr>
            <w:tcW w:w="777" w:type="dxa"/>
            <w:tcBorders>
              <w:top w:val="nil"/>
              <w:left w:val="nil"/>
              <w:bottom w:val="single" w:sz="4" w:space="0" w:color="auto"/>
              <w:right w:val="single" w:sz="4" w:space="0" w:color="auto"/>
            </w:tcBorders>
            <w:shd w:val="clear" w:color="auto" w:fill="auto"/>
            <w:noWrap/>
            <w:vAlign w:val="bottom"/>
            <w:hideMark/>
          </w:tcPr>
          <w:p w14:paraId="2DB27450"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56.165</w:t>
            </w:r>
          </w:p>
        </w:tc>
        <w:tc>
          <w:tcPr>
            <w:tcW w:w="777" w:type="dxa"/>
            <w:tcBorders>
              <w:top w:val="nil"/>
              <w:left w:val="nil"/>
              <w:bottom w:val="single" w:sz="4" w:space="0" w:color="auto"/>
              <w:right w:val="single" w:sz="4" w:space="0" w:color="auto"/>
            </w:tcBorders>
            <w:shd w:val="clear" w:color="auto" w:fill="auto"/>
            <w:noWrap/>
            <w:vAlign w:val="bottom"/>
            <w:hideMark/>
          </w:tcPr>
          <w:p w14:paraId="3224F967"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53.467</w:t>
            </w:r>
          </w:p>
        </w:tc>
        <w:tc>
          <w:tcPr>
            <w:tcW w:w="777" w:type="dxa"/>
            <w:tcBorders>
              <w:top w:val="nil"/>
              <w:left w:val="nil"/>
              <w:bottom w:val="single" w:sz="4" w:space="0" w:color="auto"/>
              <w:right w:val="single" w:sz="4" w:space="0" w:color="auto"/>
            </w:tcBorders>
            <w:shd w:val="clear" w:color="auto" w:fill="auto"/>
            <w:noWrap/>
            <w:vAlign w:val="bottom"/>
            <w:hideMark/>
          </w:tcPr>
          <w:p w14:paraId="4F80C42D"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47.820</w:t>
            </w:r>
          </w:p>
        </w:tc>
        <w:tc>
          <w:tcPr>
            <w:tcW w:w="777" w:type="dxa"/>
            <w:tcBorders>
              <w:top w:val="nil"/>
              <w:left w:val="nil"/>
              <w:bottom w:val="single" w:sz="4" w:space="0" w:color="auto"/>
              <w:right w:val="single" w:sz="4" w:space="0" w:color="auto"/>
            </w:tcBorders>
            <w:shd w:val="clear" w:color="auto" w:fill="auto"/>
            <w:noWrap/>
            <w:vAlign w:val="bottom"/>
            <w:hideMark/>
          </w:tcPr>
          <w:p w14:paraId="19F2D16F"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23.766</w:t>
            </w:r>
          </w:p>
        </w:tc>
        <w:tc>
          <w:tcPr>
            <w:tcW w:w="872" w:type="dxa"/>
            <w:tcBorders>
              <w:top w:val="nil"/>
              <w:left w:val="nil"/>
              <w:bottom w:val="single" w:sz="4" w:space="0" w:color="auto"/>
              <w:right w:val="single" w:sz="4" w:space="0" w:color="auto"/>
            </w:tcBorders>
            <w:shd w:val="clear" w:color="auto" w:fill="auto"/>
            <w:noWrap/>
            <w:vAlign w:val="bottom"/>
            <w:hideMark/>
          </w:tcPr>
          <w:p w14:paraId="1359560F"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-16,1%</w:t>
            </w:r>
          </w:p>
        </w:tc>
        <w:tc>
          <w:tcPr>
            <w:tcW w:w="850" w:type="dxa"/>
            <w:tcBorders>
              <w:top w:val="nil"/>
              <w:left w:val="nil"/>
              <w:bottom w:val="single" w:sz="4" w:space="0" w:color="auto"/>
              <w:right w:val="single" w:sz="4" w:space="0" w:color="auto"/>
            </w:tcBorders>
            <w:shd w:val="clear" w:color="auto" w:fill="auto"/>
            <w:noWrap/>
            <w:vAlign w:val="bottom"/>
            <w:hideMark/>
          </w:tcPr>
          <w:p w14:paraId="654742E8"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-58,3%</w:t>
            </w:r>
          </w:p>
        </w:tc>
        <w:tc>
          <w:tcPr>
            <w:tcW w:w="851" w:type="dxa"/>
            <w:tcBorders>
              <w:top w:val="nil"/>
              <w:left w:val="nil"/>
              <w:bottom w:val="single" w:sz="4" w:space="0" w:color="auto"/>
              <w:right w:val="single" w:sz="4" w:space="0" w:color="auto"/>
            </w:tcBorders>
            <w:shd w:val="clear" w:color="auto" w:fill="auto"/>
            <w:noWrap/>
            <w:vAlign w:val="bottom"/>
            <w:hideMark/>
          </w:tcPr>
          <w:p w14:paraId="79DEA6BA" w14:textId="4A1CF31C"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w:t>
            </w:r>
            <w:r w:rsidR="00272884" w:rsidRPr="005303F7">
              <w:rPr>
                <w:rFonts w:ascii="Times New Roman" w:hAnsi="Times New Roman"/>
                <w:color w:val="000000"/>
                <w:sz w:val="20"/>
                <w:lang w:val="sr-Cyrl-CS" w:eastAsia="en-GB"/>
              </w:rPr>
              <w:t>1,6</w:t>
            </w:r>
            <w:r w:rsidRPr="005303F7">
              <w:rPr>
                <w:rFonts w:ascii="Times New Roman" w:hAnsi="Times New Roman"/>
                <w:color w:val="000000"/>
                <w:sz w:val="20"/>
                <w:lang w:val="sr-Cyrl-CS" w:eastAsia="en-GB"/>
              </w:rPr>
              <w:t>%</w:t>
            </w:r>
          </w:p>
        </w:tc>
        <w:tc>
          <w:tcPr>
            <w:tcW w:w="850" w:type="dxa"/>
            <w:tcBorders>
              <w:top w:val="nil"/>
              <w:left w:val="nil"/>
              <w:bottom w:val="single" w:sz="4" w:space="0" w:color="auto"/>
              <w:right w:val="single" w:sz="4" w:space="0" w:color="auto"/>
            </w:tcBorders>
            <w:shd w:val="clear" w:color="auto" w:fill="auto"/>
            <w:noWrap/>
            <w:vAlign w:val="bottom"/>
            <w:hideMark/>
          </w:tcPr>
          <w:p w14:paraId="6DAF35B6" w14:textId="53A7606C" w:rsidR="006070B1" w:rsidRPr="005303F7" w:rsidRDefault="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w:t>
            </w:r>
            <w:r w:rsidR="00272884" w:rsidRPr="005303F7">
              <w:rPr>
                <w:rFonts w:ascii="Times New Roman" w:hAnsi="Times New Roman"/>
                <w:color w:val="000000"/>
                <w:sz w:val="20"/>
                <w:lang w:val="sr-Cyrl-CS" w:eastAsia="en-GB"/>
              </w:rPr>
              <w:t>1</w:t>
            </w:r>
            <w:r w:rsidRPr="005303F7">
              <w:rPr>
                <w:rFonts w:ascii="Times New Roman" w:hAnsi="Times New Roman"/>
                <w:color w:val="000000"/>
                <w:sz w:val="20"/>
                <w:lang w:val="sr-Cyrl-CS" w:eastAsia="en-GB"/>
              </w:rPr>
              <w:t>,0%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AC88F7" w14:textId="572AF49C" w:rsidR="006070B1" w:rsidRPr="005303F7" w:rsidRDefault="006070B1">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w:t>
            </w:r>
            <w:r w:rsidR="00272884" w:rsidRPr="005303F7">
              <w:rPr>
                <w:rFonts w:ascii="Times New Roman" w:hAnsi="Times New Roman"/>
                <w:color w:val="000000"/>
                <w:sz w:val="20"/>
                <w:szCs w:val="22"/>
                <w:lang w:val="sr-Cyrl-CS" w:eastAsia="en-GB"/>
              </w:rPr>
              <w:t>40,3</w:t>
            </w:r>
            <w:r w:rsidRPr="005303F7">
              <w:rPr>
                <w:rFonts w:ascii="Times New Roman" w:hAnsi="Times New Roman"/>
                <w:color w:val="000000"/>
                <w:sz w:val="20"/>
                <w:szCs w:val="22"/>
                <w:lang w:val="sr-Cyrl-CS" w:eastAsia="en-GB"/>
              </w:rPr>
              <w:t>%</w:t>
            </w:r>
          </w:p>
        </w:tc>
        <w:tc>
          <w:tcPr>
            <w:tcW w:w="850" w:type="dxa"/>
            <w:tcBorders>
              <w:top w:val="nil"/>
              <w:left w:val="nil"/>
              <w:bottom w:val="single" w:sz="4" w:space="0" w:color="auto"/>
              <w:right w:val="single" w:sz="4" w:space="0" w:color="auto"/>
            </w:tcBorders>
            <w:shd w:val="clear" w:color="auto" w:fill="auto"/>
            <w:noWrap/>
            <w:vAlign w:val="bottom"/>
            <w:hideMark/>
          </w:tcPr>
          <w:p w14:paraId="770F63B0" w14:textId="25F6FBA9" w:rsidR="006070B1" w:rsidRPr="005303F7" w:rsidRDefault="006070B1">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w:t>
            </w:r>
            <w:r w:rsidR="00272884" w:rsidRPr="005303F7">
              <w:rPr>
                <w:rFonts w:ascii="Times New Roman" w:hAnsi="Times New Roman"/>
                <w:color w:val="000000"/>
                <w:sz w:val="20"/>
                <w:szCs w:val="22"/>
                <w:lang w:val="sr-Cyrl-CS" w:eastAsia="en-GB"/>
              </w:rPr>
              <w:t>70,3</w:t>
            </w:r>
            <w:r w:rsidRPr="005303F7">
              <w:rPr>
                <w:rFonts w:ascii="Times New Roman" w:hAnsi="Times New Roman"/>
                <w:color w:val="000000"/>
                <w:sz w:val="20"/>
                <w:szCs w:val="22"/>
                <w:lang w:val="sr-Cyrl-CS" w:eastAsia="en-GB"/>
              </w:rPr>
              <w:t>%</w:t>
            </w:r>
          </w:p>
        </w:tc>
      </w:tr>
    </w:tbl>
    <w:p w14:paraId="1795A2C8" w14:textId="77777777" w:rsidR="006070B1" w:rsidRPr="005303F7" w:rsidRDefault="006070B1" w:rsidP="00DC6B1D">
      <w:pPr>
        <w:spacing w:before="0" w:after="0"/>
        <w:rPr>
          <w:rFonts w:ascii="Times New Roman" w:hAnsi="Times New Roman"/>
          <w:b/>
          <w:bCs/>
          <w:sz w:val="8"/>
          <w:szCs w:val="6"/>
          <w:lang w:val="sr-Cyrl-CS"/>
        </w:rPr>
      </w:pPr>
    </w:p>
    <w:tbl>
      <w:tblPr>
        <w:tblW w:w="14170" w:type="dxa"/>
        <w:tblLayout w:type="fixed"/>
        <w:tblLook w:val="04A0" w:firstRow="1" w:lastRow="0" w:firstColumn="1" w:lastColumn="0" w:noHBand="0" w:noVBand="1"/>
      </w:tblPr>
      <w:tblGrid>
        <w:gridCol w:w="2830"/>
        <w:gridCol w:w="777"/>
        <w:gridCol w:w="777"/>
        <w:gridCol w:w="777"/>
        <w:gridCol w:w="777"/>
        <w:gridCol w:w="777"/>
        <w:gridCol w:w="777"/>
        <w:gridCol w:w="777"/>
        <w:gridCol w:w="777"/>
        <w:gridCol w:w="872"/>
        <w:gridCol w:w="850"/>
        <w:gridCol w:w="851"/>
        <w:gridCol w:w="850"/>
        <w:gridCol w:w="851"/>
        <w:gridCol w:w="850"/>
      </w:tblGrid>
      <w:tr w:rsidR="00182E68" w:rsidRPr="005303F7" w14:paraId="005E1720" w14:textId="77777777" w:rsidTr="00725FB7">
        <w:trPr>
          <w:trHeight w:val="290"/>
          <w:tblHeader/>
        </w:trPr>
        <w:tc>
          <w:tcPr>
            <w:tcW w:w="283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55BC12C" w14:textId="4E707AB3" w:rsidR="00182E68" w:rsidRPr="005303F7" w:rsidRDefault="008D69AF" w:rsidP="00182E68">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t>М</w:t>
            </w:r>
            <w:r w:rsidR="00182E68" w:rsidRPr="005303F7">
              <w:rPr>
                <w:rFonts w:ascii="Times New Roman" w:hAnsi="Times New Roman"/>
                <w:color w:val="000000"/>
                <w:lang w:val="sr-Cyrl-CS" w:eastAsia="en-GB"/>
              </w:rPr>
              <w:t>3</w:t>
            </w:r>
          </w:p>
        </w:tc>
        <w:tc>
          <w:tcPr>
            <w:tcW w:w="777" w:type="dxa"/>
            <w:tcBorders>
              <w:top w:val="single" w:sz="4" w:space="0" w:color="auto"/>
              <w:left w:val="single" w:sz="4" w:space="0" w:color="auto"/>
              <w:bottom w:val="nil"/>
              <w:right w:val="single" w:sz="4" w:space="0" w:color="auto"/>
            </w:tcBorders>
            <w:shd w:val="clear" w:color="000000" w:fill="BFBFBF"/>
            <w:noWrap/>
            <w:vAlign w:val="center"/>
            <w:hideMark/>
          </w:tcPr>
          <w:p w14:paraId="5C0EA035" w14:textId="2D2E8CE1" w:rsidR="00182E68" w:rsidRPr="005303F7" w:rsidRDefault="00182E68" w:rsidP="00FB3B09">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1990</w:t>
            </w:r>
            <w:r w:rsidR="00B2496D" w:rsidRPr="005303F7">
              <w:rPr>
                <w:rFonts w:ascii="Times New Roman" w:hAnsi="Times New Roman"/>
                <w:color w:val="000000"/>
                <w:lang w:val="sr-Cyrl-CS" w:eastAsia="en-GB"/>
              </w:rPr>
              <w:t>.</w:t>
            </w:r>
          </w:p>
        </w:tc>
        <w:tc>
          <w:tcPr>
            <w:tcW w:w="777" w:type="dxa"/>
            <w:tcBorders>
              <w:top w:val="single" w:sz="4" w:space="0" w:color="auto"/>
              <w:left w:val="nil"/>
              <w:bottom w:val="nil"/>
              <w:right w:val="single" w:sz="4" w:space="0" w:color="auto"/>
            </w:tcBorders>
            <w:shd w:val="clear" w:color="000000" w:fill="BFBFBF"/>
            <w:noWrap/>
            <w:vAlign w:val="center"/>
            <w:hideMark/>
          </w:tcPr>
          <w:p w14:paraId="3824E865" w14:textId="6DDF69E7" w:rsidR="00182E68" w:rsidRPr="005303F7" w:rsidRDefault="00182E68" w:rsidP="00FB3B09">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2005</w:t>
            </w:r>
            <w:r w:rsidR="00B2496D" w:rsidRPr="005303F7">
              <w:rPr>
                <w:rFonts w:ascii="Times New Roman" w:hAnsi="Times New Roman"/>
                <w:color w:val="000000"/>
                <w:lang w:val="sr-Cyrl-CS" w:eastAsia="en-GB"/>
              </w:rPr>
              <w:t>.</w:t>
            </w:r>
          </w:p>
        </w:tc>
        <w:tc>
          <w:tcPr>
            <w:tcW w:w="777" w:type="dxa"/>
            <w:tcBorders>
              <w:top w:val="single" w:sz="4" w:space="0" w:color="auto"/>
              <w:left w:val="nil"/>
              <w:bottom w:val="nil"/>
              <w:right w:val="single" w:sz="4" w:space="0" w:color="auto"/>
            </w:tcBorders>
            <w:shd w:val="clear" w:color="000000" w:fill="BFBFBF"/>
            <w:noWrap/>
            <w:vAlign w:val="center"/>
            <w:hideMark/>
          </w:tcPr>
          <w:p w14:paraId="7AF44E0B" w14:textId="2EEEBEC7" w:rsidR="00182E68" w:rsidRPr="005303F7" w:rsidRDefault="00182E68" w:rsidP="00FB3B09">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2010</w:t>
            </w:r>
            <w:r w:rsidR="00B2496D" w:rsidRPr="005303F7">
              <w:rPr>
                <w:rFonts w:ascii="Times New Roman" w:hAnsi="Times New Roman"/>
                <w:color w:val="000000"/>
                <w:lang w:val="sr-Cyrl-CS" w:eastAsia="en-GB"/>
              </w:rPr>
              <w:t>.</w:t>
            </w:r>
          </w:p>
        </w:tc>
        <w:tc>
          <w:tcPr>
            <w:tcW w:w="777" w:type="dxa"/>
            <w:tcBorders>
              <w:top w:val="single" w:sz="4" w:space="0" w:color="auto"/>
              <w:left w:val="nil"/>
              <w:bottom w:val="nil"/>
              <w:right w:val="single" w:sz="4" w:space="0" w:color="auto"/>
            </w:tcBorders>
            <w:shd w:val="clear" w:color="000000" w:fill="BFBFBF"/>
            <w:noWrap/>
            <w:vAlign w:val="center"/>
            <w:hideMark/>
          </w:tcPr>
          <w:p w14:paraId="0962F6A8" w14:textId="18199583" w:rsidR="00182E68" w:rsidRPr="005303F7" w:rsidRDefault="00182E68" w:rsidP="00FB3B09">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2015</w:t>
            </w:r>
            <w:r w:rsidR="00B2496D" w:rsidRPr="005303F7">
              <w:rPr>
                <w:rFonts w:ascii="Times New Roman" w:hAnsi="Times New Roman"/>
                <w:color w:val="000000"/>
                <w:lang w:val="sr-Cyrl-CS" w:eastAsia="en-GB"/>
              </w:rPr>
              <w:t>.</w:t>
            </w:r>
          </w:p>
        </w:tc>
        <w:tc>
          <w:tcPr>
            <w:tcW w:w="77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49D4BD8" w14:textId="2889856D" w:rsidR="00182E68" w:rsidRPr="005303F7" w:rsidRDefault="00182E68" w:rsidP="00FB3B09">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2020</w:t>
            </w:r>
            <w:r w:rsidR="00B2496D" w:rsidRPr="005303F7">
              <w:rPr>
                <w:rFonts w:ascii="Times New Roman" w:hAnsi="Times New Roman"/>
                <w:color w:val="000000"/>
                <w:lang w:val="sr-Cyrl-CS" w:eastAsia="en-GB"/>
              </w:rPr>
              <w:t>.</w:t>
            </w:r>
          </w:p>
        </w:tc>
        <w:tc>
          <w:tcPr>
            <w:tcW w:w="777" w:type="dxa"/>
            <w:tcBorders>
              <w:top w:val="single" w:sz="4" w:space="0" w:color="auto"/>
              <w:left w:val="nil"/>
              <w:bottom w:val="single" w:sz="4" w:space="0" w:color="auto"/>
              <w:right w:val="single" w:sz="4" w:space="0" w:color="auto"/>
            </w:tcBorders>
            <w:shd w:val="clear" w:color="000000" w:fill="BFBFBF"/>
            <w:noWrap/>
            <w:vAlign w:val="center"/>
            <w:hideMark/>
          </w:tcPr>
          <w:p w14:paraId="11737BE2" w14:textId="3ED08156" w:rsidR="00182E68" w:rsidRPr="005303F7" w:rsidRDefault="00182E68" w:rsidP="00FB3B09">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2025</w:t>
            </w:r>
            <w:r w:rsidR="00B2496D" w:rsidRPr="005303F7">
              <w:rPr>
                <w:rFonts w:ascii="Times New Roman" w:hAnsi="Times New Roman"/>
                <w:color w:val="000000"/>
                <w:lang w:val="sr-Cyrl-CS" w:eastAsia="en-GB"/>
              </w:rPr>
              <w:t>.</w:t>
            </w:r>
          </w:p>
        </w:tc>
        <w:tc>
          <w:tcPr>
            <w:tcW w:w="777" w:type="dxa"/>
            <w:tcBorders>
              <w:top w:val="single" w:sz="4" w:space="0" w:color="auto"/>
              <w:left w:val="nil"/>
              <w:bottom w:val="single" w:sz="4" w:space="0" w:color="auto"/>
              <w:right w:val="single" w:sz="4" w:space="0" w:color="auto"/>
            </w:tcBorders>
            <w:shd w:val="clear" w:color="000000" w:fill="BFBFBF"/>
            <w:noWrap/>
            <w:vAlign w:val="center"/>
            <w:hideMark/>
          </w:tcPr>
          <w:p w14:paraId="16643B7C" w14:textId="5FFE98CE" w:rsidR="00182E68" w:rsidRPr="005303F7" w:rsidRDefault="00182E68" w:rsidP="00FB3B09">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2030</w:t>
            </w:r>
            <w:r w:rsidR="00B2496D" w:rsidRPr="005303F7">
              <w:rPr>
                <w:rFonts w:ascii="Times New Roman" w:hAnsi="Times New Roman"/>
                <w:color w:val="000000"/>
                <w:lang w:val="sr-Cyrl-CS" w:eastAsia="en-GB"/>
              </w:rPr>
              <w:t>.</w:t>
            </w:r>
          </w:p>
        </w:tc>
        <w:tc>
          <w:tcPr>
            <w:tcW w:w="777" w:type="dxa"/>
            <w:tcBorders>
              <w:top w:val="single" w:sz="4" w:space="0" w:color="auto"/>
              <w:left w:val="nil"/>
              <w:bottom w:val="single" w:sz="4" w:space="0" w:color="auto"/>
              <w:right w:val="single" w:sz="4" w:space="0" w:color="auto"/>
            </w:tcBorders>
            <w:shd w:val="clear" w:color="000000" w:fill="BFBFBF"/>
            <w:noWrap/>
            <w:vAlign w:val="center"/>
            <w:hideMark/>
          </w:tcPr>
          <w:p w14:paraId="1E4AC83C" w14:textId="45390B80" w:rsidR="00182E68" w:rsidRPr="005303F7" w:rsidRDefault="00182E68" w:rsidP="00FB3B09">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2050</w:t>
            </w:r>
            <w:r w:rsidR="00B2496D" w:rsidRPr="005303F7">
              <w:rPr>
                <w:rFonts w:ascii="Times New Roman" w:hAnsi="Times New Roman"/>
                <w:color w:val="000000"/>
                <w:lang w:val="sr-Cyrl-CS" w:eastAsia="en-GB"/>
              </w:rPr>
              <w:t>.</w:t>
            </w:r>
          </w:p>
        </w:tc>
        <w:tc>
          <w:tcPr>
            <w:tcW w:w="872" w:type="dxa"/>
            <w:tcBorders>
              <w:top w:val="single" w:sz="4" w:space="0" w:color="auto"/>
              <w:left w:val="nil"/>
              <w:bottom w:val="single" w:sz="4" w:space="0" w:color="auto"/>
              <w:right w:val="single" w:sz="4" w:space="0" w:color="auto"/>
            </w:tcBorders>
            <w:shd w:val="clear" w:color="000000" w:fill="9BC2E6"/>
            <w:vAlign w:val="center"/>
            <w:hideMark/>
          </w:tcPr>
          <w:p w14:paraId="793D45E4" w14:textId="77777777" w:rsidR="00182E68" w:rsidRPr="005303F7" w:rsidRDefault="00182E68" w:rsidP="00FB3B09">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2030/</w:t>
            </w:r>
          </w:p>
          <w:p w14:paraId="35F06483" w14:textId="387B0039" w:rsidR="00182E68" w:rsidRPr="005303F7" w:rsidRDefault="00182E68" w:rsidP="00FB3B09">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2010</w:t>
            </w:r>
            <w:r w:rsidR="00B2496D" w:rsidRPr="005303F7">
              <w:rPr>
                <w:rFonts w:ascii="Times New Roman" w:hAnsi="Times New Roman"/>
                <w:color w:val="000000"/>
                <w:lang w:val="sr-Cyrl-CS" w:eastAsia="en-GB"/>
              </w:rPr>
              <w:t>.</w:t>
            </w:r>
          </w:p>
        </w:tc>
        <w:tc>
          <w:tcPr>
            <w:tcW w:w="850" w:type="dxa"/>
            <w:tcBorders>
              <w:top w:val="single" w:sz="4" w:space="0" w:color="auto"/>
              <w:left w:val="nil"/>
              <w:bottom w:val="single" w:sz="4" w:space="0" w:color="auto"/>
              <w:right w:val="single" w:sz="4" w:space="0" w:color="auto"/>
            </w:tcBorders>
            <w:shd w:val="clear" w:color="000000" w:fill="9BC2E6"/>
            <w:vAlign w:val="center"/>
            <w:hideMark/>
          </w:tcPr>
          <w:p w14:paraId="7655D4EB" w14:textId="77777777" w:rsidR="00182E68" w:rsidRPr="005303F7" w:rsidRDefault="00182E68" w:rsidP="00FB3B09">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2050/</w:t>
            </w:r>
          </w:p>
          <w:p w14:paraId="624CD0B3" w14:textId="61C45290" w:rsidR="00182E68" w:rsidRPr="005303F7" w:rsidRDefault="00182E68" w:rsidP="00FB3B09">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2010</w:t>
            </w:r>
            <w:r w:rsidR="00B2496D" w:rsidRPr="005303F7">
              <w:rPr>
                <w:rFonts w:ascii="Times New Roman" w:hAnsi="Times New Roman"/>
                <w:color w:val="000000"/>
                <w:lang w:val="sr-Cyrl-CS" w:eastAsia="en-GB"/>
              </w:rPr>
              <w:t>.</w:t>
            </w:r>
          </w:p>
        </w:tc>
        <w:tc>
          <w:tcPr>
            <w:tcW w:w="851" w:type="dxa"/>
            <w:tcBorders>
              <w:top w:val="single" w:sz="4" w:space="0" w:color="auto"/>
              <w:left w:val="nil"/>
              <w:bottom w:val="single" w:sz="4" w:space="0" w:color="auto"/>
              <w:right w:val="single" w:sz="4" w:space="0" w:color="auto"/>
            </w:tcBorders>
            <w:shd w:val="clear" w:color="000000" w:fill="FFE699"/>
            <w:vAlign w:val="center"/>
            <w:hideMark/>
          </w:tcPr>
          <w:p w14:paraId="24DC06F3" w14:textId="77777777" w:rsidR="00182E68" w:rsidRPr="005303F7" w:rsidRDefault="00182E68" w:rsidP="00FB3B09">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2030/</w:t>
            </w:r>
          </w:p>
          <w:p w14:paraId="37EF5E6F" w14:textId="43A03F92" w:rsidR="00182E68" w:rsidRPr="005303F7" w:rsidRDefault="00182E68" w:rsidP="00FB3B09">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2005</w:t>
            </w:r>
            <w:r w:rsidR="00B2496D" w:rsidRPr="005303F7">
              <w:rPr>
                <w:rFonts w:ascii="Times New Roman" w:hAnsi="Times New Roman"/>
                <w:color w:val="000000"/>
                <w:lang w:val="sr-Cyrl-CS" w:eastAsia="en-GB"/>
              </w:rPr>
              <w:t>.</w:t>
            </w:r>
          </w:p>
        </w:tc>
        <w:tc>
          <w:tcPr>
            <w:tcW w:w="850" w:type="dxa"/>
            <w:tcBorders>
              <w:top w:val="single" w:sz="4" w:space="0" w:color="auto"/>
              <w:left w:val="nil"/>
              <w:bottom w:val="single" w:sz="4" w:space="0" w:color="auto"/>
              <w:right w:val="single" w:sz="4" w:space="0" w:color="auto"/>
            </w:tcBorders>
            <w:shd w:val="clear" w:color="000000" w:fill="FFE699"/>
            <w:vAlign w:val="center"/>
            <w:hideMark/>
          </w:tcPr>
          <w:p w14:paraId="2A59274A" w14:textId="77777777" w:rsidR="00182E68" w:rsidRPr="005303F7" w:rsidRDefault="00182E68" w:rsidP="00FB3B09">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2050/</w:t>
            </w:r>
          </w:p>
          <w:p w14:paraId="7506A861" w14:textId="75B39509" w:rsidR="00182E68" w:rsidRPr="005303F7" w:rsidRDefault="00182E68" w:rsidP="00FB3B09">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2005</w:t>
            </w:r>
            <w:r w:rsidR="00B2496D" w:rsidRPr="005303F7">
              <w:rPr>
                <w:rFonts w:ascii="Times New Roman" w:hAnsi="Times New Roman"/>
                <w:color w:val="000000"/>
                <w:lang w:val="sr-Cyrl-CS" w:eastAsia="en-GB"/>
              </w:rPr>
              <w:t>.</w:t>
            </w:r>
          </w:p>
        </w:tc>
        <w:tc>
          <w:tcPr>
            <w:tcW w:w="851"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42282F74" w14:textId="77777777" w:rsidR="00182E68" w:rsidRPr="005303F7" w:rsidRDefault="00182E68" w:rsidP="00FB3B09">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2030/</w:t>
            </w:r>
          </w:p>
          <w:p w14:paraId="1B768C33" w14:textId="056961AD" w:rsidR="00182E68" w:rsidRPr="005303F7" w:rsidRDefault="00182E68" w:rsidP="00FB3B09">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1990</w:t>
            </w:r>
            <w:r w:rsidR="00B2496D" w:rsidRPr="005303F7">
              <w:rPr>
                <w:rFonts w:ascii="Times New Roman" w:hAnsi="Times New Roman"/>
                <w:color w:val="000000"/>
                <w:lang w:val="sr-Cyrl-CS" w:eastAsia="en-GB"/>
              </w:rPr>
              <w:t>.</w:t>
            </w:r>
          </w:p>
        </w:tc>
        <w:tc>
          <w:tcPr>
            <w:tcW w:w="850" w:type="dxa"/>
            <w:tcBorders>
              <w:top w:val="single" w:sz="4" w:space="0" w:color="auto"/>
              <w:left w:val="nil"/>
              <w:bottom w:val="single" w:sz="4" w:space="0" w:color="auto"/>
              <w:right w:val="single" w:sz="4" w:space="0" w:color="auto"/>
            </w:tcBorders>
            <w:shd w:val="clear" w:color="000000" w:fill="F8CBAD"/>
            <w:vAlign w:val="center"/>
            <w:hideMark/>
          </w:tcPr>
          <w:p w14:paraId="00ACF88C" w14:textId="77777777" w:rsidR="00182E68" w:rsidRPr="005303F7" w:rsidRDefault="00182E68" w:rsidP="00FB3B09">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2050/</w:t>
            </w:r>
          </w:p>
          <w:p w14:paraId="2DED36DA" w14:textId="36D4D070" w:rsidR="00182E68" w:rsidRPr="005303F7" w:rsidRDefault="00182E68" w:rsidP="00FB3B09">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1990</w:t>
            </w:r>
            <w:r w:rsidR="00B2496D" w:rsidRPr="005303F7">
              <w:rPr>
                <w:rFonts w:ascii="Times New Roman" w:hAnsi="Times New Roman"/>
                <w:color w:val="000000"/>
                <w:lang w:val="sr-Cyrl-CS" w:eastAsia="en-GB"/>
              </w:rPr>
              <w:t>.</w:t>
            </w:r>
          </w:p>
        </w:tc>
      </w:tr>
      <w:tr w:rsidR="005F42E3" w:rsidRPr="005303F7" w14:paraId="7CA30322" w14:textId="77777777" w:rsidTr="00182E68">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4A9D681" w14:textId="172D8AB1" w:rsidR="005F42E3" w:rsidRPr="005303F7" w:rsidRDefault="008D69AF" w:rsidP="005F42E3">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t>Енергетска</w:t>
            </w:r>
            <w:r w:rsidR="005F42E3" w:rsidRPr="005303F7">
              <w:rPr>
                <w:rFonts w:ascii="Times New Roman" w:hAnsi="Times New Roman"/>
                <w:color w:val="000000"/>
                <w:lang w:val="sr-Cyrl-CS" w:eastAsia="en-GB"/>
              </w:rPr>
              <w:t xml:space="preserve"> </w:t>
            </w:r>
            <w:r w:rsidRPr="005303F7">
              <w:rPr>
                <w:rFonts w:ascii="Times New Roman" w:hAnsi="Times New Roman"/>
                <w:color w:val="000000"/>
                <w:lang w:val="sr-Cyrl-CS" w:eastAsia="en-GB"/>
              </w:rPr>
              <w:t>индустрија</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6EF53"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44.146</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236830ED"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35.557</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6F29AB9E"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33.050</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2CA9BD18"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34.700</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06C7FC64"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34.287</w:t>
            </w:r>
          </w:p>
        </w:tc>
        <w:tc>
          <w:tcPr>
            <w:tcW w:w="777" w:type="dxa"/>
            <w:tcBorders>
              <w:top w:val="nil"/>
              <w:left w:val="nil"/>
              <w:bottom w:val="single" w:sz="4" w:space="0" w:color="auto"/>
              <w:right w:val="single" w:sz="4" w:space="0" w:color="auto"/>
            </w:tcBorders>
            <w:shd w:val="clear" w:color="auto" w:fill="auto"/>
            <w:noWrap/>
            <w:vAlign w:val="bottom"/>
            <w:hideMark/>
          </w:tcPr>
          <w:p w14:paraId="412A446C"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27.051</w:t>
            </w:r>
          </w:p>
        </w:tc>
        <w:tc>
          <w:tcPr>
            <w:tcW w:w="777" w:type="dxa"/>
            <w:tcBorders>
              <w:top w:val="nil"/>
              <w:left w:val="nil"/>
              <w:bottom w:val="single" w:sz="4" w:space="0" w:color="auto"/>
              <w:right w:val="single" w:sz="4" w:space="0" w:color="auto"/>
            </w:tcBorders>
            <w:shd w:val="clear" w:color="auto" w:fill="auto"/>
            <w:noWrap/>
            <w:vAlign w:val="bottom"/>
            <w:hideMark/>
          </w:tcPr>
          <w:p w14:paraId="0D8FB0A4"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20.843</w:t>
            </w:r>
          </w:p>
        </w:tc>
        <w:tc>
          <w:tcPr>
            <w:tcW w:w="777" w:type="dxa"/>
            <w:tcBorders>
              <w:top w:val="nil"/>
              <w:left w:val="nil"/>
              <w:bottom w:val="single" w:sz="4" w:space="0" w:color="auto"/>
              <w:right w:val="single" w:sz="4" w:space="0" w:color="auto"/>
            </w:tcBorders>
            <w:shd w:val="clear" w:color="auto" w:fill="auto"/>
            <w:noWrap/>
            <w:vAlign w:val="bottom"/>
            <w:hideMark/>
          </w:tcPr>
          <w:p w14:paraId="5C78290A"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6.286</w:t>
            </w:r>
          </w:p>
        </w:tc>
        <w:tc>
          <w:tcPr>
            <w:tcW w:w="872" w:type="dxa"/>
            <w:tcBorders>
              <w:top w:val="nil"/>
              <w:left w:val="nil"/>
              <w:bottom w:val="single" w:sz="4" w:space="0" w:color="auto"/>
              <w:right w:val="single" w:sz="4" w:space="0" w:color="auto"/>
            </w:tcBorders>
            <w:shd w:val="clear" w:color="auto" w:fill="auto"/>
            <w:noWrap/>
            <w:vAlign w:val="bottom"/>
            <w:hideMark/>
          </w:tcPr>
          <w:p w14:paraId="08CB5DF2"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-36,9%</w:t>
            </w:r>
          </w:p>
        </w:tc>
        <w:tc>
          <w:tcPr>
            <w:tcW w:w="850" w:type="dxa"/>
            <w:tcBorders>
              <w:top w:val="nil"/>
              <w:left w:val="nil"/>
              <w:bottom w:val="single" w:sz="4" w:space="0" w:color="auto"/>
              <w:right w:val="single" w:sz="4" w:space="0" w:color="auto"/>
            </w:tcBorders>
            <w:shd w:val="clear" w:color="auto" w:fill="auto"/>
            <w:noWrap/>
            <w:vAlign w:val="bottom"/>
            <w:hideMark/>
          </w:tcPr>
          <w:p w14:paraId="7CDFC34F"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-81,0%</w:t>
            </w:r>
          </w:p>
        </w:tc>
        <w:tc>
          <w:tcPr>
            <w:tcW w:w="851" w:type="dxa"/>
            <w:tcBorders>
              <w:top w:val="nil"/>
              <w:left w:val="nil"/>
              <w:bottom w:val="single" w:sz="4" w:space="0" w:color="auto"/>
              <w:right w:val="single" w:sz="4" w:space="0" w:color="auto"/>
            </w:tcBorders>
            <w:shd w:val="clear" w:color="auto" w:fill="auto"/>
            <w:noWrap/>
            <w:vAlign w:val="bottom"/>
            <w:hideMark/>
          </w:tcPr>
          <w:p w14:paraId="2F54A8F5"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-41,4%</w:t>
            </w:r>
          </w:p>
        </w:tc>
        <w:tc>
          <w:tcPr>
            <w:tcW w:w="850" w:type="dxa"/>
            <w:tcBorders>
              <w:top w:val="nil"/>
              <w:left w:val="nil"/>
              <w:bottom w:val="single" w:sz="4" w:space="0" w:color="auto"/>
              <w:right w:val="single" w:sz="4" w:space="0" w:color="auto"/>
            </w:tcBorders>
            <w:shd w:val="clear" w:color="auto" w:fill="auto"/>
            <w:noWrap/>
            <w:vAlign w:val="bottom"/>
            <w:hideMark/>
          </w:tcPr>
          <w:p w14:paraId="5DE29133"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-82,3%</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7E93555"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-52,8%</w:t>
            </w:r>
          </w:p>
        </w:tc>
        <w:tc>
          <w:tcPr>
            <w:tcW w:w="850" w:type="dxa"/>
            <w:tcBorders>
              <w:top w:val="nil"/>
              <w:left w:val="nil"/>
              <w:bottom w:val="single" w:sz="4" w:space="0" w:color="auto"/>
              <w:right w:val="single" w:sz="4" w:space="0" w:color="auto"/>
            </w:tcBorders>
            <w:shd w:val="clear" w:color="auto" w:fill="auto"/>
            <w:noWrap/>
            <w:vAlign w:val="bottom"/>
            <w:hideMark/>
          </w:tcPr>
          <w:p w14:paraId="28AFD59F"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-85,8%</w:t>
            </w:r>
          </w:p>
        </w:tc>
      </w:tr>
      <w:tr w:rsidR="005F42E3" w:rsidRPr="005303F7" w14:paraId="353C12FC" w14:textId="77777777" w:rsidTr="00EC6141">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4BC2F68" w14:textId="58D9F243" w:rsidR="005F42E3" w:rsidRPr="005303F7" w:rsidRDefault="008D69AF" w:rsidP="005F42E3">
            <w:pPr>
              <w:tabs>
                <w:tab w:val="clear" w:pos="3825"/>
              </w:tabs>
              <w:overflowPunct/>
              <w:autoSpaceDE/>
              <w:autoSpaceDN/>
              <w:adjustRightInd/>
              <w:spacing w:before="0" w:after="0"/>
              <w:jc w:val="left"/>
              <w:textAlignment w:val="auto"/>
              <w:rPr>
                <w:rFonts w:ascii="Times New Roman" w:hAnsi="Times New Roman"/>
                <w:lang w:val="sr-Cyrl-CS" w:eastAsia="en-GB"/>
              </w:rPr>
            </w:pPr>
            <w:r w:rsidRPr="005303F7">
              <w:rPr>
                <w:rFonts w:ascii="Times New Roman" w:hAnsi="Times New Roman"/>
                <w:lang w:val="sr-Cyrl-CS" w:eastAsia="en-GB"/>
              </w:rPr>
              <w:t>Производна</w:t>
            </w:r>
            <w:r w:rsidR="005F42E3" w:rsidRPr="005303F7">
              <w:rPr>
                <w:rFonts w:ascii="Times New Roman" w:hAnsi="Times New Roman"/>
                <w:lang w:val="sr-Cyrl-CS" w:eastAsia="en-GB"/>
              </w:rPr>
              <w:t xml:space="preserve"> </w:t>
            </w:r>
            <w:r w:rsidRPr="005303F7">
              <w:rPr>
                <w:rFonts w:ascii="Times New Roman" w:hAnsi="Times New Roman"/>
                <w:lang w:val="sr-Cyrl-CS" w:eastAsia="en-GB"/>
              </w:rPr>
              <w:t>индустрија</w:t>
            </w:r>
            <w:r w:rsidR="005F42E3" w:rsidRPr="005303F7">
              <w:rPr>
                <w:rFonts w:ascii="Times New Roman" w:hAnsi="Times New Roman"/>
                <w:lang w:val="sr-Cyrl-CS" w:eastAsia="en-GB"/>
              </w:rPr>
              <w:t xml:space="preserve"> </w:t>
            </w:r>
            <w:r w:rsidR="00051C32" w:rsidRPr="005303F7">
              <w:rPr>
                <w:rFonts w:ascii="Times New Roman" w:hAnsi="Times New Roman"/>
                <w:lang w:val="sr-Cyrl-CS" w:eastAsia="en-GB"/>
              </w:rPr>
              <w:t>и</w:t>
            </w:r>
            <w:r w:rsidR="005F42E3" w:rsidRPr="005303F7">
              <w:rPr>
                <w:rFonts w:ascii="Times New Roman" w:hAnsi="Times New Roman"/>
                <w:lang w:val="sr-Cyrl-CS" w:eastAsia="en-GB"/>
              </w:rPr>
              <w:t xml:space="preserve"> </w:t>
            </w:r>
            <w:r w:rsidRPr="005303F7">
              <w:rPr>
                <w:rFonts w:ascii="Times New Roman" w:hAnsi="Times New Roman"/>
                <w:lang w:val="sr-Cyrl-CS" w:eastAsia="en-GB"/>
              </w:rPr>
              <w:t>грађевинарство</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12736C98"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6.418</w:t>
            </w:r>
          </w:p>
        </w:tc>
        <w:tc>
          <w:tcPr>
            <w:tcW w:w="777" w:type="dxa"/>
            <w:tcBorders>
              <w:top w:val="nil"/>
              <w:left w:val="nil"/>
              <w:bottom w:val="single" w:sz="4" w:space="0" w:color="auto"/>
              <w:right w:val="single" w:sz="4" w:space="0" w:color="auto"/>
            </w:tcBorders>
            <w:shd w:val="clear" w:color="auto" w:fill="auto"/>
            <w:noWrap/>
            <w:vAlign w:val="center"/>
            <w:hideMark/>
          </w:tcPr>
          <w:p w14:paraId="7119C574"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6.064</w:t>
            </w:r>
          </w:p>
        </w:tc>
        <w:tc>
          <w:tcPr>
            <w:tcW w:w="777" w:type="dxa"/>
            <w:tcBorders>
              <w:top w:val="nil"/>
              <w:left w:val="nil"/>
              <w:bottom w:val="single" w:sz="4" w:space="0" w:color="auto"/>
              <w:right w:val="single" w:sz="4" w:space="0" w:color="auto"/>
            </w:tcBorders>
            <w:shd w:val="clear" w:color="auto" w:fill="auto"/>
            <w:noWrap/>
            <w:vAlign w:val="center"/>
            <w:hideMark/>
          </w:tcPr>
          <w:p w14:paraId="04B8E2DD"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4.278</w:t>
            </w:r>
          </w:p>
        </w:tc>
        <w:tc>
          <w:tcPr>
            <w:tcW w:w="777" w:type="dxa"/>
            <w:tcBorders>
              <w:top w:val="nil"/>
              <w:left w:val="nil"/>
              <w:bottom w:val="single" w:sz="4" w:space="0" w:color="auto"/>
              <w:right w:val="single" w:sz="4" w:space="0" w:color="auto"/>
            </w:tcBorders>
            <w:shd w:val="clear" w:color="auto" w:fill="auto"/>
            <w:noWrap/>
            <w:vAlign w:val="center"/>
            <w:hideMark/>
          </w:tcPr>
          <w:p w14:paraId="43E3E52B"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3.452</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18DB74E5"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3.856</w:t>
            </w:r>
          </w:p>
        </w:tc>
        <w:tc>
          <w:tcPr>
            <w:tcW w:w="777" w:type="dxa"/>
            <w:tcBorders>
              <w:top w:val="nil"/>
              <w:left w:val="nil"/>
              <w:bottom w:val="single" w:sz="4" w:space="0" w:color="auto"/>
              <w:right w:val="single" w:sz="4" w:space="0" w:color="auto"/>
            </w:tcBorders>
            <w:shd w:val="clear" w:color="auto" w:fill="auto"/>
            <w:noWrap/>
            <w:vAlign w:val="center"/>
            <w:hideMark/>
          </w:tcPr>
          <w:p w14:paraId="3620399A"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4.175</w:t>
            </w:r>
          </w:p>
        </w:tc>
        <w:tc>
          <w:tcPr>
            <w:tcW w:w="777" w:type="dxa"/>
            <w:tcBorders>
              <w:top w:val="nil"/>
              <w:left w:val="nil"/>
              <w:bottom w:val="single" w:sz="4" w:space="0" w:color="auto"/>
              <w:right w:val="single" w:sz="4" w:space="0" w:color="auto"/>
            </w:tcBorders>
            <w:shd w:val="clear" w:color="auto" w:fill="auto"/>
            <w:noWrap/>
            <w:vAlign w:val="center"/>
            <w:hideMark/>
          </w:tcPr>
          <w:p w14:paraId="0D4E9C92"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3.109</w:t>
            </w:r>
          </w:p>
        </w:tc>
        <w:tc>
          <w:tcPr>
            <w:tcW w:w="777" w:type="dxa"/>
            <w:tcBorders>
              <w:top w:val="nil"/>
              <w:left w:val="nil"/>
              <w:bottom w:val="single" w:sz="4" w:space="0" w:color="auto"/>
              <w:right w:val="single" w:sz="4" w:space="0" w:color="auto"/>
            </w:tcBorders>
            <w:shd w:val="clear" w:color="auto" w:fill="auto"/>
            <w:noWrap/>
            <w:vAlign w:val="center"/>
            <w:hideMark/>
          </w:tcPr>
          <w:p w14:paraId="1BD9356E"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2.334</w:t>
            </w:r>
          </w:p>
        </w:tc>
        <w:tc>
          <w:tcPr>
            <w:tcW w:w="872" w:type="dxa"/>
            <w:tcBorders>
              <w:top w:val="nil"/>
              <w:left w:val="nil"/>
              <w:bottom w:val="single" w:sz="4" w:space="0" w:color="auto"/>
              <w:right w:val="single" w:sz="4" w:space="0" w:color="auto"/>
            </w:tcBorders>
            <w:shd w:val="clear" w:color="auto" w:fill="auto"/>
            <w:noWrap/>
            <w:vAlign w:val="center"/>
            <w:hideMark/>
          </w:tcPr>
          <w:p w14:paraId="76E36CC3"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-27,3%</w:t>
            </w:r>
          </w:p>
        </w:tc>
        <w:tc>
          <w:tcPr>
            <w:tcW w:w="850" w:type="dxa"/>
            <w:tcBorders>
              <w:top w:val="nil"/>
              <w:left w:val="nil"/>
              <w:bottom w:val="single" w:sz="4" w:space="0" w:color="auto"/>
              <w:right w:val="single" w:sz="4" w:space="0" w:color="auto"/>
            </w:tcBorders>
            <w:shd w:val="clear" w:color="auto" w:fill="auto"/>
            <w:noWrap/>
            <w:vAlign w:val="center"/>
            <w:hideMark/>
          </w:tcPr>
          <w:p w14:paraId="0DD070B3"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-45,4%</w:t>
            </w:r>
          </w:p>
        </w:tc>
        <w:tc>
          <w:tcPr>
            <w:tcW w:w="851" w:type="dxa"/>
            <w:tcBorders>
              <w:top w:val="nil"/>
              <w:left w:val="nil"/>
              <w:bottom w:val="single" w:sz="4" w:space="0" w:color="auto"/>
              <w:right w:val="single" w:sz="4" w:space="0" w:color="auto"/>
            </w:tcBorders>
            <w:shd w:val="clear" w:color="auto" w:fill="auto"/>
            <w:noWrap/>
            <w:vAlign w:val="center"/>
            <w:hideMark/>
          </w:tcPr>
          <w:p w14:paraId="1080403F"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-48,7%</w:t>
            </w:r>
          </w:p>
        </w:tc>
        <w:tc>
          <w:tcPr>
            <w:tcW w:w="850" w:type="dxa"/>
            <w:tcBorders>
              <w:top w:val="nil"/>
              <w:left w:val="nil"/>
              <w:bottom w:val="single" w:sz="4" w:space="0" w:color="auto"/>
              <w:right w:val="single" w:sz="4" w:space="0" w:color="auto"/>
            </w:tcBorders>
            <w:shd w:val="clear" w:color="auto" w:fill="auto"/>
            <w:noWrap/>
            <w:vAlign w:val="center"/>
            <w:hideMark/>
          </w:tcPr>
          <w:p w14:paraId="232D73BA"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-61,5%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BD5AF3"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-51,6%</w:t>
            </w:r>
          </w:p>
        </w:tc>
        <w:tc>
          <w:tcPr>
            <w:tcW w:w="850" w:type="dxa"/>
            <w:tcBorders>
              <w:top w:val="nil"/>
              <w:left w:val="nil"/>
              <w:bottom w:val="single" w:sz="4" w:space="0" w:color="auto"/>
              <w:right w:val="single" w:sz="4" w:space="0" w:color="auto"/>
            </w:tcBorders>
            <w:shd w:val="clear" w:color="auto" w:fill="auto"/>
            <w:noWrap/>
            <w:vAlign w:val="center"/>
            <w:hideMark/>
          </w:tcPr>
          <w:p w14:paraId="7856CE7A"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-63,6%</w:t>
            </w:r>
          </w:p>
        </w:tc>
      </w:tr>
      <w:tr w:rsidR="005F42E3" w:rsidRPr="005303F7" w14:paraId="5F6E5D43" w14:textId="77777777" w:rsidTr="00182E68">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CB12057" w14:textId="59BEAB73" w:rsidR="005F42E3" w:rsidRPr="005303F7" w:rsidRDefault="008D69AF" w:rsidP="005F42E3">
            <w:pPr>
              <w:tabs>
                <w:tab w:val="clear" w:pos="3825"/>
              </w:tabs>
              <w:overflowPunct/>
              <w:autoSpaceDE/>
              <w:autoSpaceDN/>
              <w:adjustRightInd/>
              <w:spacing w:before="0" w:after="0"/>
              <w:jc w:val="left"/>
              <w:textAlignment w:val="auto"/>
              <w:rPr>
                <w:rFonts w:ascii="Times New Roman" w:hAnsi="Times New Roman"/>
                <w:lang w:val="sr-Cyrl-CS" w:eastAsia="en-GB"/>
              </w:rPr>
            </w:pPr>
            <w:r w:rsidRPr="005303F7">
              <w:rPr>
                <w:rFonts w:ascii="Times New Roman" w:hAnsi="Times New Roman"/>
                <w:lang w:val="sr-Cyrl-CS" w:eastAsia="en-GB"/>
              </w:rPr>
              <w:t>Саобраћај</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12329ECC"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4.564</w:t>
            </w:r>
          </w:p>
        </w:tc>
        <w:tc>
          <w:tcPr>
            <w:tcW w:w="777" w:type="dxa"/>
            <w:tcBorders>
              <w:top w:val="nil"/>
              <w:left w:val="nil"/>
              <w:bottom w:val="single" w:sz="4" w:space="0" w:color="auto"/>
              <w:right w:val="single" w:sz="4" w:space="0" w:color="auto"/>
            </w:tcBorders>
            <w:shd w:val="clear" w:color="auto" w:fill="auto"/>
            <w:noWrap/>
            <w:vAlign w:val="bottom"/>
            <w:hideMark/>
          </w:tcPr>
          <w:p w14:paraId="3B02AEE2"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6.702</w:t>
            </w:r>
          </w:p>
        </w:tc>
        <w:tc>
          <w:tcPr>
            <w:tcW w:w="777" w:type="dxa"/>
            <w:tcBorders>
              <w:top w:val="nil"/>
              <w:left w:val="nil"/>
              <w:bottom w:val="single" w:sz="4" w:space="0" w:color="auto"/>
              <w:right w:val="single" w:sz="4" w:space="0" w:color="auto"/>
            </w:tcBorders>
            <w:shd w:val="clear" w:color="auto" w:fill="auto"/>
            <w:noWrap/>
            <w:vAlign w:val="bottom"/>
            <w:hideMark/>
          </w:tcPr>
          <w:p w14:paraId="70FBE579"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6.742</w:t>
            </w:r>
          </w:p>
        </w:tc>
        <w:tc>
          <w:tcPr>
            <w:tcW w:w="777" w:type="dxa"/>
            <w:tcBorders>
              <w:top w:val="nil"/>
              <w:left w:val="nil"/>
              <w:bottom w:val="single" w:sz="4" w:space="0" w:color="auto"/>
              <w:right w:val="single" w:sz="4" w:space="0" w:color="auto"/>
            </w:tcBorders>
            <w:shd w:val="clear" w:color="auto" w:fill="auto"/>
            <w:noWrap/>
            <w:vAlign w:val="bottom"/>
            <w:hideMark/>
          </w:tcPr>
          <w:p w14:paraId="0A9F36D7"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5.995</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19078E87"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6.924</w:t>
            </w:r>
          </w:p>
        </w:tc>
        <w:tc>
          <w:tcPr>
            <w:tcW w:w="777" w:type="dxa"/>
            <w:tcBorders>
              <w:top w:val="nil"/>
              <w:left w:val="nil"/>
              <w:bottom w:val="single" w:sz="4" w:space="0" w:color="auto"/>
              <w:right w:val="single" w:sz="4" w:space="0" w:color="auto"/>
            </w:tcBorders>
            <w:shd w:val="clear" w:color="auto" w:fill="auto"/>
            <w:noWrap/>
            <w:vAlign w:val="bottom"/>
            <w:hideMark/>
          </w:tcPr>
          <w:p w14:paraId="51F3A244"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7.011</w:t>
            </w:r>
          </w:p>
        </w:tc>
        <w:tc>
          <w:tcPr>
            <w:tcW w:w="777" w:type="dxa"/>
            <w:tcBorders>
              <w:top w:val="nil"/>
              <w:left w:val="nil"/>
              <w:bottom w:val="single" w:sz="4" w:space="0" w:color="auto"/>
              <w:right w:val="single" w:sz="4" w:space="0" w:color="auto"/>
            </w:tcBorders>
            <w:shd w:val="clear" w:color="auto" w:fill="auto"/>
            <w:noWrap/>
            <w:vAlign w:val="bottom"/>
            <w:hideMark/>
          </w:tcPr>
          <w:p w14:paraId="0AA4E0A6"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6.613</w:t>
            </w:r>
          </w:p>
        </w:tc>
        <w:tc>
          <w:tcPr>
            <w:tcW w:w="777" w:type="dxa"/>
            <w:tcBorders>
              <w:top w:val="nil"/>
              <w:left w:val="nil"/>
              <w:bottom w:val="single" w:sz="4" w:space="0" w:color="auto"/>
              <w:right w:val="single" w:sz="4" w:space="0" w:color="auto"/>
            </w:tcBorders>
            <w:shd w:val="clear" w:color="auto" w:fill="auto"/>
            <w:noWrap/>
            <w:vAlign w:val="bottom"/>
            <w:hideMark/>
          </w:tcPr>
          <w:p w14:paraId="724B00E4"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4.228</w:t>
            </w:r>
          </w:p>
        </w:tc>
        <w:tc>
          <w:tcPr>
            <w:tcW w:w="872" w:type="dxa"/>
            <w:tcBorders>
              <w:top w:val="nil"/>
              <w:left w:val="nil"/>
              <w:bottom w:val="single" w:sz="4" w:space="0" w:color="auto"/>
              <w:right w:val="single" w:sz="4" w:space="0" w:color="auto"/>
            </w:tcBorders>
            <w:shd w:val="clear" w:color="auto" w:fill="auto"/>
            <w:noWrap/>
            <w:vAlign w:val="bottom"/>
            <w:hideMark/>
          </w:tcPr>
          <w:p w14:paraId="426E1AB2"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-1,9%</w:t>
            </w:r>
          </w:p>
        </w:tc>
        <w:tc>
          <w:tcPr>
            <w:tcW w:w="850" w:type="dxa"/>
            <w:tcBorders>
              <w:top w:val="nil"/>
              <w:left w:val="nil"/>
              <w:bottom w:val="single" w:sz="4" w:space="0" w:color="auto"/>
              <w:right w:val="single" w:sz="4" w:space="0" w:color="auto"/>
            </w:tcBorders>
            <w:shd w:val="clear" w:color="auto" w:fill="auto"/>
            <w:noWrap/>
            <w:vAlign w:val="bottom"/>
            <w:hideMark/>
          </w:tcPr>
          <w:p w14:paraId="1502FFD9"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-37,3%</w:t>
            </w:r>
          </w:p>
        </w:tc>
        <w:tc>
          <w:tcPr>
            <w:tcW w:w="851" w:type="dxa"/>
            <w:tcBorders>
              <w:top w:val="nil"/>
              <w:left w:val="nil"/>
              <w:bottom w:val="single" w:sz="4" w:space="0" w:color="auto"/>
              <w:right w:val="single" w:sz="4" w:space="0" w:color="auto"/>
            </w:tcBorders>
            <w:shd w:val="clear" w:color="auto" w:fill="auto"/>
            <w:noWrap/>
            <w:vAlign w:val="bottom"/>
            <w:hideMark/>
          </w:tcPr>
          <w:p w14:paraId="2F1DF1DD"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-1,3%</w:t>
            </w:r>
          </w:p>
        </w:tc>
        <w:tc>
          <w:tcPr>
            <w:tcW w:w="850" w:type="dxa"/>
            <w:tcBorders>
              <w:top w:val="nil"/>
              <w:left w:val="nil"/>
              <w:bottom w:val="single" w:sz="4" w:space="0" w:color="auto"/>
              <w:right w:val="single" w:sz="4" w:space="0" w:color="auto"/>
            </w:tcBorders>
            <w:shd w:val="clear" w:color="auto" w:fill="auto"/>
            <w:noWrap/>
            <w:vAlign w:val="bottom"/>
            <w:hideMark/>
          </w:tcPr>
          <w:p w14:paraId="2AD47072"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-36,9%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EA91FE"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44,9%</w:t>
            </w:r>
          </w:p>
        </w:tc>
        <w:tc>
          <w:tcPr>
            <w:tcW w:w="850" w:type="dxa"/>
            <w:tcBorders>
              <w:top w:val="nil"/>
              <w:left w:val="nil"/>
              <w:bottom w:val="single" w:sz="4" w:space="0" w:color="auto"/>
              <w:right w:val="single" w:sz="4" w:space="0" w:color="auto"/>
            </w:tcBorders>
            <w:shd w:val="clear" w:color="auto" w:fill="auto"/>
            <w:noWrap/>
            <w:vAlign w:val="bottom"/>
            <w:hideMark/>
          </w:tcPr>
          <w:p w14:paraId="6BEF892C"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-7,4%</w:t>
            </w:r>
          </w:p>
        </w:tc>
      </w:tr>
      <w:tr w:rsidR="005F42E3" w:rsidRPr="005303F7" w14:paraId="19FC819E" w14:textId="77777777" w:rsidTr="00182E68">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7FCABFB" w14:textId="25B3130B" w:rsidR="005F42E3" w:rsidRPr="005303F7" w:rsidRDefault="008D69AF" w:rsidP="005F42E3">
            <w:pPr>
              <w:tabs>
                <w:tab w:val="clear" w:pos="3825"/>
              </w:tabs>
              <w:overflowPunct/>
              <w:autoSpaceDE/>
              <w:autoSpaceDN/>
              <w:adjustRightInd/>
              <w:spacing w:before="0" w:after="0"/>
              <w:jc w:val="left"/>
              <w:textAlignment w:val="auto"/>
              <w:rPr>
                <w:rFonts w:ascii="Times New Roman" w:hAnsi="Times New Roman"/>
                <w:lang w:val="sr-Cyrl-CS" w:eastAsia="en-GB"/>
              </w:rPr>
            </w:pPr>
            <w:r w:rsidRPr="005303F7">
              <w:rPr>
                <w:rFonts w:ascii="Times New Roman" w:hAnsi="Times New Roman"/>
                <w:lang w:val="sr-Cyrl-CS" w:eastAsia="en-GB"/>
              </w:rPr>
              <w:t>Други</w:t>
            </w:r>
            <w:r w:rsidR="005F42E3" w:rsidRPr="005303F7">
              <w:rPr>
                <w:rFonts w:ascii="Times New Roman" w:hAnsi="Times New Roman"/>
                <w:lang w:val="sr-Cyrl-CS" w:eastAsia="en-GB"/>
              </w:rPr>
              <w:t xml:space="preserve"> </w:t>
            </w:r>
            <w:r w:rsidRPr="005303F7">
              <w:rPr>
                <w:rFonts w:ascii="Times New Roman" w:hAnsi="Times New Roman"/>
                <w:lang w:val="sr-Cyrl-CS" w:eastAsia="en-GB"/>
              </w:rPr>
              <w:t>сектори</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235E9174"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7.048</w:t>
            </w:r>
          </w:p>
        </w:tc>
        <w:tc>
          <w:tcPr>
            <w:tcW w:w="777" w:type="dxa"/>
            <w:tcBorders>
              <w:top w:val="nil"/>
              <w:left w:val="nil"/>
              <w:bottom w:val="single" w:sz="4" w:space="0" w:color="auto"/>
              <w:right w:val="single" w:sz="4" w:space="0" w:color="auto"/>
            </w:tcBorders>
            <w:shd w:val="clear" w:color="auto" w:fill="auto"/>
            <w:noWrap/>
            <w:vAlign w:val="bottom"/>
            <w:hideMark/>
          </w:tcPr>
          <w:p w14:paraId="7DFEDDBD"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3.029</w:t>
            </w:r>
          </w:p>
        </w:tc>
        <w:tc>
          <w:tcPr>
            <w:tcW w:w="777" w:type="dxa"/>
            <w:tcBorders>
              <w:top w:val="nil"/>
              <w:left w:val="nil"/>
              <w:bottom w:val="single" w:sz="4" w:space="0" w:color="auto"/>
              <w:right w:val="single" w:sz="4" w:space="0" w:color="auto"/>
            </w:tcBorders>
            <w:shd w:val="clear" w:color="auto" w:fill="auto"/>
            <w:noWrap/>
            <w:vAlign w:val="bottom"/>
            <w:hideMark/>
          </w:tcPr>
          <w:p w14:paraId="358D8A41"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3.477</w:t>
            </w:r>
          </w:p>
        </w:tc>
        <w:tc>
          <w:tcPr>
            <w:tcW w:w="777" w:type="dxa"/>
            <w:tcBorders>
              <w:top w:val="nil"/>
              <w:left w:val="nil"/>
              <w:bottom w:val="single" w:sz="4" w:space="0" w:color="auto"/>
              <w:right w:val="single" w:sz="4" w:space="0" w:color="auto"/>
            </w:tcBorders>
            <w:shd w:val="clear" w:color="auto" w:fill="auto"/>
            <w:noWrap/>
            <w:vAlign w:val="bottom"/>
            <w:hideMark/>
          </w:tcPr>
          <w:p w14:paraId="11FDBD5A"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2.711</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4E55E216"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2.409</w:t>
            </w:r>
          </w:p>
        </w:tc>
        <w:tc>
          <w:tcPr>
            <w:tcW w:w="777" w:type="dxa"/>
            <w:tcBorders>
              <w:top w:val="nil"/>
              <w:left w:val="nil"/>
              <w:bottom w:val="single" w:sz="4" w:space="0" w:color="auto"/>
              <w:right w:val="single" w:sz="4" w:space="0" w:color="auto"/>
            </w:tcBorders>
            <w:shd w:val="clear" w:color="auto" w:fill="auto"/>
            <w:noWrap/>
            <w:vAlign w:val="bottom"/>
            <w:hideMark/>
          </w:tcPr>
          <w:p w14:paraId="4FCF4F44"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2.130</w:t>
            </w:r>
          </w:p>
        </w:tc>
        <w:tc>
          <w:tcPr>
            <w:tcW w:w="777" w:type="dxa"/>
            <w:tcBorders>
              <w:top w:val="nil"/>
              <w:left w:val="nil"/>
              <w:bottom w:val="single" w:sz="4" w:space="0" w:color="auto"/>
              <w:right w:val="single" w:sz="4" w:space="0" w:color="auto"/>
            </w:tcBorders>
            <w:shd w:val="clear" w:color="auto" w:fill="auto"/>
            <w:noWrap/>
            <w:vAlign w:val="bottom"/>
            <w:hideMark/>
          </w:tcPr>
          <w:p w14:paraId="5F20C568"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2.081</w:t>
            </w:r>
          </w:p>
        </w:tc>
        <w:tc>
          <w:tcPr>
            <w:tcW w:w="777" w:type="dxa"/>
            <w:tcBorders>
              <w:top w:val="nil"/>
              <w:left w:val="nil"/>
              <w:bottom w:val="single" w:sz="4" w:space="0" w:color="auto"/>
              <w:right w:val="single" w:sz="4" w:space="0" w:color="auto"/>
            </w:tcBorders>
            <w:shd w:val="clear" w:color="auto" w:fill="auto"/>
            <w:noWrap/>
            <w:vAlign w:val="bottom"/>
            <w:hideMark/>
          </w:tcPr>
          <w:p w14:paraId="07422198"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1.134</w:t>
            </w:r>
          </w:p>
        </w:tc>
        <w:tc>
          <w:tcPr>
            <w:tcW w:w="872" w:type="dxa"/>
            <w:tcBorders>
              <w:top w:val="nil"/>
              <w:left w:val="nil"/>
              <w:bottom w:val="single" w:sz="4" w:space="0" w:color="auto"/>
              <w:right w:val="single" w:sz="4" w:space="0" w:color="auto"/>
            </w:tcBorders>
            <w:shd w:val="clear" w:color="auto" w:fill="auto"/>
            <w:noWrap/>
            <w:vAlign w:val="bottom"/>
            <w:hideMark/>
          </w:tcPr>
          <w:p w14:paraId="0F0F6C89"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-40,1%</w:t>
            </w:r>
          </w:p>
        </w:tc>
        <w:tc>
          <w:tcPr>
            <w:tcW w:w="850" w:type="dxa"/>
            <w:tcBorders>
              <w:top w:val="nil"/>
              <w:left w:val="nil"/>
              <w:bottom w:val="single" w:sz="4" w:space="0" w:color="auto"/>
              <w:right w:val="single" w:sz="4" w:space="0" w:color="auto"/>
            </w:tcBorders>
            <w:shd w:val="clear" w:color="auto" w:fill="auto"/>
            <w:noWrap/>
            <w:vAlign w:val="bottom"/>
            <w:hideMark/>
          </w:tcPr>
          <w:p w14:paraId="5DC36C9B"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-67,4%</w:t>
            </w:r>
          </w:p>
        </w:tc>
        <w:tc>
          <w:tcPr>
            <w:tcW w:w="851" w:type="dxa"/>
            <w:tcBorders>
              <w:top w:val="nil"/>
              <w:left w:val="nil"/>
              <w:bottom w:val="single" w:sz="4" w:space="0" w:color="auto"/>
              <w:right w:val="single" w:sz="4" w:space="0" w:color="auto"/>
            </w:tcBorders>
            <w:shd w:val="clear" w:color="auto" w:fill="auto"/>
            <w:noWrap/>
            <w:vAlign w:val="bottom"/>
            <w:hideMark/>
          </w:tcPr>
          <w:p w14:paraId="2D2A4FED"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-31,3%</w:t>
            </w:r>
          </w:p>
        </w:tc>
        <w:tc>
          <w:tcPr>
            <w:tcW w:w="850" w:type="dxa"/>
            <w:tcBorders>
              <w:top w:val="nil"/>
              <w:left w:val="nil"/>
              <w:bottom w:val="single" w:sz="4" w:space="0" w:color="auto"/>
              <w:right w:val="single" w:sz="4" w:space="0" w:color="auto"/>
            </w:tcBorders>
            <w:shd w:val="clear" w:color="auto" w:fill="auto"/>
            <w:noWrap/>
            <w:vAlign w:val="bottom"/>
            <w:hideMark/>
          </w:tcPr>
          <w:p w14:paraId="4B48F3DD"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-62,5%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8C04B0A"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-70,5%</w:t>
            </w:r>
          </w:p>
        </w:tc>
        <w:tc>
          <w:tcPr>
            <w:tcW w:w="850" w:type="dxa"/>
            <w:tcBorders>
              <w:top w:val="nil"/>
              <w:left w:val="nil"/>
              <w:bottom w:val="single" w:sz="4" w:space="0" w:color="auto"/>
              <w:right w:val="single" w:sz="4" w:space="0" w:color="auto"/>
            </w:tcBorders>
            <w:shd w:val="clear" w:color="auto" w:fill="auto"/>
            <w:noWrap/>
            <w:vAlign w:val="bottom"/>
            <w:hideMark/>
          </w:tcPr>
          <w:p w14:paraId="140B8BBD"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-83,9%</w:t>
            </w:r>
          </w:p>
        </w:tc>
      </w:tr>
      <w:tr w:rsidR="005F42E3" w:rsidRPr="005303F7" w14:paraId="5CC1FA37" w14:textId="77777777" w:rsidTr="00182E68">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7054778" w14:textId="2D474085" w:rsidR="005F42E3" w:rsidRPr="005303F7" w:rsidRDefault="008D69AF" w:rsidP="005F42E3">
            <w:pPr>
              <w:tabs>
                <w:tab w:val="clear" w:pos="3825"/>
              </w:tabs>
              <w:overflowPunct/>
              <w:autoSpaceDE/>
              <w:autoSpaceDN/>
              <w:adjustRightInd/>
              <w:spacing w:before="0" w:after="0"/>
              <w:jc w:val="left"/>
              <w:textAlignment w:val="auto"/>
              <w:rPr>
                <w:rFonts w:ascii="Times New Roman" w:hAnsi="Times New Roman"/>
                <w:lang w:val="sr-Cyrl-CS" w:eastAsia="en-GB"/>
              </w:rPr>
            </w:pPr>
            <w:r w:rsidRPr="005303F7">
              <w:rPr>
                <w:rFonts w:ascii="Times New Roman" w:hAnsi="Times New Roman"/>
                <w:lang w:val="sr-Cyrl-CS" w:eastAsia="en-GB"/>
              </w:rPr>
              <w:t>Фугитивне</w:t>
            </w:r>
            <w:r w:rsidR="005F42E3" w:rsidRPr="005303F7">
              <w:rPr>
                <w:rFonts w:ascii="Times New Roman" w:hAnsi="Times New Roman"/>
                <w:lang w:val="sr-Cyrl-CS" w:eastAsia="en-GB"/>
              </w:rPr>
              <w:t xml:space="preserve"> </w:t>
            </w:r>
            <w:r w:rsidRPr="005303F7">
              <w:rPr>
                <w:rFonts w:ascii="Times New Roman" w:hAnsi="Times New Roman"/>
                <w:lang w:val="sr-Cyrl-CS" w:eastAsia="en-GB"/>
              </w:rPr>
              <w:t>емисије</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70937B7E"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3.841</w:t>
            </w:r>
          </w:p>
        </w:tc>
        <w:tc>
          <w:tcPr>
            <w:tcW w:w="777" w:type="dxa"/>
            <w:tcBorders>
              <w:top w:val="nil"/>
              <w:left w:val="nil"/>
              <w:bottom w:val="single" w:sz="4" w:space="0" w:color="auto"/>
              <w:right w:val="single" w:sz="4" w:space="0" w:color="auto"/>
            </w:tcBorders>
            <w:shd w:val="clear" w:color="auto" w:fill="auto"/>
            <w:noWrap/>
            <w:vAlign w:val="bottom"/>
            <w:hideMark/>
          </w:tcPr>
          <w:p w14:paraId="64F573C0"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2.973</w:t>
            </w:r>
          </w:p>
        </w:tc>
        <w:tc>
          <w:tcPr>
            <w:tcW w:w="777" w:type="dxa"/>
            <w:tcBorders>
              <w:top w:val="nil"/>
              <w:left w:val="nil"/>
              <w:bottom w:val="single" w:sz="4" w:space="0" w:color="auto"/>
              <w:right w:val="single" w:sz="4" w:space="0" w:color="auto"/>
            </w:tcBorders>
            <w:shd w:val="clear" w:color="auto" w:fill="auto"/>
            <w:noWrap/>
            <w:vAlign w:val="bottom"/>
            <w:hideMark/>
          </w:tcPr>
          <w:p w14:paraId="37668B01"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2.409</w:t>
            </w:r>
          </w:p>
        </w:tc>
        <w:tc>
          <w:tcPr>
            <w:tcW w:w="777" w:type="dxa"/>
            <w:tcBorders>
              <w:top w:val="nil"/>
              <w:left w:val="nil"/>
              <w:bottom w:val="single" w:sz="4" w:space="0" w:color="auto"/>
              <w:right w:val="single" w:sz="4" w:space="0" w:color="auto"/>
            </w:tcBorders>
            <w:shd w:val="clear" w:color="auto" w:fill="auto"/>
            <w:noWrap/>
            <w:vAlign w:val="bottom"/>
            <w:hideMark/>
          </w:tcPr>
          <w:p w14:paraId="73EF81AC"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2.523</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464E9B4B"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2.417</w:t>
            </w:r>
          </w:p>
        </w:tc>
        <w:tc>
          <w:tcPr>
            <w:tcW w:w="777" w:type="dxa"/>
            <w:tcBorders>
              <w:top w:val="nil"/>
              <w:left w:val="nil"/>
              <w:bottom w:val="single" w:sz="4" w:space="0" w:color="auto"/>
              <w:right w:val="single" w:sz="4" w:space="0" w:color="auto"/>
            </w:tcBorders>
            <w:shd w:val="clear" w:color="auto" w:fill="auto"/>
            <w:noWrap/>
            <w:vAlign w:val="bottom"/>
            <w:hideMark/>
          </w:tcPr>
          <w:p w14:paraId="50A8772B"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2.166</w:t>
            </w:r>
          </w:p>
        </w:tc>
        <w:tc>
          <w:tcPr>
            <w:tcW w:w="777" w:type="dxa"/>
            <w:tcBorders>
              <w:top w:val="nil"/>
              <w:left w:val="nil"/>
              <w:bottom w:val="single" w:sz="4" w:space="0" w:color="auto"/>
              <w:right w:val="single" w:sz="4" w:space="0" w:color="auto"/>
            </w:tcBorders>
            <w:shd w:val="clear" w:color="auto" w:fill="auto"/>
            <w:noWrap/>
            <w:vAlign w:val="bottom"/>
            <w:hideMark/>
          </w:tcPr>
          <w:p w14:paraId="69F08E2D"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1.667</w:t>
            </w:r>
          </w:p>
        </w:tc>
        <w:tc>
          <w:tcPr>
            <w:tcW w:w="777" w:type="dxa"/>
            <w:tcBorders>
              <w:top w:val="nil"/>
              <w:left w:val="nil"/>
              <w:bottom w:val="single" w:sz="4" w:space="0" w:color="auto"/>
              <w:right w:val="single" w:sz="4" w:space="0" w:color="auto"/>
            </w:tcBorders>
            <w:shd w:val="clear" w:color="auto" w:fill="auto"/>
            <w:noWrap/>
            <w:vAlign w:val="bottom"/>
            <w:hideMark/>
          </w:tcPr>
          <w:p w14:paraId="4C8B4138"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210</w:t>
            </w:r>
          </w:p>
        </w:tc>
        <w:tc>
          <w:tcPr>
            <w:tcW w:w="872" w:type="dxa"/>
            <w:tcBorders>
              <w:top w:val="nil"/>
              <w:left w:val="nil"/>
              <w:bottom w:val="single" w:sz="4" w:space="0" w:color="auto"/>
              <w:right w:val="single" w:sz="4" w:space="0" w:color="auto"/>
            </w:tcBorders>
            <w:shd w:val="clear" w:color="auto" w:fill="auto"/>
            <w:noWrap/>
            <w:vAlign w:val="bottom"/>
            <w:hideMark/>
          </w:tcPr>
          <w:p w14:paraId="1551D843"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-30,8%</w:t>
            </w:r>
          </w:p>
        </w:tc>
        <w:tc>
          <w:tcPr>
            <w:tcW w:w="850" w:type="dxa"/>
            <w:tcBorders>
              <w:top w:val="nil"/>
              <w:left w:val="nil"/>
              <w:bottom w:val="single" w:sz="4" w:space="0" w:color="auto"/>
              <w:right w:val="single" w:sz="4" w:space="0" w:color="auto"/>
            </w:tcBorders>
            <w:shd w:val="clear" w:color="auto" w:fill="auto"/>
            <w:noWrap/>
            <w:vAlign w:val="bottom"/>
            <w:hideMark/>
          </w:tcPr>
          <w:p w14:paraId="7FE250C9"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-91,3%</w:t>
            </w:r>
          </w:p>
        </w:tc>
        <w:tc>
          <w:tcPr>
            <w:tcW w:w="851" w:type="dxa"/>
            <w:tcBorders>
              <w:top w:val="nil"/>
              <w:left w:val="nil"/>
              <w:bottom w:val="single" w:sz="4" w:space="0" w:color="auto"/>
              <w:right w:val="single" w:sz="4" w:space="0" w:color="auto"/>
            </w:tcBorders>
            <w:shd w:val="clear" w:color="auto" w:fill="auto"/>
            <w:noWrap/>
            <w:vAlign w:val="bottom"/>
            <w:hideMark/>
          </w:tcPr>
          <w:p w14:paraId="2842360B"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14:paraId="0F2003C3"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-92,9%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A3D196B"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-56,6%</w:t>
            </w:r>
          </w:p>
        </w:tc>
        <w:tc>
          <w:tcPr>
            <w:tcW w:w="850" w:type="dxa"/>
            <w:tcBorders>
              <w:top w:val="nil"/>
              <w:left w:val="nil"/>
              <w:bottom w:val="single" w:sz="4" w:space="0" w:color="auto"/>
              <w:right w:val="single" w:sz="4" w:space="0" w:color="auto"/>
            </w:tcBorders>
            <w:shd w:val="clear" w:color="auto" w:fill="auto"/>
            <w:noWrap/>
            <w:vAlign w:val="bottom"/>
            <w:hideMark/>
          </w:tcPr>
          <w:p w14:paraId="750505F2"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-94,5%</w:t>
            </w:r>
          </w:p>
        </w:tc>
      </w:tr>
      <w:tr w:rsidR="005F42E3" w:rsidRPr="005303F7" w14:paraId="2AF96456" w14:textId="77777777" w:rsidTr="00182E68">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8A90000" w14:textId="218307B5" w:rsidR="005F42E3" w:rsidRPr="005303F7" w:rsidRDefault="00BC327E" w:rsidP="005F42E3">
            <w:pPr>
              <w:tabs>
                <w:tab w:val="clear" w:pos="3825"/>
              </w:tabs>
              <w:overflowPunct/>
              <w:autoSpaceDE/>
              <w:autoSpaceDN/>
              <w:adjustRightInd/>
              <w:spacing w:before="0" w:after="0"/>
              <w:jc w:val="left"/>
              <w:textAlignment w:val="auto"/>
              <w:rPr>
                <w:rFonts w:ascii="Times New Roman" w:hAnsi="Times New Roman"/>
                <w:lang w:val="sr-Cyrl-CS" w:eastAsia="en-GB"/>
              </w:rPr>
            </w:pPr>
            <w:r w:rsidRPr="005303F7">
              <w:rPr>
                <w:rFonts w:ascii="Times New Roman" w:hAnsi="Times New Roman"/>
                <w:lang w:val="sr-Cyrl-CS" w:eastAsia="en-GB"/>
              </w:rPr>
              <w:t>IPPU</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2671C8AF"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5.455</w:t>
            </w:r>
          </w:p>
        </w:tc>
        <w:tc>
          <w:tcPr>
            <w:tcW w:w="777" w:type="dxa"/>
            <w:tcBorders>
              <w:top w:val="nil"/>
              <w:left w:val="nil"/>
              <w:bottom w:val="single" w:sz="4" w:space="0" w:color="auto"/>
              <w:right w:val="single" w:sz="4" w:space="0" w:color="auto"/>
            </w:tcBorders>
            <w:shd w:val="clear" w:color="auto" w:fill="auto"/>
            <w:noWrap/>
            <w:vAlign w:val="bottom"/>
            <w:hideMark/>
          </w:tcPr>
          <w:p w14:paraId="762C9C64"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4.729</w:t>
            </w:r>
          </w:p>
        </w:tc>
        <w:tc>
          <w:tcPr>
            <w:tcW w:w="777" w:type="dxa"/>
            <w:tcBorders>
              <w:top w:val="nil"/>
              <w:left w:val="nil"/>
              <w:bottom w:val="single" w:sz="4" w:space="0" w:color="auto"/>
              <w:right w:val="single" w:sz="4" w:space="0" w:color="auto"/>
            </w:tcBorders>
            <w:shd w:val="clear" w:color="auto" w:fill="auto"/>
            <w:noWrap/>
            <w:vAlign w:val="bottom"/>
            <w:hideMark/>
          </w:tcPr>
          <w:p w14:paraId="287898B9"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4.660</w:t>
            </w:r>
          </w:p>
        </w:tc>
        <w:tc>
          <w:tcPr>
            <w:tcW w:w="777" w:type="dxa"/>
            <w:tcBorders>
              <w:top w:val="nil"/>
              <w:left w:val="nil"/>
              <w:bottom w:val="single" w:sz="4" w:space="0" w:color="auto"/>
              <w:right w:val="single" w:sz="4" w:space="0" w:color="auto"/>
            </w:tcBorders>
            <w:shd w:val="clear" w:color="auto" w:fill="auto"/>
            <w:noWrap/>
            <w:vAlign w:val="bottom"/>
            <w:hideMark/>
          </w:tcPr>
          <w:p w14:paraId="3587B65E"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3.883</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326C00BA"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4.731</w:t>
            </w:r>
          </w:p>
        </w:tc>
        <w:tc>
          <w:tcPr>
            <w:tcW w:w="777" w:type="dxa"/>
            <w:tcBorders>
              <w:top w:val="nil"/>
              <w:left w:val="nil"/>
              <w:bottom w:val="single" w:sz="4" w:space="0" w:color="auto"/>
              <w:right w:val="single" w:sz="4" w:space="0" w:color="auto"/>
            </w:tcBorders>
            <w:shd w:val="clear" w:color="auto" w:fill="auto"/>
            <w:noWrap/>
            <w:vAlign w:val="bottom"/>
            <w:hideMark/>
          </w:tcPr>
          <w:p w14:paraId="7464AB78"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5.167</w:t>
            </w:r>
          </w:p>
        </w:tc>
        <w:tc>
          <w:tcPr>
            <w:tcW w:w="777" w:type="dxa"/>
            <w:tcBorders>
              <w:top w:val="nil"/>
              <w:left w:val="nil"/>
              <w:bottom w:val="single" w:sz="4" w:space="0" w:color="auto"/>
              <w:right w:val="single" w:sz="4" w:space="0" w:color="auto"/>
            </w:tcBorders>
            <w:shd w:val="clear" w:color="auto" w:fill="auto"/>
            <w:noWrap/>
            <w:vAlign w:val="bottom"/>
            <w:hideMark/>
          </w:tcPr>
          <w:p w14:paraId="55131ADF"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4.641</w:t>
            </w:r>
          </w:p>
        </w:tc>
        <w:tc>
          <w:tcPr>
            <w:tcW w:w="777" w:type="dxa"/>
            <w:tcBorders>
              <w:top w:val="nil"/>
              <w:left w:val="nil"/>
              <w:bottom w:val="single" w:sz="4" w:space="0" w:color="auto"/>
              <w:right w:val="single" w:sz="4" w:space="0" w:color="auto"/>
            </w:tcBorders>
            <w:shd w:val="clear" w:color="auto" w:fill="auto"/>
            <w:noWrap/>
            <w:vAlign w:val="bottom"/>
            <w:hideMark/>
          </w:tcPr>
          <w:p w14:paraId="58FAB5A7"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5.104</w:t>
            </w:r>
          </w:p>
        </w:tc>
        <w:tc>
          <w:tcPr>
            <w:tcW w:w="872" w:type="dxa"/>
            <w:tcBorders>
              <w:top w:val="nil"/>
              <w:left w:val="nil"/>
              <w:bottom w:val="single" w:sz="4" w:space="0" w:color="auto"/>
              <w:right w:val="single" w:sz="4" w:space="0" w:color="auto"/>
            </w:tcBorders>
            <w:shd w:val="clear" w:color="auto" w:fill="auto"/>
            <w:noWrap/>
            <w:vAlign w:val="bottom"/>
            <w:hideMark/>
          </w:tcPr>
          <w:p w14:paraId="25179CF0"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-0,4%</w:t>
            </w:r>
          </w:p>
        </w:tc>
        <w:tc>
          <w:tcPr>
            <w:tcW w:w="850" w:type="dxa"/>
            <w:tcBorders>
              <w:top w:val="nil"/>
              <w:left w:val="nil"/>
              <w:bottom w:val="single" w:sz="4" w:space="0" w:color="auto"/>
              <w:right w:val="single" w:sz="4" w:space="0" w:color="auto"/>
            </w:tcBorders>
            <w:shd w:val="clear" w:color="auto" w:fill="auto"/>
            <w:noWrap/>
            <w:vAlign w:val="bottom"/>
            <w:hideMark/>
          </w:tcPr>
          <w:p w14:paraId="15EC71CA"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9,5%</w:t>
            </w:r>
          </w:p>
        </w:tc>
        <w:tc>
          <w:tcPr>
            <w:tcW w:w="851" w:type="dxa"/>
            <w:tcBorders>
              <w:top w:val="nil"/>
              <w:left w:val="nil"/>
              <w:bottom w:val="single" w:sz="4" w:space="0" w:color="auto"/>
              <w:right w:val="single" w:sz="4" w:space="0" w:color="auto"/>
            </w:tcBorders>
            <w:shd w:val="clear" w:color="auto" w:fill="auto"/>
            <w:noWrap/>
            <w:vAlign w:val="bottom"/>
            <w:hideMark/>
          </w:tcPr>
          <w:p w14:paraId="2AD61A9E"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-1,9%</w:t>
            </w:r>
          </w:p>
        </w:tc>
        <w:tc>
          <w:tcPr>
            <w:tcW w:w="850" w:type="dxa"/>
            <w:tcBorders>
              <w:top w:val="nil"/>
              <w:left w:val="nil"/>
              <w:bottom w:val="single" w:sz="4" w:space="0" w:color="auto"/>
              <w:right w:val="single" w:sz="4" w:space="0" w:color="auto"/>
            </w:tcBorders>
            <w:shd w:val="clear" w:color="auto" w:fill="auto"/>
            <w:noWrap/>
            <w:vAlign w:val="bottom"/>
            <w:hideMark/>
          </w:tcPr>
          <w:p w14:paraId="72C7D6C5"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7872652"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-14,9%</w:t>
            </w:r>
          </w:p>
        </w:tc>
        <w:tc>
          <w:tcPr>
            <w:tcW w:w="850" w:type="dxa"/>
            <w:tcBorders>
              <w:top w:val="nil"/>
              <w:left w:val="nil"/>
              <w:bottom w:val="single" w:sz="4" w:space="0" w:color="auto"/>
              <w:right w:val="single" w:sz="4" w:space="0" w:color="auto"/>
            </w:tcBorders>
            <w:shd w:val="clear" w:color="auto" w:fill="auto"/>
            <w:noWrap/>
            <w:vAlign w:val="bottom"/>
            <w:hideMark/>
          </w:tcPr>
          <w:p w14:paraId="16D60137"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-6,4%</w:t>
            </w:r>
          </w:p>
        </w:tc>
      </w:tr>
      <w:tr w:rsidR="005F42E3" w:rsidRPr="005303F7" w14:paraId="641BF068" w14:textId="77777777" w:rsidTr="00182E68">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C8B0A6A" w14:textId="2126379F" w:rsidR="005F42E3" w:rsidRPr="005303F7" w:rsidRDefault="008D69AF" w:rsidP="005F42E3">
            <w:pPr>
              <w:tabs>
                <w:tab w:val="clear" w:pos="3825"/>
              </w:tabs>
              <w:overflowPunct/>
              <w:autoSpaceDE/>
              <w:autoSpaceDN/>
              <w:adjustRightInd/>
              <w:spacing w:before="0" w:after="0"/>
              <w:jc w:val="left"/>
              <w:textAlignment w:val="auto"/>
              <w:rPr>
                <w:rFonts w:ascii="Times New Roman" w:hAnsi="Times New Roman"/>
                <w:lang w:val="sr-Cyrl-CS" w:eastAsia="en-GB"/>
              </w:rPr>
            </w:pPr>
            <w:r w:rsidRPr="005303F7">
              <w:rPr>
                <w:rFonts w:ascii="Times New Roman" w:hAnsi="Times New Roman"/>
                <w:lang w:val="sr-Cyrl-CS" w:eastAsia="en-GB"/>
              </w:rPr>
              <w:t>По</w:t>
            </w:r>
            <w:r w:rsidR="00D553BE" w:rsidRPr="005303F7">
              <w:rPr>
                <w:rFonts w:ascii="Times New Roman" w:hAnsi="Times New Roman"/>
                <w:lang w:val="sr-Cyrl-CS" w:eastAsia="en-GB"/>
              </w:rPr>
              <w:t>љ</w:t>
            </w:r>
            <w:r w:rsidRPr="005303F7">
              <w:rPr>
                <w:rFonts w:ascii="Times New Roman" w:hAnsi="Times New Roman"/>
                <w:lang w:val="sr-Cyrl-CS" w:eastAsia="en-GB"/>
              </w:rPr>
              <w:t>опривреда</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3D1B4FD0"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6.186</w:t>
            </w:r>
          </w:p>
        </w:tc>
        <w:tc>
          <w:tcPr>
            <w:tcW w:w="777" w:type="dxa"/>
            <w:tcBorders>
              <w:top w:val="nil"/>
              <w:left w:val="nil"/>
              <w:bottom w:val="single" w:sz="4" w:space="0" w:color="auto"/>
              <w:right w:val="single" w:sz="4" w:space="0" w:color="auto"/>
            </w:tcBorders>
            <w:shd w:val="clear" w:color="auto" w:fill="auto"/>
            <w:noWrap/>
            <w:vAlign w:val="bottom"/>
            <w:hideMark/>
          </w:tcPr>
          <w:p w14:paraId="5BD1A717"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6.238</w:t>
            </w:r>
          </w:p>
        </w:tc>
        <w:tc>
          <w:tcPr>
            <w:tcW w:w="777" w:type="dxa"/>
            <w:tcBorders>
              <w:top w:val="nil"/>
              <w:left w:val="nil"/>
              <w:bottom w:val="single" w:sz="4" w:space="0" w:color="auto"/>
              <w:right w:val="single" w:sz="4" w:space="0" w:color="auto"/>
            </w:tcBorders>
            <w:shd w:val="clear" w:color="auto" w:fill="auto"/>
            <w:noWrap/>
            <w:vAlign w:val="bottom"/>
            <w:hideMark/>
          </w:tcPr>
          <w:p w14:paraId="150416F8"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5.305</w:t>
            </w:r>
          </w:p>
        </w:tc>
        <w:tc>
          <w:tcPr>
            <w:tcW w:w="777" w:type="dxa"/>
            <w:tcBorders>
              <w:top w:val="nil"/>
              <w:left w:val="nil"/>
              <w:bottom w:val="single" w:sz="4" w:space="0" w:color="auto"/>
              <w:right w:val="single" w:sz="4" w:space="0" w:color="auto"/>
            </w:tcBorders>
            <w:shd w:val="clear" w:color="auto" w:fill="auto"/>
            <w:noWrap/>
            <w:vAlign w:val="bottom"/>
            <w:hideMark/>
          </w:tcPr>
          <w:p w14:paraId="58F1D400"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5.259</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505EEEC6"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5.132</w:t>
            </w:r>
          </w:p>
        </w:tc>
        <w:tc>
          <w:tcPr>
            <w:tcW w:w="777" w:type="dxa"/>
            <w:tcBorders>
              <w:top w:val="nil"/>
              <w:left w:val="nil"/>
              <w:bottom w:val="single" w:sz="4" w:space="0" w:color="auto"/>
              <w:right w:val="single" w:sz="4" w:space="0" w:color="auto"/>
            </w:tcBorders>
            <w:shd w:val="clear" w:color="auto" w:fill="auto"/>
            <w:noWrap/>
            <w:vAlign w:val="bottom"/>
            <w:hideMark/>
          </w:tcPr>
          <w:p w14:paraId="64FAF58C"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4.691</w:t>
            </w:r>
          </w:p>
        </w:tc>
        <w:tc>
          <w:tcPr>
            <w:tcW w:w="777" w:type="dxa"/>
            <w:tcBorders>
              <w:top w:val="nil"/>
              <w:left w:val="nil"/>
              <w:bottom w:val="single" w:sz="4" w:space="0" w:color="auto"/>
              <w:right w:val="single" w:sz="4" w:space="0" w:color="auto"/>
            </w:tcBorders>
            <w:shd w:val="clear" w:color="auto" w:fill="auto"/>
            <w:noWrap/>
            <w:vAlign w:val="bottom"/>
            <w:hideMark/>
          </w:tcPr>
          <w:p w14:paraId="0AAAF0FA"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4.249</w:t>
            </w:r>
          </w:p>
        </w:tc>
        <w:tc>
          <w:tcPr>
            <w:tcW w:w="777" w:type="dxa"/>
            <w:tcBorders>
              <w:top w:val="nil"/>
              <w:left w:val="nil"/>
              <w:bottom w:val="single" w:sz="4" w:space="0" w:color="auto"/>
              <w:right w:val="single" w:sz="4" w:space="0" w:color="auto"/>
            </w:tcBorders>
            <w:shd w:val="clear" w:color="auto" w:fill="auto"/>
            <w:noWrap/>
            <w:vAlign w:val="bottom"/>
            <w:hideMark/>
          </w:tcPr>
          <w:p w14:paraId="5AEB56A0"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5.056</w:t>
            </w:r>
          </w:p>
        </w:tc>
        <w:tc>
          <w:tcPr>
            <w:tcW w:w="872" w:type="dxa"/>
            <w:tcBorders>
              <w:top w:val="nil"/>
              <w:left w:val="nil"/>
              <w:bottom w:val="single" w:sz="4" w:space="0" w:color="auto"/>
              <w:right w:val="single" w:sz="4" w:space="0" w:color="auto"/>
            </w:tcBorders>
            <w:shd w:val="clear" w:color="auto" w:fill="auto"/>
            <w:noWrap/>
            <w:vAlign w:val="bottom"/>
            <w:hideMark/>
          </w:tcPr>
          <w:p w14:paraId="11670D9F"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-19,9%</w:t>
            </w:r>
          </w:p>
        </w:tc>
        <w:tc>
          <w:tcPr>
            <w:tcW w:w="850" w:type="dxa"/>
            <w:tcBorders>
              <w:top w:val="nil"/>
              <w:left w:val="nil"/>
              <w:bottom w:val="single" w:sz="4" w:space="0" w:color="auto"/>
              <w:right w:val="single" w:sz="4" w:space="0" w:color="auto"/>
            </w:tcBorders>
            <w:shd w:val="clear" w:color="auto" w:fill="auto"/>
            <w:noWrap/>
            <w:vAlign w:val="bottom"/>
            <w:hideMark/>
          </w:tcPr>
          <w:p w14:paraId="398249E7"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-4,7%</w:t>
            </w:r>
          </w:p>
        </w:tc>
        <w:tc>
          <w:tcPr>
            <w:tcW w:w="851" w:type="dxa"/>
            <w:tcBorders>
              <w:top w:val="nil"/>
              <w:left w:val="nil"/>
              <w:bottom w:val="single" w:sz="4" w:space="0" w:color="auto"/>
              <w:right w:val="single" w:sz="4" w:space="0" w:color="auto"/>
            </w:tcBorders>
            <w:shd w:val="clear" w:color="auto" w:fill="auto"/>
            <w:noWrap/>
            <w:vAlign w:val="bottom"/>
            <w:hideMark/>
          </w:tcPr>
          <w:p w14:paraId="565A0526"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-31,9%</w:t>
            </w:r>
          </w:p>
        </w:tc>
        <w:tc>
          <w:tcPr>
            <w:tcW w:w="850" w:type="dxa"/>
            <w:tcBorders>
              <w:top w:val="nil"/>
              <w:left w:val="nil"/>
              <w:bottom w:val="single" w:sz="4" w:space="0" w:color="auto"/>
              <w:right w:val="single" w:sz="4" w:space="0" w:color="auto"/>
            </w:tcBorders>
            <w:shd w:val="clear" w:color="auto" w:fill="auto"/>
            <w:noWrap/>
            <w:vAlign w:val="bottom"/>
            <w:hideMark/>
          </w:tcPr>
          <w:p w14:paraId="568461AA"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-19,0%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FA38EF3"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-31,3%</w:t>
            </w:r>
          </w:p>
        </w:tc>
        <w:tc>
          <w:tcPr>
            <w:tcW w:w="850" w:type="dxa"/>
            <w:tcBorders>
              <w:top w:val="nil"/>
              <w:left w:val="nil"/>
              <w:bottom w:val="single" w:sz="4" w:space="0" w:color="auto"/>
              <w:right w:val="single" w:sz="4" w:space="0" w:color="auto"/>
            </w:tcBorders>
            <w:shd w:val="clear" w:color="auto" w:fill="auto"/>
            <w:noWrap/>
            <w:vAlign w:val="bottom"/>
            <w:hideMark/>
          </w:tcPr>
          <w:p w14:paraId="30AFD21A"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-18,3%</w:t>
            </w:r>
          </w:p>
        </w:tc>
      </w:tr>
      <w:tr w:rsidR="005F42E3" w:rsidRPr="005303F7" w14:paraId="1ED3EA3F" w14:textId="77777777" w:rsidTr="00182E68">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EE2B221" w14:textId="14D60786" w:rsidR="005F42E3" w:rsidRPr="005303F7" w:rsidRDefault="008D69AF" w:rsidP="005F42E3">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t>Отпад</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79D8687D"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3.868</w:t>
            </w:r>
          </w:p>
        </w:tc>
        <w:tc>
          <w:tcPr>
            <w:tcW w:w="777" w:type="dxa"/>
            <w:tcBorders>
              <w:top w:val="nil"/>
              <w:left w:val="nil"/>
              <w:bottom w:val="single" w:sz="4" w:space="0" w:color="auto"/>
              <w:right w:val="single" w:sz="4" w:space="0" w:color="auto"/>
            </w:tcBorders>
            <w:shd w:val="clear" w:color="auto" w:fill="auto"/>
            <w:noWrap/>
            <w:vAlign w:val="bottom"/>
            <w:hideMark/>
          </w:tcPr>
          <w:p w14:paraId="7E2D6EB4"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2.800</w:t>
            </w:r>
          </w:p>
        </w:tc>
        <w:tc>
          <w:tcPr>
            <w:tcW w:w="777" w:type="dxa"/>
            <w:tcBorders>
              <w:top w:val="nil"/>
              <w:left w:val="nil"/>
              <w:bottom w:val="single" w:sz="4" w:space="0" w:color="auto"/>
              <w:right w:val="single" w:sz="4" w:space="0" w:color="auto"/>
            </w:tcBorders>
            <w:shd w:val="clear" w:color="auto" w:fill="auto"/>
            <w:noWrap/>
            <w:vAlign w:val="bottom"/>
            <w:hideMark/>
          </w:tcPr>
          <w:p w14:paraId="2FFCF3CA"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2.730</w:t>
            </w:r>
          </w:p>
        </w:tc>
        <w:tc>
          <w:tcPr>
            <w:tcW w:w="777" w:type="dxa"/>
            <w:tcBorders>
              <w:top w:val="nil"/>
              <w:left w:val="nil"/>
              <w:bottom w:val="single" w:sz="4" w:space="0" w:color="auto"/>
              <w:right w:val="single" w:sz="4" w:space="0" w:color="auto"/>
            </w:tcBorders>
            <w:shd w:val="clear" w:color="auto" w:fill="auto"/>
            <w:noWrap/>
            <w:vAlign w:val="bottom"/>
            <w:hideMark/>
          </w:tcPr>
          <w:p w14:paraId="162164BA"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2.709</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1A21ECF8"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2.601</w:t>
            </w:r>
          </w:p>
        </w:tc>
        <w:tc>
          <w:tcPr>
            <w:tcW w:w="777" w:type="dxa"/>
            <w:tcBorders>
              <w:top w:val="nil"/>
              <w:left w:val="nil"/>
              <w:bottom w:val="single" w:sz="4" w:space="0" w:color="auto"/>
              <w:right w:val="single" w:sz="4" w:space="0" w:color="auto"/>
            </w:tcBorders>
            <w:shd w:val="clear" w:color="auto" w:fill="auto"/>
            <w:noWrap/>
            <w:vAlign w:val="bottom"/>
            <w:hideMark/>
          </w:tcPr>
          <w:p w14:paraId="228C9ED1"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2.134</w:t>
            </w:r>
          </w:p>
        </w:tc>
        <w:tc>
          <w:tcPr>
            <w:tcW w:w="777" w:type="dxa"/>
            <w:tcBorders>
              <w:top w:val="nil"/>
              <w:left w:val="nil"/>
              <w:bottom w:val="single" w:sz="4" w:space="0" w:color="auto"/>
              <w:right w:val="single" w:sz="4" w:space="0" w:color="auto"/>
            </w:tcBorders>
            <w:shd w:val="clear" w:color="auto" w:fill="auto"/>
            <w:noWrap/>
            <w:vAlign w:val="bottom"/>
            <w:hideMark/>
          </w:tcPr>
          <w:p w14:paraId="07B57EA9"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1.488</w:t>
            </w:r>
          </w:p>
        </w:tc>
        <w:tc>
          <w:tcPr>
            <w:tcW w:w="777" w:type="dxa"/>
            <w:tcBorders>
              <w:top w:val="nil"/>
              <w:left w:val="nil"/>
              <w:bottom w:val="single" w:sz="4" w:space="0" w:color="auto"/>
              <w:right w:val="single" w:sz="4" w:space="0" w:color="auto"/>
            </w:tcBorders>
            <w:shd w:val="clear" w:color="auto" w:fill="auto"/>
            <w:noWrap/>
            <w:vAlign w:val="bottom"/>
            <w:hideMark/>
          </w:tcPr>
          <w:p w14:paraId="58C8DEDA"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917</w:t>
            </w:r>
          </w:p>
        </w:tc>
        <w:tc>
          <w:tcPr>
            <w:tcW w:w="872" w:type="dxa"/>
            <w:tcBorders>
              <w:top w:val="nil"/>
              <w:left w:val="nil"/>
              <w:bottom w:val="single" w:sz="4" w:space="0" w:color="auto"/>
              <w:right w:val="single" w:sz="4" w:space="0" w:color="auto"/>
            </w:tcBorders>
            <w:shd w:val="clear" w:color="auto" w:fill="auto"/>
            <w:noWrap/>
            <w:vAlign w:val="bottom"/>
            <w:hideMark/>
          </w:tcPr>
          <w:p w14:paraId="2D1A39A6"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-45,5%</w:t>
            </w:r>
          </w:p>
        </w:tc>
        <w:tc>
          <w:tcPr>
            <w:tcW w:w="850" w:type="dxa"/>
            <w:tcBorders>
              <w:top w:val="nil"/>
              <w:left w:val="nil"/>
              <w:bottom w:val="single" w:sz="4" w:space="0" w:color="auto"/>
              <w:right w:val="single" w:sz="4" w:space="0" w:color="auto"/>
            </w:tcBorders>
            <w:shd w:val="clear" w:color="auto" w:fill="auto"/>
            <w:noWrap/>
            <w:vAlign w:val="bottom"/>
            <w:hideMark/>
          </w:tcPr>
          <w:p w14:paraId="622250B9"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-66,4%</w:t>
            </w:r>
          </w:p>
        </w:tc>
        <w:tc>
          <w:tcPr>
            <w:tcW w:w="851" w:type="dxa"/>
            <w:tcBorders>
              <w:top w:val="nil"/>
              <w:left w:val="nil"/>
              <w:bottom w:val="single" w:sz="4" w:space="0" w:color="auto"/>
              <w:right w:val="single" w:sz="4" w:space="0" w:color="auto"/>
            </w:tcBorders>
            <w:shd w:val="clear" w:color="auto" w:fill="auto"/>
            <w:noWrap/>
            <w:vAlign w:val="bottom"/>
            <w:hideMark/>
          </w:tcPr>
          <w:p w14:paraId="597FA49E"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-46,8%</w:t>
            </w:r>
          </w:p>
        </w:tc>
        <w:tc>
          <w:tcPr>
            <w:tcW w:w="850" w:type="dxa"/>
            <w:tcBorders>
              <w:top w:val="nil"/>
              <w:left w:val="nil"/>
              <w:bottom w:val="single" w:sz="4" w:space="0" w:color="auto"/>
              <w:right w:val="single" w:sz="4" w:space="0" w:color="auto"/>
            </w:tcBorders>
            <w:shd w:val="clear" w:color="auto" w:fill="auto"/>
            <w:noWrap/>
            <w:vAlign w:val="bottom"/>
            <w:hideMark/>
          </w:tcPr>
          <w:p w14:paraId="10DB3252"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-67,2%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4261D00"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-61,5%</w:t>
            </w:r>
          </w:p>
        </w:tc>
        <w:tc>
          <w:tcPr>
            <w:tcW w:w="850" w:type="dxa"/>
            <w:tcBorders>
              <w:top w:val="nil"/>
              <w:left w:val="nil"/>
              <w:bottom w:val="single" w:sz="4" w:space="0" w:color="auto"/>
              <w:right w:val="single" w:sz="4" w:space="0" w:color="auto"/>
            </w:tcBorders>
            <w:shd w:val="clear" w:color="auto" w:fill="auto"/>
            <w:noWrap/>
            <w:vAlign w:val="bottom"/>
            <w:hideMark/>
          </w:tcPr>
          <w:p w14:paraId="05335F19" w14:textId="77777777" w:rsidR="005F42E3" w:rsidRPr="005303F7" w:rsidRDefault="005F42E3" w:rsidP="005F42E3">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-76,3%</w:t>
            </w:r>
          </w:p>
        </w:tc>
      </w:tr>
      <w:tr w:rsidR="006070B1" w:rsidRPr="005303F7" w14:paraId="3D1D1E83" w14:textId="77777777" w:rsidTr="00182E68">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2CE3426" w14:textId="03C68CBF" w:rsidR="006070B1" w:rsidRPr="005303F7" w:rsidRDefault="008D69AF" w:rsidP="005F42E3">
            <w:pPr>
              <w:tabs>
                <w:tab w:val="clear" w:pos="3825"/>
              </w:tabs>
              <w:overflowPunct/>
              <w:autoSpaceDE/>
              <w:autoSpaceDN/>
              <w:adjustRightInd/>
              <w:spacing w:before="0" w:after="0"/>
              <w:jc w:val="left"/>
              <w:textAlignment w:val="auto"/>
              <w:rPr>
                <w:rFonts w:ascii="Times New Roman" w:hAnsi="Times New Roman"/>
                <w:b/>
                <w:bCs/>
                <w:color w:val="000000"/>
                <w:lang w:val="sr-Cyrl-CS" w:eastAsia="en-GB"/>
              </w:rPr>
            </w:pPr>
            <w:r w:rsidRPr="005303F7">
              <w:rPr>
                <w:rFonts w:ascii="Times New Roman" w:hAnsi="Times New Roman"/>
                <w:b/>
                <w:bCs/>
                <w:color w:val="000000"/>
                <w:lang w:val="sr-Cyrl-CS" w:eastAsia="en-GB"/>
              </w:rPr>
              <w:t>Укупно</w:t>
            </w:r>
            <w:r w:rsidR="006070B1" w:rsidRPr="005303F7">
              <w:rPr>
                <w:rFonts w:ascii="Times New Roman" w:hAnsi="Times New Roman"/>
                <w:b/>
                <w:bCs/>
                <w:color w:val="000000"/>
                <w:lang w:val="sr-Cyrl-CS" w:eastAsia="en-GB"/>
              </w:rPr>
              <w:t xml:space="preserve"> </w:t>
            </w:r>
            <w:r w:rsidRPr="005303F7">
              <w:rPr>
                <w:rFonts w:ascii="Times New Roman" w:hAnsi="Times New Roman"/>
                <w:b/>
                <w:bCs/>
                <w:color w:val="000000"/>
                <w:lang w:val="sr-Cyrl-CS" w:eastAsia="en-GB"/>
              </w:rPr>
              <w:t>М</w:t>
            </w:r>
            <w:r w:rsidR="006070B1" w:rsidRPr="005303F7">
              <w:rPr>
                <w:rFonts w:ascii="Times New Roman" w:hAnsi="Times New Roman"/>
                <w:b/>
                <w:bCs/>
                <w:color w:val="000000"/>
                <w:lang w:val="sr-Cyrl-CS" w:eastAsia="en-GB"/>
              </w:rPr>
              <w:t>3 (</w:t>
            </w:r>
            <w:r w:rsidRPr="005303F7">
              <w:rPr>
                <w:rFonts w:ascii="Times New Roman" w:hAnsi="Times New Roman"/>
                <w:b/>
                <w:bCs/>
                <w:color w:val="000000"/>
                <w:lang w:val="sr-Cyrl-CS" w:eastAsia="en-GB"/>
              </w:rPr>
              <w:t>без</w:t>
            </w:r>
            <w:r w:rsidR="00BC327E" w:rsidRPr="005303F7">
              <w:rPr>
                <w:rFonts w:ascii="Times New Roman" w:hAnsi="Times New Roman"/>
                <w:b/>
                <w:bCs/>
                <w:color w:val="000000"/>
                <w:lang w:val="sr-Cyrl-CS" w:eastAsia="en-GB"/>
              </w:rPr>
              <w:t xml:space="preserve"> LULUCF</w:t>
            </w:r>
            <w:r w:rsidR="006070B1" w:rsidRPr="005303F7">
              <w:rPr>
                <w:rFonts w:ascii="Times New Roman" w:hAnsi="Times New Roman"/>
                <w:b/>
                <w:bCs/>
                <w:color w:val="000000"/>
                <w:lang w:val="sr-Cyrl-CS" w:eastAsia="en-GB"/>
              </w:rPr>
              <w:t>)</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7BB377A8"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81.526</w:t>
            </w:r>
          </w:p>
        </w:tc>
        <w:tc>
          <w:tcPr>
            <w:tcW w:w="777" w:type="dxa"/>
            <w:tcBorders>
              <w:top w:val="nil"/>
              <w:left w:val="nil"/>
              <w:bottom w:val="single" w:sz="4" w:space="0" w:color="auto"/>
              <w:right w:val="single" w:sz="4" w:space="0" w:color="auto"/>
            </w:tcBorders>
            <w:shd w:val="clear" w:color="auto" w:fill="auto"/>
            <w:noWrap/>
            <w:vAlign w:val="bottom"/>
            <w:hideMark/>
          </w:tcPr>
          <w:p w14:paraId="2F0270C7"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68.091</w:t>
            </w:r>
          </w:p>
        </w:tc>
        <w:tc>
          <w:tcPr>
            <w:tcW w:w="777" w:type="dxa"/>
            <w:tcBorders>
              <w:top w:val="nil"/>
              <w:left w:val="nil"/>
              <w:bottom w:val="single" w:sz="4" w:space="0" w:color="auto"/>
              <w:right w:val="single" w:sz="4" w:space="0" w:color="auto"/>
            </w:tcBorders>
            <w:shd w:val="clear" w:color="auto" w:fill="auto"/>
            <w:noWrap/>
            <w:vAlign w:val="bottom"/>
            <w:hideMark/>
          </w:tcPr>
          <w:p w14:paraId="0BAD48CE"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62.650</w:t>
            </w:r>
          </w:p>
        </w:tc>
        <w:tc>
          <w:tcPr>
            <w:tcW w:w="777" w:type="dxa"/>
            <w:tcBorders>
              <w:top w:val="nil"/>
              <w:left w:val="nil"/>
              <w:bottom w:val="single" w:sz="4" w:space="0" w:color="auto"/>
              <w:right w:val="single" w:sz="4" w:space="0" w:color="auto"/>
            </w:tcBorders>
            <w:shd w:val="clear" w:color="auto" w:fill="auto"/>
            <w:noWrap/>
            <w:vAlign w:val="bottom"/>
            <w:hideMark/>
          </w:tcPr>
          <w:p w14:paraId="11CEB765"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61.233</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425E45C7"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62.357</w:t>
            </w:r>
          </w:p>
        </w:tc>
        <w:tc>
          <w:tcPr>
            <w:tcW w:w="777" w:type="dxa"/>
            <w:tcBorders>
              <w:top w:val="nil"/>
              <w:left w:val="nil"/>
              <w:bottom w:val="single" w:sz="4" w:space="0" w:color="auto"/>
              <w:right w:val="single" w:sz="4" w:space="0" w:color="auto"/>
            </w:tcBorders>
            <w:shd w:val="clear" w:color="auto" w:fill="auto"/>
            <w:noWrap/>
            <w:vAlign w:val="bottom"/>
            <w:hideMark/>
          </w:tcPr>
          <w:p w14:paraId="35A7C3F4"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54.525</w:t>
            </w:r>
          </w:p>
        </w:tc>
        <w:tc>
          <w:tcPr>
            <w:tcW w:w="777" w:type="dxa"/>
            <w:tcBorders>
              <w:top w:val="nil"/>
              <w:left w:val="nil"/>
              <w:bottom w:val="single" w:sz="4" w:space="0" w:color="auto"/>
              <w:right w:val="single" w:sz="4" w:space="0" w:color="auto"/>
            </w:tcBorders>
            <w:shd w:val="clear" w:color="auto" w:fill="auto"/>
            <w:noWrap/>
            <w:vAlign w:val="bottom"/>
            <w:hideMark/>
          </w:tcPr>
          <w:p w14:paraId="00152742"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44.692</w:t>
            </w:r>
          </w:p>
        </w:tc>
        <w:tc>
          <w:tcPr>
            <w:tcW w:w="777" w:type="dxa"/>
            <w:tcBorders>
              <w:top w:val="nil"/>
              <w:left w:val="nil"/>
              <w:bottom w:val="single" w:sz="4" w:space="0" w:color="auto"/>
              <w:right w:val="single" w:sz="4" w:space="0" w:color="auto"/>
            </w:tcBorders>
            <w:shd w:val="clear" w:color="auto" w:fill="auto"/>
            <w:noWrap/>
            <w:vAlign w:val="bottom"/>
            <w:hideMark/>
          </w:tcPr>
          <w:p w14:paraId="468FCA9F"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25.269</w:t>
            </w:r>
          </w:p>
        </w:tc>
        <w:tc>
          <w:tcPr>
            <w:tcW w:w="872" w:type="dxa"/>
            <w:tcBorders>
              <w:top w:val="nil"/>
              <w:left w:val="nil"/>
              <w:bottom w:val="single" w:sz="4" w:space="0" w:color="auto"/>
              <w:right w:val="single" w:sz="4" w:space="0" w:color="auto"/>
            </w:tcBorders>
            <w:shd w:val="clear" w:color="auto" w:fill="auto"/>
            <w:noWrap/>
            <w:vAlign w:val="bottom"/>
            <w:hideMark/>
          </w:tcPr>
          <w:p w14:paraId="155CFFB8"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-28,7%</w:t>
            </w:r>
          </w:p>
        </w:tc>
        <w:tc>
          <w:tcPr>
            <w:tcW w:w="850" w:type="dxa"/>
            <w:tcBorders>
              <w:top w:val="nil"/>
              <w:left w:val="nil"/>
              <w:bottom w:val="single" w:sz="4" w:space="0" w:color="auto"/>
              <w:right w:val="single" w:sz="4" w:space="0" w:color="auto"/>
            </w:tcBorders>
            <w:shd w:val="clear" w:color="auto" w:fill="auto"/>
            <w:noWrap/>
            <w:vAlign w:val="bottom"/>
            <w:hideMark/>
          </w:tcPr>
          <w:p w14:paraId="2BCB01AC"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-59,7%</w:t>
            </w:r>
          </w:p>
        </w:tc>
        <w:tc>
          <w:tcPr>
            <w:tcW w:w="851" w:type="dxa"/>
            <w:tcBorders>
              <w:top w:val="nil"/>
              <w:left w:val="nil"/>
              <w:bottom w:val="single" w:sz="4" w:space="0" w:color="auto"/>
              <w:right w:val="single" w:sz="4" w:space="0" w:color="auto"/>
            </w:tcBorders>
            <w:shd w:val="clear" w:color="auto" w:fill="auto"/>
            <w:noWrap/>
            <w:vAlign w:val="bottom"/>
            <w:hideMark/>
          </w:tcPr>
          <w:p w14:paraId="260BF66F"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-34,4%</w:t>
            </w:r>
          </w:p>
        </w:tc>
        <w:tc>
          <w:tcPr>
            <w:tcW w:w="850" w:type="dxa"/>
            <w:tcBorders>
              <w:top w:val="nil"/>
              <w:left w:val="nil"/>
              <w:bottom w:val="single" w:sz="4" w:space="0" w:color="auto"/>
              <w:right w:val="single" w:sz="4" w:space="0" w:color="auto"/>
            </w:tcBorders>
            <w:shd w:val="clear" w:color="auto" w:fill="auto"/>
            <w:noWrap/>
            <w:vAlign w:val="bottom"/>
            <w:hideMark/>
          </w:tcPr>
          <w:p w14:paraId="33F9B6B9"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-62,9%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E3AC1B"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-45,2%</w:t>
            </w:r>
          </w:p>
        </w:tc>
        <w:tc>
          <w:tcPr>
            <w:tcW w:w="850" w:type="dxa"/>
            <w:tcBorders>
              <w:top w:val="nil"/>
              <w:left w:val="nil"/>
              <w:bottom w:val="single" w:sz="4" w:space="0" w:color="auto"/>
              <w:right w:val="single" w:sz="4" w:space="0" w:color="auto"/>
            </w:tcBorders>
            <w:shd w:val="clear" w:color="auto" w:fill="auto"/>
            <w:noWrap/>
            <w:vAlign w:val="bottom"/>
            <w:hideMark/>
          </w:tcPr>
          <w:p w14:paraId="724E3390"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-69,0%</w:t>
            </w:r>
          </w:p>
        </w:tc>
      </w:tr>
      <w:tr w:rsidR="006070B1" w:rsidRPr="005303F7" w14:paraId="734FEA94" w14:textId="77777777" w:rsidTr="00182E68">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1286387" w14:textId="73121AC7" w:rsidR="006070B1" w:rsidRPr="005303F7" w:rsidRDefault="00BC327E" w:rsidP="006070B1">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t>LULUCF</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257F0703"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-1.432</w:t>
            </w:r>
          </w:p>
        </w:tc>
        <w:tc>
          <w:tcPr>
            <w:tcW w:w="777" w:type="dxa"/>
            <w:tcBorders>
              <w:top w:val="nil"/>
              <w:left w:val="nil"/>
              <w:bottom w:val="single" w:sz="4" w:space="0" w:color="auto"/>
              <w:right w:val="single" w:sz="4" w:space="0" w:color="auto"/>
            </w:tcBorders>
            <w:shd w:val="clear" w:color="auto" w:fill="auto"/>
            <w:noWrap/>
            <w:vAlign w:val="bottom"/>
            <w:hideMark/>
          </w:tcPr>
          <w:p w14:paraId="153CD72F" w14:textId="0F2146F5" w:rsidR="006070B1" w:rsidRPr="005303F7" w:rsidRDefault="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w:t>
            </w:r>
            <w:r w:rsidR="00512846" w:rsidRPr="005303F7">
              <w:rPr>
                <w:rFonts w:ascii="Times New Roman" w:hAnsi="Times New Roman"/>
                <w:color w:val="000000"/>
                <w:sz w:val="20"/>
                <w:lang w:val="sr-Cyrl-CS" w:eastAsia="en-GB"/>
              </w:rPr>
              <w:t>7.090</w:t>
            </w:r>
          </w:p>
        </w:tc>
        <w:tc>
          <w:tcPr>
            <w:tcW w:w="777" w:type="dxa"/>
            <w:tcBorders>
              <w:top w:val="nil"/>
              <w:left w:val="nil"/>
              <w:bottom w:val="single" w:sz="4" w:space="0" w:color="auto"/>
              <w:right w:val="single" w:sz="4" w:space="0" w:color="auto"/>
            </w:tcBorders>
            <w:shd w:val="clear" w:color="auto" w:fill="auto"/>
            <w:noWrap/>
            <w:vAlign w:val="bottom"/>
            <w:hideMark/>
          </w:tcPr>
          <w:p w14:paraId="5A17D86D"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-5.627</w:t>
            </w:r>
          </w:p>
        </w:tc>
        <w:tc>
          <w:tcPr>
            <w:tcW w:w="777" w:type="dxa"/>
            <w:tcBorders>
              <w:top w:val="nil"/>
              <w:left w:val="nil"/>
              <w:bottom w:val="single" w:sz="4" w:space="0" w:color="auto"/>
              <w:right w:val="single" w:sz="4" w:space="0" w:color="auto"/>
            </w:tcBorders>
            <w:shd w:val="clear" w:color="auto" w:fill="auto"/>
            <w:noWrap/>
            <w:vAlign w:val="bottom"/>
            <w:hideMark/>
          </w:tcPr>
          <w:p w14:paraId="5FD6A9D5"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-4.533</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493E4138"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-6.725</w:t>
            </w:r>
          </w:p>
        </w:tc>
        <w:tc>
          <w:tcPr>
            <w:tcW w:w="777" w:type="dxa"/>
            <w:tcBorders>
              <w:top w:val="nil"/>
              <w:left w:val="nil"/>
              <w:bottom w:val="single" w:sz="4" w:space="0" w:color="auto"/>
              <w:right w:val="single" w:sz="4" w:space="0" w:color="auto"/>
            </w:tcBorders>
            <w:shd w:val="clear" w:color="auto" w:fill="auto"/>
            <w:noWrap/>
            <w:vAlign w:val="bottom"/>
            <w:hideMark/>
          </w:tcPr>
          <w:p w14:paraId="7458F04F"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-6.672</w:t>
            </w:r>
          </w:p>
        </w:tc>
        <w:tc>
          <w:tcPr>
            <w:tcW w:w="777" w:type="dxa"/>
            <w:tcBorders>
              <w:top w:val="nil"/>
              <w:left w:val="nil"/>
              <w:bottom w:val="single" w:sz="4" w:space="0" w:color="auto"/>
              <w:right w:val="single" w:sz="4" w:space="0" w:color="auto"/>
            </w:tcBorders>
            <w:shd w:val="clear" w:color="auto" w:fill="auto"/>
            <w:noWrap/>
            <w:vAlign w:val="bottom"/>
            <w:hideMark/>
          </w:tcPr>
          <w:p w14:paraId="13080747"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-7.274</w:t>
            </w:r>
          </w:p>
        </w:tc>
        <w:tc>
          <w:tcPr>
            <w:tcW w:w="777" w:type="dxa"/>
            <w:tcBorders>
              <w:top w:val="nil"/>
              <w:left w:val="nil"/>
              <w:bottom w:val="single" w:sz="4" w:space="0" w:color="auto"/>
              <w:right w:val="single" w:sz="4" w:space="0" w:color="auto"/>
            </w:tcBorders>
            <w:shd w:val="clear" w:color="auto" w:fill="auto"/>
            <w:noWrap/>
            <w:vAlign w:val="bottom"/>
            <w:hideMark/>
          </w:tcPr>
          <w:p w14:paraId="360BFCF2"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-5.720</w:t>
            </w:r>
          </w:p>
        </w:tc>
        <w:tc>
          <w:tcPr>
            <w:tcW w:w="872" w:type="dxa"/>
            <w:tcBorders>
              <w:top w:val="nil"/>
              <w:left w:val="nil"/>
              <w:bottom w:val="single" w:sz="4" w:space="0" w:color="auto"/>
              <w:right w:val="single" w:sz="4" w:space="0" w:color="auto"/>
            </w:tcBorders>
            <w:shd w:val="clear" w:color="auto" w:fill="auto"/>
            <w:noWrap/>
            <w:vAlign w:val="bottom"/>
            <w:hideMark/>
          </w:tcPr>
          <w:p w14:paraId="04F394B4"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29,3%</w:t>
            </w:r>
          </w:p>
        </w:tc>
        <w:tc>
          <w:tcPr>
            <w:tcW w:w="850" w:type="dxa"/>
            <w:tcBorders>
              <w:top w:val="nil"/>
              <w:left w:val="nil"/>
              <w:bottom w:val="single" w:sz="4" w:space="0" w:color="auto"/>
              <w:right w:val="single" w:sz="4" w:space="0" w:color="auto"/>
            </w:tcBorders>
            <w:shd w:val="clear" w:color="auto" w:fill="auto"/>
            <w:noWrap/>
            <w:vAlign w:val="bottom"/>
            <w:hideMark/>
          </w:tcPr>
          <w:p w14:paraId="0F9C6721"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1,7%</w:t>
            </w:r>
          </w:p>
        </w:tc>
        <w:tc>
          <w:tcPr>
            <w:tcW w:w="851" w:type="dxa"/>
            <w:tcBorders>
              <w:top w:val="nil"/>
              <w:left w:val="nil"/>
              <w:bottom w:val="single" w:sz="4" w:space="0" w:color="auto"/>
              <w:right w:val="single" w:sz="4" w:space="0" w:color="auto"/>
            </w:tcBorders>
            <w:shd w:val="clear" w:color="auto" w:fill="auto"/>
            <w:noWrap/>
            <w:vAlign w:val="bottom"/>
            <w:hideMark/>
          </w:tcPr>
          <w:p w14:paraId="7E2D1721" w14:textId="0AABE033" w:rsidR="006070B1" w:rsidRPr="005303F7" w:rsidRDefault="00512846">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2,6</w:t>
            </w:r>
            <w:r w:rsidR="006070B1" w:rsidRPr="005303F7">
              <w:rPr>
                <w:rFonts w:ascii="Times New Roman" w:hAnsi="Times New Roman"/>
                <w:color w:val="000000"/>
                <w:sz w:val="20"/>
                <w:lang w:val="sr-Cyrl-CS" w:eastAsia="en-GB"/>
              </w:rPr>
              <w:t>%</w:t>
            </w:r>
          </w:p>
        </w:tc>
        <w:tc>
          <w:tcPr>
            <w:tcW w:w="850" w:type="dxa"/>
            <w:tcBorders>
              <w:top w:val="nil"/>
              <w:left w:val="nil"/>
              <w:bottom w:val="single" w:sz="4" w:space="0" w:color="auto"/>
              <w:right w:val="single" w:sz="4" w:space="0" w:color="auto"/>
            </w:tcBorders>
            <w:shd w:val="clear" w:color="auto" w:fill="auto"/>
            <w:noWrap/>
            <w:vAlign w:val="bottom"/>
            <w:hideMark/>
          </w:tcPr>
          <w:p w14:paraId="22DD4B65" w14:textId="7EC4CB08" w:rsidR="006070B1" w:rsidRPr="005303F7" w:rsidRDefault="00C22F12">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-19,3</w:t>
            </w:r>
            <w:r w:rsidR="006070B1" w:rsidRPr="005303F7">
              <w:rPr>
                <w:rFonts w:ascii="Times New Roman" w:hAnsi="Times New Roman"/>
                <w:color w:val="000000"/>
                <w:sz w:val="20"/>
                <w:lang w:val="sr-Cyrl-CS" w:eastAsia="en-GB"/>
              </w:rPr>
              <w: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EA225A7" w14:textId="5EADEF2F" w:rsidR="006070B1" w:rsidRPr="005303F7" w:rsidRDefault="00C22F12">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408,0</w:t>
            </w:r>
            <w:r w:rsidR="006070B1" w:rsidRPr="005303F7">
              <w:rPr>
                <w:rFonts w:ascii="Times New Roman" w:hAnsi="Times New Roman"/>
                <w:color w:val="000000"/>
                <w:sz w:val="20"/>
                <w:lang w:val="sr-Cyrl-CS" w:eastAsia="en-GB"/>
              </w:rPr>
              <w:t>%</w:t>
            </w:r>
          </w:p>
        </w:tc>
        <w:tc>
          <w:tcPr>
            <w:tcW w:w="850" w:type="dxa"/>
            <w:tcBorders>
              <w:top w:val="nil"/>
              <w:left w:val="nil"/>
              <w:bottom w:val="single" w:sz="4" w:space="0" w:color="auto"/>
              <w:right w:val="single" w:sz="4" w:space="0" w:color="auto"/>
            </w:tcBorders>
            <w:shd w:val="clear" w:color="auto" w:fill="auto"/>
            <w:noWrap/>
            <w:vAlign w:val="bottom"/>
            <w:hideMark/>
          </w:tcPr>
          <w:p w14:paraId="4D8B47D7" w14:textId="51BDD2E3" w:rsidR="006070B1" w:rsidRPr="005303F7" w:rsidRDefault="00C22F12">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299,4</w:t>
            </w:r>
            <w:r w:rsidR="006070B1" w:rsidRPr="005303F7">
              <w:rPr>
                <w:rFonts w:ascii="Times New Roman" w:hAnsi="Times New Roman"/>
                <w:color w:val="000000"/>
                <w:sz w:val="20"/>
                <w:lang w:val="sr-Cyrl-CS" w:eastAsia="en-GB"/>
              </w:rPr>
              <w:t>%</w:t>
            </w:r>
          </w:p>
        </w:tc>
      </w:tr>
      <w:tr w:rsidR="006070B1" w:rsidRPr="005303F7" w14:paraId="341F8A66" w14:textId="77777777" w:rsidTr="00182E68">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BE72A0C" w14:textId="1329A8BB" w:rsidR="006070B1" w:rsidRPr="005303F7" w:rsidRDefault="008D69AF" w:rsidP="006070B1">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t>Укупно</w:t>
            </w:r>
            <w:r w:rsidR="002470D0" w:rsidRPr="005303F7">
              <w:rPr>
                <w:rFonts w:ascii="Times New Roman" w:hAnsi="Times New Roman"/>
                <w:color w:val="000000"/>
                <w:lang w:val="sr-Cyrl-CS" w:eastAsia="en-GB"/>
              </w:rPr>
              <w:t xml:space="preserve"> </w:t>
            </w:r>
            <w:r w:rsidRPr="005303F7">
              <w:rPr>
                <w:rFonts w:ascii="Times New Roman" w:hAnsi="Times New Roman"/>
                <w:color w:val="000000"/>
                <w:lang w:val="sr-Cyrl-CS" w:eastAsia="en-GB"/>
              </w:rPr>
              <w:t>са</w:t>
            </w:r>
            <w:r w:rsidR="006070B1" w:rsidRPr="005303F7">
              <w:rPr>
                <w:rFonts w:ascii="Times New Roman" w:hAnsi="Times New Roman"/>
                <w:color w:val="000000"/>
                <w:lang w:val="sr-Cyrl-CS" w:eastAsia="en-GB"/>
              </w:rPr>
              <w:t xml:space="preserve"> </w:t>
            </w:r>
            <w:r w:rsidR="00BC327E" w:rsidRPr="005303F7">
              <w:rPr>
                <w:rFonts w:ascii="Times New Roman" w:hAnsi="Times New Roman"/>
                <w:color w:val="000000"/>
                <w:lang w:val="sr-Cyrl-CS" w:eastAsia="en-GB"/>
              </w:rPr>
              <w:t>LULUCF</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4E44F8FB"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80.094</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4710A13B" w14:textId="7A502F1E" w:rsidR="006070B1" w:rsidRPr="005303F7" w:rsidRDefault="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w:t>
            </w:r>
            <w:r w:rsidR="00512846" w:rsidRPr="005303F7">
              <w:rPr>
                <w:rFonts w:ascii="Times New Roman" w:hAnsi="Times New Roman"/>
                <w:color w:val="000000"/>
                <w:sz w:val="20"/>
                <w:lang w:val="sr-Cyrl-CS" w:eastAsia="en-GB"/>
              </w:rPr>
              <w:t>1.001</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64062B6C"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57.023</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5BBCCA04"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56.700</w:t>
            </w:r>
          </w:p>
        </w:tc>
        <w:tc>
          <w:tcPr>
            <w:tcW w:w="777" w:type="dxa"/>
            <w:tcBorders>
              <w:top w:val="nil"/>
              <w:left w:val="nil"/>
              <w:bottom w:val="single" w:sz="4" w:space="0" w:color="auto"/>
              <w:right w:val="single" w:sz="4" w:space="0" w:color="auto"/>
            </w:tcBorders>
            <w:shd w:val="clear" w:color="auto" w:fill="auto"/>
            <w:noWrap/>
            <w:vAlign w:val="bottom"/>
            <w:hideMark/>
          </w:tcPr>
          <w:p w14:paraId="749ED7FD"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55.632</w:t>
            </w:r>
          </w:p>
        </w:tc>
        <w:tc>
          <w:tcPr>
            <w:tcW w:w="777" w:type="dxa"/>
            <w:tcBorders>
              <w:top w:val="nil"/>
              <w:left w:val="nil"/>
              <w:bottom w:val="single" w:sz="4" w:space="0" w:color="auto"/>
              <w:right w:val="single" w:sz="4" w:space="0" w:color="auto"/>
            </w:tcBorders>
            <w:shd w:val="clear" w:color="auto" w:fill="auto"/>
            <w:noWrap/>
            <w:vAlign w:val="bottom"/>
            <w:hideMark/>
          </w:tcPr>
          <w:p w14:paraId="0CD0EB44"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47.853</w:t>
            </w:r>
          </w:p>
        </w:tc>
        <w:tc>
          <w:tcPr>
            <w:tcW w:w="777" w:type="dxa"/>
            <w:tcBorders>
              <w:top w:val="nil"/>
              <w:left w:val="nil"/>
              <w:bottom w:val="single" w:sz="4" w:space="0" w:color="auto"/>
              <w:right w:val="single" w:sz="4" w:space="0" w:color="auto"/>
            </w:tcBorders>
            <w:shd w:val="clear" w:color="auto" w:fill="auto"/>
            <w:noWrap/>
            <w:vAlign w:val="bottom"/>
            <w:hideMark/>
          </w:tcPr>
          <w:p w14:paraId="45DE47F9"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37.418</w:t>
            </w:r>
          </w:p>
        </w:tc>
        <w:tc>
          <w:tcPr>
            <w:tcW w:w="777" w:type="dxa"/>
            <w:tcBorders>
              <w:top w:val="nil"/>
              <w:left w:val="nil"/>
              <w:bottom w:val="single" w:sz="4" w:space="0" w:color="auto"/>
              <w:right w:val="single" w:sz="4" w:space="0" w:color="auto"/>
            </w:tcBorders>
            <w:shd w:val="clear" w:color="auto" w:fill="auto"/>
            <w:noWrap/>
            <w:vAlign w:val="bottom"/>
            <w:hideMark/>
          </w:tcPr>
          <w:p w14:paraId="7B7C051A"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19.549</w:t>
            </w:r>
          </w:p>
        </w:tc>
        <w:tc>
          <w:tcPr>
            <w:tcW w:w="872" w:type="dxa"/>
            <w:tcBorders>
              <w:top w:val="nil"/>
              <w:left w:val="nil"/>
              <w:bottom w:val="single" w:sz="4" w:space="0" w:color="auto"/>
              <w:right w:val="single" w:sz="4" w:space="0" w:color="auto"/>
            </w:tcBorders>
            <w:shd w:val="clear" w:color="auto" w:fill="auto"/>
            <w:noWrap/>
            <w:vAlign w:val="bottom"/>
            <w:hideMark/>
          </w:tcPr>
          <w:p w14:paraId="5FDCBAFE"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-34,4%</w:t>
            </w:r>
          </w:p>
        </w:tc>
        <w:tc>
          <w:tcPr>
            <w:tcW w:w="850" w:type="dxa"/>
            <w:tcBorders>
              <w:top w:val="nil"/>
              <w:left w:val="nil"/>
              <w:bottom w:val="single" w:sz="4" w:space="0" w:color="auto"/>
              <w:right w:val="single" w:sz="4" w:space="0" w:color="auto"/>
            </w:tcBorders>
            <w:shd w:val="clear" w:color="auto" w:fill="auto"/>
            <w:noWrap/>
            <w:vAlign w:val="bottom"/>
            <w:hideMark/>
          </w:tcPr>
          <w:p w14:paraId="31FE888D" w14:textId="77777777"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-65,7%</w:t>
            </w:r>
          </w:p>
        </w:tc>
        <w:tc>
          <w:tcPr>
            <w:tcW w:w="851" w:type="dxa"/>
            <w:tcBorders>
              <w:top w:val="nil"/>
              <w:left w:val="nil"/>
              <w:bottom w:val="single" w:sz="4" w:space="0" w:color="auto"/>
              <w:right w:val="single" w:sz="4" w:space="0" w:color="auto"/>
            </w:tcBorders>
            <w:shd w:val="clear" w:color="auto" w:fill="auto"/>
            <w:noWrap/>
            <w:vAlign w:val="bottom"/>
            <w:hideMark/>
          </w:tcPr>
          <w:p w14:paraId="0CC960BE" w14:textId="712C9E3D" w:rsidR="006070B1" w:rsidRPr="005303F7" w:rsidRDefault="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w:t>
            </w:r>
            <w:r w:rsidR="00512846" w:rsidRPr="005303F7">
              <w:rPr>
                <w:rFonts w:ascii="Times New Roman" w:hAnsi="Times New Roman"/>
                <w:color w:val="000000"/>
                <w:sz w:val="20"/>
                <w:lang w:val="sr-Cyrl-CS" w:eastAsia="en-GB"/>
              </w:rPr>
              <w:t>38,7</w:t>
            </w:r>
            <w:r w:rsidRPr="005303F7">
              <w:rPr>
                <w:rFonts w:ascii="Times New Roman" w:hAnsi="Times New Roman"/>
                <w:color w:val="000000"/>
                <w:sz w:val="20"/>
                <w:lang w:val="sr-Cyrl-CS" w:eastAsia="en-GB"/>
              </w:rPr>
              <w:t>%</w:t>
            </w:r>
          </w:p>
        </w:tc>
        <w:tc>
          <w:tcPr>
            <w:tcW w:w="850" w:type="dxa"/>
            <w:tcBorders>
              <w:top w:val="nil"/>
              <w:left w:val="nil"/>
              <w:bottom w:val="single" w:sz="4" w:space="0" w:color="auto"/>
              <w:right w:val="single" w:sz="4" w:space="0" w:color="auto"/>
            </w:tcBorders>
            <w:shd w:val="clear" w:color="auto" w:fill="auto"/>
            <w:noWrap/>
            <w:vAlign w:val="bottom"/>
            <w:hideMark/>
          </w:tcPr>
          <w:p w14:paraId="2491127F" w14:textId="57BF6C3D" w:rsidR="006070B1" w:rsidRPr="005303F7" w:rsidRDefault="006070B1" w:rsidP="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-68,</w:t>
            </w:r>
            <w:r w:rsidR="00C22F12" w:rsidRPr="005303F7">
              <w:rPr>
                <w:rFonts w:ascii="Times New Roman" w:hAnsi="Times New Roman"/>
                <w:color w:val="000000"/>
                <w:sz w:val="20"/>
                <w:lang w:val="sr-Cyrl-CS" w:eastAsia="en-GB"/>
              </w:rPr>
              <w:t>0</w:t>
            </w:r>
            <w:r w:rsidRPr="005303F7">
              <w:rPr>
                <w:rFonts w:ascii="Times New Roman" w:hAnsi="Times New Roman"/>
                <w:color w:val="000000"/>
                <w:sz w:val="20"/>
                <w:lang w:val="sr-Cyrl-CS" w:eastAsia="en-GB"/>
              </w:rPr>
              <w: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C7F51D3" w14:textId="65A85785" w:rsidR="006070B1" w:rsidRPr="005303F7" w:rsidRDefault="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w:t>
            </w:r>
            <w:r w:rsidR="00C22F12" w:rsidRPr="005303F7">
              <w:rPr>
                <w:rFonts w:ascii="Times New Roman" w:hAnsi="Times New Roman"/>
                <w:color w:val="000000"/>
                <w:sz w:val="20"/>
                <w:lang w:val="sr-Cyrl-CS" w:eastAsia="en-GB"/>
              </w:rPr>
              <w:t>53,3</w:t>
            </w:r>
            <w:r w:rsidRPr="005303F7">
              <w:rPr>
                <w:rFonts w:ascii="Times New Roman" w:hAnsi="Times New Roman"/>
                <w:color w:val="000000"/>
                <w:sz w:val="20"/>
                <w:lang w:val="sr-Cyrl-CS" w:eastAsia="en-GB"/>
              </w:rPr>
              <w:t>%</w:t>
            </w:r>
          </w:p>
        </w:tc>
        <w:tc>
          <w:tcPr>
            <w:tcW w:w="850" w:type="dxa"/>
            <w:tcBorders>
              <w:top w:val="nil"/>
              <w:left w:val="nil"/>
              <w:bottom w:val="single" w:sz="4" w:space="0" w:color="auto"/>
              <w:right w:val="single" w:sz="4" w:space="0" w:color="auto"/>
            </w:tcBorders>
            <w:shd w:val="clear" w:color="auto" w:fill="auto"/>
            <w:noWrap/>
            <w:vAlign w:val="bottom"/>
            <w:hideMark/>
          </w:tcPr>
          <w:p w14:paraId="6B72F4A0" w14:textId="063270B9" w:rsidR="006070B1" w:rsidRPr="005303F7" w:rsidRDefault="006070B1">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w:t>
            </w:r>
            <w:r w:rsidR="00FB54A1" w:rsidRPr="005303F7">
              <w:rPr>
                <w:rFonts w:ascii="Times New Roman" w:hAnsi="Times New Roman"/>
                <w:color w:val="000000"/>
                <w:sz w:val="20"/>
                <w:lang w:val="sr-Cyrl-CS" w:eastAsia="en-GB"/>
              </w:rPr>
              <w:t>75,6</w:t>
            </w:r>
            <w:r w:rsidRPr="005303F7">
              <w:rPr>
                <w:rFonts w:ascii="Times New Roman" w:hAnsi="Times New Roman"/>
                <w:color w:val="000000"/>
                <w:sz w:val="20"/>
                <w:lang w:val="sr-Cyrl-CS" w:eastAsia="en-GB"/>
              </w:rPr>
              <w:t>%</w:t>
            </w:r>
          </w:p>
        </w:tc>
      </w:tr>
    </w:tbl>
    <w:p w14:paraId="7A6688AC" w14:textId="6B070CA5" w:rsidR="00182E68" w:rsidRPr="005303F7" w:rsidRDefault="00182E68">
      <w:pPr>
        <w:tabs>
          <w:tab w:val="clear" w:pos="3825"/>
        </w:tabs>
        <w:overflowPunct/>
        <w:autoSpaceDE/>
        <w:autoSpaceDN/>
        <w:adjustRightInd/>
        <w:spacing w:before="0" w:after="0"/>
        <w:jc w:val="left"/>
        <w:textAlignment w:val="auto"/>
        <w:rPr>
          <w:rFonts w:ascii="Times New Roman" w:hAnsi="Times New Roman"/>
          <w:b/>
          <w:bCs/>
          <w:lang w:val="sr-Cyrl-CS"/>
        </w:rPr>
      </w:pPr>
    </w:p>
    <w:tbl>
      <w:tblPr>
        <w:tblW w:w="14454" w:type="dxa"/>
        <w:tblLayout w:type="fixed"/>
        <w:tblLook w:val="04A0" w:firstRow="1" w:lastRow="0" w:firstColumn="1" w:lastColumn="0" w:noHBand="0" w:noVBand="1"/>
      </w:tblPr>
      <w:tblGrid>
        <w:gridCol w:w="2830"/>
        <w:gridCol w:w="777"/>
        <w:gridCol w:w="777"/>
        <w:gridCol w:w="777"/>
        <w:gridCol w:w="777"/>
        <w:gridCol w:w="777"/>
        <w:gridCol w:w="777"/>
        <w:gridCol w:w="777"/>
        <w:gridCol w:w="940"/>
        <w:gridCol w:w="872"/>
        <w:gridCol w:w="850"/>
        <w:gridCol w:w="851"/>
        <w:gridCol w:w="850"/>
        <w:gridCol w:w="851"/>
        <w:gridCol w:w="971"/>
      </w:tblGrid>
      <w:tr w:rsidR="00B2496D" w:rsidRPr="005303F7" w14:paraId="461FAD76" w14:textId="77777777" w:rsidTr="005147F4">
        <w:trPr>
          <w:trHeight w:val="290"/>
        </w:trPr>
        <w:tc>
          <w:tcPr>
            <w:tcW w:w="283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4B32327" w14:textId="403AB8F1" w:rsidR="00B2496D" w:rsidRPr="005303F7" w:rsidRDefault="008D69AF" w:rsidP="00B2496D">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t>М</w:t>
            </w:r>
            <w:r w:rsidR="00B2496D" w:rsidRPr="005303F7">
              <w:rPr>
                <w:rFonts w:ascii="Times New Roman" w:hAnsi="Times New Roman"/>
                <w:color w:val="000000"/>
                <w:lang w:val="sr-Cyrl-CS" w:eastAsia="en-GB"/>
              </w:rPr>
              <w:t>4</w:t>
            </w:r>
          </w:p>
        </w:tc>
        <w:tc>
          <w:tcPr>
            <w:tcW w:w="777" w:type="dxa"/>
            <w:tcBorders>
              <w:top w:val="single" w:sz="4" w:space="0" w:color="auto"/>
              <w:left w:val="single" w:sz="4" w:space="0" w:color="auto"/>
              <w:bottom w:val="nil"/>
              <w:right w:val="single" w:sz="4" w:space="0" w:color="auto"/>
            </w:tcBorders>
            <w:shd w:val="clear" w:color="000000" w:fill="BFBFBF"/>
            <w:noWrap/>
            <w:vAlign w:val="center"/>
            <w:hideMark/>
          </w:tcPr>
          <w:p w14:paraId="3758389B" w14:textId="55FF9DF3"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1990.</w:t>
            </w:r>
          </w:p>
        </w:tc>
        <w:tc>
          <w:tcPr>
            <w:tcW w:w="777" w:type="dxa"/>
            <w:tcBorders>
              <w:top w:val="single" w:sz="4" w:space="0" w:color="auto"/>
              <w:left w:val="nil"/>
              <w:bottom w:val="nil"/>
              <w:right w:val="single" w:sz="4" w:space="0" w:color="auto"/>
            </w:tcBorders>
            <w:shd w:val="clear" w:color="000000" w:fill="BFBFBF"/>
            <w:noWrap/>
            <w:vAlign w:val="center"/>
            <w:hideMark/>
          </w:tcPr>
          <w:p w14:paraId="4E8056F1" w14:textId="2DA712AE"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2005.</w:t>
            </w:r>
          </w:p>
        </w:tc>
        <w:tc>
          <w:tcPr>
            <w:tcW w:w="777" w:type="dxa"/>
            <w:tcBorders>
              <w:top w:val="single" w:sz="4" w:space="0" w:color="auto"/>
              <w:left w:val="nil"/>
              <w:bottom w:val="nil"/>
              <w:right w:val="single" w:sz="4" w:space="0" w:color="auto"/>
            </w:tcBorders>
            <w:shd w:val="clear" w:color="000000" w:fill="BFBFBF"/>
            <w:noWrap/>
            <w:vAlign w:val="center"/>
            <w:hideMark/>
          </w:tcPr>
          <w:p w14:paraId="2C944414" w14:textId="5DB2A113"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2010.</w:t>
            </w:r>
          </w:p>
        </w:tc>
        <w:tc>
          <w:tcPr>
            <w:tcW w:w="777" w:type="dxa"/>
            <w:tcBorders>
              <w:top w:val="single" w:sz="4" w:space="0" w:color="auto"/>
              <w:left w:val="nil"/>
              <w:bottom w:val="nil"/>
              <w:right w:val="single" w:sz="4" w:space="0" w:color="auto"/>
            </w:tcBorders>
            <w:shd w:val="clear" w:color="000000" w:fill="BFBFBF"/>
            <w:noWrap/>
            <w:vAlign w:val="center"/>
            <w:hideMark/>
          </w:tcPr>
          <w:p w14:paraId="4F0475A7" w14:textId="579F8416"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2015.</w:t>
            </w:r>
          </w:p>
        </w:tc>
        <w:tc>
          <w:tcPr>
            <w:tcW w:w="77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9225EF5" w14:textId="665CA275"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2020.</w:t>
            </w:r>
          </w:p>
        </w:tc>
        <w:tc>
          <w:tcPr>
            <w:tcW w:w="777" w:type="dxa"/>
            <w:tcBorders>
              <w:top w:val="single" w:sz="4" w:space="0" w:color="auto"/>
              <w:left w:val="nil"/>
              <w:bottom w:val="single" w:sz="4" w:space="0" w:color="auto"/>
              <w:right w:val="single" w:sz="4" w:space="0" w:color="auto"/>
            </w:tcBorders>
            <w:shd w:val="clear" w:color="000000" w:fill="BFBFBF"/>
            <w:noWrap/>
            <w:vAlign w:val="center"/>
            <w:hideMark/>
          </w:tcPr>
          <w:p w14:paraId="36A1CE4C" w14:textId="1AA56F62"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2025.</w:t>
            </w:r>
          </w:p>
        </w:tc>
        <w:tc>
          <w:tcPr>
            <w:tcW w:w="777" w:type="dxa"/>
            <w:tcBorders>
              <w:top w:val="single" w:sz="4" w:space="0" w:color="auto"/>
              <w:left w:val="nil"/>
              <w:bottom w:val="single" w:sz="4" w:space="0" w:color="auto"/>
              <w:right w:val="single" w:sz="4" w:space="0" w:color="auto"/>
            </w:tcBorders>
            <w:shd w:val="clear" w:color="000000" w:fill="BFBFBF"/>
            <w:noWrap/>
            <w:vAlign w:val="center"/>
            <w:hideMark/>
          </w:tcPr>
          <w:p w14:paraId="787405A9" w14:textId="63B178C4"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2030.</w:t>
            </w:r>
          </w:p>
        </w:tc>
        <w:tc>
          <w:tcPr>
            <w:tcW w:w="940" w:type="dxa"/>
            <w:tcBorders>
              <w:top w:val="single" w:sz="4" w:space="0" w:color="auto"/>
              <w:left w:val="nil"/>
              <w:bottom w:val="single" w:sz="4" w:space="0" w:color="auto"/>
              <w:right w:val="single" w:sz="4" w:space="0" w:color="auto"/>
            </w:tcBorders>
            <w:shd w:val="clear" w:color="000000" w:fill="BFBFBF"/>
            <w:noWrap/>
            <w:vAlign w:val="center"/>
            <w:hideMark/>
          </w:tcPr>
          <w:p w14:paraId="160A0C3F" w14:textId="12AA9A95"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2050.</w:t>
            </w:r>
          </w:p>
        </w:tc>
        <w:tc>
          <w:tcPr>
            <w:tcW w:w="872" w:type="dxa"/>
            <w:tcBorders>
              <w:top w:val="single" w:sz="4" w:space="0" w:color="auto"/>
              <w:left w:val="nil"/>
              <w:bottom w:val="single" w:sz="4" w:space="0" w:color="auto"/>
              <w:right w:val="single" w:sz="4" w:space="0" w:color="auto"/>
            </w:tcBorders>
            <w:shd w:val="clear" w:color="000000" w:fill="9BC2E6"/>
            <w:vAlign w:val="center"/>
            <w:hideMark/>
          </w:tcPr>
          <w:p w14:paraId="2F0D58A2" w14:textId="77777777"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2030/</w:t>
            </w:r>
          </w:p>
          <w:p w14:paraId="1A849D70" w14:textId="2E0E0476"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2010.</w:t>
            </w:r>
          </w:p>
        </w:tc>
        <w:tc>
          <w:tcPr>
            <w:tcW w:w="850" w:type="dxa"/>
            <w:tcBorders>
              <w:top w:val="single" w:sz="4" w:space="0" w:color="auto"/>
              <w:left w:val="nil"/>
              <w:bottom w:val="single" w:sz="4" w:space="0" w:color="auto"/>
              <w:right w:val="single" w:sz="4" w:space="0" w:color="auto"/>
            </w:tcBorders>
            <w:shd w:val="clear" w:color="000000" w:fill="9BC2E6"/>
            <w:vAlign w:val="center"/>
            <w:hideMark/>
          </w:tcPr>
          <w:p w14:paraId="79EBEE5D" w14:textId="77777777"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2050/</w:t>
            </w:r>
          </w:p>
          <w:p w14:paraId="6C988F47" w14:textId="6B246862"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2010.</w:t>
            </w:r>
          </w:p>
        </w:tc>
        <w:tc>
          <w:tcPr>
            <w:tcW w:w="851" w:type="dxa"/>
            <w:tcBorders>
              <w:top w:val="single" w:sz="4" w:space="0" w:color="auto"/>
              <w:left w:val="nil"/>
              <w:bottom w:val="single" w:sz="4" w:space="0" w:color="auto"/>
              <w:right w:val="single" w:sz="4" w:space="0" w:color="auto"/>
            </w:tcBorders>
            <w:shd w:val="clear" w:color="000000" w:fill="FFE699"/>
            <w:vAlign w:val="center"/>
            <w:hideMark/>
          </w:tcPr>
          <w:p w14:paraId="264785F8" w14:textId="77777777"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2030/</w:t>
            </w:r>
          </w:p>
          <w:p w14:paraId="33BD7C79" w14:textId="20EB31DE"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2005.</w:t>
            </w:r>
          </w:p>
        </w:tc>
        <w:tc>
          <w:tcPr>
            <w:tcW w:w="850" w:type="dxa"/>
            <w:tcBorders>
              <w:top w:val="single" w:sz="4" w:space="0" w:color="auto"/>
              <w:left w:val="nil"/>
              <w:bottom w:val="single" w:sz="4" w:space="0" w:color="auto"/>
              <w:right w:val="single" w:sz="4" w:space="0" w:color="auto"/>
            </w:tcBorders>
            <w:shd w:val="clear" w:color="000000" w:fill="FFE699"/>
            <w:vAlign w:val="center"/>
            <w:hideMark/>
          </w:tcPr>
          <w:p w14:paraId="5CE61AB2" w14:textId="77777777"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2050/</w:t>
            </w:r>
          </w:p>
          <w:p w14:paraId="075CF42B" w14:textId="029AFD74"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2005.</w:t>
            </w:r>
          </w:p>
        </w:tc>
        <w:tc>
          <w:tcPr>
            <w:tcW w:w="851"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265F33F2" w14:textId="77777777"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2030/</w:t>
            </w:r>
          </w:p>
          <w:p w14:paraId="140FD0AB" w14:textId="2D58A282"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1990.</w:t>
            </w:r>
          </w:p>
        </w:tc>
        <w:tc>
          <w:tcPr>
            <w:tcW w:w="971" w:type="dxa"/>
            <w:tcBorders>
              <w:top w:val="single" w:sz="4" w:space="0" w:color="auto"/>
              <w:left w:val="nil"/>
              <w:bottom w:val="single" w:sz="4" w:space="0" w:color="auto"/>
              <w:right w:val="single" w:sz="4" w:space="0" w:color="auto"/>
            </w:tcBorders>
            <w:shd w:val="clear" w:color="000000" w:fill="F8CBAD"/>
            <w:vAlign w:val="center"/>
            <w:hideMark/>
          </w:tcPr>
          <w:p w14:paraId="26CEFCB1" w14:textId="77777777"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2050/</w:t>
            </w:r>
          </w:p>
          <w:p w14:paraId="3DC4E8B1" w14:textId="6DC0D549" w:rsidR="00B2496D" w:rsidRPr="005303F7" w:rsidRDefault="00B2496D" w:rsidP="00B2496D">
            <w:pPr>
              <w:tabs>
                <w:tab w:val="clear" w:pos="3825"/>
              </w:tabs>
              <w:overflowPunct/>
              <w:autoSpaceDE/>
              <w:autoSpaceDN/>
              <w:adjustRightInd/>
              <w:spacing w:before="0" w:after="0"/>
              <w:jc w:val="right"/>
              <w:textAlignment w:val="auto"/>
              <w:rPr>
                <w:rFonts w:ascii="Times New Roman" w:hAnsi="Times New Roman"/>
                <w:color w:val="000000"/>
                <w:lang w:val="sr-Cyrl-CS" w:eastAsia="en-GB"/>
              </w:rPr>
            </w:pPr>
            <w:r w:rsidRPr="005303F7">
              <w:rPr>
                <w:rFonts w:ascii="Times New Roman" w:hAnsi="Times New Roman"/>
                <w:color w:val="000000"/>
                <w:lang w:val="sr-Cyrl-CS" w:eastAsia="en-GB"/>
              </w:rPr>
              <w:t>1990.</w:t>
            </w:r>
          </w:p>
        </w:tc>
      </w:tr>
      <w:tr w:rsidR="00BC327E" w:rsidRPr="005303F7" w14:paraId="6EA2C503" w14:textId="77777777" w:rsidTr="005147F4">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84E5591" w14:textId="5EBC5D89" w:rsidR="00BC327E" w:rsidRPr="005303F7" w:rsidRDefault="00BC327E" w:rsidP="00BC327E">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t>Енергетска индустрија</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58361"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44.146</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1FFDE2B4"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35.557</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69EECB49"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33.050</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08F9AB14"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34.700</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6D24E5E5"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34.537</w:t>
            </w:r>
          </w:p>
        </w:tc>
        <w:tc>
          <w:tcPr>
            <w:tcW w:w="777" w:type="dxa"/>
            <w:tcBorders>
              <w:top w:val="nil"/>
              <w:left w:val="nil"/>
              <w:bottom w:val="single" w:sz="4" w:space="0" w:color="auto"/>
              <w:right w:val="single" w:sz="4" w:space="0" w:color="auto"/>
            </w:tcBorders>
            <w:shd w:val="clear" w:color="auto" w:fill="auto"/>
            <w:noWrap/>
            <w:vAlign w:val="bottom"/>
            <w:hideMark/>
          </w:tcPr>
          <w:p w14:paraId="3B9474E8"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27.995</w:t>
            </w:r>
          </w:p>
        </w:tc>
        <w:tc>
          <w:tcPr>
            <w:tcW w:w="777" w:type="dxa"/>
            <w:tcBorders>
              <w:top w:val="nil"/>
              <w:left w:val="nil"/>
              <w:bottom w:val="single" w:sz="4" w:space="0" w:color="auto"/>
              <w:right w:val="single" w:sz="4" w:space="0" w:color="auto"/>
            </w:tcBorders>
            <w:shd w:val="clear" w:color="auto" w:fill="auto"/>
            <w:noWrap/>
            <w:vAlign w:val="bottom"/>
            <w:hideMark/>
          </w:tcPr>
          <w:p w14:paraId="4955C5B7"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22.824</w:t>
            </w:r>
          </w:p>
        </w:tc>
        <w:tc>
          <w:tcPr>
            <w:tcW w:w="940" w:type="dxa"/>
            <w:tcBorders>
              <w:top w:val="nil"/>
              <w:left w:val="nil"/>
              <w:bottom w:val="single" w:sz="4" w:space="0" w:color="auto"/>
              <w:right w:val="single" w:sz="4" w:space="0" w:color="auto"/>
            </w:tcBorders>
            <w:shd w:val="clear" w:color="auto" w:fill="auto"/>
            <w:noWrap/>
            <w:vAlign w:val="bottom"/>
            <w:hideMark/>
          </w:tcPr>
          <w:p w14:paraId="7A8EEAB9"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3.767</w:t>
            </w:r>
          </w:p>
        </w:tc>
        <w:tc>
          <w:tcPr>
            <w:tcW w:w="872" w:type="dxa"/>
            <w:tcBorders>
              <w:top w:val="nil"/>
              <w:left w:val="nil"/>
              <w:bottom w:val="single" w:sz="4" w:space="0" w:color="auto"/>
              <w:right w:val="single" w:sz="4" w:space="0" w:color="auto"/>
            </w:tcBorders>
            <w:shd w:val="clear" w:color="auto" w:fill="auto"/>
            <w:noWrap/>
            <w:vAlign w:val="bottom"/>
            <w:hideMark/>
          </w:tcPr>
          <w:p w14:paraId="57CFB4F7"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-30,9%</w:t>
            </w:r>
          </w:p>
        </w:tc>
        <w:tc>
          <w:tcPr>
            <w:tcW w:w="850" w:type="dxa"/>
            <w:tcBorders>
              <w:top w:val="nil"/>
              <w:left w:val="nil"/>
              <w:bottom w:val="single" w:sz="4" w:space="0" w:color="auto"/>
              <w:right w:val="single" w:sz="4" w:space="0" w:color="auto"/>
            </w:tcBorders>
            <w:shd w:val="clear" w:color="auto" w:fill="auto"/>
            <w:noWrap/>
            <w:vAlign w:val="bottom"/>
            <w:hideMark/>
          </w:tcPr>
          <w:p w14:paraId="565E4803"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-88,6%</w:t>
            </w:r>
          </w:p>
        </w:tc>
        <w:tc>
          <w:tcPr>
            <w:tcW w:w="851" w:type="dxa"/>
            <w:tcBorders>
              <w:top w:val="nil"/>
              <w:left w:val="nil"/>
              <w:bottom w:val="single" w:sz="4" w:space="0" w:color="auto"/>
              <w:right w:val="single" w:sz="4" w:space="0" w:color="auto"/>
            </w:tcBorders>
            <w:shd w:val="clear" w:color="auto" w:fill="auto"/>
            <w:noWrap/>
            <w:vAlign w:val="bottom"/>
            <w:hideMark/>
          </w:tcPr>
          <w:p w14:paraId="79FD8496"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-35,8%</w:t>
            </w:r>
          </w:p>
        </w:tc>
        <w:tc>
          <w:tcPr>
            <w:tcW w:w="850" w:type="dxa"/>
            <w:tcBorders>
              <w:top w:val="nil"/>
              <w:left w:val="nil"/>
              <w:bottom w:val="single" w:sz="4" w:space="0" w:color="auto"/>
              <w:right w:val="single" w:sz="4" w:space="0" w:color="auto"/>
            </w:tcBorders>
            <w:shd w:val="clear" w:color="auto" w:fill="auto"/>
            <w:noWrap/>
            <w:vAlign w:val="bottom"/>
            <w:hideMark/>
          </w:tcPr>
          <w:p w14:paraId="0DD4651B"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-89,4%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83784F7"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-48,3%</w:t>
            </w:r>
          </w:p>
        </w:tc>
        <w:tc>
          <w:tcPr>
            <w:tcW w:w="971" w:type="dxa"/>
            <w:tcBorders>
              <w:top w:val="nil"/>
              <w:left w:val="nil"/>
              <w:bottom w:val="single" w:sz="4" w:space="0" w:color="auto"/>
              <w:right w:val="single" w:sz="4" w:space="0" w:color="auto"/>
            </w:tcBorders>
            <w:shd w:val="clear" w:color="auto" w:fill="auto"/>
            <w:noWrap/>
            <w:vAlign w:val="bottom"/>
            <w:hideMark/>
          </w:tcPr>
          <w:p w14:paraId="74F4CE7F"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-91,5%</w:t>
            </w:r>
          </w:p>
        </w:tc>
      </w:tr>
      <w:tr w:rsidR="00BC327E" w:rsidRPr="005303F7" w14:paraId="384C4ED7" w14:textId="77777777" w:rsidTr="005147F4">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56CED10" w14:textId="04E6FE8C" w:rsidR="00BC327E" w:rsidRPr="005303F7" w:rsidRDefault="00BC327E" w:rsidP="00BC327E">
            <w:pPr>
              <w:tabs>
                <w:tab w:val="clear" w:pos="3825"/>
              </w:tabs>
              <w:overflowPunct/>
              <w:autoSpaceDE/>
              <w:autoSpaceDN/>
              <w:adjustRightInd/>
              <w:spacing w:before="0" w:after="0"/>
              <w:jc w:val="left"/>
              <w:textAlignment w:val="auto"/>
              <w:rPr>
                <w:rFonts w:ascii="Times New Roman" w:hAnsi="Times New Roman"/>
                <w:lang w:val="sr-Cyrl-CS" w:eastAsia="en-GB"/>
              </w:rPr>
            </w:pPr>
            <w:r w:rsidRPr="005303F7">
              <w:rPr>
                <w:rFonts w:ascii="Times New Roman" w:hAnsi="Times New Roman"/>
                <w:lang w:val="sr-Cyrl-CS" w:eastAsia="en-GB"/>
              </w:rPr>
              <w:t xml:space="preserve">Производна индустрија </w:t>
            </w:r>
            <w:r w:rsidR="00051C32" w:rsidRPr="005303F7">
              <w:rPr>
                <w:rFonts w:ascii="Times New Roman" w:hAnsi="Times New Roman"/>
                <w:lang w:val="sr-Cyrl-CS" w:eastAsia="en-GB"/>
              </w:rPr>
              <w:t>и</w:t>
            </w:r>
            <w:r w:rsidRPr="005303F7">
              <w:rPr>
                <w:rFonts w:ascii="Times New Roman" w:hAnsi="Times New Roman"/>
                <w:lang w:val="sr-Cyrl-CS" w:eastAsia="en-GB"/>
              </w:rPr>
              <w:t xml:space="preserve"> грађевинарство</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6ECF6B15"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6.418</w:t>
            </w:r>
          </w:p>
        </w:tc>
        <w:tc>
          <w:tcPr>
            <w:tcW w:w="777" w:type="dxa"/>
            <w:tcBorders>
              <w:top w:val="nil"/>
              <w:left w:val="nil"/>
              <w:bottom w:val="single" w:sz="4" w:space="0" w:color="auto"/>
              <w:right w:val="single" w:sz="4" w:space="0" w:color="auto"/>
            </w:tcBorders>
            <w:shd w:val="clear" w:color="auto" w:fill="auto"/>
            <w:noWrap/>
            <w:vAlign w:val="center"/>
            <w:hideMark/>
          </w:tcPr>
          <w:p w14:paraId="264BF09A"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6.064</w:t>
            </w:r>
          </w:p>
        </w:tc>
        <w:tc>
          <w:tcPr>
            <w:tcW w:w="777" w:type="dxa"/>
            <w:tcBorders>
              <w:top w:val="nil"/>
              <w:left w:val="nil"/>
              <w:bottom w:val="single" w:sz="4" w:space="0" w:color="auto"/>
              <w:right w:val="single" w:sz="4" w:space="0" w:color="auto"/>
            </w:tcBorders>
            <w:shd w:val="clear" w:color="auto" w:fill="auto"/>
            <w:noWrap/>
            <w:vAlign w:val="center"/>
            <w:hideMark/>
          </w:tcPr>
          <w:p w14:paraId="4A5A140B"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4.278</w:t>
            </w:r>
          </w:p>
        </w:tc>
        <w:tc>
          <w:tcPr>
            <w:tcW w:w="777" w:type="dxa"/>
            <w:tcBorders>
              <w:top w:val="nil"/>
              <w:left w:val="nil"/>
              <w:bottom w:val="single" w:sz="4" w:space="0" w:color="auto"/>
              <w:right w:val="single" w:sz="4" w:space="0" w:color="auto"/>
            </w:tcBorders>
            <w:shd w:val="clear" w:color="auto" w:fill="auto"/>
            <w:noWrap/>
            <w:vAlign w:val="center"/>
            <w:hideMark/>
          </w:tcPr>
          <w:p w14:paraId="7CBFCA80"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3.452</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64C88EE7"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3.851</w:t>
            </w:r>
          </w:p>
        </w:tc>
        <w:tc>
          <w:tcPr>
            <w:tcW w:w="777" w:type="dxa"/>
            <w:tcBorders>
              <w:top w:val="nil"/>
              <w:left w:val="nil"/>
              <w:bottom w:val="single" w:sz="4" w:space="0" w:color="auto"/>
              <w:right w:val="single" w:sz="4" w:space="0" w:color="auto"/>
            </w:tcBorders>
            <w:shd w:val="clear" w:color="auto" w:fill="auto"/>
            <w:noWrap/>
            <w:vAlign w:val="center"/>
            <w:hideMark/>
          </w:tcPr>
          <w:p w14:paraId="7D1F1E3D"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4.112</w:t>
            </w:r>
          </w:p>
        </w:tc>
        <w:tc>
          <w:tcPr>
            <w:tcW w:w="777" w:type="dxa"/>
            <w:tcBorders>
              <w:top w:val="nil"/>
              <w:left w:val="nil"/>
              <w:bottom w:val="single" w:sz="4" w:space="0" w:color="auto"/>
              <w:right w:val="single" w:sz="4" w:space="0" w:color="auto"/>
            </w:tcBorders>
            <w:shd w:val="clear" w:color="auto" w:fill="auto"/>
            <w:noWrap/>
            <w:vAlign w:val="center"/>
            <w:hideMark/>
          </w:tcPr>
          <w:p w14:paraId="2DD800B3"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3.134</w:t>
            </w:r>
          </w:p>
        </w:tc>
        <w:tc>
          <w:tcPr>
            <w:tcW w:w="940" w:type="dxa"/>
            <w:tcBorders>
              <w:top w:val="nil"/>
              <w:left w:val="nil"/>
              <w:bottom w:val="single" w:sz="4" w:space="0" w:color="auto"/>
              <w:right w:val="single" w:sz="4" w:space="0" w:color="auto"/>
            </w:tcBorders>
            <w:shd w:val="clear" w:color="auto" w:fill="auto"/>
            <w:noWrap/>
            <w:vAlign w:val="center"/>
            <w:hideMark/>
          </w:tcPr>
          <w:p w14:paraId="529F944A"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1.917</w:t>
            </w:r>
          </w:p>
        </w:tc>
        <w:tc>
          <w:tcPr>
            <w:tcW w:w="872" w:type="dxa"/>
            <w:tcBorders>
              <w:top w:val="nil"/>
              <w:left w:val="nil"/>
              <w:bottom w:val="single" w:sz="4" w:space="0" w:color="auto"/>
              <w:right w:val="single" w:sz="4" w:space="0" w:color="auto"/>
            </w:tcBorders>
            <w:shd w:val="clear" w:color="auto" w:fill="auto"/>
            <w:noWrap/>
            <w:vAlign w:val="center"/>
            <w:hideMark/>
          </w:tcPr>
          <w:p w14:paraId="4F08BCBD"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-26,7%</w:t>
            </w:r>
          </w:p>
        </w:tc>
        <w:tc>
          <w:tcPr>
            <w:tcW w:w="850" w:type="dxa"/>
            <w:tcBorders>
              <w:top w:val="nil"/>
              <w:left w:val="nil"/>
              <w:bottom w:val="single" w:sz="4" w:space="0" w:color="auto"/>
              <w:right w:val="single" w:sz="4" w:space="0" w:color="auto"/>
            </w:tcBorders>
            <w:shd w:val="clear" w:color="auto" w:fill="auto"/>
            <w:noWrap/>
            <w:vAlign w:val="center"/>
            <w:hideMark/>
          </w:tcPr>
          <w:p w14:paraId="1D3D810B"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-55,2%</w:t>
            </w:r>
          </w:p>
        </w:tc>
        <w:tc>
          <w:tcPr>
            <w:tcW w:w="851" w:type="dxa"/>
            <w:tcBorders>
              <w:top w:val="nil"/>
              <w:left w:val="nil"/>
              <w:bottom w:val="single" w:sz="4" w:space="0" w:color="auto"/>
              <w:right w:val="single" w:sz="4" w:space="0" w:color="auto"/>
            </w:tcBorders>
            <w:shd w:val="clear" w:color="auto" w:fill="auto"/>
            <w:noWrap/>
            <w:vAlign w:val="center"/>
            <w:hideMark/>
          </w:tcPr>
          <w:p w14:paraId="5B8C496D"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-48,3%</w:t>
            </w:r>
          </w:p>
        </w:tc>
        <w:tc>
          <w:tcPr>
            <w:tcW w:w="850" w:type="dxa"/>
            <w:tcBorders>
              <w:top w:val="nil"/>
              <w:left w:val="nil"/>
              <w:bottom w:val="single" w:sz="4" w:space="0" w:color="auto"/>
              <w:right w:val="single" w:sz="4" w:space="0" w:color="auto"/>
            </w:tcBorders>
            <w:shd w:val="clear" w:color="auto" w:fill="auto"/>
            <w:noWrap/>
            <w:vAlign w:val="center"/>
            <w:hideMark/>
          </w:tcPr>
          <w:p w14:paraId="2FE9D0E9"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-68,4%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004D37"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-51,2%</w:t>
            </w:r>
          </w:p>
        </w:tc>
        <w:tc>
          <w:tcPr>
            <w:tcW w:w="971" w:type="dxa"/>
            <w:tcBorders>
              <w:top w:val="nil"/>
              <w:left w:val="nil"/>
              <w:bottom w:val="single" w:sz="4" w:space="0" w:color="auto"/>
              <w:right w:val="single" w:sz="4" w:space="0" w:color="auto"/>
            </w:tcBorders>
            <w:shd w:val="clear" w:color="auto" w:fill="auto"/>
            <w:noWrap/>
            <w:vAlign w:val="center"/>
            <w:hideMark/>
          </w:tcPr>
          <w:p w14:paraId="7E9F1743"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-70,1%</w:t>
            </w:r>
          </w:p>
        </w:tc>
      </w:tr>
      <w:tr w:rsidR="00BC327E" w:rsidRPr="005303F7" w14:paraId="77DCE08C" w14:textId="77777777" w:rsidTr="005147F4">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2795E5A" w14:textId="07482EBE" w:rsidR="00BC327E" w:rsidRPr="005303F7" w:rsidRDefault="00BC327E" w:rsidP="00BC327E">
            <w:pPr>
              <w:tabs>
                <w:tab w:val="clear" w:pos="3825"/>
              </w:tabs>
              <w:overflowPunct/>
              <w:autoSpaceDE/>
              <w:autoSpaceDN/>
              <w:adjustRightInd/>
              <w:spacing w:before="0" w:after="0"/>
              <w:jc w:val="left"/>
              <w:textAlignment w:val="auto"/>
              <w:rPr>
                <w:rFonts w:ascii="Times New Roman" w:hAnsi="Times New Roman"/>
                <w:lang w:val="sr-Cyrl-CS" w:eastAsia="en-GB"/>
              </w:rPr>
            </w:pPr>
            <w:r w:rsidRPr="005303F7">
              <w:rPr>
                <w:rFonts w:ascii="Times New Roman" w:hAnsi="Times New Roman"/>
                <w:lang w:val="sr-Cyrl-CS" w:eastAsia="en-GB"/>
              </w:rPr>
              <w:t>Саобраћај</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65259123"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4.564</w:t>
            </w:r>
          </w:p>
        </w:tc>
        <w:tc>
          <w:tcPr>
            <w:tcW w:w="777" w:type="dxa"/>
            <w:tcBorders>
              <w:top w:val="nil"/>
              <w:left w:val="nil"/>
              <w:bottom w:val="single" w:sz="4" w:space="0" w:color="auto"/>
              <w:right w:val="single" w:sz="4" w:space="0" w:color="auto"/>
            </w:tcBorders>
            <w:shd w:val="clear" w:color="auto" w:fill="auto"/>
            <w:noWrap/>
            <w:vAlign w:val="bottom"/>
            <w:hideMark/>
          </w:tcPr>
          <w:p w14:paraId="6D3DE1E0"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6.702</w:t>
            </w:r>
          </w:p>
        </w:tc>
        <w:tc>
          <w:tcPr>
            <w:tcW w:w="777" w:type="dxa"/>
            <w:tcBorders>
              <w:top w:val="nil"/>
              <w:left w:val="nil"/>
              <w:bottom w:val="single" w:sz="4" w:space="0" w:color="auto"/>
              <w:right w:val="single" w:sz="4" w:space="0" w:color="auto"/>
            </w:tcBorders>
            <w:shd w:val="clear" w:color="auto" w:fill="auto"/>
            <w:noWrap/>
            <w:vAlign w:val="bottom"/>
            <w:hideMark/>
          </w:tcPr>
          <w:p w14:paraId="7A0F395F"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6.742</w:t>
            </w:r>
          </w:p>
        </w:tc>
        <w:tc>
          <w:tcPr>
            <w:tcW w:w="777" w:type="dxa"/>
            <w:tcBorders>
              <w:top w:val="nil"/>
              <w:left w:val="nil"/>
              <w:bottom w:val="single" w:sz="4" w:space="0" w:color="auto"/>
              <w:right w:val="single" w:sz="4" w:space="0" w:color="auto"/>
            </w:tcBorders>
            <w:shd w:val="clear" w:color="auto" w:fill="auto"/>
            <w:noWrap/>
            <w:vAlign w:val="bottom"/>
            <w:hideMark/>
          </w:tcPr>
          <w:p w14:paraId="3518DA0A"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5.995</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15717419"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6.944</w:t>
            </w:r>
          </w:p>
        </w:tc>
        <w:tc>
          <w:tcPr>
            <w:tcW w:w="777" w:type="dxa"/>
            <w:tcBorders>
              <w:top w:val="nil"/>
              <w:left w:val="nil"/>
              <w:bottom w:val="single" w:sz="4" w:space="0" w:color="auto"/>
              <w:right w:val="single" w:sz="4" w:space="0" w:color="auto"/>
            </w:tcBorders>
            <w:shd w:val="clear" w:color="auto" w:fill="auto"/>
            <w:noWrap/>
            <w:vAlign w:val="bottom"/>
            <w:hideMark/>
          </w:tcPr>
          <w:p w14:paraId="3C7F9AFB"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7.006</w:t>
            </w:r>
          </w:p>
        </w:tc>
        <w:tc>
          <w:tcPr>
            <w:tcW w:w="777" w:type="dxa"/>
            <w:tcBorders>
              <w:top w:val="nil"/>
              <w:left w:val="nil"/>
              <w:bottom w:val="single" w:sz="4" w:space="0" w:color="auto"/>
              <w:right w:val="single" w:sz="4" w:space="0" w:color="auto"/>
            </w:tcBorders>
            <w:shd w:val="clear" w:color="auto" w:fill="auto"/>
            <w:noWrap/>
            <w:vAlign w:val="bottom"/>
            <w:hideMark/>
          </w:tcPr>
          <w:p w14:paraId="066955FF"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6.396</w:t>
            </w:r>
          </w:p>
        </w:tc>
        <w:tc>
          <w:tcPr>
            <w:tcW w:w="940" w:type="dxa"/>
            <w:tcBorders>
              <w:top w:val="nil"/>
              <w:left w:val="nil"/>
              <w:bottom w:val="single" w:sz="4" w:space="0" w:color="auto"/>
              <w:right w:val="single" w:sz="4" w:space="0" w:color="auto"/>
            </w:tcBorders>
            <w:shd w:val="clear" w:color="auto" w:fill="auto"/>
            <w:noWrap/>
            <w:vAlign w:val="bottom"/>
            <w:hideMark/>
          </w:tcPr>
          <w:p w14:paraId="1214BDB4"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3.091</w:t>
            </w:r>
          </w:p>
        </w:tc>
        <w:tc>
          <w:tcPr>
            <w:tcW w:w="872" w:type="dxa"/>
            <w:tcBorders>
              <w:top w:val="nil"/>
              <w:left w:val="nil"/>
              <w:bottom w:val="single" w:sz="4" w:space="0" w:color="auto"/>
              <w:right w:val="single" w:sz="4" w:space="0" w:color="auto"/>
            </w:tcBorders>
            <w:shd w:val="clear" w:color="auto" w:fill="auto"/>
            <w:noWrap/>
            <w:vAlign w:val="bottom"/>
            <w:hideMark/>
          </w:tcPr>
          <w:p w14:paraId="40BE605B"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-5,1%</w:t>
            </w:r>
          </w:p>
        </w:tc>
        <w:tc>
          <w:tcPr>
            <w:tcW w:w="850" w:type="dxa"/>
            <w:tcBorders>
              <w:top w:val="nil"/>
              <w:left w:val="nil"/>
              <w:bottom w:val="single" w:sz="4" w:space="0" w:color="auto"/>
              <w:right w:val="single" w:sz="4" w:space="0" w:color="auto"/>
            </w:tcBorders>
            <w:shd w:val="clear" w:color="auto" w:fill="auto"/>
            <w:noWrap/>
            <w:vAlign w:val="bottom"/>
            <w:hideMark/>
          </w:tcPr>
          <w:p w14:paraId="62836536"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-54,1%</w:t>
            </w:r>
          </w:p>
        </w:tc>
        <w:tc>
          <w:tcPr>
            <w:tcW w:w="851" w:type="dxa"/>
            <w:tcBorders>
              <w:top w:val="nil"/>
              <w:left w:val="nil"/>
              <w:bottom w:val="single" w:sz="4" w:space="0" w:color="auto"/>
              <w:right w:val="single" w:sz="4" w:space="0" w:color="auto"/>
            </w:tcBorders>
            <w:shd w:val="clear" w:color="auto" w:fill="auto"/>
            <w:noWrap/>
            <w:vAlign w:val="bottom"/>
            <w:hideMark/>
          </w:tcPr>
          <w:p w14:paraId="65CEC6DF"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-4,6%</w:t>
            </w:r>
          </w:p>
        </w:tc>
        <w:tc>
          <w:tcPr>
            <w:tcW w:w="850" w:type="dxa"/>
            <w:tcBorders>
              <w:top w:val="nil"/>
              <w:left w:val="nil"/>
              <w:bottom w:val="single" w:sz="4" w:space="0" w:color="auto"/>
              <w:right w:val="single" w:sz="4" w:space="0" w:color="auto"/>
            </w:tcBorders>
            <w:shd w:val="clear" w:color="auto" w:fill="auto"/>
            <w:noWrap/>
            <w:vAlign w:val="bottom"/>
            <w:hideMark/>
          </w:tcPr>
          <w:p w14:paraId="48B03553"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-53,9%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AFA829A"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40,1%</w:t>
            </w:r>
          </w:p>
        </w:tc>
        <w:tc>
          <w:tcPr>
            <w:tcW w:w="971" w:type="dxa"/>
            <w:tcBorders>
              <w:top w:val="nil"/>
              <w:left w:val="nil"/>
              <w:bottom w:val="single" w:sz="4" w:space="0" w:color="auto"/>
              <w:right w:val="single" w:sz="4" w:space="0" w:color="auto"/>
            </w:tcBorders>
            <w:shd w:val="clear" w:color="auto" w:fill="auto"/>
            <w:noWrap/>
            <w:vAlign w:val="bottom"/>
            <w:hideMark/>
          </w:tcPr>
          <w:p w14:paraId="6771126D"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-32,3%</w:t>
            </w:r>
          </w:p>
        </w:tc>
      </w:tr>
      <w:tr w:rsidR="00BC327E" w:rsidRPr="005303F7" w14:paraId="3E46195C" w14:textId="77777777" w:rsidTr="005147F4">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F9F4BD9" w14:textId="69200699" w:rsidR="00BC327E" w:rsidRPr="005303F7" w:rsidRDefault="00BC327E" w:rsidP="00BC327E">
            <w:pPr>
              <w:tabs>
                <w:tab w:val="clear" w:pos="3825"/>
              </w:tabs>
              <w:overflowPunct/>
              <w:autoSpaceDE/>
              <w:autoSpaceDN/>
              <w:adjustRightInd/>
              <w:spacing w:before="0" w:after="0"/>
              <w:jc w:val="left"/>
              <w:textAlignment w:val="auto"/>
              <w:rPr>
                <w:rFonts w:ascii="Times New Roman" w:hAnsi="Times New Roman"/>
                <w:lang w:val="sr-Cyrl-CS" w:eastAsia="en-GB"/>
              </w:rPr>
            </w:pPr>
            <w:r w:rsidRPr="005303F7">
              <w:rPr>
                <w:rFonts w:ascii="Times New Roman" w:hAnsi="Times New Roman"/>
                <w:lang w:val="sr-Cyrl-CS" w:eastAsia="en-GB"/>
              </w:rPr>
              <w:t>Други сектори</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4D2DC0BD"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7.048</w:t>
            </w:r>
          </w:p>
        </w:tc>
        <w:tc>
          <w:tcPr>
            <w:tcW w:w="777" w:type="dxa"/>
            <w:tcBorders>
              <w:top w:val="nil"/>
              <w:left w:val="nil"/>
              <w:bottom w:val="single" w:sz="4" w:space="0" w:color="auto"/>
              <w:right w:val="single" w:sz="4" w:space="0" w:color="auto"/>
            </w:tcBorders>
            <w:shd w:val="clear" w:color="auto" w:fill="auto"/>
            <w:noWrap/>
            <w:vAlign w:val="bottom"/>
            <w:hideMark/>
          </w:tcPr>
          <w:p w14:paraId="6F47E4B4"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3.029</w:t>
            </w:r>
          </w:p>
        </w:tc>
        <w:tc>
          <w:tcPr>
            <w:tcW w:w="777" w:type="dxa"/>
            <w:tcBorders>
              <w:top w:val="nil"/>
              <w:left w:val="nil"/>
              <w:bottom w:val="single" w:sz="4" w:space="0" w:color="auto"/>
              <w:right w:val="single" w:sz="4" w:space="0" w:color="auto"/>
            </w:tcBorders>
            <w:shd w:val="clear" w:color="auto" w:fill="auto"/>
            <w:noWrap/>
            <w:vAlign w:val="bottom"/>
            <w:hideMark/>
          </w:tcPr>
          <w:p w14:paraId="341DC99F"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3.477</w:t>
            </w:r>
          </w:p>
        </w:tc>
        <w:tc>
          <w:tcPr>
            <w:tcW w:w="777" w:type="dxa"/>
            <w:tcBorders>
              <w:top w:val="nil"/>
              <w:left w:val="nil"/>
              <w:bottom w:val="single" w:sz="4" w:space="0" w:color="auto"/>
              <w:right w:val="single" w:sz="4" w:space="0" w:color="auto"/>
            </w:tcBorders>
            <w:shd w:val="clear" w:color="auto" w:fill="auto"/>
            <w:noWrap/>
            <w:vAlign w:val="bottom"/>
            <w:hideMark/>
          </w:tcPr>
          <w:p w14:paraId="75CCB8E4"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2.711</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49DE04C1"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2.392</w:t>
            </w:r>
          </w:p>
        </w:tc>
        <w:tc>
          <w:tcPr>
            <w:tcW w:w="777" w:type="dxa"/>
            <w:tcBorders>
              <w:top w:val="nil"/>
              <w:left w:val="nil"/>
              <w:bottom w:val="single" w:sz="4" w:space="0" w:color="auto"/>
              <w:right w:val="single" w:sz="4" w:space="0" w:color="auto"/>
            </w:tcBorders>
            <w:shd w:val="clear" w:color="auto" w:fill="auto"/>
            <w:noWrap/>
            <w:vAlign w:val="bottom"/>
            <w:hideMark/>
          </w:tcPr>
          <w:p w14:paraId="656938C0"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2.115</w:t>
            </w:r>
          </w:p>
        </w:tc>
        <w:tc>
          <w:tcPr>
            <w:tcW w:w="777" w:type="dxa"/>
            <w:tcBorders>
              <w:top w:val="nil"/>
              <w:left w:val="nil"/>
              <w:bottom w:val="single" w:sz="4" w:space="0" w:color="auto"/>
              <w:right w:val="single" w:sz="4" w:space="0" w:color="auto"/>
            </w:tcBorders>
            <w:shd w:val="clear" w:color="auto" w:fill="auto"/>
            <w:noWrap/>
            <w:vAlign w:val="bottom"/>
            <w:hideMark/>
          </w:tcPr>
          <w:p w14:paraId="10B31963"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1.996</w:t>
            </w:r>
          </w:p>
        </w:tc>
        <w:tc>
          <w:tcPr>
            <w:tcW w:w="940" w:type="dxa"/>
            <w:tcBorders>
              <w:top w:val="nil"/>
              <w:left w:val="nil"/>
              <w:bottom w:val="single" w:sz="4" w:space="0" w:color="auto"/>
              <w:right w:val="single" w:sz="4" w:space="0" w:color="auto"/>
            </w:tcBorders>
            <w:shd w:val="clear" w:color="auto" w:fill="auto"/>
            <w:noWrap/>
            <w:vAlign w:val="bottom"/>
            <w:hideMark/>
          </w:tcPr>
          <w:p w14:paraId="41E19334"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772</w:t>
            </w:r>
          </w:p>
        </w:tc>
        <w:tc>
          <w:tcPr>
            <w:tcW w:w="872" w:type="dxa"/>
            <w:tcBorders>
              <w:top w:val="nil"/>
              <w:left w:val="nil"/>
              <w:bottom w:val="single" w:sz="4" w:space="0" w:color="auto"/>
              <w:right w:val="single" w:sz="4" w:space="0" w:color="auto"/>
            </w:tcBorders>
            <w:shd w:val="clear" w:color="auto" w:fill="auto"/>
            <w:noWrap/>
            <w:vAlign w:val="bottom"/>
            <w:hideMark/>
          </w:tcPr>
          <w:p w14:paraId="05D8FA20"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-42,6%</w:t>
            </w:r>
          </w:p>
        </w:tc>
        <w:tc>
          <w:tcPr>
            <w:tcW w:w="850" w:type="dxa"/>
            <w:tcBorders>
              <w:top w:val="nil"/>
              <w:left w:val="nil"/>
              <w:bottom w:val="single" w:sz="4" w:space="0" w:color="auto"/>
              <w:right w:val="single" w:sz="4" w:space="0" w:color="auto"/>
            </w:tcBorders>
            <w:shd w:val="clear" w:color="auto" w:fill="auto"/>
            <w:noWrap/>
            <w:vAlign w:val="bottom"/>
            <w:hideMark/>
          </w:tcPr>
          <w:p w14:paraId="700054FF"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-77,8%</w:t>
            </w:r>
          </w:p>
        </w:tc>
        <w:tc>
          <w:tcPr>
            <w:tcW w:w="851" w:type="dxa"/>
            <w:tcBorders>
              <w:top w:val="nil"/>
              <w:left w:val="nil"/>
              <w:bottom w:val="single" w:sz="4" w:space="0" w:color="auto"/>
              <w:right w:val="single" w:sz="4" w:space="0" w:color="auto"/>
            </w:tcBorders>
            <w:shd w:val="clear" w:color="auto" w:fill="auto"/>
            <w:noWrap/>
            <w:vAlign w:val="bottom"/>
            <w:hideMark/>
          </w:tcPr>
          <w:p w14:paraId="57C99D64"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-34,1%</w:t>
            </w:r>
          </w:p>
        </w:tc>
        <w:tc>
          <w:tcPr>
            <w:tcW w:w="850" w:type="dxa"/>
            <w:tcBorders>
              <w:top w:val="nil"/>
              <w:left w:val="nil"/>
              <w:bottom w:val="single" w:sz="4" w:space="0" w:color="auto"/>
              <w:right w:val="single" w:sz="4" w:space="0" w:color="auto"/>
            </w:tcBorders>
            <w:shd w:val="clear" w:color="auto" w:fill="auto"/>
            <w:noWrap/>
            <w:vAlign w:val="bottom"/>
            <w:hideMark/>
          </w:tcPr>
          <w:p w14:paraId="6CA7EEC0"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-74,5%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17F2B66"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-71,7%</w:t>
            </w:r>
          </w:p>
        </w:tc>
        <w:tc>
          <w:tcPr>
            <w:tcW w:w="971" w:type="dxa"/>
            <w:tcBorders>
              <w:top w:val="nil"/>
              <w:left w:val="nil"/>
              <w:bottom w:val="single" w:sz="4" w:space="0" w:color="auto"/>
              <w:right w:val="single" w:sz="4" w:space="0" w:color="auto"/>
            </w:tcBorders>
            <w:shd w:val="clear" w:color="auto" w:fill="auto"/>
            <w:noWrap/>
            <w:vAlign w:val="bottom"/>
            <w:hideMark/>
          </w:tcPr>
          <w:p w14:paraId="06B08E0C"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-89,0%</w:t>
            </w:r>
          </w:p>
        </w:tc>
      </w:tr>
      <w:tr w:rsidR="00BC327E" w:rsidRPr="005303F7" w14:paraId="5996CDA7" w14:textId="77777777" w:rsidTr="005147F4">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247A9D7" w14:textId="4AAD1BFE" w:rsidR="00BC327E" w:rsidRPr="005303F7" w:rsidRDefault="00BC327E" w:rsidP="00BC327E">
            <w:pPr>
              <w:tabs>
                <w:tab w:val="clear" w:pos="3825"/>
              </w:tabs>
              <w:overflowPunct/>
              <w:autoSpaceDE/>
              <w:autoSpaceDN/>
              <w:adjustRightInd/>
              <w:spacing w:before="0" w:after="0"/>
              <w:jc w:val="left"/>
              <w:textAlignment w:val="auto"/>
              <w:rPr>
                <w:rFonts w:ascii="Times New Roman" w:hAnsi="Times New Roman"/>
                <w:lang w:val="sr-Cyrl-CS" w:eastAsia="en-GB"/>
              </w:rPr>
            </w:pPr>
            <w:r w:rsidRPr="005303F7">
              <w:rPr>
                <w:rFonts w:ascii="Times New Roman" w:hAnsi="Times New Roman"/>
                <w:lang w:val="sr-Cyrl-CS" w:eastAsia="en-GB"/>
              </w:rPr>
              <w:t>Фугитивне емисије</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324B5CF2"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3.841</w:t>
            </w:r>
          </w:p>
        </w:tc>
        <w:tc>
          <w:tcPr>
            <w:tcW w:w="777" w:type="dxa"/>
            <w:tcBorders>
              <w:top w:val="nil"/>
              <w:left w:val="nil"/>
              <w:bottom w:val="single" w:sz="4" w:space="0" w:color="auto"/>
              <w:right w:val="single" w:sz="4" w:space="0" w:color="auto"/>
            </w:tcBorders>
            <w:shd w:val="clear" w:color="auto" w:fill="auto"/>
            <w:noWrap/>
            <w:vAlign w:val="bottom"/>
            <w:hideMark/>
          </w:tcPr>
          <w:p w14:paraId="10398077"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2.973</w:t>
            </w:r>
          </w:p>
        </w:tc>
        <w:tc>
          <w:tcPr>
            <w:tcW w:w="777" w:type="dxa"/>
            <w:tcBorders>
              <w:top w:val="nil"/>
              <w:left w:val="nil"/>
              <w:bottom w:val="single" w:sz="4" w:space="0" w:color="auto"/>
              <w:right w:val="single" w:sz="4" w:space="0" w:color="auto"/>
            </w:tcBorders>
            <w:shd w:val="clear" w:color="auto" w:fill="auto"/>
            <w:noWrap/>
            <w:vAlign w:val="bottom"/>
            <w:hideMark/>
          </w:tcPr>
          <w:p w14:paraId="090212D3"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2.409</w:t>
            </w:r>
          </w:p>
        </w:tc>
        <w:tc>
          <w:tcPr>
            <w:tcW w:w="777" w:type="dxa"/>
            <w:tcBorders>
              <w:top w:val="nil"/>
              <w:left w:val="nil"/>
              <w:bottom w:val="single" w:sz="4" w:space="0" w:color="auto"/>
              <w:right w:val="single" w:sz="4" w:space="0" w:color="auto"/>
            </w:tcBorders>
            <w:shd w:val="clear" w:color="auto" w:fill="auto"/>
            <w:noWrap/>
            <w:vAlign w:val="bottom"/>
            <w:hideMark/>
          </w:tcPr>
          <w:p w14:paraId="2F98E7F8"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2.523</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1807DB3B"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2.424</w:t>
            </w:r>
          </w:p>
        </w:tc>
        <w:tc>
          <w:tcPr>
            <w:tcW w:w="777" w:type="dxa"/>
            <w:tcBorders>
              <w:top w:val="nil"/>
              <w:left w:val="nil"/>
              <w:bottom w:val="single" w:sz="4" w:space="0" w:color="auto"/>
              <w:right w:val="single" w:sz="4" w:space="0" w:color="auto"/>
            </w:tcBorders>
            <w:shd w:val="clear" w:color="auto" w:fill="auto"/>
            <w:noWrap/>
            <w:vAlign w:val="bottom"/>
            <w:hideMark/>
          </w:tcPr>
          <w:p w14:paraId="00721A83"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2.168</w:t>
            </w:r>
          </w:p>
        </w:tc>
        <w:tc>
          <w:tcPr>
            <w:tcW w:w="777" w:type="dxa"/>
            <w:tcBorders>
              <w:top w:val="nil"/>
              <w:left w:val="nil"/>
              <w:bottom w:val="single" w:sz="4" w:space="0" w:color="auto"/>
              <w:right w:val="single" w:sz="4" w:space="0" w:color="auto"/>
            </w:tcBorders>
            <w:shd w:val="clear" w:color="auto" w:fill="auto"/>
            <w:noWrap/>
            <w:vAlign w:val="bottom"/>
            <w:hideMark/>
          </w:tcPr>
          <w:p w14:paraId="346FD048"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1.709</w:t>
            </w:r>
          </w:p>
        </w:tc>
        <w:tc>
          <w:tcPr>
            <w:tcW w:w="940" w:type="dxa"/>
            <w:tcBorders>
              <w:top w:val="nil"/>
              <w:left w:val="nil"/>
              <w:bottom w:val="single" w:sz="4" w:space="0" w:color="auto"/>
              <w:right w:val="single" w:sz="4" w:space="0" w:color="auto"/>
            </w:tcBorders>
            <w:shd w:val="clear" w:color="auto" w:fill="auto"/>
            <w:noWrap/>
            <w:vAlign w:val="bottom"/>
            <w:hideMark/>
          </w:tcPr>
          <w:p w14:paraId="409638F1"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171</w:t>
            </w:r>
          </w:p>
        </w:tc>
        <w:tc>
          <w:tcPr>
            <w:tcW w:w="872" w:type="dxa"/>
            <w:tcBorders>
              <w:top w:val="nil"/>
              <w:left w:val="nil"/>
              <w:bottom w:val="single" w:sz="4" w:space="0" w:color="auto"/>
              <w:right w:val="single" w:sz="4" w:space="0" w:color="auto"/>
            </w:tcBorders>
            <w:shd w:val="clear" w:color="auto" w:fill="auto"/>
            <w:noWrap/>
            <w:vAlign w:val="bottom"/>
            <w:hideMark/>
          </w:tcPr>
          <w:p w14:paraId="5E135246"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-29,1%</w:t>
            </w:r>
          </w:p>
        </w:tc>
        <w:tc>
          <w:tcPr>
            <w:tcW w:w="850" w:type="dxa"/>
            <w:tcBorders>
              <w:top w:val="nil"/>
              <w:left w:val="nil"/>
              <w:bottom w:val="single" w:sz="4" w:space="0" w:color="auto"/>
              <w:right w:val="single" w:sz="4" w:space="0" w:color="auto"/>
            </w:tcBorders>
            <w:shd w:val="clear" w:color="auto" w:fill="auto"/>
            <w:noWrap/>
            <w:vAlign w:val="bottom"/>
            <w:hideMark/>
          </w:tcPr>
          <w:p w14:paraId="26482BFC"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-92,9%</w:t>
            </w:r>
          </w:p>
        </w:tc>
        <w:tc>
          <w:tcPr>
            <w:tcW w:w="851" w:type="dxa"/>
            <w:tcBorders>
              <w:top w:val="nil"/>
              <w:left w:val="nil"/>
              <w:bottom w:val="single" w:sz="4" w:space="0" w:color="auto"/>
              <w:right w:val="single" w:sz="4" w:space="0" w:color="auto"/>
            </w:tcBorders>
            <w:shd w:val="clear" w:color="auto" w:fill="auto"/>
            <w:noWrap/>
            <w:vAlign w:val="bottom"/>
            <w:hideMark/>
          </w:tcPr>
          <w:p w14:paraId="39CC333F"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-42,5%</w:t>
            </w:r>
          </w:p>
        </w:tc>
        <w:tc>
          <w:tcPr>
            <w:tcW w:w="850" w:type="dxa"/>
            <w:tcBorders>
              <w:top w:val="nil"/>
              <w:left w:val="nil"/>
              <w:bottom w:val="single" w:sz="4" w:space="0" w:color="auto"/>
              <w:right w:val="single" w:sz="4" w:space="0" w:color="auto"/>
            </w:tcBorders>
            <w:shd w:val="clear" w:color="auto" w:fill="auto"/>
            <w:noWrap/>
            <w:vAlign w:val="bottom"/>
            <w:hideMark/>
          </w:tcPr>
          <w:p w14:paraId="69D6C36A"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-94,2%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1396F1"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-55,5%</w:t>
            </w:r>
          </w:p>
        </w:tc>
        <w:tc>
          <w:tcPr>
            <w:tcW w:w="971" w:type="dxa"/>
            <w:tcBorders>
              <w:top w:val="nil"/>
              <w:left w:val="nil"/>
              <w:bottom w:val="single" w:sz="4" w:space="0" w:color="auto"/>
              <w:right w:val="single" w:sz="4" w:space="0" w:color="auto"/>
            </w:tcBorders>
            <w:shd w:val="clear" w:color="auto" w:fill="auto"/>
            <w:noWrap/>
            <w:vAlign w:val="bottom"/>
            <w:hideMark/>
          </w:tcPr>
          <w:p w14:paraId="5D9288CB"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-95,5%</w:t>
            </w:r>
          </w:p>
        </w:tc>
      </w:tr>
      <w:tr w:rsidR="00BC327E" w:rsidRPr="005303F7" w14:paraId="04695B3D" w14:textId="77777777" w:rsidTr="005147F4">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95C6DD1" w14:textId="6E17C001" w:rsidR="00BC327E" w:rsidRPr="005303F7" w:rsidRDefault="00BC327E" w:rsidP="00BC327E">
            <w:pPr>
              <w:tabs>
                <w:tab w:val="clear" w:pos="3825"/>
              </w:tabs>
              <w:overflowPunct/>
              <w:autoSpaceDE/>
              <w:autoSpaceDN/>
              <w:adjustRightInd/>
              <w:spacing w:before="0" w:after="0"/>
              <w:jc w:val="left"/>
              <w:textAlignment w:val="auto"/>
              <w:rPr>
                <w:rFonts w:ascii="Times New Roman" w:hAnsi="Times New Roman"/>
                <w:lang w:val="sr-Cyrl-CS" w:eastAsia="en-GB"/>
              </w:rPr>
            </w:pPr>
            <w:r w:rsidRPr="005303F7">
              <w:rPr>
                <w:rFonts w:ascii="Times New Roman" w:hAnsi="Times New Roman"/>
                <w:lang w:val="sr-Cyrl-CS" w:eastAsia="en-GB"/>
              </w:rPr>
              <w:t>IPPU</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39ED9EDA"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5.455</w:t>
            </w:r>
          </w:p>
        </w:tc>
        <w:tc>
          <w:tcPr>
            <w:tcW w:w="777" w:type="dxa"/>
            <w:tcBorders>
              <w:top w:val="nil"/>
              <w:left w:val="nil"/>
              <w:bottom w:val="single" w:sz="4" w:space="0" w:color="auto"/>
              <w:right w:val="single" w:sz="4" w:space="0" w:color="auto"/>
            </w:tcBorders>
            <w:shd w:val="clear" w:color="auto" w:fill="auto"/>
            <w:noWrap/>
            <w:vAlign w:val="bottom"/>
            <w:hideMark/>
          </w:tcPr>
          <w:p w14:paraId="6BF3E650"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4.729</w:t>
            </w:r>
          </w:p>
        </w:tc>
        <w:tc>
          <w:tcPr>
            <w:tcW w:w="777" w:type="dxa"/>
            <w:tcBorders>
              <w:top w:val="nil"/>
              <w:left w:val="nil"/>
              <w:bottom w:val="single" w:sz="4" w:space="0" w:color="auto"/>
              <w:right w:val="single" w:sz="4" w:space="0" w:color="auto"/>
            </w:tcBorders>
            <w:shd w:val="clear" w:color="auto" w:fill="auto"/>
            <w:noWrap/>
            <w:vAlign w:val="bottom"/>
            <w:hideMark/>
          </w:tcPr>
          <w:p w14:paraId="06D77218"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4.660</w:t>
            </w:r>
          </w:p>
        </w:tc>
        <w:tc>
          <w:tcPr>
            <w:tcW w:w="777" w:type="dxa"/>
            <w:tcBorders>
              <w:top w:val="nil"/>
              <w:left w:val="nil"/>
              <w:bottom w:val="single" w:sz="4" w:space="0" w:color="auto"/>
              <w:right w:val="single" w:sz="4" w:space="0" w:color="auto"/>
            </w:tcBorders>
            <w:shd w:val="clear" w:color="auto" w:fill="auto"/>
            <w:noWrap/>
            <w:vAlign w:val="bottom"/>
            <w:hideMark/>
          </w:tcPr>
          <w:p w14:paraId="1240ACE8"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3.883</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5635FDDF"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4.731</w:t>
            </w:r>
          </w:p>
        </w:tc>
        <w:tc>
          <w:tcPr>
            <w:tcW w:w="777" w:type="dxa"/>
            <w:tcBorders>
              <w:top w:val="nil"/>
              <w:left w:val="nil"/>
              <w:bottom w:val="single" w:sz="4" w:space="0" w:color="auto"/>
              <w:right w:val="single" w:sz="4" w:space="0" w:color="auto"/>
            </w:tcBorders>
            <w:shd w:val="clear" w:color="auto" w:fill="auto"/>
            <w:noWrap/>
            <w:vAlign w:val="bottom"/>
            <w:hideMark/>
          </w:tcPr>
          <w:p w14:paraId="705939B0"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5.167</w:t>
            </w:r>
          </w:p>
        </w:tc>
        <w:tc>
          <w:tcPr>
            <w:tcW w:w="777" w:type="dxa"/>
            <w:tcBorders>
              <w:top w:val="nil"/>
              <w:left w:val="nil"/>
              <w:bottom w:val="single" w:sz="4" w:space="0" w:color="auto"/>
              <w:right w:val="single" w:sz="4" w:space="0" w:color="auto"/>
            </w:tcBorders>
            <w:shd w:val="clear" w:color="auto" w:fill="auto"/>
            <w:noWrap/>
            <w:vAlign w:val="bottom"/>
            <w:hideMark/>
          </w:tcPr>
          <w:p w14:paraId="2A07016F"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4.625</w:t>
            </w:r>
          </w:p>
        </w:tc>
        <w:tc>
          <w:tcPr>
            <w:tcW w:w="940" w:type="dxa"/>
            <w:tcBorders>
              <w:top w:val="nil"/>
              <w:left w:val="nil"/>
              <w:bottom w:val="single" w:sz="4" w:space="0" w:color="auto"/>
              <w:right w:val="single" w:sz="4" w:space="0" w:color="auto"/>
            </w:tcBorders>
            <w:shd w:val="clear" w:color="auto" w:fill="auto"/>
            <w:noWrap/>
            <w:vAlign w:val="bottom"/>
            <w:hideMark/>
          </w:tcPr>
          <w:p w14:paraId="69CED9C3"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4.787</w:t>
            </w:r>
          </w:p>
        </w:tc>
        <w:tc>
          <w:tcPr>
            <w:tcW w:w="872" w:type="dxa"/>
            <w:tcBorders>
              <w:top w:val="nil"/>
              <w:left w:val="nil"/>
              <w:bottom w:val="single" w:sz="4" w:space="0" w:color="auto"/>
              <w:right w:val="single" w:sz="4" w:space="0" w:color="auto"/>
            </w:tcBorders>
            <w:shd w:val="clear" w:color="auto" w:fill="auto"/>
            <w:noWrap/>
            <w:vAlign w:val="bottom"/>
            <w:hideMark/>
          </w:tcPr>
          <w:p w14:paraId="3F84F0E5"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-0,7%</w:t>
            </w:r>
          </w:p>
        </w:tc>
        <w:tc>
          <w:tcPr>
            <w:tcW w:w="850" w:type="dxa"/>
            <w:tcBorders>
              <w:top w:val="nil"/>
              <w:left w:val="nil"/>
              <w:bottom w:val="single" w:sz="4" w:space="0" w:color="auto"/>
              <w:right w:val="single" w:sz="4" w:space="0" w:color="auto"/>
            </w:tcBorders>
            <w:shd w:val="clear" w:color="auto" w:fill="auto"/>
            <w:noWrap/>
            <w:vAlign w:val="bottom"/>
            <w:hideMark/>
          </w:tcPr>
          <w:p w14:paraId="6A1A5FF9"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2,7%</w:t>
            </w:r>
          </w:p>
        </w:tc>
        <w:tc>
          <w:tcPr>
            <w:tcW w:w="851" w:type="dxa"/>
            <w:tcBorders>
              <w:top w:val="nil"/>
              <w:left w:val="nil"/>
              <w:bottom w:val="single" w:sz="4" w:space="0" w:color="auto"/>
              <w:right w:val="single" w:sz="4" w:space="0" w:color="auto"/>
            </w:tcBorders>
            <w:shd w:val="clear" w:color="auto" w:fill="auto"/>
            <w:noWrap/>
            <w:vAlign w:val="bottom"/>
            <w:hideMark/>
          </w:tcPr>
          <w:p w14:paraId="10E0CB0C"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-2,2%</w:t>
            </w:r>
          </w:p>
        </w:tc>
        <w:tc>
          <w:tcPr>
            <w:tcW w:w="850" w:type="dxa"/>
            <w:tcBorders>
              <w:top w:val="nil"/>
              <w:left w:val="nil"/>
              <w:bottom w:val="single" w:sz="4" w:space="0" w:color="auto"/>
              <w:right w:val="single" w:sz="4" w:space="0" w:color="auto"/>
            </w:tcBorders>
            <w:shd w:val="clear" w:color="auto" w:fill="auto"/>
            <w:noWrap/>
            <w:vAlign w:val="bottom"/>
            <w:hideMark/>
          </w:tcPr>
          <w:p w14:paraId="1ADA3AF1"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13F024"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-15,2%</w:t>
            </w:r>
          </w:p>
        </w:tc>
        <w:tc>
          <w:tcPr>
            <w:tcW w:w="971" w:type="dxa"/>
            <w:tcBorders>
              <w:top w:val="nil"/>
              <w:left w:val="nil"/>
              <w:bottom w:val="single" w:sz="4" w:space="0" w:color="auto"/>
              <w:right w:val="single" w:sz="4" w:space="0" w:color="auto"/>
            </w:tcBorders>
            <w:shd w:val="clear" w:color="auto" w:fill="auto"/>
            <w:noWrap/>
            <w:vAlign w:val="bottom"/>
            <w:hideMark/>
          </w:tcPr>
          <w:p w14:paraId="34F05E95"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-12,2%</w:t>
            </w:r>
          </w:p>
        </w:tc>
      </w:tr>
      <w:tr w:rsidR="00BC327E" w:rsidRPr="005303F7" w14:paraId="310B5436" w14:textId="77777777" w:rsidTr="005147F4">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8DDF638" w14:textId="2C6B3407" w:rsidR="00BC327E" w:rsidRPr="005303F7" w:rsidRDefault="00BC327E" w:rsidP="00BC327E">
            <w:pPr>
              <w:tabs>
                <w:tab w:val="clear" w:pos="3825"/>
              </w:tabs>
              <w:overflowPunct/>
              <w:autoSpaceDE/>
              <w:autoSpaceDN/>
              <w:adjustRightInd/>
              <w:spacing w:before="0" w:after="0"/>
              <w:jc w:val="left"/>
              <w:textAlignment w:val="auto"/>
              <w:rPr>
                <w:rFonts w:ascii="Times New Roman" w:hAnsi="Times New Roman"/>
                <w:lang w:val="sr-Cyrl-CS" w:eastAsia="en-GB"/>
              </w:rPr>
            </w:pPr>
            <w:r w:rsidRPr="005303F7">
              <w:rPr>
                <w:rFonts w:ascii="Times New Roman" w:hAnsi="Times New Roman"/>
                <w:lang w:val="sr-Cyrl-CS" w:eastAsia="en-GB"/>
              </w:rPr>
              <w:t>По</w:t>
            </w:r>
            <w:r w:rsidR="00D553BE" w:rsidRPr="005303F7">
              <w:rPr>
                <w:rFonts w:ascii="Times New Roman" w:hAnsi="Times New Roman"/>
                <w:lang w:val="sr-Cyrl-CS" w:eastAsia="en-GB"/>
              </w:rPr>
              <w:t>љ</w:t>
            </w:r>
            <w:r w:rsidRPr="005303F7">
              <w:rPr>
                <w:rFonts w:ascii="Times New Roman" w:hAnsi="Times New Roman"/>
                <w:lang w:val="sr-Cyrl-CS" w:eastAsia="en-GB"/>
              </w:rPr>
              <w:t>опривреда</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563BB1FC"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6.186</w:t>
            </w:r>
          </w:p>
        </w:tc>
        <w:tc>
          <w:tcPr>
            <w:tcW w:w="777" w:type="dxa"/>
            <w:tcBorders>
              <w:top w:val="nil"/>
              <w:left w:val="nil"/>
              <w:bottom w:val="single" w:sz="4" w:space="0" w:color="auto"/>
              <w:right w:val="single" w:sz="4" w:space="0" w:color="auto"/>
            </w:tcBorders>
            <w:shd w:val="clear" w:color="auto" w:fill="auto"/>
            <w:noWrap/>
            <w:vAlign w:val="bottom"/>
            <w:hideMark/>
          </w:tcPr>
          <w:p w14:paraId="4B28031D"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6.238</w:t>
            </w:r>
          </w:p>
        </w:tc>
        <w:tc>
          <w:tcPr>
            <w:tcW w:w="777" w:type="dxa"/>
            <w:tcBorders>
              <w:top w:val="nil"/>
              <w:left w:val="nil"/>
              <w:bottom w:val="single" w:sz="4" w:space="0" w:color="auto"/>
              <w:right w:val="single" w:sz="4" w:space="0" w:color="auto"/>
            </w:tcBorders>
            <w:shd w:val="clear" w:color="auto" w:fill="auto"/>
            <w:noWrap/>
            <w:vAlign w:val="bottom"/>
            <w:hideMark/>
          </w:tcPr>
          <w:p w14:paraId="590C3EF5"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5.305</w:t>
            </w:r>
          </w:p>
        </w:tc>
        <w:tc>
          <w:tcPr>
            <w:tcW w:w="777" w:type="dxa"/>
            <w:tcBorders>
              <w:top w:val="nil"/>
              <w:left w:val="nil"/>
              <w:bottom w:val="single" w:sz="4" w:space="0" w:color="auto"/>
              <w:right w:val="single" w:sz="4" w:space="0" w:color="auto"/>
            </w:tcBorders>
            <w:shd w:val="clear" w:color="auto" w:fill="auto"/>
            <w:noWrap/>
            <w:vAlign w:val="bottom"/>
            <w:hideMark/>
          </w:tcPr>
          <w:p w14:paraId="45D82B86"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5.259</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110A8A73"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5.132</w:t>
            </w:r>
          </w:p>
        </w:tc>
        <w:tc>
          <w:tcPr>
            <w:tcW w:w="777" w:type="dxa"/>
            <w:tcBorders>
              <w:top w:val="nil"/>
              <w:left w:val="nil"/>
              <w:bottom w:val="single" w:sz="4" w:space="0" w:color="auto"/>
              <w:right w:val="single" w:sz="4" w:space="0" w:color="auto"/>
            </w:tcBorders>
            <w:shd w:val="clear" w:color="auto" w:fill="auto"/>
            <w:noWrap/>
            <w:vAlign w:val="bottom"/>
            <w:hideMark/>
          </w:tcPr>
          <w:p w14:paraId="5C6E1E4A"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4.691</w:t>
            </w:r>
          </w:p>
        </w:tc>
        <w:tc>
          <w:tcPr>
            <w:tcW w:w="777" w:type="dxa"/>
            <w:tcBorders>
              <w:top w:val="nil"/>
              <w:left w:val="nil"/>
              <w:bottom w:val="single" w:sz="4" w:space="0" w:color="auto"/>
              <w:right w:val="single" w:sz="4" w:space="0" w:color="auto"/>
            </w:tcBorders>
            <w:shd w:val="clear" w:color="auto" w:fill="auto"/>
            <w:noWrap/>
            <w:vAlign w:val="bottom"/>
            <w:hideMark/>
          </w:tcPr>
          <w:p w14:paraId="078CE5C9"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4.249</w:t>
            </w:r>
          </w:p>
        </w:tc>
        <w:tc>
          <w:tcPr>
            <w:tcW w:w="940" w:type="dxa"/>
            <w:tcBorders>
              <w:top w:val="nil"/>
              <w:left w:val="nil"/>
              <w:bottom w:val="single" w:sz="4" w:space="0" w:color="auto"/>
              <w:right w:val="single" w:sz="4" w:space="0" w:color="auto"/>
            </w:tcBorders>
            <w:shd w:val="clear" w:color="auto" w:fill="auto"/>
            <w:noWrap/>
            <w:vAlign w:val="bottom"/>
            <w:hideMark/>
          </w:tcPr>
          <w:p w14:paraId="43580EE2"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4.015</w:t>
            </w:r>
          </w:p>
        </w:tc>
        <w:tc>
          <w:tcPr>
            <w:tcW w:w="872" w:type="dxa"/>
            <w:tcBorders>
              <w:top w:val="nil"/>
              <w:left w:val="nil"/>
              <w:bottom w:val="single" w:sz="4" w:space="0" w:color="auto"/>
              <w:right w:val="single" w:sz="4" w:space="0" w:color="auto"/>
            </w:tcBorders>
            <w:shd w:val="clear" w:color="auto" w:fill="auto"/>
            <w:noWrap/>
            <w:vAlign w:val="bottom"/>
            <w:hideMark/>
          </w:tcPr>
          <w:p w14:paraId="243FDD27"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-19,9%</w:t>
            </w:r>
          </w:p>
        </w:tc>
        <w:tc>
          <w:tcPr>
            <w:tcW w:w="850" w:type="dxa"/>
            <w:tcBorders>
              <w:top w:val="nil"/>
              <w:left w:val="nil"/>
              <w:bottom w:val="single" w:sz="4" w:space="0" w:color="auto"/>
              <w:right w:val="single" w:sz="4" w:space="0" w:color="auto"/>
            </w:tcBorders>
            <w:shd w:val="clear" w:color="auto" w:fill="auto"/>
            <w:noWrap/>
            <w:vAlign w:val="bottom"/>
            <w:hideMark/>
          </w:tcPr>
          <w:p w14:paraId="4113EDF8"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-24,3%</w:t>
            </w:r>
          </w:p>
        </w:tc>
        <w:tc>
          <w:tcPr>
            <w:tcW w:w="851" w:type="dxa"/>
            <w:tcBorders>
              <w:top w:val="nil"/>
              <w:left w:val="nil"/>
              <w:bottom w:val="single" w:sz="4" w:space="0" w:color="auto"/>
              <w:right w:val="single" w:sz="4" w:space="0" w:color="auto"/>
            </w:tcBorders>
            <w:shd w:val="clear" w:color="auto" w:fill="auto"/>
            <w:noWrap/>
            <w:vAlign w:val="bottom"/>
            <w:hideMark/>
          </w:tcPr>
          <w:p w14:paraId="349D23E7"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-31,9%</w:t>
            </w:r>
          </w:p>
        </w:tc>
        <w:tc>
          <w:tcPr>
            <w:tcW w:w="850" w:type="dxa"/>
            <w:tcBorders>
              <w:top w:val="nil"/>
              <w:left w:val="nil"/>
              <w:bottom w:val="single" w:sz="4" w:space="0" w:color="auto"/>
              <w:right w:val="single" w:sz="4" w:space="0" w:color="auto"/>
            </w:tcBorders>
            <w:shd w:val="clear" w:color="auto" w:fill="auto"/>
            <w:noWrap/>
            <w:vAlign w:val="bottom"/>
            <w:hideMark/>
          </w:tcPr>
          <w:p w14:paraId="0B772279"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-35,6%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722F5B"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-31,3%</w:t>
            </w:r>
          </w:p>
        </w:tc>
        <w:tc>
          <w:tcPr>
            <w:tcW w:w="971" w:type="dxa"/>
            <w:tcBorders>
              <w:top w:val="nil"/>
              <w:left w:val="nil"/>
              <w:bottom w:val="single" w:sz="4" w:space="0" w:color="auto"/>
              <w:right w:val="single" w:sz="4" w:space="0" w:color="auto"/>
            </w:tcBorders>
            <w:shd w:val="clear" w:color="auto" w:fill="auto"/>
            <w:noWrap/>
            <w:vAlign w:val="bottom"/>
            <w:hideMark/>
          </w:tcPr>
          <w:p w14:paraId="5B8FA720"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-35,1%</w:t>
            </w:r>
          </w:p>
        </w:tc>
      </w:tr>
      <w:tr w:rsidR="00BC327E" w:rsidRPr="005303F7" w14:paraId="7BC3EF10" w14:textId="77777777" w:rsidTr="005147F4">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AAA7070" w14:textId="4997DB3E" w:rsidR="00BC327E" w:rsidRPr="005303F7" w:rsidRDefault="00BC327E" w:rsidP="00BC327E">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t>Отпад</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17A843D8"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3.868</w:t>
            </w:r>
          </w:p>
        </w:tc>
        <w:tc>
          <w:tcPr>
            <w:tcW w:w="777" w:type="dxa"/>
            <w:tcBorders>
              <w:top w:val="nil"/>
              <w:left w:val="nil"/>
              <w:bottom w:val="single" w:sz="4" w:space="0" w:color="auto"/>
              <w:right w:val="single" w:sz="4" w:space="0" w:color="auto"/>
            </w:tcBorders>
            <w:shd w:val="clear" w:color="auto" w:fill="auto"/>
            <w:noWrap/>
            <w:vAlign w:val="bottom"/>
            <w:hideMark/>
          </w:tcPr>
          <w:p w14:paraId="2D3F7010"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2.800</w:t>
            </w:r>
          </w:p>
        </w:tc>
        <w:tc>
          <w:tcPr>
            <w:tcW w:w="777" w:type="dxa"/>
            <w:tcBorders>
              <w:top w:val="nil"/>
              <w:left w:val="nil"/>
              <w:bottom w:val="single" w:sz="4" w:space="0" w:color="auto"/>
              <w:right w:val="single" w:sz="4" w:space="0" w:color="auto"/>
            </w:tcBorders>
            <w:shd w:val="clear" w:color="auto" w:fill="auto"/>
            <w:noWrap/>
            <w:vAlign w:val="bottom"/>
            <w:hideMark/>
          </w:tcPr>
          <w:p w14:paraId="75BAF14C"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2.730</w:t>
            </w:r>
          </w:p>
        </w:tc>
        <w:tc>
          <w:tcPr>
            <w:tcW w:w="777" w:type="dxa"/>
            <w:tcBorders>
              <w:top w:val="nil"/>
              <w:left w:val="nil"/>
              <w:bottom w:val="single" w:sz="4" w:space="0" w:color="auto"/>
              <w:right w:val="single" w:sz="4" w:space="0" w:color="auto"/>
            </w:tcBorders>
            <w:shd w:val="clear" w:color="auto" w:fill="auto"/>
            <w:noWrap/>
            <w:vAlign w:val="bottom"/>
            <w:hideMark/>
          </w:tcPr>
          <w:p w14:paraId="1FC7E87F"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2.709</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532F1B97"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2.317</w:t>
            </w:r>
          </w:p>
        </w:tc>
        <w:tc>
          <w:tcPr>
            <w:tcW w:w="777" w:type="dxa"/>
            <w:tcBorders>
              <w:top w:val="nil"/>
              <w:left w:val="nil"/>
              <w:bottom w:val="single" w:sz="4" w:space="0" w:color="auto"/>
              <w:right w:val="single" w:sz="4" w:space="0" w:color="auto"/>
            </w:tcBorders>
            <w:shd w:val="clear" w:color="auto" w:fill="auto"/>
            <w:noWrap/>
            <w:vAlign w:val="bottom"/>
            <w:hideMark/>
          </w:tcPr>
          <w:p w14:paraId="51424652"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1.551</w:t>
            </w:r>
          </w:p>
        </w:tc>
        <w:tc>
          <w:tcPr>
            <w:tcW w:w="777" w:type="dxa"/>
            <w:tcBorders>
              <w:top w:val="nil"/>
              <w:left w:val="nil"/>
              <w:bottom w:val="single" w:sz="4" w:space="0" w:color="auto"/>
              <w:right w:val="single" w:sz="4" w:space="0" w:color="auto"/>
            </w:tcBorders>
            <w:shd w:val="clear" w:color="auto" w:fill="auto"/>
            <w:noWrap/>
            <w:vAlign w:val="bottom"/>
            <w:hideMark/>
          </w:tcPr>
          <w:p w14:paraId="7690A927"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1.207</w:t>
            </w:r>
          </w:p>
        </w:tc>
        <w:tc>
          <w:tcPr>
            <w:tcW w:w="940" w:type="dxa"/>
            <w:tcBorders>
              <w:top w:val="nil"/>
              <w:left w:val="nil"/>
              <w:bottom w:val="single" w:sz="4" w:space="0" w:color="auto"/>
              <w:right w:val="single" w:sz="4" w:space="0" w:color="auto"/>
            </w:tcBorders>
            <w:shd w:val="clear" w:color="auto" w:fill="auto"/>
            <w:noWrap/>
            <w:vAlign w:val="bottom"/>
            <w:hideMark/>
          </w:tcPr>
          <w:p w14:paraId="26B6368E"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845</w:t>
            </w:r>
          </w:p>
        </w:tc>
        <w:tc>
          <w:tcPr>
            <w:tcW w:w="872" w:type="dxa"/>
            <w:tcBorders>
              <w:top w:val="nil"/>
              <w:left w:val="nil"/>
              <w:bottom w:val="single" w:sz="4" w:space="0" w:color="auto"/>
              <w:right w:val="single" w:sz="4" w:space="0" w:color="auto"/>
            </w:tcBorders>
            <w:shd w:val="clear" w:color="auto" w:fill="auto"/>
            <w:noWrap/>
            <w:vAlign w:val="bottom"/>
            <w:hideMark/>
          </w:tcPr>
          <w:p w14:paraId="3757A2F4"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-55,8%</w:t>
            </w:r>
          </w:p>
        </w:tc>
        <w:tc>
          <w:tcPr>
            <w:tcW w:w="850" w:type="dxa"/>
            <w:tcBorders>
              <w:top w:val="nil"/>
              <w:left w:val="nil"/>
              <w:bottom w:val="single" w:sz="4" w:space="0" w:color="auto"/>
              <w:right w:val="single" w:sz="4" w:space="0" w:color="auto"/>
            </w:tcBorders>
            <w:shd w:val="clear" w:color="auto" w:fill="auto"/>
            <w:noWrap/>
            <w:vAlign w:val="bottom"/>
            <w:hideMark/>
          </w:tcPr>
          <w:p w14:paraId="38133B6A"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-69,1%</w:t>
            </w:r>
          </w:p>
        </w:tc>
        <w:tc>
          <w:tcPr>
            <w:tcW w:w="851" w:type="dxa"/>
            <w:tcBorders>
              <w:top w:val="nil"/>
              <w:left w:val="nil"/>
              <w:bottom w:val="single" w:sz="4" w:space="0" w:color="auto"/>
              <w:right w:val="single" w:sz="4" w:space="0" w:color="auto"/>
            </w:tcBorders>
            <w:shd w:val="clear" w:color="auto" w:fill="auto"/>
            <w:noWrap/>
            <w:vAlign w:val="bottom"/>
            <w:hideMark/>
          </w:tcPr>
          <w:p w14:paraId="54DB2401"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-56,9%</w:t>
            </w:r>
          </w:p>
        </w:tc>
        <w:tc>
          <w:tcPr>
            <w:tcW w:w="850" w:type="dxa"/>
            <w:tcBorders>
              <w:top w:val="nil"/>
              <w:left w:val="nil"/>
              <w:bottom w:val="single" w:sz="4" w:space="0" w:color="auto"/>
              <w:right w:val="single" w:sz="4" w:space="0" w:color="auto"/>
            </w:tcBorders>
            <w:shd w:val="clear" w:color="auto" w:fill="auto"/>
            <w:noWrap/>
            <w:vAlign w:val="bottom"/>
            <w:hideMark/>
          </w:tcPr>
          <w:p w14:paraId="760113AD"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-69,8%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25CC178"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-68,8%</w:t>
            </w:r>
          </w:p>
        </w:tc>
        <w:tc>
          <w:tcPr>
            <w:tcW w:w="971" w:type="dxa"/>
            <w:tcBorders>
              <w:top w:val="nil"/>
              <w:left w:val="nil"/>
              <w:bottom w:val="single" w:sz="4" w:space="0" w:color="auto"/>
              <w:right w:val="single" w:sz="4" w:space="0" w:color="auto"/>
            </w:tcBorders>
            <w:shd w:val="clear" w:color="auto" w:fill="auto"/>
            <w:noWrap/>
            <w:vAlign w:val="bottom"/>
            <w:hideMark/>
          </w:tcPr>
          <w:p w14:paraId="5B76E88A"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-78,2%</w:t>
            </w:r>
          </w:p>
        </w:tc>
      </w:tr>
      <w:tr w:rsidR="00BC327E" w:rsidRPr="005303F7" w14:paraId="66DE2564" w14:textId="77777777" w:rsidTr="005147F4">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6B73F76" w14:textId="49AF9799" w:rsidR="00BC327E" w:rsidRPr="005303F7" w:rsidRDefault="00BC327E" w:rsidP="00BC327E">
            <w:pPr>
              <w:tabs>
                <w:tab w:val="clear" w:pos="3825"/>
              </w:tabs>
              <w:overflowPunct/>
              <w:autoSpaceDE/>
              <w:autoSpaceDN/>
              <w:adjustRightInd/>
              <w:spacing w:before="0" w:after="0"/>
              <w:jc w:val="left"/>
              <w:textAlignment w:val="auto"/>
              <w:rPr>
                <w:rFonts w:ascii="Times New Roman" w:hAnsi="Times New Roman"/>
                <w:b/>
                <w:bCs/>
                <w:color w:val="000000"/>
                <w:lang w:val="sr-Cyrl-CS" w:eastAsia="en-GB"/>
              </w:rPr>
            </w:pPr>
            <w:r w:rsidRPr="005303F7">
              <w:rPr>
                <w:rFonts w:ascii="Times New Roman" w:hAnsi="Times New Roman"/>
                <w:b/>
                <w:bCs/>
                <w:color w:val="000000"/>
                <w:lang w:val="sr-Cyrl-CS" w:eastAsia="en-GB"/>
              </w:rPr>
              <w:t>Укупно М3 (без LULUCF)</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5F0A5514"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81.526</w:t>
            </w:r>
          </w:p>
        </w:tc>
        <w:tc>
          <w:tcPr>
            <w:tcW w:w="777" w:type="dxa"/>
            <w:tcBorders>
              <w:top w:val="nil"/>
              <w:left w:val="nil"/>
              <w:bottom w:val="single" w:sz="4" w:space="0" w:color="auto"/>
              <w:right w:val="single" w:sz="4" w:space="0" w:color="auto"/>
            </w:tcBorders>
            <w:shd w:val="clear" w:color="auto" w:fill="auto"/>
            <w:noWrap/>
            <w:vAlign w:val="bottom"/>
            <w:hideMark/>
          </w:tcPr>
          <w:p w14:paraId="2A6EB77C"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68.091</w:t>
            </w:r>
          </w:p>
        </w:tc>
        <w:tc>
          <w:tcPr>
            <w:tcW w:w="777" w:type="dxa"/>
            <w:tcBorders>
              <w:top w:val="nil"/>
              <w:left w:val="nil"/>
              <w:bottom w:val="single" w:sz="4" w:space="0" w:color="auto"/>
              <w:right w:val="single" w:sz="4" w:space="0" w:color="auto"/>
            </w:tcBorders>
            <w:shd w:val="clear" w:color="auto" w:fill="auto"/>
            <w:noWrap/>
            <w:vAlign w:val="bottom"/>
            <w:hideMark/>
          </w:tcPr>
          <w:p w14:paraId="7481D401"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62.650</w:t>
            </w:r>
          </w:p>
        </w:tc>
        <w:tc>
          <w:tcPr>
            <w:tcW w:w="777" w:type="dxa"/>
            <w:tcBorders>
              <w:top w:val="nil"/>
              <w:left w:val="nil"/>
              <w:bottom w:val="single" w:sz="4" w:space="0" w:color="auto"/>
              <w:right w:val="single" w:sz="4" w:space="0" w:color="auto"/>
            </w:tcBorders>
            <w:shd w:val="clear" w:color="auto" w:fill="auto"/>
            <w:noWrap/>
            <w:vAlign w:val="bottom"/>
            <w:hideMark/>
          </w:tcPr>
          <w:p w14:paraId="33AF20E7"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61.233</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608DFF2E"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62.328</w:t>
            </w:r>
          </w:p>
        </w:tc>
        <w:tc>
          <w:tcPr>
            <w:tcW w:w="777" w:type="dxa"/>
            <w:tcBorders>
              <w:top w:val="nil"/>
              <w:left w:val="nil"/>
              <w:bottom w:val="single" w:sz="4" w:space="0" w:color="auto"/>
              <w:right w:val="single" w:sz="4" w:space="0" w:color="auto"/>
            </w:tcBorders>
            <w:shd w:val="clear" w:color="auto" w:fill="auto"/>
            <w:noWrap/>
            <w:vAlign w:val="bottom"/>
            <w:hideMark/>
          </w:tcPr>
          <w:p w14:paraId="42836991"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54.804</w:t>
            </w:r>
          </w:p>
        </w:tc>
        <w:tc>
          <w:tcPr>
            <w:tcW w:w="777" w:type="dxa"/>
            <w:tcBorders>
              <w:top w:val="nil"/>
              <w:left w:val="nil"/>
              <w:bottom w:val="single" w:sz="4" w:space="0" w:color="auto"/>
              <w:right w:val="single" w:sz="4" w:space="0" w:color="auto"/>
            </w:tcBorders>
            <w:shd w:val="clear" w:color="auto" w:fill="auto"/>
            <w:noWrap/>
            <w:vAlign w:val="bottom"/>
            <w:hideMark/>
          </w:tcPr>
          <w:p w14:paraId="4675C20E"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46.140</w:t>
            </w:r>
          </w:p>
        </w:tc>
        <w:tc>
          <w:tcPr>
            <w:tcW w:w="940" w:type="dxa"/>
            <w:tcBorders>
              <w:top w:val="nil"/>
              <w:left w:val="nil"/>
              <w:bottom w:val="single" w:sz="4" w:space="0" w:color="auto"/>
              <w:right w:val="single" w:sz="4" w:space="0" w:color="auto"/>
            </w:tcBorders>
            <w:shd w:val="clear" w:color="auto" w:fill="auto"/>
            <w:noWrap/>
            <w:vAlign w:val="bottom"/>
            <w:hideMark/>
          </w:tcPr>
          <w:p w14:paraId="2EA27FE2"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19.366</w:t>
            </w:r>
          </w:p>
        </w:tc>
        <w:tc>
          <w:tcPr>
            <w:tcW w:w="872" w:type="dxa"/>
            <w:tcBorders>
              <w:top w:val="nil"/>
              <w:left w:val="nil"/>
              <w:bottom w:val="single" w:sz="4" w:space="0" w:color="auto"/>
              <w:right w:val="single" w:sz="4" w:space="0" w:color="auto"/>
            </w:tcBorders>
            <w:shd w:val="clear" w:color="auto" w:fill="auto"/>
            <w:noWrap/>
            <w:vAlign w:val="bottom"/>
            <w:hideMark/>
          </w:tcPr>
          <w:p w14:paraId="2B10D10D"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-26,4%</w:t>
            </w:r>
          </w:p>
        </w:tc>
        <w:tc>
          <w:tcPr>
            <w:tcW w:w="850" w:type="dxa"/>
            <w:tcBorders>
              <w:top w:val="nil"/>
              <w:left w:val="nil"/>
              <w:bottom w:val="single" w:sz="4" w:space="0" w:color="auto"/>
              <w:right w:val="single" w:sz="4" w:space="0" w:color="auto"/>
            </w:tcBorders>
            <w:shd w:val="clear" w:color="auto" w:fill="auto"/>
            <w:noWrap/>
            <w:vAlign w:val="bottom"/>
            <w:hideMark/>
          </w:tcPr>
          <w:p w14:paraId="3F30B24B"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-69,1%</w:t>
            </w:r>
          </w:p>
        </w:tc>
        <w:tc>
          <w:tcPr>
            <w:tcW w:w="851" w:type="dxa"/>
            <w:tcBorders>
              <w:top w:val="nil"/>
              <w:left w:val="nil"/>
              <w:bottom w:val="single" w:sz="4" w:space="0" w:color="auto"/>
              <w:right w:val="single" w:sz="4" w:space="0" w:color="auto"/>
            </w:tcBorders>
            <w:shd w:val="clear" w:color="auto" w:fill="auto"/>
            <w:noWrap/>
            <w:vAlign w:val="bottom"/>
            <w:hideMark/>
          </w:tcPr>
          <w:p w14:paraId="4A34C787"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-32,2%</w:t>
            </w:r>
          </w:p>
        </w:tc>
        <w:tc>
          <w:tcPr>
            <w:tcW w:w="850" w:type="dxa"/>
            <w:tcBorders>
              <w:top w:val="nil"/>
              <w:left w:val="nil"/>
              <w:bottom w:val="single" w:sz="4" w:space="0" w:color="auto"/>
              <w:right w:val="single" w:sz="4" w:space="0" w:color="auto"/>
            </w:tcBorders>
            <w:shd w:val="clear" w:color="auto" w:fill="auto"/>
            <w:noWrap/>
            <w:vAlign w:val="bottom"/>
            <w:hideMark/>
          </w:tcPr>
          <w:p w14:paraId="65D76F8A"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b/>
                <w:bCs/>
                <w:color w:val="000000"/>
                <w:sz w:val="20"/>
                <w:lang w:val="sr-Cyrl-CS" w:eastAsia="en-GB"/>
              </w:rPr>
            </w:pPr>
            <w:r w:rsidRPr="005303F7">
              <w:rPr>
                <w:rFonts w:ascii="Times New Roman" w:hAnsi="Times New Roman"/>
                <w:b/>
                <w:bCs/>
                <w:color w:val="000000"/>
                <w:sz w:val="20"/>
                <w:lang w:val="sr-Cyrl-CS" w:eastAsia="en-GB"/>
              </w:rPr>
              <w:t>-71,6%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4DEF7BF"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b/>
                <w:bCs/>
                <w:color w:val="000000"/>
                <w:sz w:val="20"/>
                <w:szCs w:val="22"/>
                <w:lang w:val="sr-Cyrl-CS" w:eastAsia="en-GB"/>
              </w:rPr>
            </w:pPr>
            <w:r w:rsidRPr="005303F7">
              <w:rPr>
                <w:rFonts w:ascii="Times New Roman" w:hAnsi="Times New Roman"/>
                <w:b/>
                <w:bCs/>
                <w:color w:val="000000"/>
                <w:sz w:val="20"/>
                <w:szCs w:val="22"/>
                <w:lang w:val="sr-Cyrl-CS" w:eastAsia="en-GB"/>
              </w:rPr>
              <w:t>-43,4%</w:t>
            </w:r>
          </w:p>
        </w:tc>
        <w:tc>
          <w:tcPr>
            <w:tcW w:w="971" w:type="dxa"/>
            <w:tcBorders>
              <w:top w:val="nil"/>
              <w:left w:val="nil"/>
              <w:bottom w:val="single" w:sz="4" w:space="0" w:color="auto"/>
              <w:right w:val="single" w:sz="4" w:space="0" w:color="auto"/>
            </w:tcBorders>
            <w:shd w:val="clear" w:color="auto" w:fill="auto"/>
            <w:noWrap/>
            <w:vAlign w:val="bottom"/>
            <w:hideMark/>
          </w:tcPr>
          <w:p w14:paraId="48D32278"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b/>
                <w:bCs/>
                <w:color w:val="000000"/>
                <w:sz w:val="20"/>
                <w:szCs w:val="22"/>
                <w:lang w:val="sr-Cyrl-CS" w:eastAsia="en-GB"/>
              </w:rPr>
            </w:pPr>
            <w:r w:rsidRPr="005303F7">
              <w:rPr>
                <w:rFonts w:ascii="Times New Roman" w:hAnsi="Times New Roman"/>
                <w:b/>
                <w:bCs/>
                <w:color w:val="000000"/>
                <w:sz w:val="20"/>
                <w:szCs w:val="22"/>
                <w:lang w:val="sr-Cyrl-CS" w:eastAsia="en-GB"/>
              </w:rPr>
              <w:t>-76,2%</w:t>
            </w:r>
          </w:p>
        </w:tc>
      </w:tr>
      <w:tr w:rsidR="00BC327E" w:rsidRPr="005303F7" w14:paraId="59FF604C" w14:textId="77777777" w:rsidTr="005147F4">
        <w:trPr>
          <w:trHeight w:val="279"/>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34D5853" w14:textId="7057AD0F" w:rsidR="00BC327E" w:rsidRPr="005303F7" w:rsidRDefault="00BC327E" w:rsidP="00BC327E">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t>LULUCF</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794250AD"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-1.432</w:t>
            </w:r>
          </w:p>
        </w:tc>
        <w:tc>
          <w:tcPr>
            <w:tcW w:w="777" w:type="dxa"/>
            <w:tcBorders>
              <w:top w:val="nil"/>
              <w:left w:val="nil"/>
              <w:bottom w:val="single" w:sz="4" w:space="0" w:color="auto"/>
              <w:right w:val="single" w:sz="4" w:space="0" w:color="auto"/>
            </w:tcBorders>
            <w:shd w:val="clear" w:color="auto" w:fill="auto"/>
            <w:noWrap/>
            <w:vAlign w:val="bottom"/>
            <w:hideMark/>
          </w:tcPr>
          <w:p w14:paraId="001DE5AD" w14:textId="581B0FCB"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w:t>
            </w:r>
            <w:r w:rsidR="007A2C68" w:rsidRPr="005303F7">
              <w:rPr>
                <w:rFonts w:ascii="Times New Roman" w:hAnsi="Times New Roman"/>
                <w:color w:val="000000"/>
                <w:sz w:val="20"/>
                <w:lang w:val="sr-Cyrl-CS" w:eastAsia="en-GB"/>
              </w:rPr>
              <w:t>7.090</w:t>
            </w:r>
          </w:p>
        </w:tc>
        <w:tc>
          <w:tcPr>
            <w:tcW w:w="777" w:type="dxa"/>
            <w:tcBorders>
              <w:top w:val="nil"/>
              <w:left w:val="nil"/>
              <w:bottom w:val="single" w:sz="4" w:space="0" w:color="auto"/>
              <w:right w:val="single" w:sz="4" w:space="0" w:color="auto"/>
            </w:tcBorders>
            <w:shd w:val="clear" w:color="auto" w:fill="auto"/>
            <w:noWrap/>
            <w:vAlign w:val="bottom"/>
            <w:hideMark/>
          </w:tcPr>
          <w:p w14:paraId="1600D5D2"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-5.627</w:t>
            </w:r>
          </w:p>
        </w:tc>
        <w:tc>
          <w:tcPr>
            <w:tcW w:w="777" w:type="dxa"/>
            <w:tcBorders>
              <w:top w:val="nil"/>
              <w:left w:val="nil"/>
              <w:bottom w:val="single" w:sz="4" w:space="0" w:color="auto"/>
              <w:right w:val="single" w:sz="4" w:space="0" w:color="auto"/>
            </w:tcBorders>
            <w:shd w:val="clear" w:color="auto" w:fill="auto"/>
            <w:noWrap/>
            <w:vAlign w:val="bottom"/>
            <w:hideMark/>
          </w:tcPr>
          <w:p w14:paraId="3917A711"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-4.533</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14:paraId="5B710DD9"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-7.273</w:t>
            </w:r>
          </w:p>
        </w:tc>
        <w:tc>
          <w:tcPr>
            <w:tcW w:w="777" w:type="dxa"/>
            <w:tcBorders>
              <w:top w:val="nil"/>
              <w:left w:val="nil"/>
              <w:bottom w:val="single" w:sz="4" w:space="0" w:color="auto"/>
              <w:right w:val="single" w:sz="4" w:space="0" w:color="auto"/>
            </w:tcBorders>
            <w:shd w:val="clear" w:color="auto" w:fill="auto"/>
            <w:noWrap/>
            <w:vAlign w:val="bottom"/>
            <w:hideMark/>
          </w:tcPr>
          <w:p w14:paraId="1B2D259C"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-8.424</w:t>
            </w:r>
          </w:p>
        </w:tc>
        <w:tc>
          <w:tcPr>
            <w:tcW w:w="777" w:type="dxa"/>
            <w:tcBorders>
              <w:top w:val="nil"/>
              <w:left w:val="nil"/>
              <w:bottom w:val="single" w:sz="4" w:space="0" w:color="auto"/>
              <w:right w:val="single" w:sz="4" w:space="0" w:color="auto"/>
            </w:tcBorders>
            <w:shd w:val="clear" w:color="auto" w:fill="auto"/>
            <w:noWrap/>
            <w:vAlign w:val="bottom"/>
            <w:hideMark/>
          </w:tcPr>
          <w:p w14:paraId="2E089B1A"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-9.746</w:t>
            </w:r>
          </w:p>
        </w:tc>
        <w:tc>
          <w:tcPr>
            <w:tcW w:w="940" w:type="dxa"/>
            <w:tcBorders>
              <w:top w:val="nil"/>
              <w:left w:val="nil"/>
              <w:bottom w:val="single" w:sz="4" w:space="0" w:color="auto"/>
              <w:right w:val="single" w:sz="4" w:space="0" w:color="auto"/>
            </w:tcBorders>
            <w:shd w:val="clear" w:color="auto" w:fill="auto"/>
            <w:noWrap/>
            <w:vAlign w:val="bottom"/>
            <w:hideMark/>
          </w:tcPr>
          <w:p w14:paraId="1B330E96"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-13.082</w:t>
            </w:r>
          </w:p>
        </w:tc>
        <w:tc>
          <w:tcPr>
            <w:tcW w:w="872" w:type="dxa"/>
            <w:tcBorders>
              <w:top w:val="nil"/>
              <w:left w:val="nil"/>
              <w:bottom w:val="single" w:sz="4" w:space="0" w:color="auto"/>
              <w:right w:val="single" w:sz="4" w:space="0" w:color="auto"/>
            </w:tcBorders>
            <w:shd w:val="clear" w:color="auto" w:fill="auto"/>
            <w:noWrap/>
            <w:vAlign w:val="bottom"/>
            <w:hideMark/>
          </w:tcPr>
          <w:p w14:paraId="10C357AD"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73,2%</w:t>
            </w:r>
          </w:p>
        </w:tc>
        <w:tc>
          <w:tcPr>
            <w:tcW w:w="850" w:type="dxa"/>
            <w:tcBorders>
              <w:top w:val="nil"/>
              <w:left w:val="nil"/>
              <w:bottom w:val="single" w:sz="4" w:space="0" w:color="auto"/>
              <w:right w:val="single" w:sz="4" w:space="0" w:color="auto"/>
            </w:tcBorders>
            <w:shd w:val="clear" w:color="auto" w:fill="auto"/>
            <w:noWrap/>
            <w:vAlign w:val="bottom"/>
            <w:hideMark/>
          </w:tcPr>
          <w:p w14:paraId="310750C1" w14:textId="0B5FDD9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132</w:t>
            </w:r>
            <w:r w:rsidR="007A2C68" w:rsidRPr="005303F7">
              <w:rPr>
                <w:rFonts w:ascii="Times New Roman" w:hAnsi="Times New Roman"/>
                <w:color w:val="000000"/>
                <w:sz w:val="20"/>
                <w:lang w:val="sr-Cyrl-CS" w:eastAsia="en-GB"/>
              </w:rPr>
              <w:t>,5</w:t>
            </w:r>
            <w:r w:rsidRPr="005303F7">
              <w:rPr>
                <w:rFonts w:ascii="Times New Roman" w:hAnsi="Times New Roman"/>
                <w:color w:val="000000"/>
                <w:sz w:val="20"/>
                <w:lang w:val="sr-Cyrl-CS" w:eastAsia="en-GB"/>
              </w:rPr>
              <w:t>%</w:t>
            </w:r>
          </w:p>
        </w:tc>
        <w:tc>
          <w:tcPr>
            <w:tcW w:w="851" w:type="dxa"/>
            <w:tcBorders>
              <w:top w:val="nil"/>
              <w:left w:val="nil"/>
              <w:bottom w:val="single" w:sz="4" w:space="0" w:color="auto"/>
              <w:right w:val="single" w:sz="4" w:space="0" w:color="auto"/>
            </w:tcBorders>
            <w:shd w:val="clear" w:color="auto" w:fill="auto"/>
            <w:noWrap/>
            <w:vAlign w:val="bottom"/>
            <w:hideMark/>
          </w:tcPr>
          <w:p w14:paraId="00B1CBD7" w14:textId="2139CD7E"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w:t>
            </w:r>
            <w:r w:rsidR="007A2C68" w:rsidRPr="005303F7">
              <w:rPr>
                <w:rFonts w:ascii="Times New Roman" w:hAnsi="Times New Roman"/>
                <w:color w:val="000000"/>
                <w:sz w:val="20"/>
                <w:lang w:val="sr-Cyrl-CS" w:eastAsia="en-GB"/>
              </w:rPr>
              <w:t>7</w:t>
            </w:r>
            <w:r w:rsidRPr="005303F7">
              <w:rPr>
                <w:rFonts w:ascii="Times New Roman" w:hAnsi="Times New Roman"/>
                <w:color w:val="000000"/>
                <w:sz w:val="20"/>
                <w:lang w:val="sr-Cyrl-CS"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14:paraId="3FE5B4C6" w14:textId="418D2015" w:rsidR="00BC327E" w:rsidRPr="005303F7" w:rsidRDefault="007A2C68">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84,5</w:t>
            </w:r>
            <w:r w:rsidR="00BC327E" w:rsidRPr="005303F7">
              <w:rPr>
                <w:rFonts w:ascii="Times New Roman" w:hAnsi="Times New Roman"/>
                <w:color w:val="000000"/>
                <w:sz w:val="20"/>
                <w:lang w:val="sr-Cyrl-CS" w:eastAsia="en-GB"/>
              </w:rPr>
              <w: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A54D636" w14:textId="5E14A024" w:rsidR="00BC327E" w:rsidRPr="005303F7" w:rsidRDefault="000619EC" w:rsidP="00BC327E">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580,6</w:t>
            </w:r>
            <w:r w:rsidR="00BC327E" w:rsidRPr="005303F7">
              <w:rPr>
                <w:rFonts w:ascii="Times New Roman" w:hAnsi="Times New Roman"/>
                <w:color w:val="000000"/>
                <w:sz w:val="20"/>
                <w:szCs w:val="22"/>
                <w:lang w:val="sr-Cyrl-CS" w:eastAsia="en-GB"/>
              </w:rPr>
              <w:t>%</w:t>
            </w:r>
          </w:p>
        </w:tc>
        <w:tc>
          <w:tcPr>
            <w:tcW w:w="971" w:type="dxa"/>
            <w:tcBorders>
              <w:top w:val="nil"/>
              <w:left w:val="nil"/>
              <w:bottom w:val="single" w:sz="4" w:space="0" w:color="auto"/>
              <w:right w:val="single" w:sz="4" w:space="0" w:color="auto"/>
            </w:tcBorders>
            <w:shd w:val="clear" w:color="auto" w:fill="auto"/>
            <w:noWrap/>
            <w:vAlign w:val="bottom"/>
            <w:hideMark/>
          </w:tcPr>
          <w:p w14:paraId="53AAC975" w14:textId="58506F1A" w:rsidR="00BC327E" w:rsidRPr="005303F7" w:rsidRDefault="000619EC">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813,5</w:t>
            </w:r>
            <w:r w:rsidR="00BC327E" w:rsidRPr="005303F7">
              <w:rPr>
                <w:rFonts w:ascii="Times New Roman" w:hAnsi="Times New Roman"/>
                <w:color w:val="000000"/>
                <w:sz w:val="20"/>
                <w:szCs w:val="22"/>
                <w:lang w:val="sr-Cyrl-CS" w:eastAsia="en-GB"/>
              </w:rPr>
              <w:t>%</w:t>
            </w:r>
          </w:p>
        </w:tc>
      </w:tr>
      <w:tr w:rsidR="00BC327E" w:rsidRPr="005303F7" w14:paraId="6251B0B7" w14:textId="77777777" w:rsidTr="005147F4">
        <w:trPr>
          <w:trHeight w:val="29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51E38CC" w14:textId="4B493F46" w:rsidR="00BC327E" w:rsidRPr="005303F7" w:rsidRDefault="00BC327E" w:rsidP="00BC327E">
            <w:pPr>
              <w:tabs>
                <w:tab w:val="clear" w:pos="3825"/>
              </w:tabs>
              <w:overflowPunct/>
              <w:autoSpaceDE/>
              <w:autoSpaceDN/>
              <w:adjustRightInd/>
              <w:spacing w:before="0" w:after="0"/>
              <w:jc w:val="left"/>
              <w:textAlignment w:val="auto"/>
              <w:rPr>
                <w:rFonts w:ascii="Times New Roman" w:hAnsi="Times New Roman"/>
                <w:color w:val="000000"/>
                <w:lang w:val="sr-Cyrl-CS" w:eastAsia="en-GB"/>
              </w:rPr>
            </w:pPr>
            <w:r w:rsidRPr="005303F7">
              <w:rPr>
                <w:rFonts w:ascii="Times New Roman" w:hAnsi="Times New Roman"/>
                <w:color w:val="000000"/>
                <w:lang w:val="sr-Cyrl-CS" w:eastAsia="en-GB"/>
              </w:rPr>
              <w:t>Укупно са LULUCF</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6375C73E"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80.094</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38698D42" w14:textId="20C3131C"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w:t>
            </w:r>
            <w:r w:rsidR="007A2C68" w:rsidRPr="005303F7">
              <w:rPr>
                <w:rFonts w:ascii="Times New Roman" w:hAnsi="Times New Roman"/>
                <w:color w:val="000000"/>
                <w:sz w:val="20"/>
                <w:lang w:val="sr-Cyrl-CS" w:eastAsia="en-GB"/>
              </w:rPr>
              <w:t>1.001</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445D00DB"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57.023</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3EF6B045"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56.700</w:t>
            </w:r>
          </w:p>
        </w:tc>
        <w:tc>
          <w:tcPr>
            <w:tcW w:w="777" w:type="dxa"/>
            <w:tcBorders>
              <w:top w:val="nil"/>
              <w:left w:val="nil"/>
              <w:bottom w:val="single" w:sz="4" w:space="0" w:color="auto"/>
              <w:right w:val="single" w:sz="4" w:space="0" w:color="auto"/>
            </w:tcBorders>
            <w:shd w:val="clear" w:color="auto" w:fill="auto"/>
            <w:noWrap/>
            <w:vAlign w:val="bottom"/>
            <w:hideMark/>
          </w:tcPr>
          <w:p w14:paraId="18D51153"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55.055</w:t>
            </w:r>
          </w:p>
        </w:tc>
        <w:tc>
          <w:tcPr>
            <w:tcW w:w="777" w:type="dxa"/>
            <w:tcBorders>
              <w:top w:val="nil"/>
              <w:left w:val="nil"/>
              <w:bottom w:val="single" w:sz="4" w:space="0" w:color="auto"/>
              <w:right w:val="single" w:sz="4" w:space="0" w:color="auto"/>
            </w:tcBorders>
            <w:shd w:val="clear" w:color="auto" w:fill="auto"/>
            <w:noWrap/>
            <w:vAlign w:val="bottom"/>
            <w:hideMark/>
          </w:tcPr>
          <w:p w14:paraId="410650DA"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46.380</w:t>
            </w:r>
          </w:p>
        </w:tc>
        <w:tc>
          <w:tcPr>
            <w:tcW w:w="777" w:type="dxa"/>
            <w:tcBorders>
              <w:top w:val="nil"/>
              <w:left w:val="nil"/>
              <w:bottom w:val="single" w:sz="4" w:space="0" w:color="auto"/>
              <w:right w:val="single" w:sz="4" w:space="0" w:color="auto"/>
            </w:tcBorders>
            <w:shd w:val="clear" w:color="auto" w:fill="auto"/>
            <w:noWrap/>
            <w:vAlign w:val="bottom"/>
            <w:hideMark/>
          </w:tcPr>
          <w:p w14:paraId="2A58A1C6"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36.394</w:t>
            </w:r>
          </w:p>
        </w:tc>
        <w:tc>
          <w:tcPr>
            <w:tcW w:w="940" w:type="dxa"/>
            <w:tcBorders>
              <w:top w:val="nil"/>
              <w:left w:val="nil"/>
              <w:bottom w:val="single" w:sz="4" w:space="0" w:color="auto"/>
              <w:right w:val="single" w:sz="4" w:space="0" w:color="auto"/>
            </w:tcBorders>
            <w:shd w:val="clear" w:color="auto" w:fill="auto"/>
            <w:noWrap/>
            <w:vAlign w:val="bottom"/>
            <w:hideMark/>
          </w:tcPr>
          <w:p w14:paraId="2542F5F5"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6.284</w:t>
            </w:r>
          </w:p>
        </w:tc>
        <w:tc>
          <w:tcPr>
            <w:tcW w:w="872" w:type="dxa"/>
            <w:tcBorders>
              <w:top w:val="nil"/>
              <w:left w:val="nil"/>
              <w:bottom w:val="single" w:sz="4" w:space="0" w:color="auto"/>
              <w:right w:val="single" w:sz="4" w:space="0" w:color="auto"/>
            </w:tcBorders>
            <w:shd w:val="clear" w:color="auto" w:fill="auto"/>
            <w:noWrap/>
            <w:vAlign w:val="bottom"/>
            <w:hideMark/>
          </w:tcPr>
          <w:p w14:paraId="14E2875B"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-36,2%</w:t>
            </w:r>
          </w:p>
        </w:tc>
        <w:tc>
          <w:tcPr>
            <w:tcW w:w="850" w:type="dxa"/>
            <w:tcBorders>
              <w:top w:val="nil"/>
              <w:left w:val="nil"/>
              <w:bottom w:val="single" w:sz="4" w:space="0" w:color="auto"/>
              <w:right w:val="single" w:sz="4" w:space="0" w:color="auto"/>
            </w:tcBorders>
            <w:shd w:val="clear" w:color="auto" w:fill="auto"/>
            <w:noWrap/>
            <w:vAlign w:val="bottom"/>
            <w:hideMark/>
          </w:tcPr>
          <w:p w14:paraId="516F6F3F" w14:textId="77777777"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-89,0%</w:t>
            </w:r>
          </w:p>
        </w:tc>
        <w:tc>
          <w:tcPr>
            <w:tcW w:w="851" w:type="dxa"/>
            <w:tcBorders>
              <w:top w:val="nil"/>
              <w:left w:val="nil"/>
              <w:bottom w:val="single" w:sz="4" w:space="0" w:color="auto"/>
              <w:right w:val="single" w:sz="4" w:space="0" w:color="auto"/>
            </w:tcBorders>
            <w:shd w:val="clear" w:color="auto" w:fill="auto"/>
            <w:noWrap/>
            <w:vAlign w:val="bottom"/>
            <w:hideMark/>
          </w:tcPr>
          <w:p w14:paraId="3B0B9EC6" w14:textId="61FB59FC" w:rsidR="00BC327E" w:rsidRPr="005303F7" w:rsidRDefault="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-4</w:t>
            </w:r>
            <w:r w:rsidR="007A2C68" w:rsidRPr="005303F7">
              <w:rPr>
                <w:rFonts w:ascii="Times New Roman" w:hAnsi="Times New Roman"/>
                <w:color w:val="000000"/>
                <w:sz w:val="20"/>
                <w:lang w:val="sr-Cyrl-CS" w:eastAsia="en-GB"/>
              </w:rPr>
              <w:t>0</w:t>
            </w:r>
            <w:r w:rsidRPr="005303F7">
              <w:rPr>
                <w:rFonts w:ascii="Times New Roman" w:hAnsi="Times New Roman"/>
                <w:color w:val="000000"/>
                <w:sz w:val="20"/>
                <w:lang w:val="sr-Cyrl-CS" w:eastAsia="en-GB"/>
              </w:rPr>
              <w:t>,</w:t>
            </w:r>
            <w:r w:rsidR="007A2C68" w:rsidRPr="005303F7">
              <w:rPr>
                <w:rFonts w:ascii="Times New Roman" w:hAnsi="Times New Roman"/>
                <w:color w:val="000000"/>
                <w:sz w:val="20"/>
                <w:lang w:val="sr-Cyrl-CS" w:eastAsia="en-GB"/>
              </w:rPr>
              <w:t>3</w:t>
            </w:r>
            <w:r w:rsidRPr="005303F7">
              <w:rPr>
                <w:rFonts w:ascii="Times New Roman" w:hAnsi="Times New Roman"/>
                <w:color w:val="000000"/>
                <w:sz w:val="20"/>
                <w:lang w:val="sr-Cyrl-CS" w:eastAsia="en-GB"/>
              </w:rPr>
              <w:t>%</w:t>
            </w:r>
          </w:p>
        </w:tc>
        <w:tc>
          <w:tcPr>
            <w:tcW w:w="850" w:type="dxa"/>
            <w:tcBorders>
              <w:top w:val="nil"/>
              <w:left w:val="nil"/>
              <w:bottom w:val="single" w:sz="4" w:space="0" w:color="auto"/>
              <w:right w:val="single" w:sz="4" w:space="0" w:color="auto"/>
            </w:tcBorders>
            <w:shd w:val="clear" w:color="auto" w:fill="auto"/>
            <w:noWrap/>
            <w:vAlign w:val="bottom"/>
            <w:hideMark/>
          </w:tcPr>
          <w:p w14:paraId="47D6F86E" w14:textId="02B81143"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lang w:val="sr-Cyrl-CS" w:eastAsia="en-GB"/>
              </w:rPr>
            </w:pPr>
            <w:r w:rsidRPr="005303F7">
              <w:rPr>
                <w:rFonts w:ascii="Times New Roman" w:hAnsi="Times New Roman"/>
                <w:color w:val="000000"/>
                <w:sz w:val="20"/>
                <w:lang w:val="sr-Cyrl-CS" w:eastAsia="en-GB"/>
              </w:rPr>
              <w:t>-89,</w:t>
            </w:r>
            <w:r w:rsidR="007A2C68" w:rsidRPr="005303F7">
              <w:rPr>
                <w:rFonts w:ascii="Times New Roman" w:hAnsi="Times New Roman"/>
                <w:color w:val="000000"/>
                <w:sz w:val="20"/>
                <w:lang w:val="sr-Cyrl-CS" w:eastAsia="en-GB"/>
              </w:rPr>
              <w:t>7</w:t>
            </w:r>
            <w:r w:rsidRPr="005303F7">
              <w:rPr>
                <w:rFonts w:ascii="Times New Roman" w:hAnsi="Times New Roman"/>
                <w:color w:val="000000"/>
                <w:sz w:val="20"/>
                <w:lang w:val="sr-Cyrl-CS" w:eastAsia="en-GB"/>
              </w:rPr>
              <w: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D058062" w14:textId="06645E90" w:rsidR="00BC327E" w:rsidRPr="005303F7" w:rsidRDefault="00BC327E">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w:t>
            </w:r>
            <w:r w:rsidR="000619EC" w:rsidRPr="005303F7">
              <w:rPr>
                <w:rFonts w:ascii="Times New Roman" w:hAnsi="Times New Roman"/>
                <w:color w:val="000000"/>
                <w:sz w:val="20"/>
                <w:szCs w:val="22"/>
                <w:lang w:val="sr-Cyrl-CS" w:eastAsia="en-GB"/>
              </w:rPr>
              <w:t>54,6</w:t>
            </w:r>
            <w:r w:rsidRPr="005303F7">
              <w:rPr>
                <w:rFonts w:ascii="Times New Roman" w:hAnsi="Times New Roman"/>
                <w:color w:val="000000"/>
                <w:sz w:val="20"/>
                <w:szCs w:val="22"/>
                <w:lang w:val="sr-Cyrl-CS" w:eastAsia="en-GB"/>
              </w:rPr>
              <w:t>%</w:t>
            </w:r>
          </w:p>
        </w:tc>
        <w:tc>
          <w:tcPr>
            <w:tcW w:w="971" w:type="dxa"/>
            <w:tcBorders>
              <w:top w:val="nil"/>
              <w:left w:val="nil"/>
              <w:bottom w:val="single" w:sz="4" w:space="0" w:color="auto"/>
              <w:right w:val="single" w:sz="4" w:space="0" w:color="auto"/>
            </w:tcBorders>
            <w:shd w:val="clear" w:color="auto" w:fill="auto"/>
            <w:noWrap/>
            <w:vAlign w:val="bottom"/>
            <w:hideMark/>
          </w:tcPr>
          <w:p w14:paraId="771B0312" w14:textId="538C7A13" w:rsidR="00BC327E" w:rsidRPr="005303F7" w:rsidRDefault="00BC327E" w:rsidP="00BC327E">
            <w:pPr>
              <w:tabs>
                <w:tab w:val="clear" w:pos="3825"/>
              </w:tabs>
              <w:overflowPunct/>
              <w:autoSpaceDE/>
              <w:autoSpaceDN/>
              <w:adjustRightInd/>
              <w:spacing w:before="0" w:after="0"/>
              <w:jc w:val="right"/>
              <w:textAlignment w:val="auto"/>
              <w:rPr>
                <w:rFonts w:ascii="Times New Roman" w:hAnsi="Times New Roman"/>
                <w:color w:val="000000"/>
                <w:sz w:val="20"/>
                <w:szCs w:val="22"/>
                <w:lang w:val="sr-Cyrl-CS" w:eastAsia="en-GB"/>
              </w:rPr>
            </w:pPr>
            <w:r w:rsidRPr="005303F7">
              <w:rPr>
                <w:rFonts w:ascii="Times New Roman" w:hAnsi="Times New Roman"/>
                <w:color w:val="000000"/>
                <w:sz w:val="20"/>
                <w:szCs w:val="22"/>
                <w:lang w:val="sr-Cyrl-CS" w:eastAsia="en-GB"/>
              </w:rPr>
              <w:t>-</w:t>
            </w:r>
            <w:r w:rsidR="000619EC" w:rsidRPr="005303F7">
              <w:rPr>
                <w:rFonts w:ascii="Times New Roman" w:hAnsi="Times New Roman"/>
                <w:color w:val="000000"/>
                <w:sz w:val="20"/>
                <w:szCs w:val="22"/>
                <w:lang w:val="sr-Cyrl-CS" w:eastAsia="en-GB"/>
              </w:rPr>
              <w:t>92,2</w:t>
            </w:r>
            <w:r w:rsidRPr="005303F7">
              <w:rPr>
                <w:rFonts w:ascii="Times New Roman" w:hAnsi="Times New Roman"/>
                <w:color w:val="000000"/>
                <w:sz w:val="20"/>
                <w:szCs w:val="22"/>
                <w:lang w:val="sr-Cyrl-CS" w:eastAsia="en-GB"/>
              </w:rPr>
              <w:t>%</w:t>
            </w:r>
          </w:p>
        </w:tc>
      </w:tr>
      <w:bookmarkEnd w:id="0"/>
    </w:tbl>
    <w:p w14:paraId="567C1A87" w14:textId="77777777" w:rsidR="000B75F4" w:rsidRPr="005303F7" w:rsidRDefault="000B75F4" w:rsidP="0014169E">
      <w:pPr>
        <w:rPr>
          <w:rFonts w:ascii="Times New Roman" w:hAnsi="Times New Roman"/>
          <w:b/>
          <w:bCs/>
          <w:lang w:val="sr-Cyrl-CS"/>
        </w:rPr>
      </w:pPr>
    </w:p>
    <w:sectPr w:rsidR="000B75F4" w:rsidRPr="005303F7" w:rsidSect="00DC6B1D">
      <w:headerReference w:type="default" r:id="rId34"/>
      <w:footerReference w:type="default" r:id="rId35"/>
      <w:headerReference w:type="first" r:id="rId36"/>
      <w:footerReference w:type="first" r:id="rId37"/>
      <w:pgSz w:w="16834" w:h="11909" w:orient="landscape" w:code="9"/>
      <w:pgMar w:top="1440" w:right="1440" w:bottom="1247" w:left="1440" w:header="567" w:footer="4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1CFB" w14:textId="77777777" w:rsidR="00841D7B" w:rsidRDefault="00841D7B" w:rsidP="00D35AFD">
      <w:r>
        <w:separator/>
      </w:r>
    </w:p>
  </w:endnote>
  <w:endnote w:type="continuationSeparator" w:id="0">
    <w:p w14:paraId="7752523A" w14:textId="77777777" w:rsidR="00841D7B" w:rsidRDefault="00841D7B" w:rsidP="00D35AFD">
      <w:r>
        <w:continuationSeparator/>
      </w:r>
    </w:p>
  </w:endnote>
  <w:endnote w:type="continuationNotice" w:id="1">
    <w:p w14:paraId="4E28E113" w14:textId="77777777" w:rsidR="00841D7B" w:rsidRDefault="00841D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lo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Free Set C">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5914" w14:textId="07049873" w:rsidR="008B73DA" w:rsidRPr="00D73AAB" w:rsidRDefault="008B73DA" w:rsidP="00696A71">
    <w:pPr>
      <w:tabs>
        <w:tab w:val="left" w:pos="2542"/>
      </w:tabs>
      <w:jc w:val="right"/>
      <w:rPr>
        <w:lang w:val="sr-Cyrl-RS"/>
      </w:rPr>
    </w:pPr>
    <w:r>
      <w:fldChar w:fldCharType="begin"/>
    </w:r>
    <w:r>
      <w:instrText xml:space="preserve"> PAGE   \* MERGEFORMAT </w:instrText>
    </w:r>
    <w:r>
      <w:fldChar w:fldCharType="separate"/>
    </w:r>
    <w:r w:rsidR="005A5F27">
      <w:rPr>
        <w:noProof/>
      </w:rPr>
      <w:t>36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45634"/>
      <w:docPartObj>
        <w:docPartGallery w:val="Page Numbers (Bottom of Page)"/>
        <w:docPartUnique/>
      </w:docPartObj>
    </w:sdtPr>
    <w:sdtEndPr>
      <w:rPr>
        <w:noProof/>
      </w:rPr>
    </w:sdtEndPr>
    <w:sdtContent>
      <w:p w14:paraId="58AE9B62" w14:textId="62DA77B9" w:rsidR="008B73DA" w:rsidRDefault="008B73DA" w:rsidP="007F21EA">
        <w:pPr>
          <w:pStyle w:val="Footer"/>
        </w:pPr>
        <w:r>
          <w:fldChar w:fldCharType="begin"/>
        </w:r>
        <w:r>
          <w:instrText xml:space="preserve"> PAGE   \* MERGEFORMAT </w:instrText>
        </w:r>
        <w:r>
          <w:fldChar w:fldCharType="separate"/>
        </w:r>
        <w:r w:rsidR="005A5F27">
          <w:rPr>
            <w:noProof/>
          </w:rPr>
          <w:t>61</w:t>
        </w:r>
        <w:r>
          <w:rPr>
            <w:noProof/>
          </w:rPr>
          <w:fldChar w:fldCharType="end"/>
        </w:r>
      </w:p>
    </w:sdtContent>
  </w:sdt>
  <w:p w14:paraId="3F45709E" w14:textId="77777777" w:rsidR="008B73DA" w:rsidRDefault="008B73DA" w:rsidP="007F21EA">
    <w:pPr>
      <w:tabs>
        <w:tab w:val="left" w:pos="254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B271" w14:textId="77777777" w:rsidR="008B73DA" w:rsidRDefault="008B73DA" w:rsidP="00603B1E">
    <w:pPr>
      <w:pStyle w:val="Footer"/>
      <w:tabs>
        <w:tab w:val="left" w:pos="6018"/>
      </w:tabs>
      <w:jc w:val="both"/>
    </w:pPr>
    <w: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4174"/>
      <w:gridCol w:w="2268"/>
    </w:tblGrid>
    <w:tr w:rsidR="008B73DA" w14:paraId="3D8A0E19" w14:textId="77777777" w:rsidTr="007F21EA">
      <w:tc>
        <w:tcPr>
          <w:tcW w:w="2767" w:type="dxa"/>
        </w:tcPr>
        <w:p w14:paraId="18341921" w14:textId="64D8146C" w:rsidR="008B73DA" w:rsidRDefault="008B73DA" w:rsidP="003E449E">
          <w:pPr>
            <w:jc w:val="center"/>
          </w:pPr>
        </w:p>
      </w:tc>
      <w:tc>
        <w:tcPr>
          <w:tcW w:w="4174" w:type="dxa"/>
        </w:tcPr>
        <w:p w14:paraId="21B4C901" w14:textId="50945372" w:rsidR="008B73DA" w:rsidRPr="00C95626" w:rsidRDefault="008B73DA" w:rsidP="003E449E">
          <w:pPr>
            <w:jc w:val="center"/>
            <w:rPr>
              <w:lang w:val="de-DE"/>
            </w:rPr>
          </w:pPr>
        </w:p>
      </w:tc>
      <w:tc>
        <w:tcPr>
          <w:tcW w:w="2268" w:type="dxa"/>
        </w:tcPr>
        <w:p w14:paraId="2F8FDFD0" w14:textId="20B0E6DD" w:rsidR="008B73DA" w:rsidRDefault="008B73DA" w:rsidP="003E449E">
          <w:pPr>
            <w:jc w:val="right"/>
          </w:pPr>
          <w:r>
            <w:rPr>
              <w:rStyle w:val="PageNumber"/>
            </w:rPr>
            <w:fldChar w:fldCharType="begin"/>
          </w:r>
          <w:r>
            <w:rPr>
              <w:rStyle w:val="PageNumber"/>
            </w:rPr>
            <w:instrText xml:space="preserve">PAGE  </w:instrText>
          </w:r>
          <w:r>
            <w:rPr>
              <w:rStyle w:val="PageNumber"/>
            </w:rPr>
            <w:fldChar w:fldCharType="separate"/>
          </w:r>
          <w:r w:rsidR="005A5F27">
            <w:rPr>
              <w:rStyle w:val="PageNumber"/>
              <w:noProof/>
            </w:rPr>
            <w:t>62</w:t>
          </w:r>
          <w:r>
            <w:rPr>
              <w:rStyle w:val="PageNumber"/>
            </w:rPr>
            <w:fldChar w:fldCharType="end"/>
          </w:r>
        </w:p>
      </w:tc>
    </w:tr>
  </w:tbl>
  <w:p w14:paraId="744B9F42" w14:textId="77777777" w:rsidR="008B73DA" w:rsidRDefault="008B73DA" w:rsidP="003E449E">
    <w:pPr>
      <w:tabs>
        <w:tab w:val="left" w:pos="2542"/>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EC5B" w14:textId="77777777" w:rsidR="008B73DA" w:rsidRDefault="008B73DA" w:rsidP="00603B1E">
    <w:pPr>
      <w:pStyle w:val="Footer"/>
      <w:tabs>
        <w:tab w:val="left" w:pos="6018"/>
      </w:tabs>
      <w:jc w:val="both"/>
    </w:pPr>
    <w:r>
      <w:tab/>
    </w: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174"/>
      <w:gridCol w:w="5182"/>
    </w:tblGrid>
    <w:tr w:rsidR="008B73DA" w14:paraId="068CB11F" w14:textId="77777777" w:rsidTr="007F21EA">
      <w:tc>
        <w:tcPr>
          <w:tcW w:w="4678" w:type="dxa"/>
        </w:tcPr>
        <w:p w14:paraId="77EFC0FC" w14:textId="5D137999" w:rsidR="008B73DA" w:rsidRPr="002470D0" w:rsidRDefault="008B73DA" w:rsidP="003E449E">
          <w:pPr>
            <w:jc w:val="center"/>
          </w:pPr>
        </w:p>
      </w:tc>
      <w:tc>
        <w:tcPr>
          <w:tcW w:w="4174" w:type="dxa"/>
        </w:tcPr>
        <w:p w14:paraId="43CB81F3" w14:textId="487C213A" w:rsidR="008B73DA" w:rsidRPr="002470D0" w:rsidRDefault="008B73DA" w:rsidP="003E449E">
          <w:pPr>
            <w:jc w:val="center"/>
          </w:pPr>
        </w:p>
      </w:tc>
      <w:tc>
        <w:tcPr>
          <w:tcW w:w="5182" w:type="dxa"/>
        </w:tcPr>
        <w:p w14:paraId="71453199" w14:textId="62A693BD" w:rsidR="008B73DA" w:rsidRDefault="008B73DA" w:rsidP="003E449E">
          <w:pPr>
            <w:jc w:val="right"/>
          </w:pPr>
          <w:r>
            <w:rPr>
              <w:rStyle w:val="PageNumber"/>
            </w:rPr>
            <w:fldChar w:fldCharType="begin"/>
          </w:r>
          <w:r>
            <w:rPr>
              <w:rStyle w:val="PageNumber"/>
            </w:rPr>
            <w:instrText xml:space="preserve">PAGE  </w:instrText>
          </w:r>
          <w:r>
            <w:rPr>
              <w:rStyle w:val="PageNumber"/>
            </w:rPr>
            <w:fldChar w:fldCharType="separate"/>
          </w:r>
          <w:r w:rsidR="005A5F27">
            <w:rPr>
              <w:rStyle w:val="PageNumber"/>
              <w:noProof/>
            </w:rPr>
            <w:t>72</w:t>
          </w:r>
          <w:r>
            <w:rPr>
              <w:rStyle w:val="PageNumber"/>
            </w:rPr>
            <w:fldChar w:fldCharType="end"/>
          </w:r>
        </w:p>
      </w:tc>
    </w:tr>
  </w:tbl>
  <w:p w14:paraId="5E73B386" w14:textId="77777777" w:rsidR="008B73DA" w:rsidRDefault="008B73DA" w:rsidP="003E449E">
    <w:pPr>
      <w:tabs>
        <w:tab w:val="left" w:pos="2542"/>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174"/>
      <w:gridCol w:w="5182"/>
    </w:tblGrid>
    <w:tr w:rsidR="008B73DA" w14:paraId="69096ADE" w14:textId="77777777" w:rsidTr="007F21EA">
      <w:tc>
        <w:tcPr>
          <w:tcW w:w="4678" w:type="dxa"/>
        </w:tcPr>
        <w:p w14:paraId="2938ED23" w14:textId="4F2CC004" w:rsidR="008B73DA" w:rsidRDefault="008B73DA" w:rsidP="00603B1E">
          <w:pPr>
            <w:jc w:val="center"/>
          </w:pPr>
        </w:p>
      </w:tc>
      <w:tc>
        <w:tcPr>
          <w:tcW w:w="4174" w:type="dxa"/>
        </w:tcPr>
        <w:p w14:paraId="07EE17DB" w14:textId="02CF46B4" w:rsidR="008B73DA" w:rsidRDefault="008B73DA" w:rsidP="00603B1E">
          <w:pPr>
            <w:jc w:val="center"/>
          </w:pPr>
        </w:p>
      </w:tc>
      <w:tc>
        <w:tcPr>
          <w:tcW w:w="5182" w:type="dxa"/>
        </w:tcPr>
        <w:p w14:paraId="5415F29E" w14:textId="319F04BA" w:rsidR="008B73DA" w:rsidRDefault="008B73DA" w:rsidP="00603B1E">
          <w:pPr>
            <w:jc w:val="right"/>
          </w:pPr>
          <w:r>
            <w:rPr>
              <w:rStyle w:val="PageNumber"/>
            </w:rPr>
            <w:fldChar w:fldCharType="begin"/>
          </w:r>
          <w:r>
            <w:rPr>
              <w:rStyle w:val="PageNumber"/>
            </w:rPr>
            <w:instrText xml:space="preserve">PAGE  </w:instrText>
          </w:r>
          <w:r>
            <w:rPr>
              <w:rStyle w:val="PageNumber"/>
            </w:rPr>
            <w:fldChar w:fldCharType="separate"/>
          </w:r>
          <w:r w:rsidR="005A5F27">
            <w:rPr>
              <w:rStyle w:val="PageNumber"/>
              <w:noProof/>
            </w:rPr>
            <w:t>70</w:t>
          </w:r>
          <w:r>
            <w:rPr>
              <w:rStyle w:val="PageNumber"/>
            </w:rPr>
            <w:fldChar w:fldCharType="end"/>
          </w:r>
        </w:p>
      </w:tc>
    </w:tr>
  </w:tbl>
  <w:p w14:paraId="3B9D05A2" w14:textId="124CD94C" w:rsidR="008B73DA" w:rsidRDefault="008B73DA" w:rsidP="00603B1E">
    <w:pPr>
      <w:pStyle w:val="Footer"/>
      <w:tabs>
        <w:tab w:val="left" w:pos="6018"/>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6DEB" w14:textId="77777777" w:rsidR="00841D7B" w:rsidRDefault="00841D7B" w:rsidP="00D35AFD">
      <w:r>
        <w:separator/>
      </w:r>
    </w:p>
  </w:footnote>
  <w:footnote w:type="continuationSeparator" w:id="0">
    <w:p w14:paraId="7F5DD4BA" w14:textId="77777777" w:rsidR="00841D7B" w:rsidRDefault="00841D7B" w:rsidP="00D35AFD">
      <w:r>
        <w:continuationSeparator/>
      </w:r>
    </w:p>
  </w:footnote>
  <w:footnote w:type="continuationNotice" w:id="1">
    <w:p w14:paraId="7B52DFD9" w14:textId="77777777" w:rsidR="00841D7B" w:rsidRDefault="00841D7B">
      <w:pPr>
        <w:spacing w:before="0" w:after="0"/>
      </w:pPr>
    </w:p>
  </w:footnote>
  <w:footnote w:id="2">
    <w:p w14:paraId="18DA9F69" w14:textId="43C21FBA" w:rsidR="008B73DA" w:rsidRPr="00696A71" w:rsidRDefault="008B73DA" w:rsidP="008C683D">
      <w:pPr>
        <w:spacing w:after="0"/>
        <w:rPr>
          <w:rFonts w:ascii="Times New Roman" w:hAnsi="Times New Roman"/>
          <w:sz w:val="18"/>
          <w:szCs w:val="16"/>
          <w:lang w:val="pl-PL"/>
        </w:rPr>
      </w:pPr>
      <w:r w:rsidRPr="00696A71">
        <w:rPr>
          <w:rStyle w:val="FootnoteReference"/>
          <w:rFonts w:ascii="Times New Roman" w:hAnsi="Times New Roman"/>
          <w:sz w:val="18"/>
          <w:szCs w:val="16"/>
        </w:rPr>
        <w:footnoteRef/>
      </w:r>
      <w:r w:rsidRPr="00696A71">
        <w:rPr>
          <w:rFonts w:ascii="Times New Roman" w:hAnsi="Times New Roman"/>
          <w:sz w:val="18"/>
          <w:szCs w:val="16"/>
          <w:lang w:val="pl-PL"/>
        </w:rPr>
        <w:t xml:space="preserve"> </w:t>
      </w:r>
      <w:r>
        <w:rPr>
          <w:rFonts w:ascii="Times New Roman" w:hAnsi="Times New Roman"/>
          <w:sz w:val="18"/>
          <w:szCs w:val="16"/>
          <w:lang w:val="sr-Cyrl-RS"/>
        </w:rPr>
        <w:t>Прилог 1</w:t>
      </w:r>
      <w:r w:rsidRPr="00696A71">
        <w:rPr>
          <w:rFonts w:ascii="Times New Roman" w:hAnsi="Times New Roman"/>
          <w:sz w:val="18"/>
          <w:szCs w:val="16"/>
          <w:lang w:val="pl-PL"/>
        </w:rPr>
        <w:t xml:space="preserve">: Осмотрне промене климе и пројекције будуће климе у </w:t>
      </w:r>
      <w:r>
        <w:rPr>
          <w:rFonts w:ascii="Times New Roman" w:hAnsi="Times New Roman"/>
          <w:sz w:val="18"/>
          <w:szCs w:val="16"/>
          <w:lang w:val="pl-PL"/>
        </w:rPr>
        <w:t>Републици Србији</w:t>
      </w:r>
    </w:p>
  </w:footnote>
  <w:footnote w:id="3">
    <w:p w14:paraId="59FDA9EC" w14:textId="7F0321F7" w:rsidR="008B73DA" w:rsidRPr="00BE3966" w:rsidRDefault="008B73DA" w:rsidP="00E94573">
      <w:pPr>
        <w:pStyle w:val="FootnoteText"/>
        <w:rPr>
          <w:rFonts w:ascii="Times New Roman" w:hAnsi="Times New Roman"/>
          <w:lang w:val="sr-Cyrl-RS"/>
        </w:rPr>
      </w:pPr>
      <w:r>
        <w:rPr>
          <w:rStyle w:val="FootnoteReference"/>
        </w:rPr>
        <w:footnoteRef/>
      </w:r>
      <w:r>
        <w:t xml:space="preserve"> </w:t>
      </w:r>
      <w:r w:rsidRPr="00FE004C">
        <w:rPr>
          <w:rFonts w:ascii="Times New Roman" w:hAnsi="Times New Roman"/>
          <w:lang w:val="sr-Cyrl-RS"/>
        </w:rPr>
        <w:t>Закон</w:t>
      </w:r>
      <w:r w:rsidRPr="00FE004C">
        <w:rPr>
          <w:rFonts w:ascii="Times New Roman" w:hAnsi="Times New Roman"/>
        </w:rPr>
        <w:t xml:space="preserve"> о ратификацији Уговора о оснивању Енергетске заједнице између Европске заједнице и Републике Албаније, Републике Бугарске, Босне и Херцеговине, Републике Хрватске, Бивше Југословенске Републике Македоније, Републике Црне Горе, Румуније, Републике Србије и Привремене Мисије Уједињених нација на Косову у складу са Резолуцијом 1244 Савета безбедности Уједињених нација („Службени гласник РС”</w:t>
      </w:r>
      <w:r>
        <w:rPr>
          <w:rFonts w:ascii="Times New Roman" w:hAnsi="Times New Roman"/>
        </w:rPr>
        <w:t>, број 62/</w:t>
      </w:r>
      <w:r w:rsidRPr="00FE004C">
        <w:rPr>
          <w:rFonts w:ascii="Times New Roman" w:hAnsi="Times New Roman"/>
        </w:rPr>
        <w:t>06)</w:t>
      </w:r>
      <w:r>
        <w:rPr>
          <w:rFonts w:ascii="Times New Roman" w:hAnsi="Times New Roman"/>
          <w:lang w:val="sr-Cyrl-RS"/>
        </w:rPr>
        <w:t>.</w:t>
      </w:r>
    </w:p>
  </w:footnote>
  <w:footnote w:id="4">
    <w:p w14:paraId="08E6BACE" w14:textId="094806AE" w:rsidR="008B73DA" w:rsidRPr="00696A71" w:rsidRDefault="008B73DA" w:rsidP="008C683D">
      <w:pPr>
        <w:spacing w:after="0"/>
        <w:rPr>
          <w:rFonts w:ascii="Times New Roman" w:hAnsi="Times New Roman"/>
          <w:sz w:val="16"/>
          <w:szCs w:val="16"/>
          <w:lang w:val="pl-PL"/>
        </w:rPr>
      </w:pPr>
      <w:r w:rsidRPr="00696A71">
        <w:rPr>
          <w:rStyle w:val="FootnoteReference"/>
          <w:rFonts w:ascii="Times New Roman" w:hAnsi="Times New Roman"/>
          <w:sz w:val="18"/>
        </w:rPr>
        <w:footnoteRef/>
      </w:r>
      <w:r w:rsidRPr="00696A71">
        <w:rPr>
          <w:rFonts w:ascii="Times New Roman" w:hAnsi="Times New Roman"/>
          <w:sz w:val="24"/>
          <w:lang w:val="pl-PL"/>
        </w:rPr>
        <w:t xml:space="preserve"> </w:t>
      </w:r>
      <w:r>
        <w:rPr>
          <w:rFonts w:ascii="Times New Roman" w:hAnsi="Times New Roman"/>
          <w:sz w:val="18"/>
          <w:szCs w:val="14"/>
          <w:lang w:val="sr-Cyrl-RS"/>
        </w:rPr>
        <w:t>Прилог 2</w:t>
      </w:r>
      <w:r w:rsidRPr="00696A71">
        <w:rPr>
          <w:rFonts w:ascii="Times New Roman" w:hAnsi="Times New Roman"/>
          <w:sz w:val="18"/>
          <w:szCs w:val="14"/>
          <w:lang w:val="pl-PL"/>
        </w:rPr>
        <w:t>: Информација о поступку консултација приликом израде Стратегије</w:t>
      </w:r>
    </w:p>
  </w:footnote>
  <w:footnote w:id="5">
    <w:p w14:paraId="4F14333F" w14:textId="38D0B6DC" w:rsidR="008B73DA" w:rsidRPr="00FE004C" w:rsidRDefault="008B73DA" w:rsidP="008C683D">
      <w:pPr>
        <w:spacing w:after="0"/>
        <w:rPr>
          <w:rFonts w:ascii="Times New Roman" w:hAnsi="Times New Roman"/>
          <w:sz w:val="24"/>
        </w:rPr>
      </w:pPr>
      <w:r w:rsidRPr="00696A71">
        <w:rPr>
          <w:rStyle w:val="FootnoteReference"/>
          <w:rFonts w:ascii="Times New Roman" w:hAnsi="Times New Roman"/>
          <w:sz w:val="18"/>
          <w:szCs w:val="16"/>
        </w:rPr>
        <w:footnoteRef/>
      </w:r>
      <w:r w:rsidRPr="00696A71">
        <w:rPr>
          <w:rFonts w:ascii="Times New Roman" w:hAnsi="Times New Roman"/>
          <w:sz w:val="18"/>
          <w:szCs w:val="16"/>
        </w:rPr>
        <w:t xml:space="preserve"> </w:t>
      </w:r>
      <w:bookmarkStart w:id="5" w:name="_Hlk26717061"/>
      <w:r w:rsidRPr="00696A71">
        <w:rPr>
          <w:rFonts w:ascii="Times New Roman" w:hAnsi="Times New Roman"/>
          <w:sz w:val="18"/>
          <w:szCs w:val="16"/>
        </w:rPr>
        <w:t xml:space="preserve">За дефинисање националног доприноса коришћени су и циљеви из Стратегије развоја енергетике </w:t>
      </w:r>
      <w:r>
        <w:rPr>
          <w:rFonts w:ascii="Times New Roman" w:hAnsi="Times New Roman"/>
          <w:sz w:val="18"/>
          <w:szCs w:val="16"/>
        </w:rPr>
        <w:t>Републике Србије</w:t>
      </w:r>
      <w:r w:rsidRPr="00696A71">
        <w:rPr>
          <w:rFonts w:ascii="Times New Roman" w:hAnsi="Times New Roman"/>
          <w:sz w:val="18"/>
          <w:szCs w:val="16"/>
        </w:rPr>
        <w:t xml:space="preserve"> до 2025. године са пројекцијама до 2030. године</w:t>
      </w:r>
      <w:bookmarkEnd w:id="5"/>
      <w:r>
        <w:rPr>
          <w:rFonts w:ascii="Times New Roman" w:hAnsi="Times New Roman"/>
          <w:sz w:val="18"/>
          <w:szCs w:val="16"/>
          <w:lang w:val="sr-Cyrl-RS"/>
        </w:rPr>
        <w:t xml:space="preserve"> („Сужбени гласник РС”, 101/15)</w:t>
      </w:r>
    </w:p>
  </w:footnote>
  <w:footnote w:id="6">
    <w:p w14:paraId="717BC264" w14:textId="3F7DF500" w:rsidR="008B73DA" w:rsidRPr="00696A71" w:rsidRDefault="008B73DA" w:rsidP="00DB2ABF">
      <w:pPr>
        <w:pStyle w:val="FootnoteText"/>
        <w:spacing w:before="0" w:after="0"/>
        <w:ind w:left="0" w:firstLine="0"/>
        <w:jc w:val="both"/>
        <w:rPr>
          <w:rFonts w:ascii="Times New Roman" w:hAnsi="Times New Roman"/>
        </w:rPr>
      </w:pPr>
      <w:r w:rsidRPr="00696A71">
        <w:rPr>
          <w:rStyle w:val="FootnoteReference"/>
          <w:rFonts w:ascii="Times New Roman" w:hAnsi="Times New Roman"/>
          <w:sz w:val="18"/>
        </w:rPr>
        <w:footnoteRef/>
      </w:r>
      <w:r w:rsidRPr="00696A71">
        <w:rPr>
          <w:rFonts w:ascii="Times New Roman" w:hAnsi="Times New Roman"/>
          <w:sz w:val="20"/>
          <w:lang w:val="pl-PL"/>
        </w:rPr>
        <w:t xml:space="preserve"> </w:t>
      </w:r>
      <w:r w:rsidRPr="00696A71">
        <w:rPr>
          <w:rFonts w:ascii="Times New Roman" w:hAnsi="Times New Roman"/>
        </w:rPr>
        <w:t>Директива 2003/87/Е</w:t>
      </w:r>
      <w:r w:rsidRPr="00696A71">
        <w:rPr>
          <w:rFonts w:ascii="Times New Roman" w:hAnsi="Times New Roman"/>
          <w:lang w:val="sr-Cyrl-RS"/>
        </w:rPr>
        <w:t>К</w:t>
      </w:r>
      <w:r w:rsidRPr="00696A71">
        <w:rPr>
          <w:rFonts w:ascii="Times New Roman" w:hAnsi="Times New Roman"/>
        </w:rPr>
        <w:t xml:space="preserve"> којом се успоставља систем за трговину емисионим јединицама (ЕU-ЕТS)</w:t>
      </w:r>
    </w:p>
    <w:p w14:paraId="33DD6825" w14:textId="2B8617D2" w:rsidR="008B73DA" w:rsidRPr="00696A71" w:rsidRDefault="008B73DA" w:rsidP="00DB2ABF">
      <w:pPr>
        <w:pStyle w:val="FootnoteText"/>
        <w:spacing w:before="0" w:after="0"/>
        <w:ind w:left="0" w:firstLine="0"/>
        <w:jc w:val="both"/>
        <w:rPr>
          <w:rFonts w:ascii="Times New Roman" w:hAnsi="Times New Roman"/>
        </w:rPr>
      </w:pPr>
      <w:r w:rsidRPr="00696A71">
        <w:rPr>
          <w:rFonts w:ascii="Times New Roman" w:hAnsi="Times New Roman"/>
        </w:rPr>
        <w:t>Одлука 406/2009/Е</w:t>
      </w:r>
      <w:r w:rsidRPr="00696A71">
        <w:rPr>
          <w:rFonts w:ascii="Times New Roman" w:hAnsi="Times New Roman"/>
          <w:lang w:val="sr-Cyrl-RS"/>
        </w:rPr>
        <w:t>К</w:t>
      </w:r>
      <w:r w:rsidRPr="00696A71">
        <w:rPr>
          <w:rFonts w:ascii="Times New Roman" w:hAnsi="Times New Roman"/>
        </w:rPr>
        <w:t xml:space="preserve">- </w:t>
      </w:r>
      <w:r w:rsidRPr="00696A71">
        <w:rPr>
          <w:rFonts w:ascii="Times New Roman" w:hAnsi="Times New Roman"/>
          <w:lang w:val="sr-Cyrl-RS"/>
        </w:rPr>
        <w:t>О заједничком н</w:t>
      </w:r>
      <w:r w:rsidRPr="00696A71">
        <w:rPr>
          <w:rFonts w:ascii="Times New Roman" w:hAnsi="Times New Roman"/>
        </w:rPr>
        <w:t>апор</w:t>
      </w:r>
      <w:r w:rsidRPr="00696A71">
        <w:rPr>
          <w:rFonts w:ascii="Times New Roman" w:hAnsi="Times New Roman"/>
          <w:lang w:val="sr-Cyrl-RS"/>
        </w:rPr>
        <w:t>у</w:t>
      </w:r>
      <w:r w:rsidRPr="00696A71">
        <w:rPr>
          <w:rFonts w:ascii="Times New Roman" w:hAnsi="Times New Roman"/>
        </w:rPr>
        <w:t xml:space="preserve"> држава чланица да смање своје емисије гасова са ефектом стаклене баште како би испунили обавезе Заједнице о смањењу емиси</w:t>
      </w:r>
      <w:r w:rsidRPr="00696A71">
        <w:rPr>
          <w:rFonts w:ascii="Times New Roman" w:hAnsi="Times New Roman"/>
          <w:lang w:val="sr-Cyrl-RS"/>
        </w:rPr>
        <w:t>ј</w:t>
      </w:r>
      <w:r w:rsidRPr="00696A71">
        <w:rPr>
          <w:rFonts w:ascii="Times New Roman" w:hAnsi="Times New Roman"/>
        </w:rPr>
        <w:t xml:space="preserve">а,  </w:t>
      </w:r>
    </w:p>
    <w:p w14:paraId="4FF129FC" w14:textId="4C1DD5D0" w:rsidR="008B73DA" w:rsidRPr="00696A71" w:rsidRDefault="008B73DA" w:rsidP="00DB2ABF">
      <w:pPr>
        <w:pStyle w:val="FootnoteText"/>
        <w:spacing w:before="0" w:after="0"/>
        <w:ind w:left="0" w:firstLine="0"/>
        <w:jc w:val="both"/>
        <w:rPr>
          <w:rFonts w:ascii="Times New Roman" w:hAnsi="Times New Roman"/>
        </w:rPr>
      </w:pPr>
      <w:r w:rsidRPr="00696A71">
        <w:rPr>
          <w:rFonts w:ascii="Times New Roman" w:hAnsi="Times New Roman"/>
        </w:rPr>
        <w:t>Уредба 525/2013/Е</w:t>
      </w:r>
      <w:r w:rsidRPr="00696A71">
        <w:rPr>
          <w:rFonts w:ascii="Times New Roman" w:hAnsi="Times New Roman"/>
          <w:lang w:val="sr-Cyrl-RS"/>
        </w:rPr>
        <w:t>К</w:t>
      </w:r>
      <w:r w:rsidRPr="00696A71">
        <w:rPr>
          <w:rFonts w:ascii="Times New Roman" w:hAnsi="Times New Roman"/>
        </w:rPr>
        <w:t xml:space="preserve"> о механизму мониторинг и извештавању о емисијама гасова са ефектом стаклене ба</w:t>
      </w:r>
      <w:r>
        <w:rPr>
          <w:rFonts w:ascii="Times New Roman" w:hAnsi="Times New Roman"/>
          <w:lang w:val="sr-Cyrl-RS"/>
        </w:rPr>
        <w:t>ш</w:t>
      </w:r>
      <w:r w:rsidRPr="00696A71">
        <w:rPr>
          <w:rFonts w:ascii="Times New Roman" w:hAnsi="Times New Roman"/>
        </w:rPr>
        <w:t>те и о извештавању о другим информацијама у области климатских промена, од националног и од значаја за ЕУ</w:t>
      </w:r>
    </w:p>
    <w:p w14:paraId="5414E6D1" w14:textId="781715BE" w:rsidR="008B73DA" w:rsidRPr="0001539F" w:rsidRDefault="008B73DA" w:rsidP="00353B06">
      <w:pPr>
        <w:pStyle w:val="FootnoteText"/>
        <w:spacing w:before="0" w:after="0"/>
        <w:ind w:left="0" w:firstLine="0"/>
        <w:jc w:val="both"/>
      </w:pPr>
      <w:r w:rsidRPr="00696A71">
        <w:rPr>
          <w:rFonts w:ascii="Times New Roman" w:hAnsi="Times New Roman"/>
        </w:rPr>
        <w:t>Директива 1999/94/Е</w:t>
      </w:r>
      <w:r w:rsidRPr="00696A71">
        <w:rPr>
          <w:rFonts w:ascii="Times New Roman" w:hAnsi="Times New Roman"/>
          <w:lang w:val="sr-Cyrl-RS"/>
        </w:rPr>
        <w:t>К</w:t>
      </w:r>
      <w:r w:rsidRPr="00696A71">
        <w:rPr>
          <w:rFonts w:ascii="Times New Roman" w:hAnsi="Times New Roman"/>
        </w:rPr>
        <w:t xml:space="preserve"> Европског парламента и Савета од 13. децембра 1999.</w:t>
      </w:r>
      <w:r w:rsidRPr="00696A71">
        <w:rPr>
          <w:rFonts w:ascii="Times New Roman" w:hAnsi="Times New Roman"/>
          <w:lang w:val="sr-Cyrl-RS"/>
        </w:rPr>
        <w:t xml:space="preserve"> године</w:t>
      </w:r>
      <w:r w:rsidRPr="00696A71">
        <w:rPr>
          <w:rFonts w:ascii="Times New Roman" w:hAnsi="Times New Roman"/>
        </w:rPr>
        <w:t>, која се односи на доступност информација потрошачима о економији горива и емисије CО</w:t>
      </w:r>
      <w:r w:rsidRPr="00696A71">
        <w:rPr>
          <w:rFonts w:ascii="Times New Roman" w:hAnsi="Times New Roman"/>
          <w:vertAlign w:val="subscript"/>
        </w:rPr>
        <w:t>2</w:t>
      </w:r>
      <w:r w:rsidRPr="00696A71">
        <w:rPr>
          <w:rFonts w:ascii="Times New Roman" w:hAnsi="Times New Roman"/>
        </w:rPr>
        <w:t xml:space="preserve"> у погледу продаје нових путничких аутомобила</w:t>
      </w:r>
    </w:p>
  </w:footnote>
  <w:footnote w:id="7">
    <w:p w14:paraId="095B009A" w14:textId="2DC2E65C" w:rsidR="008B73DA" w:rsidRPr="00696A71" w:rsidRDefault="008B73DA" w:rsidP="00353B06">
      <w:pPr>
        <w:pStyle w:val="FootnoteText"/>
        <w:spacing w:before="0" w:after="0"/>
        <w:rPr>
          <w:rFonts w:ascii="Times New Roman" w:hAnsi="Times New Roman"/>
          <w:sz w:val="20"/>
          <w:lang w:val="sl-SI"/>
        </w:rPr>
      </w:pPr>
      <w:r w:rsidRPr="00696A71">
        <w:rPr>
          <w:rStyle w:val="FootnoteReference"/>
          <w:rFonts w:ascii="Times New Roman" w:hAnsi="Times New Roman"/>
          <w:sz w:val="18"/>
        </w:rPr>
        <w:footnoteRef/>
      </w:r>
      <w:r w:rsidRPr="00696A71">
        <w:rPr>
          <w:rFonts w:ascii="Times New Roman" w:hAnsi="Times New Roman"/>
          <w:sz w:val="20"/>
        </w:rPr>
        <w:t xml:space="preserve"> </w:t>
      </w:r>
      <w:r w:rsidRPr="00696A71">
        <w:rPr>
          <w:rFonts w:ascii="Times New Roman" w:hAnsi="Times New Roman"/>
        </w:rPr>
        <w:t>Последња година за коју су процесу израде Стратегије били доступни подаци о емисијама GHG</w:t>
      </w:r>
    </w:p>
  </w:footnote>
  <w:footnote w:id="8">
    <w:p w14:paraId="4B16C255" w14:textId="2978FA5A" w:rsidR="008B73DA" w:rsidRPr="00BA4EAE" w:rsidRDefault="008B73DA" w:rsidP="00A76AE5">
      <w:pPr>
        <w:pStyle w:val="FootnoteText"/>
        <w:spacing w:before="0" w:after="0"/>
        <w:rPr>
          <w:sz w:val="16"/>
          <w:szCs w:val="16"/>
          <w:lang w:val="pl-PL"/>
        </w:rPr>
      </w:pPr>
      <w:bookmarkStart w:id="8" w:name="_Hlk27357706"/>
      <w:r w:rsidRPr="00696A71">
        <w:rPr>
          <w:rStyle w:val="FootnoteReference"/>
          <w:rFonts w:ascii="Times New Roman" w:hAnsi="Times New Roman"/>
          <w:sz w:val="18"/>
          <w:szCs w:val="16"/>
        </w:rPr>
        <w:footnoteRef/>
      </w:r>
      <w:r w:rsidRPr="00696A71">
        <w:rPr>
          <w:rFonts w:ascii="Times New Roman" w:hAnsi="Times New Roman"/>
          <w:szCs w:val="16"/>
          <w:lang w:val="pl-PL"/>
        </w:rPr>
        <w:t xml:space="preserve"> </w:t>
      </w:r>
      <w:r w:rsidRPr="00696A71">
        <w:rPr>
          <w:rFonts w:ascii="Times New Roman" w:hAnsi="Times New Roman"/>
          <w:szCs w:val="16"/>
        </w:rPr>
        <w:t>Ово одговара категорији коришћења земљишта Шуме &gt; шуме које остају шуме из Националног Инвентара GHG</w:t>
      </w:r>
      <w:r w:rsidRPr="00BA4EAE">
        <w:rPr>
          <w:sz w:val="16"/>
          <w:szCs w:val="16"/>
        </w:rPr>
        <w:t>.</w:t>
      </w:r>
      <w:bookmarkEnd w:id="8"/>
    </w:p>
  </w:footnote>
  <w:footnote w:id="9">
    <w:p w14:paraId="131A53B2" w14:textId="20F230B2" w:rsidR="008B73DA" w:rsidRPr="00807599" w:rsidRDefault="008B73DA">
      <w:pPr>
        <w:pStyle w:val="FootnoteText"/>
        <w:rPr>
          <w:lang w:val="sr-Cyrl-RS"/>
        </w:rPr>
      </w:pPr>
      <w:r>
        <w:rPr>
          <w:rStyle w:val="FootnoteReference"/>
        </w:rPr>
        <w:footnoteRef/>
      </w:r>
      <w:r>
        <w:t xml:space="preserve"> </w:t>
      </w:r>
      <w:hyperlink r:id="rId1" w:tgtFrame="_blank" w:history="1">
        <w:r w:rsidRPr="00B1776B">
          <w:rPr>
            <w:rStyle w:val="Hyperlink"/>
            <w:sz w:val="16"/>
            <w:szCs w:val="16"/>
          </w:rPr>
          <w:t>https://upravazasume.gov.rs/wp-content/uploads/2015/12/Strategija-razvoja-sumarstva.pdf</w:t>
        </w:r>
      </w:hyperlink>
    </w:p>
  </w:footnote>
  <w:footnote w:id="10">
    <w:p w14:paraId="0886AAAC" w14:textId="028114C4" w:rsidR="008B73DA" w:rsidRPr="00BA4EAE" w:rsidRDefault="008B73DA" w:rsidP="00696A71">
      <w:pPr>
        <w:spacing w:before="0" w:after="0"/>
        <w:rPr>
          <w:sz w:val="16"/>
          <w:szCs w:val="16"/>
        </w:rPr>
      </w:pPr>
      <w:r w:rsidRPr="00BA4EAE">
        <w:rPr>
          <w:rStyle w:val="FootnoteReference"/>
          <w:szCs w:val="16"/>
        </w:rPr>
        <w:footnoteRef/>
      </w:r>
      <w:r w:rsidRPr="00BA4EAE">
        <w:rPr>
          <w:sz w:val="16"/>
          <w:szCs w:val="16"/>
          <w:lang w:val="pl-PL"/>
        </w:rPr>
        <w:t xml:space="preserve"> </w:t>
      </w:r>
      <w:bookmarkStart w:id="17" w:name="_Hlk27357558"/>
      <w:r w:rsidRPr="00696A71">
        <w:rPr>
          <w:rFonts w:ascii="Times New Roman" w:hAnsi="Times New Roman"/>
          <w:sz w:val="18"/>
          <w:szCs w:val="16"/>
        </w:rPr>
        <w:t>2015. је  последња коришћена година за коју су историјски подаци уне</w:t>
      </w:r>
      <w:r w:rsidRPr="00696A71">
        <w:rPr>
          <w:rFonts w:ascii="Times New Roman" w:hAnsi="Times New Roman"/>
          <w:sz w:val="18"/>
          <w:szCs w:val="16"/>
          <w:lang w:val="sr-Cyrl-RS"/>
        </w:rPr>
        <w:t>ш</w:t>
      </w:r>
      <w:r w:rsidRPr="00696A71">
        <w:rPr>
          <w:rFonts w:ascii="Times New Roman" w:hAnsi="Times New Roman"/>
          <w:sz w:val="18"/>
          <w:szCs w:val="16"/>
        </w:rPr>
        <w:t>ени у модел. То значи да с</w:t>
      </w:r>
      <w:r w:rsidRPr="00696A71">
        <w:rPr>
          <w:rFonts w:ascii="Times New Roman" w:hAnsi="Times New Roman"/>
          <w:sz w:val="18"/>
          <w:szCs w:val="16"/>
          <w:lang w:val="sr-Cyrl-RS"/>
        </w:rPr>
        <w:t>е</w:t>
      </w:r>
      <w:r w:rsidRPr="00696A71">
        <w:rPr>
          <w:rFonts w:ascii="Times New Roman" w:hAnsi="Times New Roman"/>
          <w:sz w:val="18"/>
          <w:szCs w:val="16"/>
        </w:rPr>
        <w:t xml:space="preserve"> емисије GHG до 2015. </w:t>
      </w:r>
      <w:r w:rsidRPr="00696A71">
        <w:rPr>
          <w:rFonts w:ascii="Times New Roman" w:hAnsi="Times New Roman"/>
          <w:sz w:val="18"/>
          <w:szCs w:val="16"/>
          <w:lang w:val="sr-Cyrl-RS"/>
        </w:rPr>
        <w:t xml:space="preserve">године </w:t>
      </w:r>
      <w:r w:rsidRPr="00696A71">
        <w:rPr>
          <w:rFonts w:ascii="Times New Roman" w:hAnsi="Times New Roman"/>
          <w:sz w:val="18"/>
          <w:szCs w:val="16"/>
        </w:rPr>
        <w:t xml:space="preserve">темеље на стварним емисијама GHG, процењеним на основу </w:t>
      </w:r>
      <w:r>
        <w:rPr>
          <w:rFonts w:ascii="Times New Roman" w:hAnsi="Times New Roman"/>
          <w:sz w:val="18"/>
          <w:szCs w:val="16"/>
          <w:lang w:val="sr-Cyrl-RS"/>
        </w:rPr>
        <w:t>Н</w:t>
      </w:r>
      <w:r w:rsidRPr="00696A71">
        <w:rPr>
          <w:rFonts w:ascii="Times New Roman" w:hAnsi="Times New Roman"/>
          <w:sz w:val="18"/>
          <w:szCs w:val="16"/>
        </w:rPr>
        <w:t xml:space="preserve">ационалног </w:t>
      </w:r>
      <w:r>
        <w:rPr>
          <w:rFonts w:ascii="Times New Roman" w:hAnsi="Times New Roman"/>
          <w:sz w:val="18"/>
          <w:szCs w:val="16"/>
          <w:lang w:val="sr-Cyrl-RS"/>
        </w:rPr>
        <w:t>и</w:t>
      </w:r>
      <w:r w:rsidRPr="00696A71">
        <w:rPr>
          <w:rFonts w:ascii="Times New Roman" w:hAnsi="Times New Roman"/>
          <w:sz w:val="18"/>
          <w:szCs w:val="16"/>
        </w:rPr>
        <w:t>нвентара емисија GHG, који је припремила Агенција за заштиту животне средине и да су емисије од 2016. надаље резултат моделовања.</w:t>
      </w:r>
      <w:bookmarkEnd w:id="17"/>
    </w:p>
  </w:footnote>
  <w:footnote w:id="11">
    <w:p w14:paraId="227740C4" w14:textId="2D065914" w:rsidR="008B73DA" w:rsidRPr="00696A71" w:rsidRDefault="008B73DA" w:rsidP="00353B06">
      <w:pPr>
        <w:spacing w:before="0" w:after="0"/>
        <w:rPr>
          <w:rFonts w:ascii="Times New Roman" w:hAnsi="Times New Roman"/>
          <w:sz w:val="18"/>
          <w:szCs w:val="16"/>
          <w:lang w:val="sl-SI"/>
        </w:rPr>
      </w:pPr>
      <w:r w:rsidRPr="00BA4EAE">
        <w:rPr>
          <w:rStyle w:val="FootnoteReference"/>
          <w:szCs w:val="16"/>
        </w:rPr>
        <w:footnoteRef/>
      </w:r>
      <w:r w:rsidRPr="00BA4EAE">
        <w:rPr>
          <w:sz w:val="16"/>
          <w:szCs w:val="16"/>
        </w:rPr>
        <w:t xml:space="preserve"> </w:t>
      </w:r>
      <w:r w:rsidRPr="00696A71">
        <w:rPr>
          <w:rFonts w:ascii="Times New Roman" w:hAnsi="Times New Roman"/>
          <w:sz w:val="18"/>
          <w:szCs w:val="16"/>
        </w:rPr>
        <w:t xml:space="preserve">Извор: Извештај о Резултату 2: Основни национални сценарији за емисије гасова са ефектом стаклене баште за 2020, 2030. и 2050. годину (Пројекат ИПА Стратегија климатских промена са Акционим планом), на основу информација добијених од </w:t>
      </w:r>
      <w:r w:rsidRPr="00696A71">
        <w:rPr>
          <w:rFonts w:ascii="Times New Roman" w:hAnsi="Times New Roman"/>
          <w:sz w:val="18"/>
          <w:szCs w:val="16"/>
          <w:lang w:val="sr-Cyrl-RS"/>
        </w:rPr>
        <w:t>Агенције за заштиту животне средине</w:t>
      </w:r>
      <w:r w:rsidRPr="00696A71">
        <w:rPr>
          <w:rFonts w:ascii="Times New Roman" w:hAnsi="Times New Roman"/>
          <w:sz w:val="18"/>
          <w:szCs w:val="16"/>
        </w:rPr>
        <w:t>.</w:t>
      </w:r>
    </w:p>
  </w:footnote>
  <w:footnote w:id="12">
    <w:p w14:paraId="7D1E4B66" w14:textId="3DBD92B7" w:rsidR="008B73DA" w:rsidRPr="00BA4EAE" w:rsidRDefault="008B73DA" w:rsidP="00EB7852">
      <w:pPr>
        <w:pStyle w:val="FootnoteText"/>
        <w:spacing w:before="0" w:after="0"/>
        <w:rPr>
          <w:sz w:val="16"/>
          <w:szCs w:val="16"/>
          <w:lang w:val="pl-PL"/>
        </w:rPr>
      </w:pPr>
      <w:r w:rsidRPr="00696A71">
        <w:rPr>
          <w:rStyle w:val="FootnoteReference"/>
          <w:rFonts w:ascii="Times New Roman" w:hAnsi="Times New Roman"/>
          <w:sz w:val="18"/>
          <w:szCs w:val="16"/>
        </w:rPr>
        <w:footnoteRef/>
      </w:r>
      <w:r w:rsidRPr="00696A71">
        <w:rPr>
          <w:rFonts w:ascii="Times New Roman" w:hAnsi="Times New Roman"/>
          <w:szCs w:val="16"/>
          <w:lang w:val="pl-PL"/>
        </w:rPr>
        <w:t xml:space="preserve"> Индустријска постројења са комбинованом производњом топлоте и електричне енергије с</w:t>
      </w:r>
      <w:r w:rsidRPr="00696A71">
        <w:rPr>
          <w:rFonts w:ascii="Times New Roman" w:hAnsi="Times New Roman"/>
          <w:szCs w:val="16"/>
        </w:rPr>
        <w:t>у укључена у сектор производње енергије.</w:t>
      </w:r>
    </w:p>
  </w:footnote>
  <w:footnote w:id="13">
    <w:p w14:paraId="5EC51F64" w14:textId="52DA68D2" w:rsidR="008B73DA" w:rsidRPr="00696A71" w:rsidRDefault="008B73DA" w:rsidP="00A76AE5">
      <w:pPr>
        <w:pStyle w:val="FootnoteText"/>
        <w:spacing w:before="0" w:after="0"/>
        <w:rPr>
          <w:rFonts w:ascii="Times New Roman" w:hAnsi="Times New Roman"/>
          <w:sz w:val="20"/>
          <w:szCs w:val="18"/>
        </w:rPr>
      </w:pPr>
      <w:r w:rsidRPr="00873909">
        <w:rPr>
          <w:rStyle w:val="FootnoteReference"/>
          <w:szCs w:val="16"/>
        </w:rPr>
        <w:footnoteRef/>
      </w:r>
      <w:r w:rsidRPr="00873909">
        <w:rPr>
          <w:sz w:val="16"/>
          <w:szCs w:val="16"/>
          <w:lang w:val="pl-PL"/>
        </w:rPr>
        <w:t xml:space="preserve"> </w:t>
      </w:r>
      <w:r w:rsidRPr="00696A71">
        <w:rPr>
          <w:rFonts w:ascii="Times New Roman" w:hAnsi="Times New Roman"/>
          <w:szCs w:val="16"/>
        </w:rPr>
        <w:t xml:space="preserve">Прва употреба F-гасова је пријављена за </w:t>
      </w:r>
      <w:r w:rsidR="00A72567">
        <w:rPr>
          <w:rFonts w:ascii="Times New Roman" w:hAnsi="Times New Roman"/>
          <w:szCs w:val="16"/>
          <w:lang w:val="sr-Cyrl-RS"/>
        </w:rPr>
        <w:t xml:space="preserve">Републику </w:t>
      </w:r>
      <w:r w:rsidRPr="00696A71">
        <w:rPr>
          <w:rFonts w:ascii="Times New Roman" w:hAnsi="Times New Roman"/>
          <w:szCs w:val="16"/>
        </w:rPr>
        <w:t>Србију 1997. године</w:t>
      </w:r>
    </w:p>
  </w:footnote>
  <w:footnote w:id="14">
    <w:p w14:paraId="14335EBB" w14:textId="55852D6F" w:rsidR="008B73DA" w:rsidRPr="007B4862" w:rsidRDefault="008B73DA" w:rsidP="00A76AE5">
      <w:pPr>
        <w:pStyle w:val="FootnoteText"/>
        <w:spacing w:before="0" w:after="0"/>
        <w:rPr>
          <w:lang w:val="fr-FR"/>
        </w:rPr>
      </w:pPr>
      <w:r w:rsidRPr="00696A71">
        <w:rPr>
          <w:rStyle w:val="FootnoteReference"/>
          <w:rFonts w:ascii="Times New Roman" w:hAnsi="Times New Roman"/>
          <w:sz w:val="18"/>
          <w:szCs w:val="16"/>
        </w:rPr>
        <w:footnoteRef/>
      </w:r>
      <w:r w:rsidRPr="00696A71">
        <w:rPr>
          <w:rFonts w:ascii="Times New Roman" w:hAnsi="Times New Roman"/>
          <w:sz w:val="20"/>
          <w:szCs w:val="18"/>
        </w:rPr>
        <w:t xml:space="preserve"> </w:t>
      </w:r>
      <w:r w:rsidRPr="00696A71">
        <w:rPr>
          <w:rFonts w:ascii="Times New Roman" w:hAnsi="Times New Roman"/>
          <w:szCs w:val="16"/>
        </w:rPr>
        <w:t>Секвестрација се такође назива и понирање или уклањање</w:t>
      </w:r>
    </w:p>
  </w:footnote>
  <w:footnote w:id="15">
    <w:p w14:paraId="62664809" w14:textId="67941EBF" w:rsidR="008B73DA" w:rsidRPr="00696A71" w:rsidRDefault="008B73DA" w:rsidP="00696A71">
      <w:pPr>
        <w:spacing w:before="0" w:after="0"/>
        <w:rPr>
          <w:rFonts w:ascii="Times New Roman" w:hAnsi="Times New Roman"/>
          <w:sz w:val="18"/>
          <w:szCs w:val="16"/>
          <w:lang w:val="de-DE"/>
        </w:rPr>
      </w:pPr>
      <w:r w:rsidRPr="001D3245">
        <w:rPr>
          <w:rStyle w:val="FootnoteReference"/>
          <w:szCs w:val="16"/>
        </w:rPr>
        <w:footnoteRef/>
      </w:r>
      <w:r w:rsidRPr="001D3245">
        <w:rPr>
          <w:sz w:val="16"/>
          <w:szCs w:val="16"/>
        </w:rPr>
        <w:t xml:space="preserve"> </w:t>
      </w:r>
      <w:r w:rsidRPr="00696A71">
        <w:rPr>
          <w:rFonts w:ascii="Times New Roman" w:hAnsi="Times New Roman"/>
          <w:sz w:val="18"/>
          <w:szCs w:val="16"/>
        </w:rPr>
        <w:t>Анализа сценарија је поступак анализе могућих будућих догађаја, уз</w:t>
      </w:r>
      <w:r>
        <w:rPr>
          <w:rFonts w:ascii="Times New Roman" w:hAnsi="Times New Roman"/>
          <w:sz w:val="18"/>
          <w:szCs w:val="16"/>
        </w:rPr>
        <w:t xml:space="preserve"> разматрање алтернативних могућ</w:t>
      </w:r>
      <w:r w:rsidRPr="00696A71">
        <w:rPr>
          <w:rFonts w:ascii="Times New Roman" w:hAnsi="Times New Roman"/>
          <w:sz w:val="18"/>
          <w:szCs w:val="16"/>
        </w:rPr>
        <w:t>их исхода (који се понекада зову „алтретнативни светови</w:t>
      </w:r>
      <w:r>
        <w:rPr>
          <w:rFonts w:ascii="Times New Roman" w:hAnsi="Times New Roman"/>
          <w:sz w:val="18"/>
          <w:szCs w:val="16"/>
        </w:rPr>
        <w:t>”</w:t>
      </w:r>
      <w:r w:rsidRPr="00696A71">
        <w:rPr>
          <w:rFonts w:ascii="Times New Roman" w:hAnsi="Times New Roman"/>
          <w:sz w:val="18"/>
          <w:szCs w:val="16"/>
        </w:rPr>
        <w:t>). У том смислу, анализа сценарија не покушава да покаже једну тачну слику буду</w:t>
      </w:r>
      <w:r>
        <w:rPr>
          <w:rFonts w:ascii="Times New Roman" w:hAnsi="Times New Roman"/>
          <w:sz w:val="18"/>
          <w:szCs w:val="16"/>
          <w:lang w:val="sr-Cyrl-RS"/>
        </w:rPr>
        <w:t>ћ</w:t>
      </w:r>
      <w:r w:rsidRPr="00696A71">
        <w:rPr>
          <w:rFonts w:ascii="Times New Roman" w:hAnsi="Times New Roman"/>
          <w:sz w:val="18"/>
          <w:szCs w:val="16"/>
        </w:rPr>
        <w:t>ности. Уместо тога, она представља неколико алтернативних буду</w:t>
      </w:r>
      <w:r>
        <w:rPr>
          <w:rFonts w:ascii="Times New Roman" w:hAnsi="Times New Roman"/>
          <w:sz w:val="18"/>
          <w:szCs w:val="16"/>
          <w:lang w:val="sr-Cyrl-RS"/>
        </w:rPr>
        <w:t>ћ</w:t>
      </w:r>
      <w:r w:rsidRPr="00696A71">
        <w:rPr>
          <w:rFonts w:ascii="Times New Roman" w:hAnsi="Times New Roman"/>
          <w:sz w:val="18"/>
          <w:szCs w:val="16"/>
        </w:rPr>
        <w:t xml:space="preserve">их кретања. За разлику од предвиђања, анализа сценарија се не заснива на екстраполацији прошлости или проширењу прошлих трендова и не очекује да </w:t>
      </w:r>
      <w:r>
        <w:rPr>
          <w:rFonts w:ascii="Times New Roman" w:hAnsi="Times New Roman"/>
          <w:sz w:val="18"/>
          <w:szCs w:val="16"/>
          <w:lang w:val="sr-Cyrl-RS"/>
        </w:rPr>
        <w:t>ћ</w:t>
      </w:r>
      <w:r w:rsidRPr="00696A71">
        <w:rPr>
          <w:rFonts w:ascii="Times New Roman" w:hAnsi="Times New Roman"/>
          <w:sz w:val="18"/>
          <w:szCs w:val="16"/>
        </w:rPr>
        <w:t>е претходна запажања остати валидна и у буду</w:t>
      </w:r>
      <w:r>
        <w:rPr>
          <w:rFonts w:ascii="Times New Roman" w:hAnsi="Times New Roman"/>
          <w:sz w:val="18"/>
          <w:szCs w:val="16"/>
          <w:lang w:val="sr-Cyrl-RS"/>
        </w:rPr>
        <w:t>ћ</w:t>
      </w:r>
      <w:r w:rsidRPr="00696A71">
        <w:rPr>
          <w:rFonts w:ascii="Times New Roman" w:hAnsi="Times New Roman"/>
          <w:sz w:val="18"/>
          <w:szCs w:val="16"/>
        </w:rPr>
        <w:t xml:space="preserve">ности. </w:t>
      </w:r>
      <w:r w:rsidRPr="00696A71">
        <w:rPr>
          <w:rStyle w:val="HTMLCite"/>
          <w:rFonts w:ascii="Times New Roman" w:hAnsi="Times New Roman"/>
          <w:sz w:val="18"/>
          <w:szCs w:val="16"/>
        </w:rPr>
        <w:t>Aaker, David A. (2001). Strateško upravljanje tržištem Njujork John Vilei &amp; Sons. 108, ISBN 978-0-471-41572-5. / Bea, F.Ks., Haas, J. (2005). Strateški menadžment. Štutgart: Lucije i Lucije. 279 i 287 itd.</w:t>
      </w:r>
    </w:p>
  </w:footnote>
  <w:footnote w:id="16">
    <w:p w14:paraId="19D2D24B" w14:textId="77450940" w:rsidR="008B73DA" w:rsidRPr="001D3245" w:rsidRDefault="008B73DA" w:rsidP="00696A71">
      <w:pPr>
        <w:pStyle w:val="FootnoteText"/>
        <w:spacing w:before="0" w:after="0"/>
        <w:rPr>
          <w:sz w:val="16"/>
          <w:szCs w:val="16"/>
          <w:lang w:val="sl-SI"/>
        </w:rPr>
      </w:pPr>
      <w:r w:rsidRPr="00696A71">
        <w:rPr>
          <w:rStyle w:val="FootnoteReference"/>
          <w:rFonts w:ascii="Times New Roman" w:hAnsi="Times New Roman"/>
          <w:sz w:val="18"/>
          <w:szCs w:val="16"/>
        </w:rPr>
        <w:footnoteRef/>
      </w:r>
      <w:r w:rsidRPr="00696A71">
        <w:rPr>
          <w:rFonts w:ascii="Times New Roman" w:hAnsi="Times New Roman"/>
          <w:szCs w:val="16"/>
        </w:rPr>
        <w:t xml:space="preserve"> За припрему Стратегије коришћени су модели GEM-E3, PRIMES и  CAPRI.</w:t>
      </w:r>
      <w:r w:rsidRPr="00696A71">
        <w:rPr>
          <w:szCs w:val="16"/>
        </w:rPr>
        <w:t xml:space="preserve"> </w:t>
      </w:r>
    </w:p>
  </w:footnote>
  <w:footnote w:id="17">
    <w:p w14:paraId="4C8C5482" w14:textId="59837B3C" w:rsidR="008B73DA" w:rsidRPr="00F509E4" w:rsidRDefault="008B73DA" w:rsidP="00A76AE5">
      <w:pPr>
        <w:pStyle w:val="FootnoteText"/>
        <w:spacing w:before="0" w:after="0"/>
        <w:rPr>
          <w:rFonts w:ascii="Times New Roman" w:hAnsi="Times New Roman"/>
          <w:szCs w:val="16"/>
          <w:lang w:val="sr-Cyrl-RS"/>
        </w:rPr>
      </w:pPr>
      <w:r w:rsidRPr="001D3245">
        <w:rPr>
          <w:rStyle w:val="FootnoteReference"/>
          <w:szCs w:val="16"/>
        </w:rPr>
        <w:footnoteRef/>
      </w:r>
      <w:r w:rsidRPr="001D3245">
        <w:rPr>
          <w:sz w:val="16"/>
          <w:szCs w:val="16"/>
          <w:lang w:val="pl-PL"/>
        </w:rPr>
        <w:t xml:space="preserve"> </w:t>
      </w:r>
      <w:r w:rsidRPr="00696A71">
        <w:rPr>
          <w:rFonts w:ascii="Times New Roman" w:hAnsi="Times New Roman"/>
          <w:szCs w:val="16"/>
        </w:rPr>
        <w:t>Основни сценарио Б2 је, дакле, одабран као основа за поређење сценарија за ублажавање.</w:t>
      </w:r>
      <w:r>
        <w:rPr>
          <w:rFonts w:ascii="Times New Roman" w:hAnsi="Times New Roman"/>
          <w:szCs w:val="16"/>
          <w:lang w:val="sr-Cyrl-RS"/>
        </w:rPr>
        <w:t xml:space="preserve"> Сценарио Б2 може се сматрати сценаријем неприступања ЕУ, из разлога што не узима у обзир сво релевантно законодавство ЕУ.</w:t>
      </w:r>
    </w:p>
  </w:footnote>
  <w:footnote w:id="18">
    <w:p w14:paraId="44869F0F" w14:textId="19D1031B" w:rsidR="008B73DA" w:rsidRPr="00696A71" w:rsidRDefault="008B73DA" w:rsidP="00761DE5">
      <w:pPr>
        <w:pStyle w:val="FootnoteText"/>
        <w:spacing w:before="0" w:after="0"/>
        <w:rPr>
          <w:rFonts w:ascii="Times New Roman" w:hAnsi="Times New Roman"/>
          <w:szCs w:val="16"/>
        </w:rPr>
      </w:pPr>
      <w:r w:rsidRPr="00696A71">
        <w:rPr>
          <w:rStyle w:val="FootnoteReference"/>
          <w:rFonts w:ascii="Times New Roman" w:hAnsi="Times New Roman"/>
          <w:sz w:val="18"/>
          <w:szCs w:val="16"/>
        </w:rPr>
        <w:footnoteRef/>
      </w:r>
      <w:r w:rsidRPr="00696A71">
        <w:rPr>
          <w:rFonts w:ascii="Times New Roman" w:hAnsi="Times New Roman"/>
          <w:szCs w:val="16"/>
        </w:rPr>
        <w:t xml:space="preserve"> За опис анализираних сценарија погледати поглавље о сценаријима ублажавања (у наставку).</w:t>
      </w:r>
    </w:p>
  </w:footnote>
  <w:footnote w:id="19">
    <w:p w14:paraId="357EF9B9" w14:textId="3E854E69" w:rsidR="008B73DA" w:rsidRPr="00696A71" w:rsidRDefault="008B73DA" w:rsidP="00DB5B1E">
      <w:pPr>
        <w:spacing w:before="0" w:after="0"/>
        <w:rPr>
          <w:rFonts w:ascii="Times New Roman" w:hAnsi="Times New Roman"/>
          <w:sz w:val="18"/>
          <w:szCs w:val="16"/>
        </w:rPr>
      </w:pPr>
      <w:r w:rsidRPr="00696A71">
        <w:rPr>
          <w:rStyle w:val="FootnoteReference"/>
          <w:rFonts w:ascii="Times New Roman" w:hAnsi="Times New Roman"/>
          <w:sz w:val="18"/>
          <w:szCs w:val="16"/>
        </w:rPr>
        <w:footnoteRef/>
      </w:r>
      <w:r w:rsidRPr="00696A71">
        <w:rPr>
          <w:rFonts w:ascii="Times New Roman" w:hAnsi="Times New Roman"/>
          <w:sz w:val="18"/>
          <w:szCs w:val="16"/>
        </w:rPr>
        <w:t xml:space="preserve"> Детаљна информација за основни сценаријо се налази у Анексу Д: Подела сценарија емисија по секторима.</w:t>
      </w:r>
    </w:p>
  </w:footnote>
  <w:footnote w:id="20">
    <w:p w14:paraId="36089C7C" w14:textId="18551B86" w:rsidR="008B73DA" w:rsidRPr="001D3245" w:rsidRDefault="008B73DA" w:rsidP="005F656E">
      <w:pPr>
        <w:pStyle w:val="FootnoteText"/>
        <w:spacing w:before="0" w:after="0"/>
        <w:rPr>
          <w:sz w:val="16"/>
          <w:szCs w:val="16"/>
          <w:lang w:val="sl-SI"/>
        </w:rPr>
      </w:pPr>
      <w:r w:rsidRPr="00696A71">
        <w:rPr>
          <w:rStyle w:val="FootnoteReference"/>
          <w:rFonts w:ascii="Times New Roman" w:hAnsi="Times New Roman"/>
          <w:sz w:val="18"/>
          <w:szCs w:val="16"/>
        </w:rPr>
        <w:footnoteRef/>
      </w:r>
      <w:r w:rsidRPr="00696A71">
        <w:rPr>
          <w:rFonts w:ascii="Times New Roman" w:hAnsi="Times New Roman"/>
          <w:szCs w:val="16"/>
        </w:rPr>
        <w:t xml:space="preserve"> На основу података Ј</w:t>
      </w:r>
      <w:r>
        <w:rPr>
          <w:rFonts w:ascii="Times New Roman" w:hAnsi="Times New Roman"/>
          <w:szCs w:val="16"/>
          <w:lang w:val="sr-Cyrl-RS"/>
        </w:rPr>
        <w:t xml:space="preserve">авног предузећа </w:t>
      </w:r>
      <w:r w:rsidR="00AF6ADC">
        <w:rPr>
          <w:rFonts w:ascii="Times New Roman" w:hAnsi="Times New Roman"/>
          <w:szCs w:val="16"/>
          <w:lang w:val="sr-Cyrl-RS"/>
        </w:rPr>
        <w:t>„</w:t>
      </w:r>
      <w:r>
        <w:rPr>
          <w:rFonts w:ascii="Times New Roman" w:hAnsi="Times New Roman"/>
          <w:szCs w:val="16"/>
          <w:lang w:val="sr-Cyrl-RS"/>
        </w:rPr>
        <w:t>Електропривреда Србије</w:t>
      </w:r>
      <w:r w:rsidR="00AF6ADC">
        <w:rPr>
          <w:rFonts w:ascii="Times New Roman" w:hAnsi="Times New Roman"/>
          <w:szCs w:val="16"/>
          <w:lang w:val="sr-Cyrl-RS"/>
        </w:rPr>
        <w:t>ˮ</w:t>
      </w:r>
    </w:p>
  </w:footnote>
  <w:footnote w:id="21">
    <w:p w14:paraId="306318B3" w14:textId="316B5BC9" w:rsidR="008B73DA" w:rsidRPr="00696A71" w:rsidRDefault="008B73DA" w:rsidP="0029378D">
      <w:pPr>
        <w:pStyle w:val="ListParagraph"/>
        <w:spacing w:before="0" w:after="0"/>
        <w:rPr>
          <w:rFonts w:ascii="Times New Roman" w:hAnsi="Times New Roman" w:cs="Times New Roman"/>
          <w:sz w:val="18"/>
          <w:szCs w:val="16"/>
          <w:lang w:val="sr-Latn-RS"/>
        </w:rPr>
      </w:pPr>
      <w:r w:rsidRPr="00072D0B">
        <w:rPr>
          <w:rStyle w:val="FootnoteReference"/>
          <w:szCs w:val="16"/>
        </w:rPr>
        <w:footnoteRef/>
      </w:r>
      <w:r w:rsidRPr="00072D0B">
        <w:rPr>
          <w:rFonts w:ascii="Times New Roman" w:hAnsi="Times New Roman" w:cs="Times New Roman"/>
          <w:sz w:val="18"/>
          <w:szCs w:val="16"/>
          <w:lang w:val="sr-Latn-RS"/>
        </w:rPr>
        <w:t xml:space="preserve">Удео ОИЕ у </w:t>
      </w:r>
      <w:r>
        <w:rPr>
          <w:rFonts w:ascii="Times New Roman" w:hAnsi="Times New Roman" w:cs="Times New Roman"/>
          <w:sz w:val="18"/>
          <w:szCs w:val="16"/>
          <w:lang w:val="sr-Cyrl-RS"/>
        </w:rPr>
        <w:t>бруто финалној</w:t>
      </w:r>
      <w:r w:rsidRPr="00072D0B">
        <w:rPr>
          <w:rFonts w:ascii="Times New Roman" w:hAnsi="Times New Roman" w:cs="Times New Roman"/>
          <w:sz w:val="18"/>
          <w:szCs w:val="16"/>
          <w:lang w:val="sr-Latn-RS"/>
        </w:rPr>
        <w:t xml:space="preserve"> потрошњи енергије, како је утврђено у складу с одредбама Директиве (ЕУ) 2018/2001 о промоцији употребе енергије из обновљивих извора</w:t>
      </w:r>
      <w:r w:rsidRPr="00072D0B">
        <w:rPr>
          <w:rFonts w:ascii="Times New Roman" w:hAnsi="Times New Roman" w:cs="Times New Roman"/>
          <w:sz w:val="18"/>
          <w:szCs w:val="16"/>
          <w:lang w:val="sr-Cyrl-RS"/>
        </w:rPr>
        <w:t xml:space="preserve"> и услед рекалкулације удела потрошње биомасе у домаћинствима</w:t>
      </w:r>
      <w:r w:rsidRPr="00072D0B">
        <w:rPr>
          <w:rFonts w:ascii="Times New Roman" w:hAnsi="Times New Roman" w:cs="Times New Roman"/>
          <w:sz w:val="18"/>
          <w:szCs w:val="16"/>
          <w:lang w:val="sr-Latn-RS"/>
        </w:rPr>
        <w:t>.</w:t>
      </w:r>
    </w:p>
  </w:footnote>
  <w:footnote w:id="22">
    <w:p w14:paraId="63B04406" w14:textId="6A3A3671" w:rsidR="008B73DA" w:rsidRPr="00736181" w:rsidRDefault="008B73DA" w:rsidP="00626878">
      <w:pPr>
        <w:pStyle w:val="FootnoteText"/>
        <w:spacing w:before="0" w:after="0"/>
        <w:jc w:val="both"/>
        <w:rPr>
          <w:rFonts w:ascii="Times New Roman" w:hAnsi="Times New Roman"/>
        </w:rPr>
      </w:pPr>
      <w:r w:rsidRPr="00FE004C">
        <w:rPr>
          <w:rStyle w:val="FootnoteReference"/>
          <w:rFonts w:ascii="Times New Roman" w:hAnsi="Times New Roman"/>
          <w:sz w:val="18"/>
        </w:rPr>
        <w:footnoteRef/>
      </w:r>
      <w:r w:rsidRPr="00FE004C">
        <w:rPr>
          <w:rFonts w:ascii="Times New Roman" w:hAnsi="Times New Roman"/>
        </w:rPr>
        <w:t xml:space="preserve"> </w:t>
      </w:r>
      <w:r w:rsidRPr="00EE014E">
        <w:rPr>
          <w:rFonts w:ascii="Times New Roman" w:hAnsi="Times New Roman"/>
          <w:szCs w:val="16"/>
        </w:rPr>
        <w:t>Укупни системски трошкови обухватају све трошкове које имају оператери (као што су пла</w:t>
      </w:r>
      <w:r w:rsidRPr="00EE014E">
        <w:rPr>
          <w:rFonts w:ascii="Times New Roman" w:hAnsi="Times New Roman"/>
          <w:szCs w:val="16"/>
          <w:lang w:val="sr-Cyrl-RS"/>
        </w:rPr>
        <w:t>ћ</w:t>
      </w:r>
      <w:r w:rsidRPr="00EE014E">
        <w:rPr>
          <w:rFonts w:ascii="Times New Roman" w:hAnsi="Times New Roman"/>
          <w:szCs w:val="16"/>
        </w:rPr>
        <w:t>ања ануитета и директних улагања у енергетску ефикасност, вари</w:t>
      </w:r>
      <w:r>
        <w:rPr>
          <w:rFonts w:ascii="Times New Roman" w:hAnsi="Times New Roman"/>
          <w:szCs w:val="16"/>
          <w:lang w:val="sr-Cyrl-RS"/>
        </w:rPr>
        <w:t>ј</w:t>
      </w:r>
      <w:r w:rsidRPr="00EE014E">
        <w:rPr>
          <w:rFonts w:ascii="Times New Roman" w:hAnsi="Times New Roman"/>
          <w:szCs w:val="16"/>
        </w:rPr>
        <w:t>абилни трошкови рада и одржавања, гориво, електрична енергија и трошкови набавке за дистрибуирану пару/топлоту, који одражавају све трошкове који настају код добављача енергије, укључују</w:t>
      </w:r>
      <w:r w:rsidRPr="00EE014E">
        <w:rPr>
          <w:rFonts w:ascii="Times New Roman" w:hAnsi="Times New Roman"/>
          <w:szCs w:val="16"/>
          <w:lang w:val="sr-Cyrl-RS"/>
        </w:rPr>
        <w:t>ћ</w:t>
      </w:r>
      <w:r w:rsidRPr="00EE014E">
        <w:rPr>
          <w:rFonts w:ascii="Times New Roman" w:hAnsi="Times New Roman"/>
          <w:szCs w:val="16"/>
        </w:rPr>
        <w:t>и</w:t>
      </w:r>
      <w:r w:rsidRPr="00FE004C">
        <w:rPr>
          <w:rFonts w:ascii="Times New Roman" w:hAnsi="Times New Roman"/>
        </w:rPr>
        <w:t xml:space="preserve"> </w:t>
      </w:r>
      <w:r>
        <w:rPr>
          <w:rFonts w:ascii="Times New Roman" w:hAnsi="Times New Roman"/>
          <w:szCs w:val="16"/>
          <w:lang w:val="sr-Cyrl-RS"/>
        </w:rPr>
        <w:t>трошкове емисије угљеника</w:t>
      </w:r>
      <w:r w:rsidRPr="00EE014E">
        <w:rPr>
          <w:rFonts w:ascii="Times New Roman" w:hAnsi="Times New Roman"/>
          <w:szCs w:val="16"/>
        </w:rPr>
        <w:t>, итд; директна пла</w:t>
      </w:r>
      <w:r w:rsidRPr="00EE014E">
        <w:rPr>
          <w:rFonts w:ascii="Times New Roman" w:hAnsi="Times New Roman"/>
          <w:szCs w:val="16"/>
          <w:lang w:val="sr-Cyrl-RS"/>
        </w:rPr>
        <w:t>ћ</w:t>
      </w:r>
      <w:r w:rsidRPr="00EE014E">
        <w:rPr>
          <w:rFonts w:ascii="Times New Roman" w:hAnsi="Times New Roman"/>
          <w:szCs w:val="16"/>
        </w:rPr>
        <w:t>ања пореза и трошкови услед губитака - компензације прихода услуга која се примењује за становање, услуге и превоз појединаца), као и трошкове који остатак привреде мора</w:t>
      </w:r>
      <w:r w:rsidRPr="00EE014E">
        <w:rPr>
          <w:rFonts w:ascii="Times New Roman" w:hAnsi="Times New Roman"/>
          <w:sz w:val="20"/>
        </w:rPr>
        <w:t xml:space="preserve"> </w:t>
      </w:r>
      <w:r w:rsidRPr="00EE014E">
        <w:rPr>
          <w:rFonts w:ascii="Times New Roman" w:hAnsi="Times New Roman"/>
          <w:szCs w:val="18"/>
        </w:rPr>
        <w:t>да плати да би добио потребне енергетске услуге. Укупни додатни системски трошкови процењују се у поређењу са основним сценаријем</w:t>
      </w:r>
      <w:r w:rsidRPr="00EE014E">
        <w:rPr>
          <w:rFonts w:ascii="Times New Roman" w:hAnsi="Times New Roman"/>
          <w:sz w:val="20"/>
        </w:rPr>
        <w:t>.</w:t>
      </w:r>
    </w:p>
  </w:footnote>
  <w:footnote w:id="23">
    <w:p w14:paraId="2B621D76" w14:textId="13B2815A" w:rsidR="008B73DA" w:rsidRPr="0080257F" w:rsidRDefault="008B73DA" w:rsidP="0080257F">
      <w:pPr>
        <w:spacing w:before="0" w:after="0"/>
        <w:rPr>
          <w:rFonts w:ascii="Times New Roman" w:hAnsi="Times New Roman"/>
          <w:sz w:val="16"/>
          <w:szCs w:val="16"/>
        </w:rPr>
      </w:pPr>
      <w:r w:rsidRPr="0080257F">
        <w:rPr>
          <w:rStyle w:val="FootnoteReference"/>
          <w:rFonts w:ascii="Times New Roman" w:hAnsi="Times New Roman"/>
          <w:szCs w:val="16"/>
        </w:rPr>
        <w:footnoteRef/>
      </w:r>
      <w:r w:rsidRPr="0080257F">
        <w:rPr>
          <w:rFonts w:ascii="Times New Roman" w:hAnsi="Times New Roman"/>
          <w:sz w:val="16"/>
          <w:szCs w:val="16"/>
        </w:rPr>
        <w:t xml:space="preserve"> </w:t>
      </w:r>
      <w:r w:rsidRPr="0080257F">
        <w:rPr>
          <w:rFonts w:ascii="Times New Roman" w:hAnsi="Times New Roman"/>
          <w:sz w:val="18"/>
          <w:szCs w:val="16"/>
        </w:rPr>
        <w:t>За енергетски сектор су укључени укупни системски трошкови.</w:t>
      </w:r>
    </w:p>
  </w:footnote>
  <w:footnote w:id="24">
    <w:p w14:paraId="2AD14693" w14:textId="37FED30A" w:rsidR="008B73DA" w:rsidRPr="0080257F" w:rsidRDefault="008B73DA" w:rsidP="0080257F">
      <w:pPr>
        <w:pStyle w:val="FootnoteText"/>
        <w:spacing w:before="0" w:after="0"/>
        <w:rPr>
          <w:rFonts w:ascii="Times New Roman" w:hAnsi="Times New Roman"/>
          <w:szCs w:val="16"/>
          <w:lang w:val="sl-SI"/>
        </w:rPr>
      </w:pPr>
      <w:r w:rsidRPr="0080257F">
        <w:rPr>
          <w:rStyle w:val="FootnoteReference"/>
          <w:rFonts w:ascii="Times New Roman" w:hAnsi="Times New Roman"/>
          <w:sz w:val="18"/>
          <w:szCs w:val="16"/>
        </w:rPr>
        <w:footnoteRef/>
      </w:r>
      <w:r w:rsidRPr="0080257F">
        <w:rPr>
          <w:rFonts w:ascii="Times New Roman" w:hAnsi="Times New Roman"/>
          <w:szCs w:val="16"/>
          <w:lang w:val="sl-SI"/>
        </w:rPr>
        <w:t xml:space="preserve"> Ово значи да су системски трошкови у транспортном сектору нижи у сценарију М2 него у Б2.</w:t>
      </w:r>
    </w:p>
  </w:footnote>
  <w:footnote w:id="25">
    <w:p w14:paraId="3F014BD2" w14:textId="38C8DFC9" w:rsidR="008B73DA" w:rsidRPr="00696A71" w:rsidRDefault="008B73DA" w:rsidP="0084428A">
      <w:pPr>
        <w:pStyle w:val="FootnoteText"/>
        <w:spacing w:before="0" w:after="0"/>
        <w:rPr>
          <w:rFonts w:ascii="Times New Roman" w:hAnsi="Times New Roman"/>
          <w:szCs w:val="16"/>
        </w:rPr>
      </w:pPr>
      <w:r w:rsidRPr="00696A71">
        <w:rPr>
          <w:rStyle w:val="FootnoteReference"/>
          <w:rFonts w:ascii="Times New Roman" w:hAnsi="Times New Roman"/>
          <w:sz w:val="18"/>
          <w:szCs w:val="16"/>
        </w:rPr>
        <w:footnoteRef/>
      </w:r>
      <w:r w:rsidRPr="00696A71">
        <w:rPr>
          <w:rFonts w:ascii="Times New Roman" w:hAnsi="Times New Roman"/>
          <w:szCs w:val="16"/>
          <w:lang w:val="sl-SI"/>
        </w:rPr>
        <w:t xml:space="preserve"> </w:t>
      </w:r>
      <w:r w:rsidRPr="00696A71">
        <w:rPr>
          <w:rFonts w:ascii="Times New Roman" w:hAnsi="Times New Roman"/>
          <w:szCs w:val="16"/>
        </w:rPr>
        <w:t>Макроекономски сценарији су моделовани коришћењем модела GЕМ-Е3, који је примењени модел опште равнотеже који пружа детаље о макроекономској ситуацији  и њеној интеракцији са животном средином и енергетским системом.</w:t>
      </w:r>
    </w:p>
  </w:footnote>
  <w:footnote w:id="26">
    <w:p w14:paraId="2753A40F" w14:textId="5570F7E4" w:rsidR="008B73DA" w:rsidRPr="00FE004C" w:rsidRDefault="008B73DA" w:rsidP="0084428A">
      <w:pPr>
        <w:pStyle w:val="FootnoteText"/>
        <w:spacing w:before="0" w:after="0"/>
        <w:rPr>
          <w:rFonts w:ascii="Times New Roman" w:hAnsi="Times New Roman"/>
          <w:lang w:val="sr-Cyrl-RS"/>
        </w:rPr>
      </w:pPr>
      <w:r w:rsidRPr="00696A71">
        <w:rPr>
          <w:rStyle w:val="FootnoteReference"/>
          <w:rFonts w:ascii="Times New Roman" w:hAnsi="Times New Roman"/>
          <w:sz w:val="18"/>
          <w:szCs w:val="16"/>
        </w:rPr>
        <w:footnoteRef/>
      </w:r>
      <w:r w:rsidRPr="00696A71">
        <w:rPr>
          <w:rFonts w:ascii="Times New Roman" w:hAnsi="Times New Roman"/>
          <w:szCs w:val="16"/>
        </w:rPr>
        <w:t xml:space="preserve"> Нето број радних места је једнак разлици између отворених и затворених радних места у датом периоду</w:t>
      </w:r>
      <w:r>
        <w:rPr>
          <w:rFonts w:ascii="Times New Roman" w:hAnsi="Times New Roman"/>
          <w:szCs w:val="16"/>
          <w:lang w:val="sr-Cyrl-RS"/>
        </w:rPr>
        <w:t>.</w:t>
      </w:r>
    </w:p>
  </w:footnote>
  <w:footnote w:id="27">
    <w:p w14:paraId="3EABFA7E" w14:textId="195AD0CB" w:rsidR="008B73DA" w:rsidRPr="00696A71" w:rsidRDefault="008B73DA" w:rsidP="0084428A">
      <w:pPr>
        <w:pStyle w:val="FootnoteText"/>
        <w:spacing w:before="0" w:after="0"/>
        <w:rPr>
          <w:rFonts w:ascii="Times New Roman" w:hAnsi="Times New Roman"/>
          <w:szCs w:val="16"/>
        </w:rPr>
      </w:pPr>
      <w:r w:rsidRPr="00696A71">
        <w:rPr>
          <w:rStyle w:val="FootnoteReference"/>
          <w:rFonts w:ascii="Times New Roman" w:hAnsi="Times New Roman"/>
          <w:sz w:val="18"/>
          <w:szCs w:val="16"/>
        </w:rPr>
        <w:footnoteRef/>
      </w:r>
      <w:r w:rsidRPr="00696A71">
        <w:rPr>
          <w:rFonts w:ascii="Times New Roman" w:hAnsi="Times New Roman"/>
          <w:szCs w:val="16"/>
        </w:rPr>
        <w:t xml:space="preserve"> Смањење потреба за радном снагом у сектору пољопривреде много је значајније у основном сценарију због структурних реформи и повећања ефикасности у сектору него у сценаријима ублажавања услед примене мера против климатских промена.</w:t>
      </w:r>
    </w:p>
  </w:footnote>
  <w:footnote w:id="28">
    <w:p w14:paraId="3FDFFB18" w14:textId="321D4D74" w:rsidR="008B73DA" w:rsidRPr="00696A71" w:rsidRDefault="008B73DA" w:rsidP="003B11B8">
      <w:pPr>
        <w:pStyle w:val="FootnoteText"/>
        <w:spacing w:before="0" w:after="0"/>
        <w:rPr>
          <w:rFonts w:ascii="Times New Roman" w:hAnsi="Times New Roman"/>
          <w:szCs w:val="16"/>
        </w:rPr>
      </w:pPr>
      <w:r w:rsidRPr="00696A71">
        <w:rPr>
          <w:rStyle w:val="FootnoteReference"/>
          <w:rFonts w:ascii="Times New Roman" w:hAnsi="Times New Roman"/>
          <w:sz w:val="18"/>
          <w:szCs w:val="16"/>
        </w:rPr>
        <w:footnoteRef/>
      </w:r>
      <w:r w:rsidRPr="00696A71">
        <w:rPr>
          <w:rFonts w:ascii="Times New Roman" w:hAnsi="Times New Roman"/>
          <w:szCs w:val="16"/>
        </w:rPr>
        <w:t xml:space="preserve"> Аукција је задати метод расподеле емисионих јединица унутар система трговине емисијама ЕУ. То значи да предузећа морају на аукцијама да купују све већи број емисионих јединица, тј. у износу њихових годишњих емисија GHG.</w:t>
      </w:r>
    </w:p>
  </w:footnote>
  <w:footnote w:id="29">
    <w:p w14:paraId="6A1EDDB9" w14:textId="4EE34C64" w:rsidR="008B73DA" w:rsidRPr="00EB050F" w:rsidRDefault="008B73DA" w:rsidP="000B2060">
      <w:pPr>
        <w:pStyle w:val="FootnoteText"/>
        <w:spacing w:before="0" w:after="0"/>
        <w:rPr>
          <w:sz w:val="16"/>
          <w:szCs w:val="16"/>
        </w:rPr>
      </w:pPr>
      <w:r w:rsidRPr="00696A71">
        <w:rPr>
          <w:rStyle w:val="FootnoteReference"/>
          <w:rFonts w:ascii="Times New Roman" w:hAnsi="Times New Roman"/>
          <w:sz w:val="18"/>
          <w:szCs w:val="16"/>
        </w:rPr>
        <w:footnoteRef/>
      </w:r>
      <w:r w:rsidRPr="00696A71">
        <w:rPr>
          <w:rFonts w:ascii="Times New Roman" w:hAnsi="Times New Roman"/>
          <w:szCs w:val="16"/>
        </w:rPr>
        <w:t xml:space="preserve"> То се обично назива рециклирање прихода од </w:t>
      </w:r>
      <w:r>
        <w:rPr>
          <w:rFonts w:ascii="Times New Roman" w:hAnsi="Times New Roman"/>
          <w:szCs w:val="16"/>
          <w:lang w:val="sr-Cyrl-RS"/>
        </w:rPr>
        <w:t>Е</w:t>
      </w:r>
      <w:r>
        <w:rPr>
          <w:rFonts w:ascii="Times New Roman" w:hAnsi="Times New Roman"/>
          <w:szCs w:val="16"/>
          <w:lang w:val="en-US"/>
        </w:rPr>
        <w:t xml:space="preserve">U </w:t>
      </w:r>
      <w:r w:rsidRPr="00696A71">
        <w:rPr>
          <w:rFonts w:ascii="Times New Roman" w:hAnsi="Times New Roman"/>
          <w:szCs w:val="16"/>
        </w:rPr>
        <w:t>ЕТS</w:t>
      </w:r>
      <w:r>
        <w:rPr>
          <w:rFonts w:ascii="Times New Roman" w:hAnsi="Times New Roman"/>
          <w:szCs w:val="16"/>
        </w:rPr>
        <w:t>-a</w:t>
      </w:r>
      <w:r w:rsidRPr="00696A71">
        <w:rPr>
          <w:rFonts w:ascii="Times New Roman" w:hAnsi="Times New Roman"/>
          <w:szCs w:val="16"/>
        </w:rPr>
        <w:t>.</w:t>
      </w:r>
    </w:p>
  </w:footnote>
  <w:footnote w:id="30">
    <w:p w14:paraId="6084DFE2" w14:textId="04B9ED2A" w:rsidR="008B73DA" w:rsidRPr="00696A71" w:rsidRDefault="008B73DA" w:rsidP="006F32B9">
      <w:pPr>
        <w:rPr>
          <w:rFonts w:ascii="Times New Roman" w:hAnsi="Times New Roman"/>
          <w:sz w:val="16"/>
          <w:szCs w:val="16"/>
          <w:lang w:val="sl-SI"/>
        </w:rPr>
      </w:pPr>
      <w:r w:rsidRPr="00696A71">
        <w:rPr>
          <w:rStyle w:val="FootnoteReference"/>
          <w:rFonts w:ascii="Times New Roman" w:hAnsi="Times New Roman"/>
          <w:sz w:val="18"/>
          <w:szCs w:val="16"/>
        </w:rPr>
        <w:footnoteRef/>
      </w:r>
      <w:r w:rsidRPr="00696A71">
        <w:rPr>
          <w:rFonts w:ascii="Times New Roman" w:hAnsi="Times New Roman"/>
          <w:sz w:val="18"/>
          <w:szCs w:val="16"/>
        </w:rPr>
        <w:t xml:space="preserve"> </w:t>
      </w:r>
      <w:r w:rsidRPr="00696A71">
        <w:rPr>
          <w:rFonts w:ascii="Times New Roman" w:hAnsi="Times New Roman"/>
          <w:sz w:val="18"/>
          <w:szCs w:val="16"/>
          <w:lang w:val="sl-SI"/>
        </w:rPr>
        <w:t>Емисије честица чији је аеродинамички пречник мањи од или једнак</w:t>
      </w:r>
      <w:r w:rsidRPr="00696A71">
        <w:rPr>
          <w:rStyle w:val="st"/>
          <w:rFonts w:ascii="Times New Roman" w:hAnsi="Times New Roman"/>
          <w:sz w:val="18"/>
          <w:szCs w:val="16"/>
          <w:lang w:val="sl-SI"/>
        </w:rPr>
        <w:t xml:space="preserve"> </w:t>
      </w:r>
      <w:r w:rsidRPr="00696A71">
        <w:rPr>
          <w:rStyle w:val="st"/>
          <w:rFonts w:ascii="Times New Roman" w:hAnsi="Times New Roman"/>
          <w:sz w:val="18"/>
          <w:szCs w:val="16"/>
        </w:rPr>
        <w:t>2.5 μm</w:t>
      </w:r>
    </w:p>
  </w:footnote>
  <w:footnote w:id="31">
    <w:p w14:paraId="3C00A356" w14:textId="482446CF" w:rsidR="008B73DA" w:rsidRPr="00696A71" w:rsidRDefault="008B73DA" w:rsidP="00496237">
      <w:pPr>
        <w:pStyle w:val="FootnoteText"/>
        <w:spacing w:before="0" w:after="0"/>
        <w:rPr>
          <w:rFonts w:ascii="Times New Roman" w:hAnsi="Times New Roman"/>
          <w:szCs w:val="18"/>
        </w:rPr>
      </w:pPr>
      <w:r w:rsidRPr="00696A71">
        <w:rPr>
          <w:rStyle w:val="FootnoteReference"/>
          <w:rFonts w:ascii="Times New Roman" w:hAnsi="Times New Roman"/>
          <w:sz w:val="18"/>
          <w:szCs w:val="18"/>
        </w:rPr>
        <w:footnoteRef/>
      </w:r>
      <w:r w:rsidRPr="00696A71">
        <w:rPr>
          <w:rFonts w:ascii="Times New Roman" w:hAnsi="Times New Roman"/>
          <w:szCs w:val="18"/>
        </w:rPr>
        <w:t xml:space="preserve"> Због тржишне природе ЕU-ЕТS-а, циљани резултат укључен у овај посебан циљ је индикативан.</w:t>
      </w:r>
    </w:p>
  </w:footnote>
  <w:footnote w:id="32">
    <w:p w14:paraId="0BCF9788" w14:textId="12140783" w:rsidR="008B73DA" w:rsidRPr="00653500" w:rsidRDefault="008B73DA" w:rsidP="00653500">
      <w:pPr>
        <w:pStyle w:val="NormalWeb"/>
        <w:spacing w:before="0" w:beforeAutospacing="0" w:after="0" w:afterAutospacing="0"/>
        <w:jc w:val="both"/>
        <w:rPr>
          <w:rFonts w:ascii="Times New Roman" w:hAnsi="Times New Roman" w:cs="Times New Roman"/>
          <w:sz w:val="18"/>
          <w:szCs w:val="18"/>
          <w:lang w:val="sr-Cyrl-RS"/>
        </w:rPr>
      </w:pPr>
      <w:r w:rsidRPr="00696A71">
        <w:rPr>
          <w:rStyle w:val="FootnoteReference"/>
          <w:rFonts w:ascii="Times New Roman" w:hAnsi="Times New Roman" w:cs="Times New Roman"/>
          <w:sz w:val="18"/>
          <w:szCs w:val="18"/>
        </w:rPr>
        <w:footnoteRef/>
      </w:r>
      <w:r w:rsidRPr="00696A71">
        <w:rPr>
          <w:rFonts w:ascii="Times New Roman" w:hAnsi="Times New Roman" w:cs="Times New Roman"/>
          <w:sz w:val="18"/>
          <w:szCs w:val="18"/>
        </w:rPr>
        <w:t xml:space="preserve"> </w:t>
      </w:r>
      <w:r w:rsidRPr="00696A71">
        <w:rPr>
          <w:rFonts w:ascii="Times New Roman" w:eastAsia="Times New Roman" w:hAnsi="Times New Roman" w:cs="Times New Roman"/>
          <w:sz w:val="18"/>
          <w:szCs w:val="18"/>
          <w:lang w:val="sr-Latn-RS" w:eastAsia="de-DE"/>
        </w:rPr>
        <w:t xml:space="preserve">Смањења емисија се представљају у односу на 2005. годину с обзиром да се од 2005. г. </w:t>
      </w:r>
      <w:r>
        <w:rPr>
          <w:rFonts w:ascii="Times New Roman" w:eastAsia="Times New Roman" w:hAnsi="Times New Roman" w:cs="Times New Roman"/>
          <w:sz w:val="18"/>
          <w:szCs w:val="18"/>
          <w:lang w:val="sr-Cyrl-RS" w:eastAsia="de-DE"/>
        </w:rPr>
        <w:t>е</w:t>
      </w:r>
      <w:r w:rsidRPr="00696A71">
        <w:rPr>
          <w:rFonts w:ascii="Times New Roman" w:eastAsia="Times New Roman" w:hAnsi="Times New Roman" w:cs="Times New Roman"/>
          <w:sz w:val="18"/>
          <w:szCs w:val="18"/>
          <w:lang w:val="sr-Latn-RS" w:eastAsia="de-DE"/>
        </w:rPr>
        <w:t>мисије у ЕУ деле на оне које су укључене ЕU-ЕТS</w:t>
      </w:r>
      <w:r>
        <w:rPr>
          <w:rFonts w:ascii="Times New Roman" w:eastAsia="Times New Roman" w:hAnsi="Times New Roman" w:cs="Times New Roman"/>
          <w:sz w:val="18"/>
          <w:szCs w:val="18"/>
          <w:lang w:val="sr-Latn-RS" w:eastAsia="de-DE"/>
        </w:rPr>
        <w:t>-</w:t>
      </w:r>
      <w:r>
        <w:rPr>
          <w:rFonts w:ascii="Times New Roman" w:eastAsia="Times New Roman" w:hAnsi="Times New Roman" w:cs="Times New Roman"/>
          <w:sz w:val="18"/>
          <w:szCs w:val="18"/>
          <w:lang w:val="sr-Cyrl-RS" w:eastAsia="de-DE"/>
        </w:rPr>
        <w:t>ом</w:t>
      </w:r>
      <w:r w:rsidRPr="00696A71">
        <w:rPr>
          <w:rFonts w:ascii="Times New Roman" w:eastAsia="Times New Roman" w:hAnsi="Times New Roman" w:cs="Times New Roman"/>
          <w:sz w:val="18"/>
          <w:szCs w:val="18"/>
          <w:lang w:val="sr-Latn-RS" w:eastAsia="de-DE"/>
        </w:rPr>
        <w:t xml:space="preserve"> и оне које су покривене Одлуком о заједничком напору</w:t>
      </w:r>
      <w:r>
        <w:rPr>
          <w:rFonts w:ascii="Times New Roman" w:eastAsia="Times New Roman" w:hAnsi="Times New Roman" w:cs="Times New Roman"/>
          <w:sz w:val="18"/>
          <w:szCs w:val="18"/>
          <w:lang w:val="sr-Cyrl-RS" w:eastAsia="de-DE"/>
        </w:rPr>
        <w:t xml:space="preserve"> </w:t>
      </w:r>
      <w:r w:rsidRPr="00696A71">
        <w:rPr>
          <w:rFonts w:ascii="Times New Roman" w:eastAsia="Times New Roman" w:hAnsi="Times New Roman" w:cs="Times New Roman"/>
          <w:sz w:val="18"/>
          <w:szCs w:val="18"/>
          <w:lang w:val="sr-Latn-RS" w:eastAsia="de-DE"/>
        </w:rPr>
        <w:t>(nе-ЕТS)</w:t>
      </w:r>
    </w:p>
  </w:footnote>
  <w:footnote w:id="33">
    <w:p w14:paraId="7F86F0B5" w14:textId="4EB70A03" w:rsidR="008B73DA" w:rsidRPr="00696A71" w:rsidRDefault="008B73DA" w:rsidP="00496237">
      <w:pPr>
        <w:pStyle w:val="FootnoteText"/>
        <w:spacing w:before="0" w:after="0"/>
        <w:rPr>
          <w:rFonts w:ascii="Times New Roman" w:hAnsi="Times New Roman"/>
          <w:szCs w:val="18"/>
        </w:rPr>
      </w:pPr>
      <w:r w:rsidRPr="00696A71">
        <w:rPr>
          <w:rStyle w:val="FootnoteReference"/>
          <w:rFonts w:ascii="Times New Roman" w:hAnsi="Times New Roman"/>
          <w:sz w:val="18"/>
          <w:szCs w:val="18"/>
        </w:rPr>
        <w:footnoteRef/>
      </w:r>
      <w:r w:rsidRPr="00696A71">
        <w:rPr>
          <w:rFonts w:ascii="Times New Roman" w:hAnsi="Times New Roman"/>
          <w:szCs w:val="18"/>
        </w:rPr>
        <w:t xml:space="preserve"> Део производње који није обухваћен ЕU-ЕТS-ом</w:t>
      </w:r>
    </w:p>
  </w:footnote>
  <w:footnote w:id="34">
    <w:p w14:paraId="15420E71" w14:textId="7D256D38" w:rsidR="008B73DA" w:rsidRPr="00EB050F" w:rsidRDefault="008B73DA" w:rsidP="00353B06">
      <w:pPr>
        <w:pStyle w:val="FootnoteText"/>
        <w:spacing w:before="0" w:after="0"/>
        <w:rPr>
          <w:sz w:val="16"/>
          <w:szCs w:val="16"/>
        </w:rPr>
      </w:pPr>
      <w:r w:rsidRPr="00696A71">
        <w:rPr>
          <w:rStyle w:val="FootnoteReference"/>
          <w:rFonts w:ascii="Times New Roman" w:hAnsi="Times New Roman"/>
          <w:sz w:val="18"/>
          <w:szCs w:val="18"/>
        </w:rPr>
        <w:footnoteRef/>
      </w:r>
      <w:r w:rsidRPr="00696A71">
        <w:rPr>
          <w:rFonts w:ascii="Times New Roman" w:hAnsi="Times New Roman"/>
          <w:szCs w:val="18"/>
        </w:rPr>
        <w:t xml:space="preserve"> Производи који замењују супстанце које оштећују озонски омотач</w:t>
      </w:r>
    </w:p>
  </w:footnote>
  <w:footnote w:id="35">
    <w:p w14:paraId="4836D778" w14:textId="7EE907B1" w:rsidR="008B73DA" w:rsidRPr="00F20182" w:rsidRDefault="008B73DA" w:rsidP="00BF6840">
      <w:pPr>
        <w:pStyle w:val="FootnoteText"/>
        <w:rPr>
          <w:rFonts w:ascii="Times New Roman" w:hAnsi="Times New Roman"/>
          <w:lang w:val="sr-Cyrl-RS"/>
        </w:rPr>
      </w:pPr>
      <w:r w:rsidRPr="00F20182">
        <w:rPr>
          <w:rStyle w:val="FootnoteReference"/>
          <w:rFonts w:ascii="Times New Roman" w:hAnsi="Times New Roman"/>
        </w:rPr>
        <w:footnoteRef/>
      </w:r>
      <w:r w:rsidRPr="00F20182">
        <w:rPr>
          <w:rFonts w:ascii="Times New Roman" w:hAnsi="Times New Roman"/>
        </w:rPr>
        <w:t xml:space="preserve"> </w:t>
      </w:r>
      <w:r>
        <w:rPr>
          <w:rFonts w:ascii="Times New Roman" w:hAnsi="Times New Roman"/>
          <w:lang w:val="sr-Cyrl-RS"/>
        </w:rPr>
        <w:t xml:space="preserve">Повећање неопходно да би се постигао циљ </w:t>
      </w:r>
      <w:r>
        <w:rPr>
          <w:rFonts w:ascii="Times New Roman" w:hAnsi="Times New Roman"/>
          <w:lang w:val="en-US"/>
        </w:rPr>
        <w:t xml:space="preserve">od 41,4% </w:t>
      </w:r>
      <w:r>
        <w:rPr>
          <w:rFonts w:ascii="Times New Roman" w:hAnsi="Times New Roman"/>
          <w:lang w:val="sr-Cyrl-RS"/>
        </w:rPr>
        <w:t xml:space="preserve">оптималне шумовитости у складу са Законом </w:t>
      </w:r>
      <w:r w:rsidRPr="00BF6840">
        <w:rPr>
          <w:rFonts w:ascii="Times New Roman" w:hAnsi="Times New Roman"/>
          <w:lang w:val="sr-Cyrl-RS"/>
        </w:rPr>
        <w:t xml:space="preserve">о Просторном плану </w:t>
      </w:r>
      <w:r>
        <w:rPr>
          <w:rFonts w:ascii="Times New Roman" w:hAnsi="Times New Roman"/>
          <w:lang w:val="sr-Cyrl-RS"/>
        </w:rPr>
        <w:t>Републике Србије</w:t>
      </w:r>
      <w:r w:rsidRPr="00BF6840">
        <w:rPr>
          <w:rFonts w:ascii="Times New Roman" w:hAnsi="Times New Roman"/>
          <w:lang w:val="sr-Cyrl-RS"/>
        </w:rPr>
        <w:t xml:space="preserve"> од 2010. до 2020. године</w:t>
      </w:r>
      <w:r>
        <w:rPr>
          <w:rFonts w:ascii="Times New Roman" w:hAnsi="Times New Roman"/>
          <w:lang w:val="sr-Cyrl-RS"/>
        </w:rPr>
        <w:t xml:space="preserve"> („</w:t>
      </w:r>
      <w:r w:rsidRPr="00BF6840">
        <w:rPr>
          <w:rFonts w:ascii="Times New Roman" w:hAnsi="Times New Roman"/>
          <w:lang w:val="sr-Cyrl-RS"/>
        </w:rPr>
        <w:t>Службени гласник РС</w:t>
      </w:r>
      <w:r>
        <w:rPr>
          <w:rFonts w:ascii="Times New Roman" w:hAnsi="Times New Roman"/>
          <w:lang w:val="sr-Cyrl-RS"/>
        </w:rPr>
        <w:t>”</w:t>
      </w:r>
      <w:r w:rsidRPr="00BF6840">
        <w:rPr>
          <w:rFonts w:ascii="Times New Roman" w:hAnsi="Times New Roman"/>
          <w:lang w:val="sr-Cyrl-RS"/>
        </w:rPr>
        <w:t>, број 88</w:t>
      </w:r>
      <w:r>
        <w:rPr>
          <w:rFonts w:ascii="Times New Roman" w:hAnsi="Times New Roman"/>
          <w:lang w:val="sr-Cyrl-RS"/>
        </w:rPr>
        <w:t>/</w:t>
      </w:r>
      <w:r w:rsidRPr="00BF6840">
        <w:rPr>
          <w:rFonts w:ascii="Times New Roman" w:hAnsi="Times New Roman"/>
          <w:lang w:val="sr-Cyrl-RS"/>
        </w:rPr>
        <w:t>10</w:t>
      </w:r>
      <w:r>
        <w:rPr>
          <w:rFonts w:ascii="Times New Roman" w:hAnsi="Times New Roman"/>
          <w:lang w:val="sr-Cyrl-RS"/>
        </w:rPr>
        <w:t>).</w:t>
      </w:r>
    </w:p>
  </w:footnote>
  <w:footnote w:id="36">
    <w:p w14:paraId="7E1AA7E6" w14:textId="4EE56EB3" w:rsidR="008B73DA" w:rsidRPr="00696A71" w:rsidRDefault="008B73DA" w:rsidP="00496237">
      <w:pPr>
        <w:pStyle w:val="FootnoteText"/>
        <w:spacing w:before="0" w:after="0"/>
        <w:rPr>
          <w:rFonts w:ascii="Times New Roman" w:hAnsi="Times New Roman"/>
          <w:szCs w:val="16"/>
        </w:rPr>
      </w:pPr>
      <w:r w:rsidRPr="00696A71">
        <w:rPr>
          <w:rStyle w:val="FootnoteReference"/>
          <w:rFonts w:ascii="Times New Roman" w:hAnsi="Times New Roman"/>
          <w:sz w:val="18"/>
          <w:szCs w:val="16"/>
        </w:rPr>
        <w:footnoteRef/>
      </w:r>
      <w:r w:rsidRPr="00696A71">
        <w:rPr>
          <w:rFonts w:ascii="Times New Roman" w:hAnsi="Times New Roman"/>
          <w:szCs w:val="16"/>
        </w:rPr>
        <w:t xml:space="preserve"> Приоритетни сектори су: пољопривреда  - прехрамбена индустрија; шумарство – производња биоенергије и водни ресурси – производња електричне енергије из водених ресурса.</w:t>
      </w:r>
    </w:p>
  </w:footnote>
  <w:footnote w:id="37">
    <w:p w14:paraId="782E71C9" w14:textId="4CD90464" w:rsidR="008B73DA" w:rsidRPr="00696A71" w:rsidRDefault="008B73DA" w:rsidP="00A76AE5">
      <w:pPr>
        <w:pStyle w:val="FootnoteText"/>
        <w:spacing w:before="0" w:after="0"/>
        <w:rPr>
          <w:rFonts w:ascii="Times New Roman" w:hAnsi="Times New Roman"/>
          <w:szCs w:val="16"/>
        </w:rPr>
      </w:pPr>
      <w:r w:rsidRPr="00696A71">
        <w:rPr>
          <w:rStyle w:val="FootnoteReference"/>
          <w:rFonts w:ascii="Times New Roman" w:hAnsi="Times New Roman"/>
          <w:sz w:val="18"/>
          <w:szCs w:val="16"/>
        </w:rPr>
        <w:footnoteRef/>
      </w:r>
      <w:r w:rsidRPr="00696A71">
        <w:rPr>
          <w:rFonts w:ascii="Times New Roman" w:hAnsi="Times New Roman"/>
          <w:szCs w:val="16"/>
        </w:rPr>
        <w:t xml:space="preserve"> Ова идентификација искључује јавну управу (на националном, покрајинском или локалном нивоу) која је одговорна за спровођење и / или праћење таквих мера како су оне идентификоване </w:t>
      </w:r>
      <w:r w:rsidRPr="006B2914">
        <w:rPr>
          <w:rFonts w:ascii="Times New Roman" w:hAnsi="Times New Roman"/>
          <w:szCs w:val="16"/>
        </w:rPr>
        <w:t>у</w:t>
      </w:r>
      <w:r w:rsidRPr="00BC78E8">
        <w:rPr>
          <w:rFonts w:ascii="Times New Roman" w:hAnsi="Times New Roman"/>
          <w:szCs w:val="16"/>
        </w:rPr>
        <w:t xml:space="preserve"> </w:t>
      </w:r>
      <w:r w:rsidRPr="006B2914">
        <w:rPr>
          <w:rFonts w:ascii="Times New Roman" w:hAnsi="Times New Roman"/>
          <w:szCs w:val="16"/>
        </w:rPr>
        <w:t xml:space="preserve">делу „Опис мера укључених у </w:t>
      </w:r>
      <w:r>
        <w:rPr>
          <w:rFonts w:ascii="Times New Roman" w:hAnsi="Times New Roman"/>
          <w:szCs w:val="16"/>
          <w:lang w:val="sr-Cyrl-RS"/>
        </w:rPr>
        <w:t>С</w:t>
      </w:r>
      <w:r w:rsidRPr="006B2914">
        <w:rPr>
          <w:rFonts w:ascii="Times New Roman" w:hAnsi="Times New Roman"/>
          <w:szCs w:val="16"/>
        </w:rPr>
        <w:t>тратегију</w:t>
      </w:r>
      <w:r>
        <w:rPr>
          <w:rFonts w:ascii="Times New Roman" w:hAnsi="Times New Roman"/>
          <w:szCs w:val="16"/>
        </w:rPr>
        <w:t>”</w:t>
      </w:r>
      <w:r w:rsidRPr="00696A71">
        <w:rPr>
          <w:rFonts w:ascii="Times New Roman" w:hAnsi="Times New Roman"/>
          <w:szCs w:val="16"/>
        </w:rPr>
        <w:t>.</w:t>
      </w:r>
    </w:p>
  </w:footnote>
  <w:footnote w:id="38">
    <w:p w14:paraId="30FD5EE7" w14:textId="7397A08B" w:rsidR="008B73DA" w:rsidRPr="00696A71" w:rsidRDefault="008B73DA" w:rsidP="006F32B9">
      <w:pPr>
        <w:pStyle w:val="FootnoteText"/>
        <w:spacing w:before="0" w:after="0"/>
        <w:rPr>
          <w:rFonts w:ascii="Times New Roman" w:hAnsi="Times New Roman"/>
          <w:szCs w:val="16"/>
          <w:lang w:val="pl-PL"/>
        </w:rPr>
      </w:pPr>
      <w:r w:rsidRPr="00696A71">
        <w:rPr>
          <w:rStyle w:val="FootnoteReference"/>
          <w:rFonts w:ascii="Times New Roman" w:hAnsi="Times New Roman"/>
          <w:sz w:val="18"/>
          <w:szCs w:val="16"/>
        </w:rPr>
        <w:footnoteRef/>
      </w:r>
      <w:r w:rsidRPr="00696A71">
        <w:rPr>
          <w:rFonts w:ascii="Times New Roman" w:hAnsi="Times New Roman"/>
          <w:szCs w:val="16"/>
          <w:lang w:val="pl-PL"/>
        </w:rPr>
        <w:t xml:space="preserve"> </w:t>
      </w:r>
      <w:r w:rsidRPr="00696A71">
        <w:rPr>
          <w:rFonts w:ascii="Times New Roman" w:hAnsi="Times New Roman"/>
          <w:szCs w:val="16"/>
        </w:rPr>
        <w:t>Без индустријских постројења обухваћених</w:t>
      </w:r>
      <w:r w:rsidRPr="00696A71">
        <w:rPr>
          <w:rFonts w:ascii="Times New Roman" w:hAnsi="Times New Roman"/>
          <w:szCs w:val="16"/>
          <w:lang w:val="pl-PL"/>
        </w:rPr>
        <w:t xml:space="preserve"> ЕU ЕТS-ом</w:t>
      </w:r>
    </w:p>
  </w:footnote>
  <w:footnote w:id="39">
    <w:p w14:paraId="09A2B365" w14:textId="3C8A4A2B" w:rsidR="008B73DA" w:rsidRPr="005224FE" w:rsidRDefault="008B73DA" w:rsidP="005224FE">
      <w:pPr>
        <w:pStyle w:val="FootnoteText"/>
        <w:spacing w:before="0" w:after="0"/>
        <w:rPr>
          <w:rFonts w:ascii="Times New Roman" w:hAnsi="Times New Roman"/>
          <w:szCs w:val="16"/>
          <w:lang w:val="sr-Cyrl-RS"/>
        </w:rPr>
      </w:pPr>
      <w:r w:rsidRPr="00696A71">
        <w:rPr>
          <w:rStyle w:val="FootnoteReference"/>
          <w:rFonts w:ascii="Times New Roman" w:hAnsi="Times New Roman"/>
          <w:sz w:val="18"/>
          <w:szCs w:val="16"/>
        </w:rPr>
        <w:footnoteRef/>
      </w:r>
      <w:r w:rsidRPr="00696A71">
        <w:rPr>
          <w:rFonts w:ascii="Times New Roman" w:hAnsi="Times New Roman"/>
          <w:szCs w:val="16"/>
          <w:lang w:val="pl-PL"/>
        </w:rPr>
        <w:t xml:space="preserve"> </w:t>
      </w:r>
      <w:r w:rsidRPr="00696A71">
        <w:rPr>
          <w:rFonts w:ascii="Times New Roman" w:hAnsi="Times New Roman"/>
          <w:szCs w:val="16"/>
        </w:rPr>
        <w:t>Мера „Побољшање ефикасности електричних уређаја у домаћинствима</w:t>
      </w:r>
      <w:r>
        <w:rPr>
          <w:rFonts w:ascii="Times New Roman" w:hAnsi="Times New Roman"/>
          <w:szCs w:val="16"/>
        </w:rPr>
        <w:t>”</w:t>
      </w:r>
      <w:r w:rsidRPr="00696A71">
        <w:rPr>
          <w:rFonts w:ascii="Times New Roman" w:hAnsi="Times New Roman"/>
          <w:szCs w:val="16"/>
        </w:rPr>
        <w:t xml:space="preserve"> се не налази у</w:t>
      </w:r>
      <w:r>
        <w:rPr>
          <w:rFonts w:ascii="Times New Roman" w:hAnsi="Times New Roman"/>
          <w:szCs w:val="16"/>
          <w:lang w:val="sr-Cyrl-RS"/>
        </w:rPr>
        <w:t xml:space="preserve"> делу „Опис </w:t>
      </w:r>
      <w:r w:rsidRPr="009F5BD2">
        <w:rPr>
          <w:rFonts w:ascii="Times New Roman" w:hAnsi="Times New Roman"/>
          <w:szCs w:val="16"/>
          <w:lang w:val="sr-Cyrl-RS"/>
        </w:rPr>
        <w:t>мер</w:t>
      </w:r>
      <w:r>
        <w:rPr>
          <w:rFonts w:ascii="Times New Roman" w:hAnsi="Times New Roman"/>
          <w:szCs w:val="16"/>
          <w:lang w:val="sr-Cyrl-RS"/>
        </w:rPr>
        <w:t>а</w:t>
      </w:r>
      <w:r w:rsidRPr="009F5BD2">
        <w:rPr>
          <w:rFonts w:ascii="Times New Roman" w:hAnsi="Times New Roman"/>
          <w:szCs w:val="16"/>
          <w:lang w:val="sr-Cyrl-RS"/>
        </w:rPr>
        <w:t xml:space="preserve"> укључених у </w:t>
      </w:r>
      <w:r>
        <w:rPr>
          <w:rFonts w:ascii="Times New Roman" w:hAnsi="Times New Roman"/>
          <w:szCs w:val="16"/>
          <w:lang w:val="sr-Cyrl-RS"/>
        </w:rPr>
        <w:t>С</w:t>
      </w:r>
      <w:r w:rsidRPr="009F5BD2">
        <w:rPr>
          <w:rFonts w:ascii="Times New Roman" w:hAnsi="Times New Roman"/>
          <w:szCs w:val="16"/>
          <w:lang w:val="sr-Cyrl-RS"/>
        </w:rPr>
        <w:t>тратегију</w:t>
      </w:r>
      <w:r w:rsidRPr="00696A71">
        <w:rPr>
          <w:rFonts w:ascii="Times New Roman" w:hAnsi="Times New Roman"/>
          <w:szCs w:val="16"/>
        </w:rPr>
        <w:t xml:space="preserve"> јер је </w:t>
      </w:r>
      <w:r>
        <w:rPr>
          <w:rFonts w:ascii="Times New Roman" w:hAnsi="Times New Roman"/>
          <w:szCs w:val="16"/>
          <w:lang w:val="sr-Cyrl-RS"/>
        </w:rPr>
        <w:t>Д</w:t>
      </w:r>
      <w:r w:rsidRPr="00696A71">
        <w:rPr>
          <w:rFonts w:ascii="Times New Roman" w:hAnsi="Times New Roman"/>
          <w:szCs w:val="16"/>
        </w:rPr>
        <w:t>иректива о означавању енергетске ефикасности производа 2009/125/Е</w:t>
      </w:r>
      <w:r w:rsidRPr="00696A71">
        <w:rPr>
          <w:rFonts w:ascii="Times New Roman" w:hAnsi="Times New Roman"/>
          <w:szCs w:val="16"/>
          <w:lang w:val="sr-Cyrl-RS"/>
        </w:rPr>
        <w:t>К</w:t>
      </w:r>
      <w:r w:rsidRPr="00696A71">
        <w:rPr>
          <w:rFonts w:ascii="Times New Roman" w:hAnsi="Times New Roman"/>
          <w:szCs w:val="16"/>
        </w:rPr>
        <w:t xml:space="preserve"> већ транспонована у </w:t>
      </w:r>
      <w:r w:rsidRPr="00696A71">
        <w:rPr>
          <w:rFonts w:ascii="Times New Roman" w:hAnsi="Times New Roman"/>
          <w:szCs w:val="16"/>
          <w:lang w:val="sr-Cyrl-RS"/>
        </w:rPr>
        <w:t>национално</w:t>
      </w:r>
      <w:r w:rsidRPr="00696A71">
        <w:rPr>
          <w:rFonts w:ascii="Times New Roman" w:hAnsi="Times New Roman"/>
          <w:szCs w:val="16"/>
        </w:rPr>
        <w:t xml:space="preserve"> законодавство, а транспозиција </w:t>
      </w:r>
      <w:r>
        <w:rPr>
          <w:rFonts w:ascii="Times New Roman" w:hAnsi="Times New Roman"/>
          <w:szCs w:val="16"/>
          <w:lang w:val="sr-Cyrl-RS"/>
        </w:rPr>
        <w:t>Д</w:t>
      </w:r>
      <w:r w:rsidRPr="00696A71">
        <w:rPr>
          <w:rFonts w:ascii="Times New Roman" w:hAnsi="Times New Roman"/>
          <w:szCs w:val="16"/>
        </w:rPr>
        <w:t xml:space="preserve">ирективе о еколошком дизајну </w:t>
      </w:r>
      <w:r>
        <w:rPr>
          <w:rFonts w:ascii="Times New Roman" w:hAnsi="Times New Roman"/>
          <w:szCs w:val="16"/>
          <w:lang w:val="sr-Cyrl-RS"/>
        </w:rPr>
        <w:t>је већ укључена</w:t>
      </w:r>
      <w:r w:rsidRPr="00696A71">
        <w:rPr>
          <w:rFonts w:ascii="Times New Roman" w:hAnsi="Times New Roman"/>
          <w:szCs w:val="16"/>
        </w:rPr>
        <w:t xml:space="preserve"> у друг</w:t>
      </w:r>
      <w:r>
        <w:rPr>
          <w:rFonts w:ascii="Times New Roman" w:hAnsi="Times New Roman"/>
          <w:szCs w:val="16"/>
          <w:lang w:val="sr-Cyrl-RS"/>
        </w:rPr>
        <w:t>е</w:t>
      </w:r>
      <w:r w:rsidRPr="00696A71">
        <w:rPr>
          <w:rFonts w:ascii="Times New Roman" w:hAnsi="Times New Roman"/>
          <w:szCs w:val="16"/>
        </w:rPr>
        <w:t xml:space="preserve"> мер</w:t>
      </w:r>
      <w:r>
        <w:rPr>
          <w:rFonts w:ascii="Times New Roman" w:hAnsi="Times New Roman"/>
          <w:szCs w:val="16"/>
          <w:lang w:val="sr-Cyrl-RS"/>
        </w:rPr>
        <w:t>е</w:t>
      </w:r>
      <w:r w:rsidRPr="00696A71">
        <w:rPr>
          <w:rFonts w:ascii="Times New Roman" w:hAnsi="Times New Roman"/>
          <w:szCs w:val="16"/>
        </w:rPr>
        <w:t>.</w:t>
      </w:r>
    </w:p>
  </w:footnote>
  <w:footnote w:id="40">
    <w:p w14:paraId="6D8C6DD9" w14:textId="614977B7" w:rsidR="008B73DA" w:rsidRPr="0029378D" w:rsidRDefault="008B73DA" w:rsidP="006F32B9">
      <w:pPr>
        <w:spacing w:before="0" w:after="0"/>
        <w:rPr>
          <w:lang w:val="sl-SI"/>
        </w:rPr>
      </w:pPr>
      <w:r w:rsidRPr="00696A71">
        <w:rPr>
          <w:rStyle w:val="FootnoteReference"/>
          <w:rFonts w:ascii="Times New Roman" w:hAnsi="Times New Roman"/>
          <w:sz w:val="18"/>
          <w:szCs w:val="16"/>
        </w:rPr>
        <w:footnoteRef/>
      </w:r>
      <w:r w:rsidRPr="00696A71">
        <w:rPr>
          <w:rFonts w:ascii="Times New Roman" w:hAnsi="Times New Roman"/>
          <w:sz w:val="18"/>
          <w:szCs w:val="16"/>
        </w:rPr>
        <w:t xml:space="preserve"> Скуп мера које се односе на енергетске потребе у зградама за грејање или хлађење</w:t>
      </w:r>
    </w:p>
  </w:footnote>
  <w:footnote w:id="41">
    <w:p w14:paraId="422A6BC5" w14:textId="13F228CE" w:rsidR="008B73DA" w:rsidRPr="00207799" w:rsidRDefault="008B73DA" w:rsidP="000B18E2">
      <w:pPr>
        <w:pStyle w:val="FootnoteText"/>
        <w:spacing w:before="0" w:after="0"/>
        <w:jc w:val="both"/>
        <w:rPr>
          <w:rFonts w:ascii="Times New Roman" w:hAnsi="Times New Roman"/>
          <w:szCs w:val="16"/>
          <w:lang w:val="pl-PL"/>
        </w:rPr>
      </w:pPr>
      <w:r w:rsidRPr="00207799">
        <w:rPr>
          <w:rStyle w:val="FootnoteReference"/>
          <w:szCs w:val="16"/>
        </w:rPr>
        <w:footnoteRef/>
      </w:r>
      <w:r w:rsidRPr="00207799">
        <w:rPr>
          <w:rFonts w:ascii="Times New Roman" w:hAnsi="Times New Roman"/>
          <w:szCs w:val="16"/>
          <w:lang w:val="pl-PL"/>
        </w:rPr>
        <w:t xml:space="preserve"> Ова мера није укључена у</w:t>
      </w:r>
      <w:r w:rsidRPr="00207799">
        <w:rPr>
          <w:rFonts w:ascii="Times New Roman" w:hAnsi="Times New Roman"/>
          <w:szCs w:val="16"/>
          <w:lang w:val="sr-Cyrl-RS"/>
        </w:rPr>
        <w:t xml:space="preserve"> делу „Опис мера укључених у Стратегију</w:t>
      </w:r>
      <w:r w:rsidRPr="00FE004C">
        <w:rPr>
          <w:rFonts w:ascii="Times New Roman" w:hAnsi="Times New Roman"/>
          <w:szCs w:val="16"/>
          <w:lang w:val="sr-Cyrl-RS"/>
        </w:rPr>
        <w:t>”</w:t>
      </w:r>
      <w:r w:rsidRPr="00207799">
        <w:rPr>
          <w:rFonts w:ascii="Times New Roman" w:hAnsi="Times New Roman"/>
          <w:szCs w:val="16"/>
          <w:lang w:val="pl-PL"/>
        </w:rPr>
        <w:t xml:space="preserve">, јер </w:t>
      </w:r>
      <w:r w:rsidRPr="00207799">
        <w:rPr>
          <w:rFonts w:ascii="Times New Roman" w:hAnsi="Times New Roman"/>
          <w:szCs w:val="16"/>
          <w:lang w:val="sr-Cyrl-RS"/>
        </w:rPr>
        <w:t>ћ</w:t>
      </w:r>
      <w:r w:rsidRPr="00207799">
        <w:rPr>
          <w:rFonts w:ascii="Times New Roman" w:hAnsi="Times New Roman"/>
          <w:szCs w:val="16"/>
          <w:lang w:val="pl-PL"/>
        </w:rPr>
        <w:t xml:space="preserve">е се њени циљеви остварити применом  Националног програма управљања ризиком од </w:t>
      </w:r>
      <w:r w:rsidRPr="00FE004C">
        <w:rPr>
          <w:rFonts w:ascii="Times New Roman" w:hAnsi="Times New Roman"/>
          <w:szCs w:val="16"/>
          <w:lang w:val="sr-Cyrl-RS"/>
        </w:rPr>
        <w:t>елементарних непогода (Закључак 05 Број: 217-16233/2014/1 од 19. децембра 2014. године)</w:t>
      </w:r>
      <w:r w:rsidRPr="00207799">
        <w:rPr>
          <w:rFonts w:ascii="Times New Roman" w:hAnsi="Times New Roman"/>
          <w:szCs w:val="16"/>
          <w:lang w:val="pl-PL"/>
        </w:rPr>
        <w:t xml:space="preserve"> и Акционог плана за спровођење Националног програма управљања ризиком од </w:t>
      </w:r>
      <w:r w:rsidRPr="00FE004C">
        <w:rPr>
          <w:rFonts w:ascii="Times New Roman" w:hAnsi="Times New Roman"/>
          <w:szCs w:val="16"/>
          <w:lang w:val="sr-Cyrl-RS"/>
        </w:rPr>
        <w:t xml:space="preserve">елементарних непогода </w:t>
      </w:r>
      <w:r w:rsidRPr="00207799">
        <w:rPr>
          <w:rFonts w:ascii="Times New Roman" w:hAnsi="Times New Roman"/>
          <w:szCs w:val="16"/>
          <w:lang w:val="pl-PL"/>
        </w:rPr>
        <w:t>(2016-2020)</w:t>
      </w:r>
      <w:r w:rsidRPr="00FE004C">
        <w:rPr>
          <w:rFonts w:ascii="Times New Roman" w:hAnsi="Times New Roman"/>
          <w:szCs w:val="16"/>
          <w:lang w:val="sr-Cyrl-RS"/>
        </w:rPr>
        <w:t xml:space="preserve"> (Закључак 05 Број: 217/1906</w:t>
      </w:r>
      <w:r>
        <w:rPr>
          <w:rFonts w:ascii="Times New Roman" w:hAnsi="Times New Roman"/>
          <w:szCs w:val="16"/>
          <w:lang w:val="sr-Cyrl-RS"/>
        </w:rPr>
        <w:t>/2017-1 од 3. марта 2017. године)</w:t>
      </w:r>
      <w:r w:rsidRPr="00FE004C">
        <w:rPr>
          <w:rFonts w:ascii="Times New Roman" w:hAnsi="Times New Roman"/>
          <w:szCs w:val="16"/>
          <w:lang w:val="sr-Cyrl-RS"/>
        </w:rPr>
        <w:t xml:space="preserve"> од </w:t>
      </w:r>
      <w:r w:rsidRPr="00207799">
        <w:rPr>
          <w:rFonts w:ascii="Times New Roman" w:hAnsi="Times New Roman"/>
          <w:szCs w:val="16"/>
          <w:lang w:val="pl-PL"/>
        </w:rPr>
        <w:t>посебно мерама поменутим у поглављима 3.1, 4.1 и 4.2.</w:t>
      </w:r>
    </w:p>
  </w:footnote>
  <w:footnote w:id="42">
    <w:p w14:paraId="50122129" w14:textId="76AB87EE" w:rsidR="008B73DA" w:rsidRPr="00201795" w:rsidRDefault="008B73DA">
      <w:pPr>
        <w:pStyle w:val="FootnoteText"/>
        <w:rPr>
          <w:lang w:val="sr-Cyrl-RS"/>
        </w:rPr>
      </w:pPr>
      <w:r w:rsidRPr="00201795">
        <w:rPr>
          <w:rStyle w:val="FootnoteReference"/>
        </w:rPr>
        <w:footnoteRef/>
      </w:r>
      <w:r w:rsidRPr="00201795">
        <w:t xml:space="preserve"> </w:t>
      </w:r>
      <w:r w:rsidRPr="00201795">
        <w:rPr>
          <w:rFonts w:ascii="Times New Roman" w:hAnsi="Times New Roman"/>
          <w:szCs w:val="16"/>
          <w:lang w:val="pl-PL"/>
        </w:rPr>
        <w:t xml:space="preserve">Ова мера није укључена у </w:t>
      </w:r>
      <w:r w:rsidRPr="00201795">
        <w:rPr>
          <w:rFonts w:ascii="Times New Roman" w:hAnsi="Times New Roman"/>
          <w:szCs w:val="16"/>
          <w:lang w:val="sr-Cyrl-RS"/>
        </w:rPr>
        <w:t>делу „Опис мера укључених у Стратегију</w:t>
      </w:r>
      <w:r w:rsidRPr="00FE004C">
        <w:rPr>
          <w:rFonts w:ascii="Times New Roman" w:hAnsi="Times New Roman"/>
          <w:szCs w:val="16"/>
          <w:lang w:val="sr-Cyrl-RS"/>
        </w:rPr>
        <w:t>”</w:t>
      </w:r>
      <w:r w:rsidRPr="00201795">
        <w:rPr>
          <w:rFonts w:ascii="Times New Roman" w:hAnsi="Times New Roman"/>
          <w:szCs w:val="16"/>
          <w:lang w:val="pl-PL"/>
        </w:rPr>
        <w:t xml:space="preserve">, јер </w:t>
      </w:r>
      <w:r w:rsidRPr="00201795">
        <w:rPr>
          <w:rFonts w:ascii="Times New Roman" w:hAnsi="Times New Roman"/>
          <w:szCs w:val="16"/>
          <w:lang w:val="sr-Cyrl-RS"/>
        </w:rPr>
        <w:t>ћ</w:t>
      </w:r>
      <w:r w:rsidRPr="00201795">
        <w:rPr>
          <w:rFonts w:ascii="Times New Roman" w:hAnsi="Times New Roman"/>
          <w:szCs w:val="16"/>
          <w:lang w:val="pl-PL"/>
        </w:rPr>
        <w:t xml:space="preserve">е се њени циљеви остварити применом  Националног програма управљања ризиком </w:t>
      </w:r>
      <w:r w:rsidRPr="00207799">
        <w:rPr>
          <w:rFonts w:ascii="Times New Roman" w:hAnsi="Times New Roman"/>
          <w:szCs w:val="16"/>
          <w:lang w:val="pl-PL"/>
        </w:rPr>
        <w:t xml:space="preserve">од </w:t>
      </w:r>
      <w:r w:rsidRPr="00FE004C">
        <w:rPr>
          <w:rFonts w:ascii="Times New Roman" w:hAnsi="Times New Roman"/>
          <w:szCs w:val="16"/>
          <w:lang w:val="sr-Cyrl-RS"/>
        </w:rPr>
        <w:t xml:space="preserve">елементарних непогода </w:t>
      </w:r>
      <w:r w:rsidRPr="00201795">
        <w:rPr>
          <w:rFonts w:ascii="Times New Roman" w:hAnsi="Times New Roman"/>
          <w:szCs w:val="16"/>
          <w:lang w:val="pl-PL"/>
        </w:rPr>
        <w:t xml:space="preserve">и Акционог плана за спровођење Националног програма управљања ризиком од </w:t>
      </w:r>
      <w:r w:rsidRPr="00FE004C">
        <w:rPr>
          <w:rFonts w:ascii="Times New Roman" w:hAnsi="Times New Roman"/>
          <w:szCs w:val="16"/>
          <w:lang w:val="sr-Cyrl-RS"/>
        </w:rPr>
        <w:t xml:space="preserve">елементарних непогода </w:t>
      </w:r>
      <w:r w:rsidRPr="00201795">
        <w:rPr>
          <w:rFonts w:ascii="Times New Roman" w:hAnsi="Times New Roman"/>
          <w:szCs w:val="16"/>
          <w:lang w:val="pl-PL"/>
        </w:rPr>
        <w:t>(2016-2020), посебно мерама поменутим у поглављима 3.1, 4.1 и 4.2.</w:t>
      </w:r>
    </w:p>
  </w:footnote>
  <w:footnote w:id="43">
    <w:p w14:paraId="026BA825" w14:textId="5122F80B" w:rsidR="008B73DA" w:rsidRPr="00FE004C" w:rsidRDefault="008B73DA" w:rsidP="000B18E2">
      <w:pPr>
        <w:pStyle w:val="FootnoteText"/>
        <w:spacing w:before="0" w:after="0"/>
        <w:jc w:val="both"/>
        <w:rPr>
          <w:rFonts w:ascii="Times New Roman" w:hAnsi="Times New Roman"/>
          <w:szCs w:val="16"/>
          <w:lang w:val="sr-Cyrl-RS"/>
        </w:rPr>
      </w:pPr>
      <w:r w:rsidRPr="00201795">
        <w:rPr>
          <w:rStyle w:val="FootnoteReference"/>
          <w:rFonts w:ascii="Times New Roman" w:hAnsi="Times New Roman"/>
          <w:sz w:val="18"/>
          <w:szCs w:val="16"/>
        </w:rPr>
        <w:footnoteRef/>
      </w:r>
      <w:r w:rsidRPr="00201795">
        <w:rPr>
          <w:rFonts w:ascii="Times New Roman" w:hAnsi="Times New Roman"/>
          <w:szCs w:val="16"/>
          <w:lang w:val="pl-PL"/>
        </w:rPr>
        <w:t xml:space="preserve"> Ова мера није обухваћена </w:t>
      </w:r>
      <w:r w:rsidRPr="00201795">
        <w:rPr>
          <w:rFonts w:ascii="Times New Roman" w:hAnsi="Times New Roman"/>
          <w:szCs w:val="16"/>
          <w:lang w:val="sr-Cyrl-RS"/>
        </w:rPr>
        <w:t>у делу „Опис мера укључених у Стратегију</w:t>
      </w:r>
      <w:r w:rsidRPr="00FE004C">
        <w:rPr>
          <w:rFonts w:ascii="Times New Roman" w:hAnsi="Times New Roman"/>
          <w:szCs w:val="16"/>
          <w:lang w:val="sr-Cyrl-RS"/>
        </w:rPr>
        <w:t>”</w:t>
      </w:r>
      <w:r w:rsidRPr="00201795">
        <w:rPr>
          <w:rFonts w:ascii="Times New Roman" w:hAnsi="Times New Roman"/>
          <w:szCs w:val="16"/>
          <w:lang w:val="pl-PL"/>
        </w:rPr>
        <w:t xml:space="preserve">, јер </w:t>
      </w:r>
      <w:r w:rsidRPr="00201795">
        <w:rPr>
          <w:rFonts w:ascii="Times New Roman" w:hAnsi="Times New Roman"/>
          <w:szCs w:val="16"/>
          <w:lang w:val="sr-Cyrl-RS"/>
        </w:rPr>
        <w:t>ћ</w:t>
      </w:r>
      <w:r w:rsidRPr="00201795">
        <w:rPr>
          <w:rFonts w:ascii="Times New Roman" w:hAnsi="Times New Roman"/>
          <w:szCs w:val="16"/>
          <w:lang w:val="pl-PL"/>
        </w:rPr>
        <w:t xml:space="preserve">е се њени циљеви остварити применом Националне стратегије пољопривреде и руралног развоја </w:t>
      </w:r>
      <w:r w:rsidRPr="00FE004C">
        <w:rPr>
          <w:rFonts w:ascii="Times New Roman" w:hAnsi="Times New Roman"/>
          <w:szCs w:val="16"/>
          <w:lang w:val="pl-PL"/>
        </w:rPr>
        <w:t>Републике Србије</w:t>
      </w:r>
      <w:r w:rsidRPr="00201795">
        <w:rPr>
          <w:rFonts w:ascii="Times New Roman" w:hAnsi="Times New Roman"/>
          <w:szCs w:val="16"/>
          <w:lang w:val="pl-PL"/>
        </w:rPr>
        <w:t xml:space="preserve"> 2014-2024. </w:t>
      </w:r>
      <w:r w:rsidRPr="00201795">
        <w:rPr>
          <w:rFonts w:ascii="Times New Roman" w:hAnsi="Times New Roman"/>
          <w:szCs w:val="16"/>
          <w:lang w:val="sr-Cyrl-RS"/>
        </w:rPr>
        <w:t>и</w:t>
      </w:r>
      <w:r w:rsidR="0003140F">
        <w:rPr>
          <w:rFonts w:ascii="Times New Roman" w:hAnsi="Times New Roman"/>
          <w:szCs w:val="16"/>
          <w:lang w:val="pl-PL"/>
        </w:rPr>
        <w:t xml:space="preserve"> Стратегије управљања водама на територији Републике</w:t>
      </w:r>
      <w:r w:rsidRPr="00FE004C">
        <w:rPr>
          <w:rFonts w:ascii="Times New Roman" w:hAnsi="Times New Roman"/>
          <w:szCs w:val="16"/>
          <w:lang w:val="pl-PL"/>
        </w:rPr>
        <w:t xml:space="preserve"> Србиј</w:t>
      </w:r>
      <w:r w:rsidR="0003140F">
        <w:rPr>
          <w:rFonts w:ascii="Times New Roman" w:hAnsi="Times New Roman"/>
          <w:szCs w:val="16"/>
          <w:lang w:val="sr-Cyrl-RS"/>
        </w:rPr>
        <w:t>е</w:t>
      </w:r>
      <w:r w:rsidRPr="00201795">
        <w:rPr>
          <w:rFonts w:ascii="Times New Roman" w:hAnsi="Times New Roman"/>
          <w:szCs w:val="16"/>
          <w:lang w:val="pl-PL"/>
        </w:rPr>
        <w:t xml:space="preserve"> до 2034. </w:t>
      </w:r>
      <w:r w:rsidRPr="00FE004C">
        <w:rPr>
          <w:rFonts w:ascii="Times New Roman" w:hAnsi="Times New Roman"/>
          <w:szCs w:val="16"/>
          <w:lang w:val="sr-Cyrl-RS"/>
        </w:rPr>
        <w:t>г</w:t>
      </w:r>
      <w:r w:rsidRPr="00201795">
        <w:rPr>
          <w:rFonts w:ascii="Times New Roman" w:hAnsi="Times New Roman"/>
          <w:szCs w:val="16"/>
          <w:lang w:val="pl-PL"/>
        </w:rPr>
        <w:t>одине</w:t>
      </w:r>
      <w:r w:rsidRPr="00FE004C">
        <w:rPr>
          <w:rFonts w:ascii="Times New Roman" w:hAnsi="Times New Roman"/>
          <w:szCs w:val="16"/>
          <w:lang w:val="sr-Cyrl-RS"/>
        </w:rPr>
        <w:t xml:space="preserve"> (</w:t>
      </w:r>
      <w:r>
        <w:rPr>
          <w:rFonts w:ascii="Times New Roman" w:hAnsi="Times New Roman"/>
          <w:szCs w:val="16"/>
          <w:lang w:val="sr-Cyrl-RS"/>
        </w:rPr>
        <w:t>„</w:t>
      </w:r>
      <w:r w:rsidR="00A46EBE">
        <w:rPr>
          <w:rFonts w:ascii="Times New Roman" w:hAnsi="Times New Roman"/>
          <w:szCs w:val="16"/>
          <w:lang w:val="sr-Cyrl-RS"/>
        </w:rPr>
        <w:t xml:space="preserve">Службени </w:t>
      </w:r>
      <w:r w:rsidRPr="00FE004C">
        <w:rPr>
          <w:rFonts w:ascii="Times New Roman" w:hAnsi="Times New Roman"/>
          <w:szCs w:val="16"/>
          <w:lang w:val="sr-Cyrl-RS"/>
        </w:rPr>
        <w:t>гласник РС</w:t>
      </w:r>
      <w:r w:rsidR="00A46EBE">
        <w:rPr>
          <w:rFonts w:ascii="Times New Roman" w:hAnsi="Times New Roman"/>
          <w:szCs w:val="16"/>
          <w:lang w:val="sr-Cyrl-RS"/>
        </w:rPr>
        <w:t>ˮ</w:t>
      </w:r>
      <w:r w:rsidR="007669B2">
        <w:rPr>
          <w:rFonts w:ascii="Times New Roman" w:hAnsi="Times New Roman"/>
          <w:szCs w:val="16"/>
          <w:lang w:val="sr-Cyrl-RS"/>
        </w:rPr>
        <w:t>, број</w:t>
      </w:r>
      <w:r w:rsidRPr="00FE004C">
        <w:rPr>
          <w:rFonts w:ascii="Times New Roman" w:hAnsi="Times New Roman"/>
          <w:szCs w:val="16"/>
          <w:lang w:val="sr-Cyrl-RS"/>
        </w:rPr>
        <w:t xml:space="preserve"> 3/17).</w:t>
      </w:r>
    </w:p>
  </w:footnote>
  <w:footnote w:id="44">
    <w:p w14:paraId="09C996F2" w14:textId="081E7AEE" w:rsidR="008B73DA" w:rsidRPr="00FE004C" w:rsidRDefault="008B73DA" w:rsidP="000B18E2">
      <w:pPr>
        <w:pStyle w:val="FootnoteText"/>
        <w:spacing w:before="0" w:after="0"/>
        <w:jc w:val="both"/>
        <w:rPr>
          <w:szCs w:val="18"/>
          <w:lang w:val="pl-PL"/>
        </w:rPr>
      </w:pPr>
      <w:r w:rsidRPr="00201795">
        <w:rPr>
          <w:rStyle w:val="FootnoteReference"/>
          <w:rFonts w:ascii="Times New Roman" w:hAnsi="Times New Roman"/>
          <w:sz w:val="18"/>
          <w:szCs w:val="16"/>
        </w:rPr>
        <w:footnoteRef/>
      </w:r>
      <w:r w:rsidRPr="00201795">
        <w:rPr>
          <w:rFonts w:ascii="Times New Roman" w:hAnsi="Times New Roman"/>
          <w:szCs w:val="16"/>
          <w:lang w:val="pl-PL"/>
        </w:rPr>
        <w:t xml:space="preserve"> Ова мера није обухваћена </w:t>
      </w:r>
      <w:r w:rsidRPr="00201795">
        <w:rPr>
          <w:rFonts w:ascii="Times New Roman" w:hAnsi="Times New Roman"/>
          <w:szCs w:val="16"/>
          <w:lang w:val="sr-Cyrl-RS"/>
        </w:rPr>
        <w:t>у делу „Опис мера укључених у Стратегију</w:t>
      </w:r>
      <w:r w:rsidRPr="00FE004C">
        <w:rPr>
          <w:rFonts w:ascii="Times New Roman" w:hAnsi="Times New Roman"/>
          <w:szCs w:val="16"/>
          <w:lang w:val="sr-Cyrl-RS"/>
        </w:rPr>
        <w:t>”</w:t>
      </w:r>
      <w:r w:rsidRPr="00201795">
        <w:rPr>
          <w:rFonts w:ascii="Times New Roman" w:hAnsi="Times New Roman"/>
          <w:szCs w:val="16"/>
          <w:lang w:val="pl-PL"/>
        </w:rPr>
        <w:t xml:space="preserve"> јер </w:t>
      </w:r>
      <w:r w:rsidRPr="00201795">
        <w:rPr>
          <w:rFonts w:ascii="Times New Roman" w:hAnsi="Times New Roman"/>
          <w:szCs w:val="16"/>
          <w:lang w:val="sr-Cyrl-RS"/>
        </w:rPr>
        <w:t>ће</w:t>
      </w:r>
      <w:r w:rsidRPr="00201795">
        <w:rPr>
          <w:rFonts w:ascii="Times New Roman" w:hAnsi="Times New Roman"/>
          <w:szCs w:val="16"/>
          <w:lang w:val="pl-PL"/>
        </w:rPr>
        <w:t xml:space="preserve"> се њени циљеви остварити применом Стратегије управљања водама </w:t>
      </w:r>
      <w:r w:rsidRPr="00201795">
        <w:rPr>
          <w:rFonts w:ascii="Times New Roman" w:hAnsi="Times New Roman"/>
          <w:szCs w:val="16"/>
          <w:lang w:val="sr-Cyrl-RS"/>
        </w:rPr>
        <w:t>на територији</w:t>
      </w:r>
      <w:r w:rsidRPr="00201795">
        <w:rPr>
          <w:rFonts w:ascii="Times New Roman" w:hAnsi="Times New Roman"/>
          <w:szCs w:val="16"/>
          <w:lang w:val="pl-PL"/>
        </w:rPr>
        <w:t xml:space="preserve"> Републ</w:t>
      </w:r>
      <w:r w:rsidRPr="00201795">
        <w:rPr>
          <w:rFonts w:ascii="Times New Roman" w:hAnsi="Times New Roman"/>
          <w:szCs w:val="16"/>
          <w:lang w:val="sr-Cyrl-RS"/>
        </w:rPr>
        <w:t>ике</w:t>
      </w:r>
      <w:r w:rsidRPr="00201795">
        <w:rPr>
          <w:rFonts w:ascii="Times New Roman" w:hAnsi="Times New Roman"/>
          <w:szCs w:val="16"/>
          <w:lang w:val="pl-PL"/>
        </w:rPr>
        <w:t xml:space="preserve"> </w:t>
      </w:r>
      <w:r w:rsidRPr="00FE004C">
        <w:rPr>
          <w:rFonts w:ascii="Times New Roman" w:hAnsi="Times New Roman"/>
          <w:szCs w:val="16"/>
          <w:lang w:val="pl-PL"/>
        </w:rPr>
        <w:t>Србије</w:t>
      </w:r>
      <w:r w:rsidRPr="00201795">
        <w:rPr>
          <w:rFonts w:ascii="Times New Roman" w:hAnsi="Times New Roman"/>
          <w:szCs w:val="16"/>
          <w:lang w:val="sr-Cyrl-RS"/>
        </w:rPr>
        <w:t xml:space="preserve"> до 2034. године</w:t>
      </w:r>
      <w:r w:rsidRPr="00201795">
        <w:rPr>
          <w:rFonts w:ascii="Times New Roman" w:hAnsi="Times New Roman"/>
          <w:szCs w:val="16"/>
          <w:lang w:val="pl-PL"/>
        </w:rPr>
        <w:t xml:space="preserve"> и Закона о пољопривредном земљишту</w:t>
      </w:r>
      <w:r w:rsidRPr="00201795">
        <w:rPr>
          <w:rFonts w:ascii="Times New Roman" w:hAnsi="Times New Roman"/>
          <w:szCs w:val="16"/>
          <w:lang w:val="sr-Cyrl-RS"/>
        </w:rPr>
        <w:t xml:space="preserve"> </w:t>
      </w:r>
      <w:r w:rsidRPr="00201795">
        <w:rPr>
          <w:rFonts w:ascii="Times New Roman" w:hAnsi="Times New Roman"/>
          <w:szCs w:val="18"/>
          <w:lang w:val="sr-Cyrl-RS"/>
        </w:rPr>
        <w:t>(</w:t>
      </w:r>
      <w:r>
        <w:rPr>
          <w:rFonts w:ascii="Times New Roman" w:hAnsi="Times New Roman"/>
          <w:szCs w:val="18"/>
          <w:lang w:val="sr-Cyrl-RS"/>
        </w:rPr>
        <w:t>„</w:t>
      </w:r>
      <w:r w:rsidR="00C107F5">
        <w:rPr>
          <w:rFonts w:ascii="Times New Roman" w:hAnsi="Times New Roman"/>
          <w:szCs w:val="18"/>
          <w:lang w:val="sr-Cyrl-RS"/>
        </w:rPr>
        <w:t>Службени</w:t>
      </w:r>
      <w:r w:rsidRPr="00FE004C">
        <w:rPr>
          <w:rFonts w:ascii="Times New Roman" w:hAnsi="Times New Roman"/>
          <w:szCs w:val="18"/>
          <w:lang w:val="sr-Cyrl-RS"/>
        </w:rPr>
        <w:t xml:space="preserve"> </w:t>
      </w:r>
      <w:r w:rsidR="00C107F5">
        <w:rPr>
          <w:rFonts w:ascii="Times New Roman" w:hAnsi="Times New Roman"/>
          <w:szCs w:val="18"/>
          <w:lang w:val="sr-Cyrl-RS"/>
        </w:rPr>
        <w:t>г</w:t>
      </w:r>
      <w:r w:rsidRPr="00FE004C">
        <w:rPr>
          <w:rFonts w:ascii="Times New Roman" w:hAnsi="Times New Roman"/>
          <w:szCs w:val="18"/>
          <w:lang w:val="sr-Cyrl-RS"/>
        </w:rPr>
        <w:t>ласник</w:t>
      </w:r>
      <w:r>
        <w:rPr>
          <w:rFonts w:ascii="Times New Roman" w:hAnsi="Times New Roman"/>
          <w:szCs w:val="18"/>
          <w:lang w:val="sr-Cyrl-RS"/>
        </w:rPr>
        <w:t xml:space="preserve"> РС</w:t>
      </w:r>
      <w:r w:rsidR="00C107F5">
        <w:rPr>
          <w:rFonts w:ascii="Times New Roman" w:hAnsi="Times New Roman"/>
          <w:szCs w:val="18"/>
          <w:lang w:val="sr-Cyrl-RS"/>
        </w:rPr>
        <w:t xml:space="preserve">ˮ, бр. </w:t>
      </w:r>
      <w:r w:rsidRPr="00FE004C">
        <w:rPr>
          <w:rFonts w:ascii="Times New Roman" w:hAnsi="Times New Roman"/>
          <w:szCs w:val="18"/>
          <w:lang w:val="sr-Cyrl-RS"/>
        </w:rPr>
        <w:t xml:space="preserve"> 62/06, 65/08 – др. </w:t>
      </w:r>
      <w:r>
        <w:rPr>
          <w:rFonts w:ascii="Times New Roman" w:hAnsi="Times New Roman"/>
          <w:szCs w:val="18"/>
          <w:lang w:val="sr-Cyrl-RS"/>
        </w:rPr>
        <w:t>з</w:t>
      </w:r>
      <w:r w:rsidRPr="00FE004C">
        <w:rPr>
          <w:rFonts w:ascii="Times New Roman" w:hAnsi="Times New Roman"/>
          <w:szCs w:val="18"/>
          <w:lang w:val="sr-Cyrl-RS"/>
        </w:rPr>
        <w:t xml:space="preserve">акон, 41/09, 112/15, 80/17 и 95/18 – др. </w:t>
      </w:r>
      <w:r>
        <w:rPr>
          <w:rFonts w:ascii="Times New Roman" w:hAnsi="Times New Roman"/>
          <w:szCs w:val="18"/>
          <w:lang w:val="sr-Cyrl-RS"/>
        </w:rPr>
        <w:t>з</w:t>
      </w:r>
      <w:r w:rsidRPr="00FE004C">
        <w:rPr>
          <w:rFonts w:ascii="Times New Roman" w:hAnsi="Times New Roman"/>
          <w:szCs w:val="18"/>
          <w:lang w:val="sr-Cyrl-RS"/>
        </w:rPr>
        <w:t>акон)</w:t>
      </w:r>
      <w:r w:rsidRPr="00201795">
        <w:rPr>
          <w:rFonts w:ascii="Times New Roman" w:hAnsi="Times New Roman"/>
          <w:szCs w:val="18"/>
          <w:lang w:val="pl-PL"/>
        </w:rPr>
        <w:t>.</w:t>
      </w:r>
    </w:p>
  </w:footnote>
  <w:footnote w:id="45">
    <w:p w14:paraId="6AE2E628" w14:textId="60790AC0" w:rsidR="008B73DA" w:rsidRPr="007F21EA" w:rsidRDefault="008B73DA" w:rsidP="0029378D">
      <w:pPr>
        <w:pStyle w:val="FootnoteText"/>
        <w:spacing w:before="0" w:after="0"/>
        <w:rPr>
          <w:rFonts w:ascii="Times New Roman" w:hAnsi="Times New Roman"/>
          <w:szCs w:val="16"/>
          <w:lang w:val="pl-PL"/>
        </w:rPr>
      </w:pPr>
      <w:r w:rsidRPr="007F21EA">
        <w:rPr>
          <w:rStyle w:val="FootnoteReference"/>
          <w:rFonts w:ascii="Times New Roman" w:hAnsi="Times New Roman"/>
          <w:sz w:val="18"/>
          <w:szCs w:val="16"/>
        </w:rPr>
        <w:footnoteRef/>
      </w:r>
      <w:r w:rsidRPr="007F21EA">
        <w:rPr>
          <w:rFonts w:ascii="Times New Roman" w:hAnsi="Times New Roman"/>
          <w:szCs w:val="16"/>
          <w:lang w:val="pl-PL"/>
        </w:rPr>
        <w:t xml:space="preserve"> Вредности у угластим заградама [ ] у Табели 5</w:t>
      </w:r>
    </w:p>
  </w:footnote>
  <w:footnote w:id="46">
    <w:p w14:paraId="2A072AA3" w14:textId="26D91B34" w:rsidR="008B73DA" w:rsidRPr="007F21EA" w:rsidRDefault="008B73DA" w:rsidP="00C81DD7">
      <w:pPr>
        <w:pStyle w:val="FootnoteText"/>
        <w:spacing w:before="0" w:after="0"/>
        <w:rPr>
          <w:rFonts w:ascii="Times New Roman" w:hAnsi="Times New Roman"/>
          <w:szCs w:val="16"/>
          <w:lang w:val="sl-SI"/>
        </w:rPr>
      </w:pPr>
      <w:r w:rsidRPr="007F21EA">
        <w:rPr>
          <w:rStyle w:val="FootnoteReference"/>
          <w:rFonts w:ascii="Times New Roman" w:hAnsi="Times New Roman"/>
          <w:sz w:val="18"/>
          <w:szCs w:val="16"/>
        </w:rPr>
        <w:footnoteRef/>
      </w:r>
      <w:r w:rsidRPr="007F21EA">
        <w:rPr>
          <w:rFonts w:ascii="Times New Roman" w:hAnsi="Times New Roman"/>
          <w:szCs w:val="16"/>
        </w:rPr>
        <w:t xml:space="preserve"> На пример, кроз пореске олакшице</w:t>
      </w:r>
    </w:p>
  </w:footnote>
  <w:footnote w:id="47">
    <w:p w14:paraId="2FA9ACDB" w14:textId="700CD093" w:rsidR="008B73DA" w:rsidRPr="007F21EA" w:rsidRDefault="008B73DA" w:rsidP="00C81DD7">
      <w:pPr>
        <w:pStyle w:val="FootnoteText"/>
        <w:spacing w:before="0" w:after="0"/>
        <w:rPr>
          <w:rFonts w:ascii="Times New Roman" w:hAnsi="Times New Roman"/>
          <w:szCs w:val="16"/>
          <w:lang w:val="sl-SI"/>
        </w:rPr>
      </w:pPr>
      <w:r w:rsidRPr="007F21EA">
        <w:rPr>
          <w:rStyle w:val="FootnoteReference"/>
          <w:rFonts w:ascii="Times New Roman" w:hAnsi="Times New Roman"/>
          <w:sz w:val="18"/>
          <w:szCs w:val="16"/>
        </w:rPr>
        <w:footnoteRef/>
      </w:r>
      <w:r w:rsidRPr="007F21EA">
        <w:rPr>
          <w:rFonts w:ascii="Times New Roman" w:hAnsi="Times New Roman"/>
          <w:szCs w:val="16"/>
        </w:rPr>
        <w:t xml:space="preserve"> Та алтернативна опција</w:t>
      </w:r>
      <w:r w:rsidRPr="007F21EA">
        <w:rPr>
          <w:rStyle w:val="FootnoteReference"/>
          <w:rFonts w:ascii="Times New Roman" w:hAnsi="Times New Roman"/>
          <w:sz w:val="18"/>
          <w:szCs w:val="16"/>
        </w:rPr>
        <w:t xml:space="preserve"> </w:t>
      </w:r>
      <w:r w:rsidRPr="007F21EA">
        <w:rPr>
          <w:rFonts w:ascii="Times New Roman" w:hAnsi="Times New Roman"/>
          <w:szCs w:val="16"/>
        </w:rPr>
        <w:t xml:space="preserve">такође има позитиван утицај на БДП, као што је и описано у </w:t>
      </w:r>
      <w:r>
        <w:rPr>
          <w:rFonts w:ascii="Times New Roman" w:hAnsi="Times New Roman"/>
          <w:szCs w:val="16"/>
          <w:lang w:val="sr-Cyrl-RS"/>
        </w:rPr>
        <w:t>пододељку</w:t>
      </w:r>
      <w:r w:rsidRPr="007F21EA">
        <w:rPr>
          <w:rFonts w:ascii="Times New Roman" w:hAnsi="Times New Roman"/>
          <w:szCs w:val="16"/>
        </w:rPr>
        <w:t xml:space="preserve"> </w:t>
      </w:r>
      <w:r w:rsidRPr="007F21EA">
        <w:rPr>
          <w:rFonts w:ascii="Times New Roman" w:hAnsi="Times New Roman"/>
          <w:szCs w:val="16"/>
        </w:rPr>
        <w:fldChar w:fldCharType="begin"/>
      </w:r>
      <w:r w:rsidRPr="007F21EA">
        <w:rPr>
          <w:rFonts w:ascii="Times New Roman" w:hAnsi="Times New Roman"/>
          <w:szCs w:val="16"/>
        </w:rPr>
        <w:instrText xml:space="preserve"> REF _Ref26738485 \n \h  \* MERGEFORMAT </w:instrText>
      </w:r>
      <w:r w:rsidRPr="007F21EA">
        <w:rPr>
          <w:rFonts w:ascii="Times New Roman" w:hAnsi="Times New Roman"/>
          <w:szCs w:val="16"/>
        </w:rPr>
      </w:r>
      <w:r w:rsidRPr="007F21EA">
        <w:rPr>
          <w:rFonts w:ascii="Times New Roman" w:hAnsi="Times New Roman"/>
          <w:szCs w:val="16"/>
        </w:rPr>
        <w:fldChar w:fldCharType="separate"/>
      </w:r>
      <w:r w:rsidR="00DA2595">
        <w:rPr>
          <w:rFonts w:ascii="Times New Roman" w:hAnsi="Times New Roman"/>
          <w:szCs w:val="16"/>
        </w:rPr>
        <w:t>5.2.2</w:t>
      </w:r>
      <w:r w:rsidRPr="007F21EA">
        <w:rPr>
          <w:rFonts w:ascii="Times New Roman" w:hAnsi="Times New Roman"/>
          <w:szCs w:val="16"/>
        </w:rPr>
        <w:fldChar w:fldCharType="end"/>
      </w:r>
    </w:p>
  </w:footnote>
  <w:footnote w:id="48">
    <w:p w14:paraId="56235C91" w14:textId="60537AE2" w:rsidR="008B73DA" w:rsidRPr="007F21EA" w:rsidRDefault="008B73DA" w:rsidP="00376011">
      <w:pPr>
        <w:pStyle w:val="FootnoteText"/>
        <w:spacing w:before="0" w:after="0"/>
        <w:rPr>
          <w:rFonts w:ascii="Times New Roman" w:hAnsi="Times New Roman"/>
          <w:szCs w:val="16"/>
        </w:rPr>
      </w:pPr>
      <w:r w:rsidRPr="007F21EA">
        <w:rPr>
          <w:rStyle w:val="FootnoteReference"/>
          <w:rFonts w:ascii="Times New Roman" w:hAnsi="Times New Roman"/>
          <w:sz w:val="18"/>
        </w:rPr>
        <w:footnoteRef/>
      </w:r>
      <w:r w:rsidRPr="007F21EA">
        <w:rPr>
          <w:rFonts w:ascii="Times New Roman" w:hAnsi="Times New Roman"/>
          <w:sz w:val="20"/>
        </w:rPr>
        <w:t xml:space="preserve"> </w:t>
      </w:r>
      <w:r w:rsidRPr="00AE0199">
        <w:rPr>
          <w:rFonts w:ascii="Times New Roman" w:hAnsi="Times New Roman"/>
          <w:szCs w:val="16"/>
        </w:rPr>
        <w:t>Вредност у угластим заградама „[ ]</w:t>
      </w:r>
      <w:r>
        <w:rPr>
          <w:rFonts w:ascii="Times New Roman" w:hAnsi="Times New Roman"/>
          <w:szCs w:val="16"/>
        </w:rPr>
        <w:t>”</w:t>
      </w:r>
      <w:r w:rsidRPr="00AE0199">
        <w:rPr>
          <w:rFonts w:ascii="Times New Roman" w:hAnsi="Times New Roman"/>
          <w:szCs w:val="16"/>
        </w:rPr>
        <w:t xml:space="preserve"> представља утицај на запосленост у случају да се инвестиције финансирају кроз зајмове, а да се приходи од ЕТS-а  </w:t>
      </w:r>
      <w:r w:rsidRPr="00AE0199">
        <w:rPr>
          <w:rFonts w:ascii="Times New Roman" w:hAnsi="Times New Roman"/>
          <w:szCs w:val="16"/>
          <w:lang w:val="sr-Cyrl-RS"/>
        </w:rPr>
        <w:t xml:space="preserve">или других инструмената за одређивање цене угљеника </w:t>
      </w:r>
      <w:r w:rsidRPr="00AE0199">
        <w:rPr>
          <w:rFonts w:ascii="Times New Roman" w:hAnsi="Times New Roman"/>
          <w:szCs w:val="16"/>
        </w:rPr>
        <w:t>користе за подршку имплементацији мера за борбу против климатских промена и, на пример, за смањење трошкова рада, уместо за смањење јавног дуга.</w:t>
      </w:r>
    </w:p>
  </w:footnote>
  <w:footnote w:id="49">
    <w:p w14:paraId="25A2FDE5" w14:textId="7D9E146D" w:rsidR="008B73DA" w:rsidRPr="00FE004C" w:rsidRDefault="008B73DA" w:rsidP="00376011">
      <w:pPr>
        <w:pStyle w:val="FootnoteText"/>
        <w:spacing w:before="0" w:after="0"/>
        <w:rPr>
          <w:rFonts w:ascii="Times New Roman" w:hAnsi="Times New Roman"/>
          <w:lang w:val="sr-Cyrl-RS"/>
        </w:rPr>
      </w:pPr>
      <w:r w:rsidRPr="007F21EA">
        <w:rPr>
          <w:rStyle w:val="FootnoteReference"/>
          <w:rFonts w:ascii="Times New Roman" w:hAnsi="Times New Roman"/>
          <w:sz w:val="18"/>
          <w:szCs w:val="16"/>
        </w:rPr>
        <w:footnoteRef/>
      </w:r>
      <w:r w:rsidRPr="007F21EA">
        <w:rPr>
          <w:rFonts w:ascii="Times New Roman" w:hAnsi="Times New Roman"/>
          <w:szCs w:val="16"/>
        </w:rPr>
        <w:t xml:space="preserve"> </w:t>
      </w:r>
      <w:r>
        <w:rPr>
          <w:rFonts w:ascii="Times New Roman" w:hAnsi="Times New Roman"/>
          <w:szCs w:val="16"/>
          <w:lang w:val="sr-Cyrl-RS"/>
        </w:rPr>
        <w:t>У</w:t>
      </w:r>
      <w:r w:rsidRPr="00FE004C">
        <w:rPr>
          <w:rFonts w:ascii="Times New Roman" w:hAnsi="Times New Roman"/>
          <w:lang w:val="sr-Cyrl-RS"/>
        </w:rPr>
        <w:t xml:space="preserve"> </w:t>
      </w:r>
      <w:r w:rsidRPr="007F21EA">
        <w:rPr>
          <w:rFonts w:ascii="Times New Roman" w:hAnsi="Times New Roman"/>
          <w:szCs w:val="16"/>
        </w:rPr>
        <w:t xml:space="preserve">складу са подацима </w:t>
      </w:r>
      <w:r w:rsidRPr="00207799">
        <w:rPr>
          <w:rFonts w:ascii="Times New Roman" w:hAnsi="Times New Roman"/>
          <w:szCs w:val="16"/>
        </w:rPr>
        <w:t>Републичког завода за статистику</w:t>
      </w:r>
      <w:r w:rsidRPr="007F21EA">
        <w:rPr>
          <w:rFonts w:ascii="Times New Roman" w:hAnsi="Times New Roman"/>
          <w:szCs w:val="16"/>
        </w:rPr>
        <w:t xml:space="preserve"> у ова два сектора, 77% и 89% запослених ради у великим компанијама</w:t>
      </w:r>
      <w:r>
        <w:rPr>
          <w:rFonts w:ascii="Times New Roman" w:hAnsi="Times New Roman"/>
          <w:szCs w:val="16"/>
          <w:lang w:val="sr-Cyrl-RS"/>
        </w:rPr>
        <w:t>.</w:t>
      </w:r>
    </w:p>
  </w:footnote>
  <w:footnote w:id="50">
    <w:p w14:paraId="78F2FE26" w14:textId="129230F1" w:rsidR="008B73DA" w:rsidRPr="007F21EA" w:rsidRDefault="008B73DA" w:rsidP="00376011">
      <w:pPr>
        <w:pStyle w:val="FootnoteText"/>
        <w:spacing w:before="0" w:after="0"/>
        <w:rPr>
          <w:rFonts w:ascii="Times New Roman" w:hAnsi="Times New Roman"/>
          <w:szCs w:val="16"/>
        </w:rPr>
      </w:pPr>
      <w:r w:rsidRPr="007F21EA">
        <w:rPr>
          <w:rStyle w:val="FootnoteReference"/>
          <w:rFonts w:ascii="Times New Roman" w:hAnsi="Times New Roman"/>
          <w:sz w:val="18"/>
          <w:szCs w:val="16"/>
        </w:rPr>
        <w:footnoteRef/>
      </w:r>
      <w:r w:rsidRPr="007F21EA">
        <w:rPr>
          <w:rFonts w:ascii="Times New Roman" w:hAnsi="Times New Roman"/>
          <w:szCs w:val="16"/>
        </w:rPr>
        <w:t xml:space="preserve"> То значи да </w:t>
      </w:r>
      <w:r>
        <w:rPr>
          <w:rFonts w:ascii="Times New Roman" w:hAnsi="Times New Roman"/>
          <w:szCs w:val="16"/>
          <w:lang w:val="sr-Cyrl-RS"/>
        </w:rPr>
        <w:t>ћ</w:t>
      </w:r>
      <w:r w:rsidRPr="007F21EA">
        <w:rPr>
          <w:rFonts w:ascii="Times New Roman" w:hAnsi="Times New Roman"/>
          <w:szCs w:val="16"/>
        </w:rPr>
        <w:t xml:space="preserve">е бити изгубљено више радних места него што </w:t>
      </w:r>
      <w:r>
        <w:rPr>
          <w:rFonts w:ascii="Times New Roman" w:hAnsi="Times New Roman"/>
          <w:szCs w:val="16"/>
          <w:lang w:val="sr-Cyrl-RS"/>
        </w:rPr>
        <w:t>ћ</w:t>
      </w:r>
      <w:r w:rsidRPr="007F21EA">
        <w:rPr>
          <w:rFonts w:ascii="Times New Roman" w:hAnsi="Times New Roman"/>
          <w:szCs w:val="16"/>
        </w:rPr>
        <w:t>е бити створено нових.</w:t>
      </w:r>
    </w:p>
  </w:footnote>
  <w:footnote w:id="51">
    <w:p w14:paraId="1420673C" w14:textId="0F7CFEE5" w:rsidR="008B73DA" w:rsidRPr="00FE004C" w:rsidRDefault="008B73DA" w:rsidP="00376011">
      <w:pPr>
        <w:pStyle w:val="FootnoteText"/>
        <w:spacing w:before="0" w:after="0"/>
        <w:rPr>
          <w:rFonts w:ascii="Times New Roman" w:hAnsi="Times New Roman"/>
          <w:lang w:val="sr-Cyrl-RS"/>
        </w:rPr>
      </w:pPr>
      <w:r w:rsidRPr="007F21EA">
        <w:rPr>
          <w:rStyle w:val="FootnoteReference"/>
          <w:rFonts w:ascii="Times New Roman" w:hAnsi="Times New Roman"/>
          <w:sz w:val="18"/>
          <w:szCs w:val="16"/>
        </w:rPr>
        <w:footnoteRef/>
      </w:r>
      <w:r w:rsidRPr="007F21EA">
        <w:rPr>
          <w:rFonts w:ascii="Times New Roman" w:hAnsi="Times New Roman"/>
          <w:szCs w:val="16"/>
        </w:rPr>
        <w:t xml:space="preserve"> У складу са подацима Републичког завода за статистику у овом сектору, 64% запослених ради у микро, малим и средњим предузећима</w:t>
      </w:r>
      <w:r>
        <w:rPr>
          <w:rFonts w:ascii="Times New Roman" w:hAnsi="Times New Roman"/>
          <w:szCs w:val="16"/>
          <w:lang w:val="sr-Cyrl-RS"/>
        </w:rPr>
        <w:t>.</w:t>
      </w:r>
    </w:p>
  </w:footnote>
  <w:footnote w:id="52">
    <w:p w14:paraId="7B783118" w14:textId="08E13C39" w:rsidR="008B73DA" w:rsidRPr="00613CCE" w:rsidRDefault="008B73DA" w:rsidP="000B18E2">
      <w:pPr>
        <w:rPr>
          <w:rFonts w:ascii="Times New Roman" w:hAnsi="Times New Roman"/>
          <w:sz w:val="20"/>
          <w:szCs w:val="16"/>
        </w:rPr>
      </w:pPr>
      <w:r w:rsidRPr="00613CCE">
        <w:rPr>
          <w:rStyle w:val="FootnoteReference"/>
          <w:rFonts w:ascii="Times New Roman" w:hAnsi="Times New Roman"/>
          <w:sz w:val="20"/>
          <w:szCs w:val="16"/>
        </w:rPr>
        <w:footnoteRef/>
      </w:r>
      <w:r w:rsidRPr="00613CCE">
        <w:rPr>
          <w:rFonts w:ascii="Times New Roman" w:hAnsi="Times New Roman"/>
          <w:sz w:val="18"/>
          <w:szCs w:val="14"/>
        </w:rPr>
        <w:t xml:space="preserve"> Влада </w:t>
      </w:r>
      <w:r>
        <w:rPr>
          <w:rFonts w:ascii="Times New Roman" w:hAnsi="Times New Roman"/>
          <w:sz w:val="18"/>
          <w:szCs w:val="14"/>
        </w:rPr>
        <w:t>Републике Србије</w:t>
      </w:r>
      <w:r w:rsidRPr="00613CCE">
        <w:rPr>
          <w:rFonts w:ascii="Times New Roman" w:hAnsi="Times New Roman"/>
          <w:sz w:val="18"/>
          <w:szCs w:val="14"/>
        </w:rPr>
        <w:t xml:space="preserve"> и Тим Уједињених Нација у </w:t>
      </w:r>
      <w:r>
        <w:rPr>
          <w:rFonts w:ascii="Times New Roman" w:hAnsi="Times New Roman"/>
          <w:sz w:val="18"/>
          <w:szCs w:val="14"/>
        </w:rPr>
        <w:t>Републици Србији</w:t>
      </w:r>
      <w:r w:rsidRPr="00613CCE">
        <w:rPr>
          <w:rFonts w:ascii="Times New Roman" w:hAnsi="Times New Roman"/>
          <w:sz w:val="18"/>
          <w:szCs w:val="14"/>
        </w:rPr>
        <w:t xml:space="preserve"> у</w:t>
      </w:r>
      <w:r w:rsidRPr="00613CCE">
        <w:rPr>
          <w:rFonts w:ascii="Times New Roman" w:hAnsi="Times New Roman"/>
          <w:sz w:val="18"/>
          <w:szCs w:val="14"/>
          <w:lang w:val="sr-Cyrl-RS"/>
        </w:rPr>
        <w:t xml:space="preserve"> </w:t>
      </w:r>
      <w:r w:rsidRPr="00613CCE">
        <w:rPr>
          <w:rStyle w:val="Hyperlink"/>
          <w:rFonts w:ascii="Times New Roman" w:hAnsi="Times New Roman"/>
          <w:sz w:val="18"/>
          <w:szCs w:val="14"/>
        </w:rPr>
        <w:t xml:space="preserve">http://rs.one.un.org/content/unct/serbia/en/home/publications/gender-equality-and-climate-change.html  </w:t>
      </w:r>
      <w:r>
        <w:rPr>
          <w:rFonts w:ascii="Times New Roman" w:hAnsi="Times New Roman"/>
          <w:sz w:val="18"/>
          <w:szCs w:val="14"/>
        </w:rPr>
        <w:t xml:space="preserve">(15. </w:t>
      </w:r>
      <w:r w:rsidRPr="00613CCE">
        <w:rPr>
          <w:rFonts w:ascii="Times New Roman" w:hAnsi="Times New Roman"/>
          <w:sz w:val="18"/>
          <w:szCs w:val="14"/>
        </w:rPr>
        <w:t>мај 2019. године)</w:t>
      </w:r>
    </w:p>
  </w:footnote>
  <w:footnote w:id="53">
    <w:p w14:paraId="707FB022" w14:textId="51C089E1" w:rsidR="008B73DA" w:rsidRPr="007F21EA" w:rsidRDefault="008B73DA" w:rsidP="000B18E2">
      <w:pPr>
        <w:rPr>
          <w:rFonts w:ascii="Times New Roman" w:hAnsi="Times New Roman"/>
          <w:sz w:val="18"/>
          <w:szCs w:val="16"/>
        </w:rPr>
      </w:pPr>
      <w:r w:rsidRPr="007F21EA">
        <w:rPr>
          <w:rStyle w:val="FootnoteReference"/>
          <w:rFonts w:ascii="Times New Roman" w:hAnsi="Times New Roman"/>
          <w:sz w:val="18"/>
          <w:szCs w:val="16"/>
        </w:rPr>
        <w:footnoteRef/>
      </w:r>
      <w:r w:rsidRPr="007F21EA">
        <w:rPr>
          <w:rFonts w:ascii="Times New Roman" w:hAnsi="Times New Roman"/>
          <w:sz w:val="18"/>
          <w:szCs w:val="16"/>
        </w:rPr>
        <w:t xml:space="preserve"> Смањење PМ2.5 значајније је у сценарију М3 него у М4, захваљујући већем коришћењу биомасе у М4.</w:t>
      </w:r>
    </w:p>
  </w:footnote>
  <w:footnote w:id="54">
    <w:p w14:paraId="7A9DC135" w14:textId="6B259524" w:rsidR="008B73DA" w:rsidRPr="00DD2BFE" w:rsidRDefault="008B73DA" w:rsidP="000B18E2">
      <w:pPr>
        <w:rPr>
          <w:rFonts w:ascii="Times New Roman" w:hAnsi="Times New Roman"/>
          <w:sz w:val="18"/>
          <w:szCs w:val="16"/>
        </w:rPr>
      </w:pPr>
      <w:r w:rsidRPr="00376011">
        <w:rPr>
          <w:rStyle w:val="FootnoteReference"/>
          <w:szCs w:val="16"/>
        </w:rPr>
        <w:footnoteRef/>
      </w:r>
      <w:r w:rsidRPr="00376011">
        <w:rPr>
          <w:sz w:val="16"/>
          <w:szCs w:val="16"/>
        </w:rPr>
        <w:t xml:space="preserve"> </w:t>
      </w:r>
      <w:r w:rsidRPr="00DD2BFE">
        <w:rPr>
          <w:rFonts w:ascii="Times New Roman" w:hAnsi="Times New Roman"/>
          <w:sz w:val="18"/>
          <w:szCs w:val="16"/>
        </w:rPr>
        <w:t>За потребе ових процена, трошкови су подељени на онога ко улаже, без обзира на способност пребацивања трошкова инвестиције на потрошаче кроз увећану вредност производа, без обзира на јавне субвенције или подстицаје које је примио. Сматра се да инвеститори представљају предузе</w:t>
      </w:r>
      <w:r>
        <w:rPr>
          <w:rFonts w:ascii="Times New Roman" w:hAnsi="Times New Roman"/>
          <w:sz w:val="18"/>
          <w:szCs w:val="16"/>
          <w:lang w:val="sr-Cyrl-RS"/>
        </w:rPr>
        <w:t>ћ</w:t>
      </w:r>
      <w:r w:rsidRPr="00DD2BFE">
        <w:rPr>
          <w:rFonts w:ascii="Times New Roman" w:hAnsi="Times New Roman"/>
          <w:sz w:val="18"/>
          <w:szCs w:val="16"/>
        </w:rPr>
        <w:t>а, јавна или приватна, и пољопривреднике, а потрошачи представљају дома</w:t>
      </w:r>
      <w:r>
        <w:rPr>
          <w:rFonts w:ascii="Times New Roman" w:hAnsi="Times New Roman"/>
          <w:sz w:val="18"/>
          <w:szCs w:val="16"/>
          <w:lang w:val="sr-Cyrl-RS"/>
        </w:rPr>
        <w:t>ћ</w:t>
      </w:r>
      <w:r w:rsidRPr="00DD2BFE">
        <w:rPr>
          <w:rFonts w:ascii="Times New Roman" w:hAnsi="Times New Roman"/>
          <w:sz w:val="18"/>
          <w:szCs w:val="16"/>
        </w:rPr>
        <w:t>инства, а држава представља државне инвестиције из државног буџета.</w:t>
      </w:r>
    </w:p>
  </w:footnote>
  <w:footnote w:id="55">
    <w:p w14:paraId="6911F945" w14:textId="3229F075" w:rsidR="008B73DA" w:rsidRPr="00530B3F" w:rsidRDefault="008B73DA" w:rsidP="000B18E2">
      <w:pPr>
        <w:spacing w:before="0" w:after="0"/>
        <w:rPr>
          <w:rFonts w:ascii="Times New Roman" w:hAnsi="Times New Roman"/>
          <w:sz w:val="18"/>
          <w:szCs w:val="16"/>
        </w:rPr>
      </w:pPr>
      <w:r w:rsidRPr="00530B3F">
        <w:rPr>
          <w:rStyle w:val="FootnoteReference"/>
          <w:rFonts w:ascii="Times New Roman" w:hAnsi="Times New Roman"/>
          <w:sz w:val="18"/>
          <w:szCs w:val="16"/>
        </w:rPr>
        <w:footnoteRef/>
      </w:r>
      <w:r w:rsidRPr="00530B3F">
        <w:rPr>
          <w:rFonts w:ascii="Times New Roman" w:hAnsi="Times New Roman"/>
          <w:sz w:val="18"/>
          <w:szCs w:val="16"/>
        </w:rPr>
        <w:t xml:space="preserve"> Овде нису обухваћени сектори где су инвестиционе потребе ниже него у основном сценарију.</w:t>
      </w:r>
    </w:p>
  </w:footnote>
  <w:footnote w:id="56">
    <w:p w14:paraId="1475A35E" w14:textId="11586DED" w:rsidR="008B73DA" w:rsidRPr="00613CCE" w:rsidRDefault="008B73DA" w:rsidP="000B18E2">
      <w:pPr>
        <w:pStyle w:val="FootnoteText"/>
        <w:tabs>
          <w:tab w:val="clear" w:pos="284"/>
          <w:tab w:val="left" w:pos="0"/>
        </w:tabs>
        <w:ind w:left="0" w:firstLine="0"/>
        <w:jc w:val="both"/>
        <w:rPr>
          <w:rFonts w:ascii="Times New Roman" w:hAnsi="Times New Roman"/>
          <w:szCs w:val="18"/>
        </w:rPr>
      </w:pPr>
      <w:r w:rsidRPr="00DD2BFE">
        <w:rPr>
          <w:rStyle w:val="FootnoteReference"/>
          <w:rFonts w:ascii="Times New Roman" w:hAnsi="Times New Roman"/>
        </w:rPr>
        <w:footnoteRef/>
      </w:r>
      <w:r w:rsidRPr="00DD2BFE">
        <w:rPr>
          <w:rFonts w:ascii="Times New Roman" w:hAnsi="Times New Roman"/>
        </w:rPr>
        <w:t xml:space="preserve"> </w:t>
      </w:r>
      <w:bookmarkStart w:id="328" w:name="_Hlk27355807"/>
      <w:r w:rsidRPr="00DD2BFE">
        <w:rPr>
          <w:rFonts w:ascii="Times New Roman" w:hAnsi="Times New Roman"/>
          <w:szCs w:val="18"/>
        </w:rPr>
        <w:t xml:space="preserve">Мера </w:t>
      </w:r>
      <w:r w:rsidRPr="00AA1275">
        <w:rPr>
          <w:rFonts w:ascii="Times New Roman" w:hAnsi="Times New Roman"/>
          <w:szCs w:val="18"/>
        </w:rPr>
        <w:t>„</w:t>
      </w:r>
      <w:r>
        <w:rPr>
          <w:rFonts w:ascii="Times New Roman" w:hAnsi="Times New Roman"/>
          <w:szCs w:val="18"/>
          <w:lang w:val="sr-Cyrl-RS"/>
        </w:rPr>
        <w:t>Таксе и акцизе на енергију и увођење цене на угљеник</w:t>
      </w:r>
      <w:r>
        <w:rPr>
          <w:rFonts w:ascii="Times New Roman" w:hAnsi="Times New Roman"/>
          <w:szCs w:val="18"/>
        </w:rPr>
        <w:t>”</w:t>
      </w:r>
      <w:r w:rsidRPr="00DD2BFE">
        <w:rPr>
          <w:rFonts w:ascii="Times New Roman" w:hAnsi="Times New Roman"/>
          <w:szCs w:val="18"/>
        </w:rPr>
        <w:t xml:space="preserve"> није укључена у табелу јер она није повезана са инвестиционим трошковима (што</w:t>
      </w:r>
      <w:r>
        <w:rPr>
          <w:rFonts w:ascii="Times New Roman" w:hAnsi="Times New Roman"/>
          <w:szCs w:val="18"/>
        </w:rPr>
        <w:t xml:space="preserve"> се тиче ЕТS-а, ова мера покрећ</w:t>
      </w:r>
      <w:r w:rsidRPr="00DD2BFE">
        <w:rPr>
          <w:rFonts w:ascii="Times New Roman" w:hAnsi="Times New Roman"/>
          <w:szCs w:val="18"/>
        </w:rPr>
        <w:t>е улагања у ОИЕ и енергетску ефикасност, како је представљено у овој табели). Поред тога, побољша</w:t>
      </w:r>
      <w:r>
        <w:rPr>
          <w:rFonts w:ascii="Times New Roman" w:hAnsi="Times New Roman"/>
          <w:szCs w:val="18"/>
        </w:rPr>
        <w:t>ње енергетске ефикасности и већ</w:t>
      </w:r>
      <w:r w:rsidRPr="00DD2BFE">
        <w:rPr>
          <w:rFonts w:ascii="Times New Roman" w:hAnsi="Times New Roman"/>
          <w:szCs w:val="18"/>
        </w:rPr>
        <w:t xml:space="preserve">а употреба конгенерације и ОИЕ у системима даљинског грејања укључена је у примену </w:t>
      </w:r>
      <w:r>
        <w:rPr>
          <w:rFonts w:ascii="Times New Roman" w:hAnsi="Times New Roman"/>
          <w:szCs w:val="18"/>
        </w:rPr>
        <w:t>ЕТS-</w:t>
      </w:r>
      <w:r>
        <w:rPr>
          <w:rFonts w:ascii="Times New Roman" w:hAnsi="Times New Roman"/>
          <w:szCs w:val="18"/>
          <w:lang w:val="sr-Cyrl-RS"/>
        </w:rPr>
        <w:t>а</w:t>
      </w:r>
      <w:r>
        <w:rPr>
          <w:rFonts w:ascii="Times New Roman" w:hAnsi="Times New Roman"/>
          <w:szCs w:val="18"/>
        </w:rPr>
        <w:t xml:space="preserve"> и у пове</w:t>
      </w:r>
      <w:r>
        <w:rPr>
          <w:rFonts w:ascii="Times New Roman" w:hAnsi="Times New Roman"/>
          <w:szCs w:val="18"/>
          <w:lang w:val="sr-Cyrl-RS"/>
        </w:rPr>
        <w:t>ћ</w:t>
      </w:r>
      <w:r w:rsidRPr="00DD2BFE">
        <w:rPr>
          <w:rFonts w:ascii="Times New Roman" w:hAnsi="Times New Roman"/>
          <w:szCs w:val="18"/>
        </w:rPr>
        <w:t>ање употребе ОИЕ у производњу електричне енергије</w:t>
      </w:r>
      <w:bookmarkEnd w:id="328"/>
    </w:p>
  </w:footnote>
  <w:footnote w:id="57">
    <w:p w14:paraId="0AA399F5" w14:textId="374AB04C" w:rsidR="008B73DA" w:rsidRPr="00C85772" w:rsidRDefault="008B73DA">
      <w:pPr>
        <w:pStyle w:val="FootnoteText"/>
        <w:rPr>
          <w:rFonts w:ascii="Times New Roman" w:hAnsi="Times New Roman"/>
          <w:lang w:val="en-US"/>
        </w:rPr>
      </w:pPr>
      <w:r>
        <w:rPr>
          <w:rStyle w:val="FootnoteReference"/>
        </w:rPr>
        <w:footnoteRef/>
      </w:r>
      <w:r>
        <w:t xml:space="preserve"> </w:t>
      </w:r>
      <w:r w:rsidRPr="00C85772">
        <w:rPr>
          <w:rFonts w:ascii="Times New Roman" w:hAnsi="Times New Roman"/>
        </w:rPr>
        <w:t xml:space="preserve">Трошкови у области енергетике наведени у овој табели, укључујући и енергетску ефикасност, као и структура ових трошкова по делатностима, технологијама и активностима су предмет детаљних анализа у оквиру Интегрисаног националног енергетског и климатског плана и биће допуњени </w:t>
      </w:r>
      <w:r w:rsidR="00A95C1A">
        <w:rPr>
          <w:rFonts w:ascii="Times New Roman" w:hAnsi="Times New Roman"/>
        </w:rPr>
        <w:t>у складу са тим и одређени тим п</w:t>
      </w:r>
      <w:r w:rsidRPr="00C85772">
        <w:rPr>
          <w:rFonts w:ascii="Times New Roman" w:hAnsi="Times New Roman"/>
        </w:rPr>
        <w:t>ланом.</w:t>
      </w:r>
    </w:p>
  </w:footnote>
  <w:footnote w:id="58">
    <w:p w14:paraId="317BFDEE" w14:textId="7CCB7AB1" w:rsidR="008B73DA" w:rsidRPr="00FE004C" w:rsidRDefault="008B73DA">
      <w:pPr>
        <w:pStyle w:val="FootnoteText"/>
        <w:rPr>
          <w:rFonts w:ascii="Times New Roman" w:hAnsi="Times New Roman"/>
          <w:lang w:val="sr-Cyrl-RS"/>
        </w:rPr>
      </w:pPr>
      <w:r w:rsidRPr="00FE004C">
        <w:rPr>
          <w:rStyle w:val="FootnoteReference"/>
          <w:rFonts w:ascii="Times New Roman" w:hAnsi="Times New Roman"/>
        </w:rPr>
        <w:footnoteRef/>
      </w:r>
      <w:r w:rsidRPr="00FE004C">
        <w:rPr>
          <w:rFonts w:ascii="Times New Roman" w:hAnsi="Times New Roman"/>
        </w:rPr>
        <w:t xml:space="preserve"> </w:t>
      </w:r>
      <w:r w:rsidRPr="00FE004C">
        <w:rPr>
          <w:rFonts w:ascii="Times New Roman" w:hAnsi="Times New Roman"/>
          <w:lang w:val="sr-Cyrl-RS"/>
        </w:rPr>
        <w:t xml:space="preserve">Кад је ЕУ увела </w:t>
      </w:r>
      <w:r w:rsidRPr="00FE004C">
        <w:rPr>
          <w:rFonts w:ascii="Times New Roman" w:hAnsi="Times New Roman"/>
        </w:rPr>
        <w:t xml:space="preserve">EU-ETS </w:t>
      </w:r>
      <w:r w:rsidRPr="00FE004C">
        <w:rPr>
          <w:rFonts w:ascii="Times New Roman" w:hAnsi="Times New Roman"/>
          <w:lang w:val="sr-Cyrl-RS"/>
        </w:rPr>
        <w:t xml:space="preserve">2005. године, произвођачи електричне енергије и инсдустријска постројења су добила бесплатне дозволе за емитовање </w:t>
      </w:r>
      <w:r w:rsidRPr="00FE004C">
        <w:rPr>
          <w:rFonts w:ascii="Times New Roman" w:hAnsi="Times New Roman"/>
        </w:rPr>
        <w:t xml:space="preserve">GHG </w:t>
      </w:r>
      <w:r w:rsidRPr="00FE004C">
        <w:rPr>
          <w:rFonts w:ascii="Times New Roman" w:hAnsi="Times New Roman"/>
          <w:lang w:val="sr-Cyrl-RS"/>
        </w:rPr>
        <w:t xml:space="preserve">емисија. </w:t>
      </w:r>
      <w:r w:rsidR="00BB0AA2">
        <w:rPr>
          <w:rFonts w:ascii="Times New Roman" w:hAnsi="Times New Roman"/>
          <w:lang w:val="sr-Cyrl-RS"/>
        </w:rPr>
        <w:t>После</w:t>
      </w:r>
      <w:r w:rsidRPr="00FE004C">
        <w:rPr>
          <w:rFonts w:ascii="Times New Roman" w:hAnsi="Times New Roman"/>
          <w:lang w:val="sr-Cyrl-RS"/>
        </w:rPr>
        <w:t xml:space="preserve"> 2013. године, произвођачи електричне енергије нису добили бесплатне дозволе, док су индустријска постројења добила бесплатне дозволе на основу ЕУ референтне вредности (engl. </w:t>
      </w:r>
      <w:r w:rsidRPr="00FE004C">
        <w:rPr>
          <w:rFonts w:ascii="Times New Roman" w:hAnsi="Times New Roman"/>
          <w:i/>
          <w:lang w:val="sr-Cyrl-RS"/>
        </w:rPr>
        <w:t>benchmark</w:t>
      </w:r>
      <w:r w:rsidRPr="00FE004C">
        <w:rPr>
          <w:rFonts w:ascii="Times New Roman" w:hAnsi="Times New Roman"/>
          <w:lang w:val="sr-Cyrl-RS"/>
        </w:rPr>
        <w:t>).</w:t>
      </w:r>
    </w:p>
  </w:footnote>
  <w:footnote w:id="59">
    <w:p w14:paraId="0153177F" w14:textId="087DC7F6" w:rsidR="008B73DA" w:rsidRPr="00807599" w:rsidRDefault="008B73DA">
      <w:pPr>
        <w:pStyle w:val="FootnoteText"/>
        <w:rPr>
          <w:lang w:val="sr-Cyrl-RS"/>
        </w:rPr>
      </w:pPr>
      <w:r w:rsidRPr="00807599">
        <w:rPr>
          <w:rFonts w:ascii="Times New Roman" w:hAnsi="Times New Roman"/>
          <w:szCs w:val="14"/>
        </w:rPr>
        <w:footnoteRef/>
      </w:r>
      <w:r w:rsidRPr="00807599">
        <w:rPr>
          <w:rFonts w:ascii="Times New Roman" w:hAnsi="Times New Roman"/>
          <w:szCs w:val="14"/>
        </w:rPr>
        <w:t xml:space="preserve"> Под претпоставком да се EU-ETS у </w:t>
      </w:r>
      <w:r>
        <w:rPr>
          <w:rFonts w:ascii="Times New Roman" w:hAnsi="Times New Roman"/>
          <w:szCs w:val="14"/>
        </w:rPr>
        <w:t>Републици Србији</w:t>
      </w:r>
      <w:r w:rsidRPr="00807599">
        <w:rPr>
          <w:rFonts w:ascii="Times New Roman" w:hAnsi="Times New Roman"/>
          <w:szCs w:val="14"/>
        </w:rPr>
        <w:t xml:space="preserve"> спроводи од 2030. године надаље. Уколико се EU-ET</w:t>
      </w:r>
      <w:r>
        <w:rPr>
          <w:rFonts w:ascii="Times New Roman" w:hAnsi="Times New Roman"/>
          <w:szCs w:val="14"/>
          <w:lang w:val="en-US"/>
        </w:rPr>
        <w:t>S</w:t>
      </w:r>
      <w:r w:rsidRPr="00807599">
        <w:rPr>
          <w:rFonts w:ascii="Times New Roman" w:hAnsi="Times New Roman"/>
          <w:szCs w:val="14"/>
        </w:rPr>
        <w:t xml:space="preserve"> не буде спроводио од 2030. године, процењени приходи би остали.</w:t>
      </w:r>
    </w:p>
  </w:footnote>
  <w:footnote w:id="60">
    <w:p w14:paraId="2D3FE730" w14:textId="67D5F7EB" w:rsidR="008B73DA" w:rsidRPr="00DD2BFE" w:rsidRDefault="008B73DA" w:rsidP="00B47215">
      <w:pPr>
        <w:rPr>
          <w:rFonts w:ascii="Times New Roman" w:hAnsi="Times New Roman"/>
          <w:sz w:val="24"/>
        </w:rPr>
      </w:pPr>
      <w:r w:rsidRPr="00DD2BFE">
        <w:rPr>
          <w:rStyle w:val="FootnoteReference"/>
          <w:rFonts w:ascii="Times New Roman" w:hAnsi="Times New Roman"/>
          <w:sz w:val="18"/>
        </w:rPr>
        <w:footnoteRef/>
      </w:r>
      <w:r w:rsidRPr="00DD2BFE">
        <w:rPr>
          <w:rFonts w:ascii="Times New Roman" w:hAnsi="Times New Roman"/>
          <w:sz w:val="24"/>
        </w:rPr>
        <w:t xml:space="preserve"> </w:t>
      </w:r>
      <w:r w:rsidRPr="00DD2BFE">
        <w:rPr>
          <w:rFonts w:ascii="Times New Roman" w:hAnsi="Times New Roman"/>
          <w:sz w:val="18"/>
          <w:szCs w:val="14"/>
        </w:rPr>
        <w:t>Финална потрошња се односи на горива које је потрошио крајњи корисник, попут домаћинстава, транспортно-комерцијални и институционални секто</w:t>
      </w:r>
      <w:r>
        <w:rPr>
          <w:rFonts w:ascii="Times New Roman" w:hAnsi="Times New Roman"/>
          <w:sz w:val="18"/>
          <w:szCs w:val="14"/>
        </w:rPr>
        <w:t>р и индустрија која није обухва</w:t>
      </w:r>
      <w:r>
        <w:rPr>
          <w:rFonts w:ascii="Times New Roman" w:hAnsi="Times New Roman"/>
          <w:sz w:val="18"/>
          <w:szCs w:val="14"/>
          <w:lang w:val="sr-Cyrl-RS"/>
        </w:rPr>
        <w:t>ћ</w:t>
      </w:r>
      <w:r w:rsidRPr="00DD2BFE">
        <w:rPr>
          <w:rFonts w:ascii="Times New Roman" w:hAnsi="Times New Roman"/>
          <w:sz w:val="18"/>
          <w:szCs w:val="14"/>
        </w:rPr>
        <w:t>ена ЕТS-ом.</w:t>
      </w:r>
    </w:p>
  </w:footnote>
  <w:footnote w:id="61">
    <w:p w14:paraId="38670248" w14:textId="5C6CD7F2" w:rsidR="008B73DA" w:rsidRPr="00807599" w:rsidRDefault="008B73DA">
      <w:pPr>
        <w:pStyle w:val="FootnoteText"/>
        <w:rPr>
          <w:lang w:val="sr-Cyrl-RS"/>
        </w:rPr>
      </w:pPr>
      <w:r w:rsidRPr="00807599">
        <w:rPr>
          <w:rFonts w:ascii="Times New Roman" w:hAnsi="Times New Roman"/>
          <w:szCs w:val="14"/>
        </w:rPr>
        <w:footnoteRef/>
      </w:r>
      <w:r w:rsidRPr="00807599">
        <w:rPr>
          <w:rFonts w:ascii="Times New Roman" w:hAnsi="Times New Roman"/>
          <w:szCs w:val="14"/>
        </w:rPr>
        <w:t xml:space="preserve"> Услед COVID-19 буџет за Шумски фонд је смањен на 606 милиона динара, док је Буџетски фонд за шуме </w:t>
      </w:r>
      <w:r>
        <w:rPr>
          <w:rFonts w:ascii="Times New Roman" w:hAnsi="Times New Roman"/>
          <w:szCs w:val="14"/>
          <w:lang w:val="sr-Cyrl-RS"/>
        </w:rPr>
        <w:t>АП Војводине</w:t>
      </w:r>
      <w:r w:rsidRPr="00807599">
        <w:rPr>
          <w:rFonts w:ascii="Times New Roman" w:hAnsi="Times New Roman"/>
          <w:szCs w:val="14"/>
        </w:rPr>
        <w:t xml:space="preserve"> смањен на 73 милиона динара.</w:t>
      </w:r>
    </w:p>
  </w:footnote>
  <w:footnote w:id="62">
    <w:p w14:paraId="4FEF433E" w14:textId="252ECA58" w:rsidR="008B73DA" w:rsidRPr="00D50750" w:rsidRDefault="008B73DA">
      <w:pPr>
        <w:pStyle w:val="FootnoteText"/>
        <w:rPr>
          <w:rFonts w:ascii="Times New Roman" w:hAnsi="Times New Roman"/>
          <w:lang w:val="sr-Cyrl-RS"/>
        </w:rPr>
      </w:pPr>
      <w:r w:rsidRPr="00D50750">
        <w:rPr>
          <w:rStyle w:val="FootnoteReference"/>
          <w:rFonts w:ascii="Times New Roman" w:hAnsi="Times New Roman"/>
        </w:rPr>
        <w:footnoteRef/>
      </w:r>
      <w:r w:rsidRPr="00D50750">
        <w:rPr>
          <w:rFonts w:ascii="Times New Roman" w:hAnsi="Times New Roman"/>
        </w:rPr>
        <w:t xml:space="preserve"> </w:t>
      </w:r>
      <w:r w:rsidR="00BB0AA2">
        <w:rPr>
          <w:rFonts w:ascii="Times New Roman" w:hAnsi="Times New Roman"/>
          <w:lang w:val="sr-Cyrl-RS"/>
        </w:rPr>
        <w:t>После</w:t>
      </w:r>
      <w:r w:rsidRPr="00D50750">
        <w:rPr>
          <w:rFonts w:ascii="Times New Roman" w:hAnsi="Times New Roman"/>
          <w:lang w:val="sr-Cyrl-RS"/>
        </w:rPr>
        <w:t xml:space="preserve"> уласка у ЕУ (2025. године као пројектоване године уласка) </w:t>
      </w:r>
      <w:r>
        <w:rPr>
          <w:rFonts w:ascii="Times New Roman" w:hAnsi="Times New Roman"/>
          <w:lang w:val="sr-Cyrl-RS"/>
        </w:rPr>
        <w:t>Република Србија</w:t>
      </w:r>
      <w:r w:rsidRPr="00D50750">
        <w:rPr>
          <w:rFonts w:ascii="Times New Roman" w:hAnsi="Times New Roman"/>
          <w:lang w:val="sr-Cyrl-RS"/>
        </w:rPr>
        <w:t xml:space="preserve"> ће бити корисник</w:t>
      </w:r>
      <w:r w:rsidRPr="00D50750">
        <w:rPr>
          <w:rFonts w:ascii="Times New Roman" w:hAnsi="Times New Roman"/>
          <w:sz w:val="24"/>
          <w:szCs w:val="22"/>
        </w:rPr>
        <w:t xml:space="preserve"> </w:t>
      </w:r>
      <w:r w:rsidRPr="00FE004C">
        <w:rPr>
          <w:rFonts w:ascii="Times New Roman" w:hAnsi="Times New Roman"/>
          <w:szCs w:val="18"/>
        </w:rPr>
        <w:t>IPA</w:t>
      </w:r>
      <w:r w:rsidRPr="00D50750">
        <w:rPr>
          <w:rFonts w:ascii="Times New Roman" w:hAnsi="Times New Roman"/>
          <w:lang w:val="sr-Cyrl-RS"/>
        </w:rPr>
        <w:t xml:space="preserve"> фондове две додатне године, а део европског буџета од 2028. године и надаље.</w:t>
      </w:r>
    </w:p>
  </w:footnote>
  <w:footnote w:id="63">
    <w:p w14:paraId="69DCE7D3" w14:textId="79CF3EF4" w:rsidR="008B73DA" w:rsidRPr="00FE004C" w:rsidRDefault="008B73DA" w:rsidP="0057451A">
      <w:pPr>
        <w:spacing w:before="0" w:after="0"/>
        <w:rPr>
          <w:rFonts w:ascii="Times New Roman" w:hAnsi="Times New Roman"/>
          <w:sz w:val="18"/>
          <w:szCs w:val="18"/>
          <w:lang w:val="sr-Cyrl-RS"/>
        </w:rPr>
      </w:pPr>
      <w:r>
        <w:rPr>
          <w:rStyle w:val="FootnoteReference"/>
        </w:rPr>
        <w:footnoteRef/>
      </w:r>
      <w:r>
        <w:t xml:space="preserve"> </w:t>
      </w:r>
      <w:r w:rsidRPr="009F4B14">
        <w:rPr>
          <w:rFonts w:ascii="Times New Roman" w:hAnsi="Times New Roman"/>
          <w:sz w:val="18"/>
          <w:szCs w:val="18"/>
          <w:lang w:val="en-US"/>
        </w:rPr>
        <w:t>Републи</w:t>
      </w:r>
      <w:r w:rsidR="00F82430">
        <w:rPr>
          <w:rFonts w:ascii="Times New Roman" w:hAnsi="Times New Roman"/>
          <w:sz w:val="18"/>
          <w:szCs w:val="18"/>
        </w:rPr>
        <w:t>чки з</w:t>
      </w:r>
      <w:r w:rsidR="005F638D">
        <w:rPr>
          <w:rFonts w:ascii="Times New Roman" w:hAnsi="Times New Roman"/>
          <w:sz w:val="18"/>
          <w:szCs w:val="18"/>
        </w:rPr>
        <w:t>авод з</w:t>
      </w:r>
      <w:r w:rsidRPr="009F4B14">
        <w:rPr>
          <w:rFonts w:ascii="Times New Roman" w:hAnsi="Times New Roman"/>
          <w:sz w:val="18"/>
          <w:szCs w:val="18"/>
        </w:rPr>
        <w:t>а статистику</w:t>
      </w:r>
    </w:p>
  </w:footnote>
  <w:footnote w:id="64">
    <w:p w14:paraId="083BC000" w14:textId="04DB3A65" w:rsidR="008B73DA" w:rsidRPr="00DD2BFE" w:rsidRDefault="008B73DA" w:rsidP="0057451A">
      <w:pPr>
        <w:pStyle w:val="HTMLPreformatted"/>
        <w:spacing w:before="0" w:after="0"/>
        <w:rPr>
          <w:rFonts w:ascii="Times New Roman" w:hAnsi="Times New Roman" w:cs="Times New Roman"/>
          <w:sz w:val="18"/>
          <w:szCs w:val="18"/>
          <w:lang w:val="en-US"/>
        </w:rPr>
      </w:pPr>
      <w:r w:rsidRPr="00DD2BFE">
        <w:rPr>
          <w:rStyle w:val="FootnoteReference"/>
          <w:rFonts w:ascii="Times New Roman" w:hAnsi="Times New Roman" w:cs="Times New Roman"/>
          <w:sz w:val="18"/>
          <w:szCs w:val="18"/>
        </w:rPr>
        <w:footnoteRef/>
      </w:r>
      <w:r w:rsidRPr="00DD2BFE">
        <w:rPr>
          <w:rFonts w:ascii="Times New Roman" w:hAnsi="Times New Roman" w:cs="Times New Roman"/>
          <w:sz w:val="18"/>
          <w:szCs w:val="18"/>
        </w:rPr>
        <w:t xml:space="preserve"> </w:t>
      </w:r>
      <w:bookmarkStart w:id="397" w:name="_Hlk27358388"/>
      <w:r w:rsidRPr="00DD2BFE">
        <w:rPr>
          <w:rFonts w:ascii="Times New Roman" w:hAnsi="Times New Roman" w:cs="Times New Roman"/>
          <w:sz w:val="18"/>
          <w:szCs w:val="18"/>
          <w:lang w:eastAsia="de-DE"/>
        </w:rPr>
        <w:t xml:space="preserve">Уобичајни формат извештавања </w:t>
      </w:r>
      <w:bookmarkEnd w:id="397"/>
      <w:r w:rsidRPr="00DD2BFE">
        <w:rPr>
          <w:rFonts w:ascii="Times New Roman" w:hAnsi="Times New Roman" w:cs="Times New Roman"/>
          <w:sz w:val="18"/>
          <w:szCs w:val="18"/>
          <w:lang w:eastAsia="de-DE"/>
        </w:rPr>
        <w:t>(engl. Common Reporting Format -CRF)</w:t>
      </w:r>
    </w:p>
  </w:footnote>
  <w:footnote w:id="65">
    <w:p w14:paraId="603C7FF1" w14:textId="26782623" w:rsidR="008B73DA" w:rsidRPr="00DD2BFE" w:rsidRDefault="008B73DA" w:rsidP="00DD2BFE">
      <w:pPr>
        <w:spacing w:before="0" w:after="0"/>
        <w:rPr>
          <w:rFonts w:ascii="Times New Roman" w:hAnsi="Times New Roman"/>
          <w:sz w:val="18"/>
          <w:szCs w:val="18"/>
          <w:lang w:val="en-US"/>
        </w:rPr>
      </w:pPr>
      <w:r w:rsidRPr="00DD2BFE">
        <w:rPr>
          <w:rFonts w:ascii="Times New Roman" w:hAnsi="Times New Roman"/>
          <w:sz w:val="18"/>
          <w:szCs w:val="18"/>
          <w:lang w:val="en-US"/>
        </w:rPr>
        <w:footnoteRef/>
      </w:r>
      <w:r w:rsidRPr="00DD2BFE">
        <w:rPr>
          <w:rFonts w:ascii="Times New Roman" w:hAnsi="Times New Roman"/>
          <w:sz w:val="18"/>
          <w:szCs w:val="18"/>
          <w:lang w:val="en-US"/>
        </w:rPr>
        <w:t xml:space="preserve"> Прелиминарне вредности за 2030. и 2050. годину подложне су изменама у складу са кључним показатељима учинка Националног плана о образовању о климатским променама, обуци за нове вештине и подизању свести.</w:t>
      </w:r>
    </w:p>
  </w:footnote>
  <w:footnote w:id="66">
    <w:p w14:paraId="6B13A4F8" w14:textId="6FA084D6" w:rsidR="008B73DA" w:rsidRPr="00807599" w:rsidRDefault="008B73DA">
      <w:pPr>
        <w:pStyle w:val="FootnoteText"/>
        <w:rPr>
          <w:rFonts w:ascii="Times New Roman" w:hAnsi="Times New Roman"/>
          <w:szCs w:val="18"/>
          <w:lang w:val="en-US"/>
        </w:rPr>
      </w:pPr>
      <w:r w:rsidRPr="00807599">
        <w:rPr>
          <w:rFonts w:ascii="Times New Roman" w:hAnsi="Times New Roman"/>
          <w:szCs w:val="18"/>
          <w:lang w:val="en-US"/>
        </w:rPr>
        <w:footnoteRef/>
      </w:r>
      <w:r w:rsidRPr="00807599">
        <w:rPr>
          <w:rFonts w:ascii="Times New Roman" w:hAnsi="Times New Roman"/>
          <w:szCs w:val="18"/>
          <w:lang w:val="en-US"/>
        </w:rPr>
        <w:t xml:space="preserve"> Обавезивање ће бити операционализовано кроз уговорни механизма за смањење емисија између Министарства заштит</w:t>
      </w:r>
      <w:r>
        <w:rPr>
          <w:rFonts w:ascii="Times New Roman" w:hAnsi="Times New Roman"/>
          <w:szCs w:val="18"/>
          <w:lang w:val="sr-Cyrl-RS"/>
        </w:rPr>
        <w:t>е</w:t>
      </w:r>
      <w:r w:rsidRPr="00807599">
        <w:rPr>
          <w:rFonts w:ascii="Times New Roman" w:hAnsi="Times New Roman"/>
          <w:szCs w:val="18"/>
          <w:lang w:val="en-US"/>
        </w:rPr>
        <w:t xml:space="preserve"> животне средине и оператера постројења.</w:t>
      </w:r>
    </w:p>
  </w:footnote>
  <w:footnote w:id="67">
    <w:p w14:paraId="7305861A" w14:textId="7C14F84E" w:rsidR="008B73DA" w:rsidRPr="00FF3834" w:rsidRDefault="008B73DA">
      <w:pPr>
        <w:pStyle w:val="FootnoteText"/>
        <w:rPr>
          <w:lang w:val="sr-Cyrl-RS"/>
        </w:rPr>
      </w:pPr>
      <w:r w:rsidRPr="00807599">
        <w:rPr>
          <w:rFonts w:ascii="Times New Roman" w:hAnsi="Times New Roman"/>
          <w:szCs w:val="18"/>
          <w:lang w:val="en-US"/>
        </w:rPr>
        <w:footnoteRef/>
      </w:r>
      <w:r w:rsidRPr="00807599">
        <w:rPr>
          <w:rFonts w:ascii="Times New Roman" w:hAnsi="Times New Roman"/>
          <w:szCs w:val="18"/>
          <w:lang w:val="en-US"/>
        </w:rPr>
        <w:t xml:space="preserve"> Имплементација мониторинга, извештавања и</w:t>
      </w:r>
      <w:r w:rsidRPr="00FE6144">
        <w:rPr>
          <w:rFonts w:ascii="Times New Roman" w:hAnsi="Times New Roman"/>
          <w:szCs w:val="18"/>
          <w:lang w:val="en-US"/>
        </w:rPr>
        <w:t xml:space="preserve"> верификације је предуслов за мониторинг</w:t>
      </w:r>
      <w:r w:rsidRPr="00807599">
        <w:rPr>
          <w:rFonts w:ascii="Times New Roman" w:hAnsi="Times New Roman"/>
          <w:szCs w:val="18"/>
          <w:lang w:val="en-US"/>
        </w:rPr>
        <w:t xml:space="preserve"> усклађености са мерама</w:t>
      </w:r>
      <w:r>
        <w:rPr>
          <w:rFonts w:ascii="Times New Roman" w:hAnsi="Times New Roman"/>
          <w:szCs w:val="18"/>
          <w:lang w:val="sr-Cyrl-RS"/>
        </w:rPr>
        <w:t xml:space="preserve"> </w:t>
      </w:r>
      <w:r w:rsidRPr="00FF3834">
        <w:rPr>
          <w:rFonts w:ascii="Times New Roman" w:hAnsi="Times New Roman"/>
          <w:szCs w:val="18"/>
          <w:lang w:val="sr-Cyrl-RS"/>
        </w:rPr>
        <w:t>за усклађивање са системом за трговање емисијама ЕУ и/или увођење других инструмената  одређивања цена угљеника</w:t>
      </w:r>
      <w:r>
        <w:rPr>
          <w:rFonts w:ascii="Times New Roman" w:hAnsi="Times New Roman"/>
          <w:szCs w:val="18"/>
          <w:lang w:val="sr-Cyrl-RS"/>
        </w:rPr>
        <w:t>.</w:t>
      </w:r>
    </w:p>
  </w:footnote>
  <w:footnote w:id="68">
    <w:p w14:paraId="3B04AC0A" w14:textId="0B3B79BB" w:rsidR="008B73DA" w:rsidRPr="00DD2BFE" w:rsidRDefault="008B73DA" w:rsidP="00DD2BFE">
      <w:pPr>
        <w:spacing w:before="0" w:after="0"/>
        <w:rPr>
          <w:rFonts w:ascii="Times New Roman" w:hAnsi="Times New Roman"/>
          <w:sz w:val="18"/>
          <w:szCs w:val="18"/>
          <w:lang w:val="en-US"/>
        </w:rPr>
      </w:pPr>
      <w:r w:rsidRPr="00437485">
        <w:rPr>
          <w:rFonts w:ascii="Times New Roman" w:hAnsi="Times New Roman"/>
          <w:sz w:val="18"/>
          <w:szCs w:val="18"/>
          <w:lang w:val="en-US"/>
        </w:rPr>
        <w:footnoteRef/>
      </w:r>
      <w:r w:rsidRPr="00437485">
        <w:rPr>
          <w:rFonts w:ascii="Times New Roman" w:hAnsi="Times New Roman"/>
          <w:sz w:val="18"/>
          <w:szCs w:val="18"/>
          <w:lang w:val="en-US"/>
        </w:rPr>
        <w:t xml:space="preserve"> </w:t>
      </w:r>
      <w:bookmarkStart w:id="401" w:name="_Hlk27354658"/>
      <w:r>
        <w:rPr>
          <w:rFonts w:ascii="Times New Roman" w:hAnsi="Times New Roman"/>
          <w:sz w:val="18"/>
          <w:szCs w:val="18"/>
          <w:lang w:val="sr-Cyrl-RS"/>
        </w:rPr>
        <w:t>Прилог</w:t>
      </w:r>
      <w:r w:rsidRPr="00437485">
        <w:rPr>
          <w:rFonts w:ascii="Times New Roman" w:hAnsi="Times New Roman"/>
          <w:sz w:val="18"/>
          <w:szCs w:val="18"/>
          <w:lang w:val="sr-Cyrl-RS"/>
        </w:rPr>
        <w:t xml:space="preserve"> </w:t>
      </w:r>
      <w:r w:rsidRPr="00437485">
        <w:rPr>
          <w:rFonts w:ascii="Times New Roman" w:hAnsi="Times New Roman"/>
          <w:sz w:val="18"/>
          <w:szCs w:val="18"/>
          <w:lang w:val="en-US"/>
        </w:rPr>
        <w:t>1 Извештаја Резултата 1 пројекта</w:t>
      </w:r>
      <w:r w:rsidRPr="00FE004C">
        <w:rPr>
          <w:rFonts w:ascii="Times New Roman" w:hAnsi="Times New Roman"/>
          <w:sz w:val="18"/>
          <w:szCs w:val="18"/>
          <w:lang w:val="sr-Cyrl-RS"/>
        </w:rPr>
        <w:t xml:space="preserve"> “Стратегија климатских промена с</w:t>
      </w:r>
      <w:r w:rsidRPr="00437485">
        <w:rPr>
          <w:rFonts w:ascii="Times New Roman" w:hAnsi="Times New Roman"/>
          <w:sz w:val="18"/>
          <w:szCs w:val="18"/>
          <w:lang w:val="en-US"/>
        </w:rPr>
        <w:t>а акционим планом: Процена постојећег оквира за борбу против климатских промена у Републици</w:t>
      </w:r>
      <w:r>
        <w:rPr>
          <w:rFonts w:ascii="Times New Roman" w:hAnsi="Times New Roman"/>
          <w:sz w:val="18"/>
          <w:szCs w:val="18"/>
          <w:lang w:val="en-US"/>
        </w:rPr>
        <w:t xml:space="preserve"> Србији</w:t>
      </w:r>
      <w:r w:rsidRPr="00DD2BFE">
        <w:rPr>
          <w:rFonts w:ascii="Times New Roman" w:hAnsi="Times New Roman"/>
          <w:sz w:val="18"/>
          <w:szCs w:val="18"/>
          <w:lang w:val="en-US"/>
        </w:rPr>
        <w:t xml:space="preserve"> - енергетски сектор</w:t>
      </w:r>
      <w:bookmarkEnd w:id="401"/>
    </w:p>
  </w:footnote>
  <w:footnote w:id="69">
    <w:p w14:paraId="7D1A0EF4" w14:textId="1EB74C06" w:rsidR="008B73DA" w:rsidRPr="00DD2BFE" w:rsidRDefault="008B73DA" w:rsidP="00DD2BFE">
      <w:pPr>
        <w:spacing w:before="0" w:after="0"/>
        <w:rPr>
          <w:rFonts w:ascii="Times New Roman" w:hAnsi="Times New Roman"/>
          <w:sz w:val="18"/>
          <w:szCs w:val="18"/>
          <w:lang w:val="en-US"/>
        </w:rPr>
      </w:pPr>
      <w:r w:rsidRPr="00DD2BFE">
        <w:rPr>
          <w:rFonts w:ascii="Times New Roman" w:hAnsi="Times New Roman"/>
          <w:sz w:val="18"/>
          <w:szCs w:val="18"/>
          <w:lang w:val="en-US"/>
        </w:rPr>
        <w:footnoteRef/>
      </w:r>
      <w:r w:rsidRPr="00DD2BFE">
        <w:rPr>
          <w:rFonts w:ascii="Times New Roman" w:hAnsi="Times New Roman"/>
          <w:sz w:val="18"/>
          <w:szCs w:val="18"/>
          <w:lang w:val="en-US"/>
        </w:rPr>
        <w:t xml:space="preserve"> ЕSCO јесте привредно друштво, односно друго правно лице, односно предузетник, регистровано за обављање енергетск</w:t>
      </w:r>
      <w:r>
        <w:rPr>
          <w:rFonts w:ascii="Times New Roman" w:hAnsi="Times New Roman"/>
          <w:sz w:val="18"/>
          <w:szCs w:val="18"/>
          <w:lang w:val="en-US"/>
        </w:rPr>
        <w:t>их услуга</w:t>
      </w:r>
      <w:r w:rsidRPr="00DD2BFE">
        <w:rPr>
          <w:rFonts w:ascii="Times New Roman" w:hAnsi="Times New Roman"/>
          <w:sz w:val="18"/>
          <w:szCs w:val="18"/>
          <w:lang w:val="en-US"/>
        </w:rPr>
        <w:t xml:space="preserve"> које пружањем енергетских услуга повећавају енергетску ефикасност објекта, технолошког процеса и услуге и које до извесног степена прихвата финансијски ризик за обављене енергетске услуге, тако што наплату својих услуга, потпуно или делимично, остварује на основу постигнутих уштеда насталих на основу спроведених мера и задовољења осталих уговорених критеријума учинка</w:t>
      </w:r>
    </w:p>
  </w:footnote>
  <w:footnote w:id="70">
    <w:p w14:paraId="3D48C85C" w14:textId="03B9AE30" w:rsidR="008B73DA" w:rsidRPr="00DD2BFE" w:rsidRDefault="008B73DA" w:rsidP="00DD2BFE">
      <w:pPr>
        <w:spacing w:before="0" w:after="0"/>
        <w:rPr>
          <w:rFonts w:ascii="Times New Roman" w:hAnsi="Times New Roman"/>
          <w:sz w:val="18"/>
          <w:szCs w:val="18"/>
          <w:lang w:val="en-US"/>
        </w:rPr>
      </w:pPr>
      <w:r w:rsidRPr="00DD2BFE">
        <w:rPr>
          <w:rFonts w:ascii="Times New Roman" w:hAnsi="Times New Roman"/>
          <w:sz w:val="18"/>
          <w:szCs w:val="18"/>
          <w:lang w:val="en-US"/>
        </w:rPr>
        <w:footnoteRef/>
      </w:r>
      <w:r w:rsidRPr="00DD2BFE">
        <w:rPr>
          <w:rFonts w:ascii="Times New Roman" w:hAnsi="Times New Roman"/>
          <w:sz w:val="18"/>
          <w:szCs w:val="18"/>
          <w:lang w:val="en-US"/>
        </w:rPr>
        <w:t xml:space="preserve"> Смањења емисија постигнута на основу мера примењених у узгоју се посматрају у оквиру укупног смањења емисија, али </w:t>
      </w:r>
      <w:r>
        <w:rPr>
          <w:rFonts w:ascii="Times New Roman" w:hAnsi="Times New Roman"/>
          <w:sz w:val="18"/>
          <w:szCs w:val="18"/>
          <w:lang w:val="en-US"/>
        </w:rPr>
        <w:t>CAPRI</w:t>
      </w:r>
      <w:r w:rsidRPr="00DD2BFE">
        <w:rPr>
          <w:rFonts w:ascii="Times New Roman" w:hAnsi="Times New Roman"/>
          <w:sz w:val="18"/>
          <w:szCs w:val="18"/>
          <w:lang w:val="en-US"/>
        </w:rPr>
        <w:t xml:space="preserve"> модел коришћен за процену смањења емисија у пољопривредном сектору не може их сврстати у јединствену меру узгоја</w:t>
      </w:r>
    </w:p>
  </w:footnote>
  <w:footnote w:id="71">
    <w:p w14:paraId="2A2974F3" w14:textId="33BA6D44" w:rsidR="008B73DA" w:rsidRPr="00DD2BFE" w:rsidRDefault="008B73DA" w:rsidP="00DD2BFE">
      <w:pPr>
        <w:spacing w:before="0" w:after="0"/>
        <w:rPr>
          <w:rFonts w:ascii="Times New Roman" w:hAnsi="Times New Roman"/>
          <w:sz w:val="18"/>
          <w:szCs w:val="18"/>
          <w:lang w:val="en-US"/>
        </w:rPr>
      </w:pPr>
      <w:r w:rsidRPr="00DD2BFE">
        <w:rPr>
          <w:rFonts w:ascii="Times New Roman" w:hAnsi="Times New Roman"/>
          <w:sz w:val="18"/>
          <w:lang w:val="en-US"/>
        </w:rPr>
        <w:footnoteRef/>
      </w:r>
      <w:r w:rsidRPr="00DD2BFE">
        <w:rPr>
          <w:rFonts w:ascii="Times New Roman" w:hAnsi="Times New Roman"/>
          <w:sz w:val="18"/>
          <w:szCs w:val="18"/>
          <w:lang w:val="en-US"/>
        </w:rPr>
        <w:t xml:space="preserve"> Абиотички фактори су неживи делови животне средине. Ту се убрајају елементи попут сунчеве светлости, температуре, ветра, воде, тла и природних догађаја као што су олуја, пожари. Биотички фактори су живи делови животне средине, као што су гљиве, инсекти,микроорганизми.</w:t>
      </w:r>
    </w:p>
  </w:footnote>
  <w:footnote w:id="72">
    <w:p w14:paraId="49268446" w14:textId="5EEBC4D9" w:rsidR="008B73DA" w:rsidRPr="007F21EA" w:rsidRDefault="008B73DA" w:rsidP="007F21EA">
      <w:pPr>
        <w:spacing w:before="0" w:after="0"/>
        <w:rPr>
          <w:rFonts w:ascii="Times New Roman" w:hAnsi="Times New Roman"/>
          <w:sz w:val="18"/>
          <w:szCs w:val="18"/>
          <w:lang w:val="en-US"/>
        </w:rPr>
      </w:pPr>
      <w:r w:rsidRPr="007F21EA">
        <w:rPr>
          <w:rFonts w:ascii="Times New Roman" w:hAnsi="Times New Roman"/>
          <w:sz w:val="18"/>
          <w:szCs w:val="18"/>
          <w:lang w:val="en-US"/>
        </w:rPr>
        <w:footnoteRef/>
      </w:r>
      <w:r w:rsidRPr="007F21EA">
        <w:rPr>
          <w:rFonts w:ascii="Times New Roman" w:hAnsi="Times New Roman"/>
          <w:sz w:val="18"/>
          <w:szCs w:val="18"/>
          <w:lang w:val="en-US"/>
        </w:rPr>
        <w:t xml:space="preserve"> У оба сценарија варијације температуре и падавина су различите у различитим регионима земље, и у различитим периодима године</w:t>
      </w:r>
    </w:p>
  </w:footnote>
  <w:footnote w:id="73">
    <w:p w14:paraId="3B8FD284" w14:textId="6C40D783" w:rsidR="008B73DA" w:rsidRPr="007F21EA" w:rsidRDefault="008B73DA" w:rsidP="007F21EA">
      <w:pPr>
        <w:spacing w:before="0" w:after="0"/>
        <w:rPr>
          <w:rFonts w:ascii="Times New Roman" w:hAnsi="Times New Roman"/>
          <w:sz w:val="18"/>
          <w:szCs w:val="18"/>
          <w:lang w:val="en-US"/>
        </w:rPr>
      </w:pPr>
      <w:r w:rsidRPr="007F21EA">
        <w:rPr>
          <w:rFonts w:ascii="Times New Roman" w:hAnsi="Times New Roman"/>
          <w:sz w:val="18"/>
          <w:szCs w:val="18"/>
          <w:lang w:val="en-US"/>
        </w:rPr>
        <w:footnoteRef/>
      </w:r>
      <w:r w:rsidRPr="007F21EA">
        <w:rPr>
          <w:rFonts w:ascii="Times New Roman" w:hAnsi="Times New Roman"/>
          <w:sz w:val="18"/>
          <w:szCs w:val="18"/>
          <w:lang w:val="en-US"/>
        </w:rPr>
        <w:t xml:space="preserve"> SPEI index (Standardized Precipitation Evapotranspiration Index), Стандардизовани индекс падавина и испарења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E1A8" w14:textId="72E3DCD7" w:rsidR="008B73DA" w:rsidRPr="00C86BF1" w:rsidRDefault="008B73DA" w:rsidP="00696A71">
    <w:pPr>
      <w:pStyle w:val="Header"/>
      <w:tabs>
        <w:tab w:val="left" w:pos="3138"/>
      </w:tabs>
      <w:spacing w:before="0"/>
      <w:jc w:val="both"/>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A56C" w14:textId="2B5E41ED" w:rsidR="008B73DA" w:rsidRPr="00C86BF1" w:rsidRDefault="008B73DA" w:rsidP="007F21EA">
    <w:pPr>
      <w:pStyle w:val="Header"/>
      <w:tabs>
        <w:tab w:val="clear" w:pos="3825"/>
        <w:tab w:val="left" w:pos="5119"/>
      </w:tabs>
      <w:spacing w:before="0"/>
      <w:jc w:val="both"/>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Borders>
        <w:bottom w:val="single" w:sz="4" w:space="0" w:color="auto"/>
      </w:tblBorders>
      <w:tblLook w:val="04A0" w:firstRow="1" w:lastRow="0" w:firstColumn="1" w:lastColumn="0" w:noHBand="0" w:noVBand="1"/>
    </w:tblPr>
    <w:tblGrid>
      <w:gridCol w:w="1386"/>
      <w:gridCol w:w="3181"/>
      <w:gridCol w:w="4520"/>
    </w:tblGrid>
    <w:tr w:rsidR="008B73DA" w:rsidRPr="00360DD6" w14:paraId="4BD1B3FA" w14:textId="77777777" w:rsidTr="003A29E1">
      <w:tc>
        <w:tcPr>
          <w:tcW w:w="733" w:type="pct"/>
          <w:vAlign w:val="bottom"/>
        </w:tcPr>
        <w:p w14:paraId="395C1744" w14:textId="77777777" w:rsidR="008B73DA" w:rsidRDefault="008B73DA" w:rsidP="00D35AFD">
          <w:r w:rsidRPr="00C2290A">
            <w:rPr>
              <w:noProof/>
              <w:lang w:val="en-US" w:eastAsia="en-US"/>
            </w:rPr>
            <w:drawing>
              <wp:inline distT="0" distB="0" distL="0" distR="0" wp14:anchorId="58989165" wp14:editId="700EB837">
                <wp:extent cx="739140" cy="426720"/>
                <wp:effectExtent l="0" t="0" r="3810" b="0"/>
                <wp:docPr id="1306122839" name="Picture 130612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426720"/>
                        </a:xfrm>
                        <a:prstGeom prst="rect">
                          <a:avLst/>
                        </a:prstGeom>
                        <a:noFill/>
                        <a:ln>
                          <a:noFill/>
                        </a:ln>
                      </pic:spPr>
                    </pic:pic>
                  </a:graphicData>
                </a:graphic>
              </wp:inline>
            </w:drawing>
          </w:r>
        </w:p>
        <w:p w14:paraId="1CF567F1" w14:textId="77777777" w:rsidR="008B73DA" w:rsidRPr="00613470" w:rsidRDefault="008B73DA" w:rsidP="003A29E1">
          <w:pPr>
            <w:pStyle w:val="Header"/>
            <w:jc w:val="left"/>
            <w:rPr>
              <w:lang w:val="en-GB"/>
            </w:rPr>
          </w:pPr>
          <w:r w:rsidRPr="003A29E1">
            <w:rPr>
              <w:sz w:val="14"/>
              <w:szCs w:val="12"/>
            </w:rPr>
            <w:t xml:space="preserve">This project is funded </w:t>
          </w:r>
          <w:r w:rsidRPr="003A29E1">
            <w:rPr>
              <w:sz w:val="14"/>
              <w:szCs w:val="12"/>
            </w:rPr>
            <w:br/>
            <w:t>by the European Union</w:t>
          </w:r>
        </w:p>
      </w:tc>
      <w:tc>
        <w:tcPr>
          <w:tcW w:w="1765" w:type="pct"/>
          <w:vAlign w:val="center"/>
        </w:tcPr>
        <w:p w14:paraId="0DA15308" w14:textId="0FE99B7F" w:rsidR="008B73DA" w:rsidRDefault="008B73DA" w:rsidP="003A29E1">
          <w:pPr>
            <w:spacing w:before="0" w:after="0"/>
            <w:jc w:val="left"/>
          </w:pPr>
          <w:r>
            <w:t>Climate Strategy and Action Plan,</w:t>
          </w:r>
        </w:p>
        <w:p w14:paraId="00FB2284" w14:textId="77777777" w:rsidR="008B73DA" w:rsidRPr="00554DFD" w:rsidRDefault="008B73DA" w:rsidP="003A29E1">
          <w:pPr>
            <w:spacing w:before="0" w:after="0"/>
            <w:jc w:val="left"/>
            <w:rPr>
              <w:sz w:val="20"/>
              <w:u w:val="single"/>
            </w:rPr>
          </w:pPr>
          <w:r>
            <w:t>Republic of Serbia</w:t>
          </w:r>
        </w:p>
        <w:p w14:paraId="3D67D5CE" w14:textId="77777777" w:rsidR="008B73DA" w:rsidRPr="00613470" w:rsidRDefault="008B73DA" w:rsidP="003A29E1">
          <w:pPr>
            <w:spacing w:before="0" w:after="0"/>
            <w:jc w:val="left"/>
            <w:rPr>
              <w:lang w:val="en-GB"/>
            </w:rPr>
          </w:pPr>
          <w:r w:rsidRPr="00554DFD">
            <w:t xml:space="preserve">(Contract No: </w:t>
          </w:r>
          <w:r>
            <w:t>2016/375-531</w:t>
          </w:r>
          <w:r w:rsidRPr="00554DFD">
            <w:t>)</w:t>
          </w:r>
        </w:p>
      </w:tc>
      <w:tc>
        <w:tcPr>
          <w:tcW w:w="2503" w:type="pct"/>
          <w:vAlign w:val="bottom"/>
        </w:tcPr>
        <w:p w14:paraId="53820DFD" w14:textId="216A8E80" w:rsidR="008B73DA" w:rsidRPr="00613470" w:rsidRDefault="008B73DA" w:rsidP="003A29E1">
          <w:pPr>
            <w:jc w:val="right"/>
            <w:rPr>
              <w:sz w:val="14"/>
              <w:szCs w:val="14"/>
            </w:rPr>
          </w:pPr>
          <w:r w:rsidRPr="00C2290A">
            <w:rPr>
              <w:noProof/>
              <w:lang w:val="en-US" w:eastAsia="en-US"/>
            </w:rPr>
            <w:drawing>
              <wp:inline distT="0" distB="0" distL="0" distR="0" wp14:anchorId="7FBDFEBA" wp14:editId="36E22360">
                <wp:extent cx="731755" cy="432000"/>
                <wp:effectExtent l="0" t="0" r="0" b="0"/>
                <wp:docPr id="1905461527" name="Picture 1905461527" descr="C:\Users\flauzemis\Desktop\Serbia\GFA-Logo_for-offic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flauzemis\Desktop\Serbia\GFA-Logo_for-office.emf"/>
                        <pic:cNvPicPr>
                          <a:picLocks noChangeAspect="1" noChangeArrowheads="1"/>
                        </pic:cNvPicPr>
                      </pic:nvPicPr>
                      <pic:blipFill>
                        <a:blip r:embed="rId2"/>
                        <a:srcRect/>
                        <a:stretch>
                          <a:fillRect/>
                        </a:stretch>
                      </pic:blipFill>
                      <pic:spPr bwMode="auto">
                        <a:xfrm>
                          <a:off x="0" y="0"/>
                          <a:ext cx="731755" cy="432000"/>
                        </a:xfrm>
                        <a:prstGeom prst="rect">
                          <a:avLst/>
                        </a:prstGeom>
                        <a:noFill/>
                        <a:ln w="9525">
                          <a:noFill/>
                          <a:miter lim="800000"/>
                          <a:headEnd/>
                          <a:tailEnd/>
                        </a:ln>
                      </pic:spPr>
                    </pic:pic>
                  </a:graphicData>
                </a:graphic>
              </wp:inline>
            </w:drawing>
          </w:r>
        </w:p>
        <w:p w14:paraId="3F5F7329" w14:textId="77777777" w:rsidR="008B73DA" w:rsidRPr="00613470" w:rsidRDefault="008B73DA" w:rsidP="00D35AFD">
          <w:pPr>
            <w:pStyle w:val="Header"/>
            <w:rPr>
              <w:lang w:val="en-GB"/>
            </w:rPr>
          </w:pPr>
          <w:r w:rsidRPr="00554DFD">
            <w:t xml:space="preserve">A project implemented by a </w:t>
          </w:r>
          <w:r w:rsidRPr="00554DFD">
            <w:br/>
            <w:t>GFA Consulting Group led consortium</w:t>
          </w:r>
        </w:p>
      </w:tc>
    </w:tr>
  </w:tbl>
  <w:p w14:paraId="46F24D9E" w14:textId="77777777" w:rsidR="008B73DA" w:rsidRPr="003A2ECE" w:rsidRDefault="008B73DA" w:rsidP="00D35A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6E99" w14:textId="4DA9F4BC" w:rsidR="008B73DA" w:rsidRDefault="008B73DA" w:rsidP="007F21EA">
    <w:pPr>
      <w:pStyle w:val="Header"/>
      <w:tabs>
        <w:tab w:val="clear" w:pos="3825"/>
        <w:tab w:val="left" w:pos="5119"/>
      </w:tabs>
      <w:spacing w:before="0"/>
      <w:ind w:left="284"/>
      <w:jc w:val="both"/>
      <w:rPr>
        <w:sz w:val="24"/>
        <w:szCs w:val="24"/>
      </w:rPr>
    </w:pPr>
  </w:p>
  <w:p w14:paraId="0C1EB228" w14:textId="10A5648D" w:rsidR="008B73DA" w:rsidRDefault="008B73DA" w:rsidP="007F21EA">
    <w:pPr>
      <w:pStyle w:val="Header"/>
      <w:tabs>
        <w:tab w:val="clear" w:pos="3825"/>
        <w:tab w:val="left" w:pos="5119"/>
      </w:tabs>
      <w:spacing w:before="0"/>
      <w:ind w:left="284"/>
      <w:jc w:val="both"/>
      <w:rPr>
        <w:sz w:val="24"/>
        <w:szCs w:val="24"/>
      </w:rPr>
    </w:pPr>
  </w:p>
  <w:p w14:paraId="340F3BA8" w14:textId="77777777" w:rsidR="008B73DA" w:rsidRPr="0014169E" w:rsidRDefault="008B73DA" w:rsidP="007F21EA">
    <w:pPr>
      <w:pStyle w:val="Header"/>
      <w:tabs>
        <w:tab w:val="clear" w:pos="3825"/>
        <w:tab w:val="left" w:pos="5119"/>
      </w:tabs>
      <w:spacing w:before="0"/>
      <w:ind w:left="284"/>
      <w:jc w:val="both"/>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4" w:type="pct"/>
      <w:tblLook w:val="04A0" w:firstRow="1" w:lastRow="0" w:firstColumn="1" w:lastColumn="0" w:noHBand="0" w:noVBand="1"/>
    </w:tblPr>
    <w:tblGrid>
      <w:gridCol w:w="1961"/>
      <w:gridCol w:w="4724"/>
      <w:gridCol w:w="2618"/>
    </w:tblGrid>
    <w:tr w:rsidR="008B73DA" w:rsidRPr="00360DD6" w14:paraId="3465DC96" w14:textId="77777777" w:rsidTr="007F21EA">
      <w:trPr>
        <w:trHeight w:val="1277"/>
      </w:trPr>
      <w:tc>
        <w:tcPr>
          <w:tcW w:w="1054" w:type="pct"/>
          <w:vAlign w:val="bottom"/>
        </w:tcPr>
        <w:p w14:paraId="76012017" w14:textId="547A36D8" w:rsidR="008B73DA" w:rsidRPr="00613470" w:rsidRDefault="008B73DA" w:rsidP="009A0D14">
          <w:pPr>
            <w:pStyle w:val="Header"/>
            <w:jc w:val="left"/>
          </w:pPr>
        </w:p>
      </w:tc>
      <w:tc>
        <w:tcPr>
          <w:tcW w:w="2539" w:type="pct"/>
          <w:vAlign w:val="center"/>
        </w:tcPr>
        <w:p w14:paraId="29216833" w14:textId="68530881" w:rsidR="008B73DA" w:rsidRPr="00613470" w:rsidRDefault="008B73DA" w:rsidP="009A0D14">
          <w:pPr>
            <w:jc w:val="center"/>
          </w:pPr>
        </w:p>
      </w:tc>
      <w:tc>
        <w:tcPr>
          <w:tcW w:w="1407" w:type="pct"/>
          <w:vAlign w:val="bottom"/>
        </w:tcPr>
        <w:p w14:paraId="08A81CCF" w14:textId="182CB8CC" w:rsidR="008B73DA" w:rsidRPr="00613470" w:rsidRDefault="008B73DA" w:rsidP="009A0D14">
          <w:pPr>
            <w:pStyle w:val="Header"/>
          </w:pPr>
        </w:p>
      </w:tc>
    </w:tr>
  </w:tbl>
  <w:p w14:paraId="42CC2BFD" w14:textId="2439F909" w:rsidR="008B73DA" w:rsidRPr="009A0D14" w:rsidRDefault="008B73DA" w:rsidP="009A0D14">
    <w:pPr>
      <w:pStyle w:val="Header"/>
      <w:tabs>
        <w:tab w:val="left" w:pos="3138"/>
      </w:tabs>
      <w:spacing w:before="0"/>
      <w:jc w:val="both"/>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4" w:type="pct"/>
      <w:tblBorders>
        <w:bottom w:val="single" w:sz="4" w:space="0" w:color="auto"/>
      </w:tblBorders>
      <w:tblLook w:val="04A0" w:firstRow="1" w:lastRow="0" w:firstColumn="1" w:lastColumn="0" w:noHBand="0" w:noVBand="1"/>
    </w:tblPr>
    <w:tblGrid>
      <w:gridCol w:w="1961"/>
      <w:gridCol w:w="4724"/>
      <w:gridCol w:w="2618"/>
    </w:tblGrid>
    <w:tr w:rsidR="008B73DA" w:rsidRPr="00360DD6" w14:paraId="06457E24" w14:textId="77777777" w:rsidTr="00603B1E">
      <w:trPr>
        <w:trHeight w:val="1277"/>
      </w:trPr>
      <w:tc>
        <w:tcPr>
          <w:tcW w:w="1054" w:type="pct"/>
          <w:vAlign w:val="bottom"/>
        </w:tcPr>
        <w:p w14:paraId="2B00A102" w14:textId="77777777" w:rsidR="008B73DA" w:rsidRDefault="008B73DA" w:rsidP="00603B1E">
          <w:r w:rsidRPr="00C2290A">
            <w:rPr>
              <w:noProof/>
              <w:lang w:val="en-US" w:eastAsia="en-US"/>
            </w:rPr>
            <w:drawing>
              <wp:inline distT="0" distB="0" distL="0" distR="0" wp14:anchorId="3304D138" wp14:editId="5ADB1647">
                <wp:extent cx="750570" cy="426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26720"/>
                        </a:xfrm>
                        <a:prstGeom prst="rect">
                          <a:avLst/>
                        </a:prstGeom>
                        <a:noFill/>
                        <a:ln>
                          <a:noFill/>
                        </a:ln>
                      </pic:spPr>
                    </pic:pic>
                  </a:graphicData>
                </a:graphic>
              </wp:inline>
            </w:drawing>
          </w:r>
        </w:p>
        <w:p w14:paraId="522D8C90" w14:textId="77777777" w:rsidR="008B73DA" w:rsidRPr="00613470" w:rsidRDefault="008B73DA" w:rsidP="00603B1E">
          <w:pPr>
            <w:pStyle w:val="Header"/>
            <w:jc w:val="left"/>
          </w:pPr>
          <w:r w:rsidRPr="007B4208">
            <w:rPr>
              <w:sz w:val="12"/>
            </w:rPr>
            <w:t xml:space="preserve">This project is funded </w:t>
          </w:r>
          <w:r w:rsidRPr="007B4208">
            <w:rPr>
              <w:sz w:val="12"/>
            </w:rPr>
            <w:br/>
            <w:t>by the European Union</w:t>
          </w:r>
        </w:p>
      </w:tc>
      <w:tc>
        <w:tcPr>
          <w:tcW w:w="2539" w:type="pct"/>
          <w:vAlign w:val="center"/>
        </w:tcPr>
        <w:p w14:paraId="3876620E" w14:textId="77777777" w:rsidR="008B73DA" w:rsidRPr="007B4208" w:rsidRDefault="008B73DA" w:rsidP="00603B1E">
          <w:pPr>
            <w:jc w:val="center"/>
            <w:rPr>
              <w:b/>
            </w:rPr>
          </w:pPr>
          <w:r w:rsidRPr="007B4208">
            <w:rPr>
              <w:b/>
            </w:rPr>
            <w:t>Climate Strategy and Action Plan,</w:t>
          </w:r>
        </w:p>
        <w:p w14:paraId="309C8296" w14:textId="77777777" w:rsidR="008B73DA" w:rsidRPr="007B4208" w:rsidRDefault="008B73DA" w:rsidP="00603B1E">
          <w:pPr>
            <w:jc w:val="center"/>
            <w:rPr>
              <w:b/>
              <w:sz w:val="20"/>
              <w:u w:val="single"/>
            </w:rPr>
          </w:pPr>
          <w:r w:rsidRPr="007B4208">
            <w:rPr>
              <w:b/>
            </w:rPr>
            <w:t>Republic of Serbia</w:t>
          </w:r>
        </w:p>
        <w:p w14:paraId="7F4A839D" w14:textId="77777777" w:rsidR="008B73DA" w:rsidRPr="00613470" w:rsidRDefault="008B73DA" w:rsidP="00603B1E">
          <w:pPr>
            <w:jc w:val="center"/>
          </w:pPr>
          <w:r w:rsidRPr="007B4208">
            <w:rPr>
              <w:sz w:val="16"/>
            </w:rPr>
            <w:t>(Contract No: 2016/375-531)</w:t>
          </w:r>
        </w:p>
      </w:tc>
      <w:tc>
        <w:tcPr>
          <w:tcW w:w="1407" w:type="pct"/>
          <w:vAlign w:val="bottom"/>
        </w:tcPr>
        <w:p w14:paraId="68A8170B" w14:textId="77777777" w:rsidR="008B73DA" w:rsidRPr="00613470" w:rsidRDefault="008B73DA" w:rsidP="00603B1E">
          <w:pPr>
            <w:jc w:val="right"/>
            <w:rPr>
              <w:sz w:val="14"/>
              <w:szCs w:val="14"/>
            </w:rPr>
          </w:pPr>
          <w:r w:rsidRPr="00C2290A">
            <w:rPr>
              <w:noProof/>
              <w:lang w:val="en-US" w:eastAsia="en-US"/>
            </w:rPr>
            <w:drawing>
              <wp:inline distT="0" distB="0" distL="0" distR="0" wp14:anchorId="21F27FD5" wp14:editId="6F1EC047">
                <wp:extent cx="946150" cy="382905"/>
                <wp:effectExtent l="0" t="0" r="6350" b="0"/>
                <wp:docPr id="12" name="Picture 12" descr="GFA Logo_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GFA Logo_Signat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0" cy="382905"/>
                        </a:xfrm>
                        <a:prstGeom prst="rect">
                          <a:avLst/>
                        </a:prstGeom>
                        <a:noFill/>
                        <a:ln>
                          <a:noFill/>
                        </a:ln>
                      </pic:spPr>
                    </pic:pic>
                  </a:graphicData>
                </a:graphic>
              </wp:inline>
            </w:drawing>
          </w:r>
        </w:p>
        <w:p w14:paraId="1388E853" w14:textId="77777777" w:rsidR="008B73DA" w:rsidRPr="00613470" w:rsidRDefault="008B73DA" w:rsidP="00603B1E">
          <w:pPr>
            <w:pStyle w:val="Header"/>
          </w:pPr>
          <w:r w:rsidRPr="007B4208">
            <w:rPr>
              <w:sz w:val="14"/>
            </w:rPr>
            <w:t xml:space="preserve">A project implemented by a </w:t>
          </w:r>
          <w:r w:rsidRPr="007B4208">
            <w:rPr>
              <w:sz w:val="14"/>
            </w:rPr>
            <w:br/>
            <w:t>GFA Consulting Group led consortium</w:t>
          </w:r>
        </w:p>
      </w:tc>
    </w:tr>
  </w:tbl>
  <w:p w14:paraId="55A96D9F" w14:textId="77777777" w:rsidR="008B73DA" w:rsidRPr="003A2ECE" w:rsidRDefault="008B73DA" w:rsidP="00D35AF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4" w:type="pct"/>
      <w:tblBorders>
        <w:bottom w:val="single" w:sz="4" w:space="0" w:color="auto"/>
      </w:tblBorders>
      <w:tblLook w:val="04A0" w:firstRow="1" w:lastRow="0" w:firstColumn="1" w:lastColumn="0" w:noHBand="0" w:noVBand="1"/>
    </w:tblPr>
    <w:tblGrid>
      <w:gridCol w:w="1961"/>
      <w:gridCol w:w="4724"/>
      <w:gridCol w:w="2618"/>
    </w:tblGrid>
    <w:tr w:rsidR="008B73DA" w:rsidRPr="00360DD6" w14:paraId="3565C57F" w14:textId="77777777" w:rsidTr="00385414">
      <w:trPr>
        <w:trHeight w:val="1424"/>
      </w:trPr>
      <w:tc>
        <w:tcPr>
          <w:tcW w:w="1054" w:type="pct"/>
          <w:vAlign w:val="bottom"/>
        </w:tcPr>
        <w:p w14:paraId="648D91BC" w14:textId="1FB39C33" w:rsidR="008B73DA" w:rsidRPr="00613470" w:rsidRDefault="008B73DA" w:rsidP="009A0D14">
          <w:pPr>
            <w:pStyle w:val="Header"/>
            <w:jc w:val="left"/>
          </w:pPr>
        </w:p>
      </w:tc>
      <w:tc>
        <w:tcPr>
          <w:tcW w:w="2539" w:type="pct"/>
          <w:vAlign w:val="center"/>
        </w:tcPr>
        <w:p w14:paraId="75B0AAE4" w14:textId="471C31E9" w:rsidR="008B73DA" w:rsidRPr="00613470" w:rsidRDefault="008B73DA" w:rsidP="00623B01">
          <w:pPr>
            <w:jc w:val="center"/>
          </w:pPr>
        </w:p>
      </w:tc>
      <w:tc>
        <w:tcPr>
          <w:tcW w:w="1407" w:type="pct"/>
          <w:vAlign w:val="bottom"/>
        </w:tcPr>
        <w:p w14:paraId="238B631B" w14:textId="12AB98FC" w:rsidR="008B73DA" w:rsidRPr="00613470" w:rsidRDefault="008B73DA" w:rsidP="009A0D14">
          <w:pPr>
            <w:pStyle w:val="Header"/>
          </w:pPr>
        </w:p>
      </w:tc>
    </w:tr>
  </w:tbl>
  <w:p w14:paraId="1C5665F1" w14:textId="77777777" w:rsidR="008B73DA" w:rsidRPr="009A0D14" w:rsidRDefault="008B73DA" w:rsidP="009A0D14">
    <w:pPr>
      <w:pStyle w:val="Header"/>
      <w:tabs>
        <w:tab w:val="left" w:pos="3138"/>
      </w:tabs>
      <w:spacing w:before="0"/>
      <w:jc w:val="both"/>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14AE" w14:textId="4D887265" w:rsidR="008B73DA" w:rsidRPr="003A2ECE" w:rsidRDefault="008B73DA" w:rsidP="00D35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782EF5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60C830E8"/>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484A956E"/>
    <w:lvl w:ilvl="0">
      <w:start w:val="1"/>
      <w:numFmt w:val="decimal"/>
      <w:pStyle w:val="ListNumber"/>
      <w:lvlText w:val="%1."/>
      <w:lvlJc w:val="left"/>
      <w:pPr>
        <w:tabs>
          <w:tab w:val="num" w:pos="360"/>
        </w:tabs>
        <w:ind w:left="360" w:hanging="360"/>
      </w:pPr>
    </w:lvl>
  </w:abstractNum>
  <w:abstractNum w:abstractNumId="3" w15:restartNumberingAfterBreak="0">
    <w:nsid w:val="0120599C"/>
    <w:multiLevelType w:val="hybridMultilevel"/>
    <w:tmpl w:val="531CEB4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8A2E40"/>
    <w:multiLevelType w:val="hybridMultilevel"/>
    <w:tmpl w:val="39E8D036"/>
    <w:lvl w:ilvl="0" w:tplc="04090011">
      <w:start w:val="1"/>
      <w:numFmt w:val="decimal"/>
      <w:lvlText w:val="%1)"/>
      <w:lvlJc w:val="left"/>
      <w:pPr>
        <w:ind w:left="720" w:hanging="360"/>
      </w:pPr>
      <w:rPr>
        <w:rFonts w:hint="default"/>
      </w:rPr>
    </w:lvl>
    <w:lvl w:ilvl="1" w:tplc="5D9A6860">
      <w:start w:val="1"/>
      <w:numFmt w:val="decimal"/>
      <w:lvlText w:val="(%2)"/>
      <w:lvlJc w:val="left"/>
      <w:pPr>
        <w:ind w:left="1440" w:hanging="360"/>
      </w:pPr>
      <w:rPr>
        <w:rFonts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08891E15"/>
    <w:multiLevelType w:val="multilevel"/>
    <w:tmpl w:val="6CEAC236"/>
    <w:styleLink w:val="GFABullit1"/>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09831D05"/>
    <w:multiLevelType w:val="hybridMultilevel"/>
    <w:tmpl w:val="842872DE"/>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DDE2EC3"/>
    <w:multiLevelType w:val="hybridMultilevel"/>
    <w:tmpl w:val="C6147CD2"/>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1036510"/>
    <w:multiLevelType w:val="singleLevel"/>
    <w:tmpl w:val="91EC8D24"/>
    <w:lvl w:ilvl="0">
      <w:start w:val="1"/>
      <w:numFmt w:val="lowerLetter"/>
      <w:pStyle w:val="Lettre-12pts"/>
      <w:lvlText w:val="%1)"/>
      <w:lvlJc w:val="left"/>
      <w:pPr>
        <w:tabs>
          <w:tab w:val="num" w:pos="360"/>
        </w:tabs>
        <w:ind w:left="360" w:hanging="360"/>
      </w:pPr>
    </w:lvl>
  </w:abstractNum>
  <w:abstractNum w:abstractNumId="9" w15:restartNumberingAfterBreak="0">
    <w:nsid w:val="11435FBF"/>
    <w:multiLevelType w:val="hybridMultilevel"/>
    <w:tmpl w:val="B5D2B1B4"/>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4E96001"/>
    <w:multiLevelType w:val="hybridMultilevel"/>
    <w:tmpl w:val="90BAA50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4E96C45"/>
    <w:multiLevelType w:val="hybridMultilevel"/>
    <w:tmpl w:val="E5988D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40CD9"/>
    <w:multiLevelType w:val="hybridMultilevel"/>
    <w:tmpl w:val="2DB0093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E94541"/>
    <w:multiLevelType w:val="hybridMultilevel"/>
    <w:tmpl w:val="1AA80B04"/>
    <w:lvl w:ilvl="0" w:tplc="41523702">
      <w:start w:val="1"/>
      <w:numFmt w:val="bullet"/>
      <w:pStyle w:val="TEXTlist"/>
      <w:lvlText w:val="-"/>
      <w:lvlJc w:val="left"/>
      <w:pPr>
        <w:ind w:left="0" w:firstLine="0"/>
      </w:pPr>
      <w:rPr>
        <w:rFonts w:ascii="Calibri" w:eastAsia="Times New Roman" w:hAnsi="Calibri" w:cs="Calibri" w:hint="default"/>
        <w:b w:val="0"/>
        <w:i w:val="0"/>
        <w:strike w:val="0"/>
        <w:dstrike w:val="0"/>
        <w:color w:val="000000"/>
        <w:sz w:val="22"/>
        <w:szCs w:val="22"/>
        <w:u w:val="none" w:color="000000"/>
        <w:effect w:val="none"/>
        <w:bdr w:val="none" w:sz="0" w:space="0" w:color="auto" w:frame="1"/>
        <w:vertAlign w:val="baseline"/>
      </w:rPr>
    </w:lvl>
    <w:lvl w:ilvl="1" w:tplc="B19AD572">
      <w:start w:val="1"/>
      <w:numFmt w:val="bullet"/>
      <w:lvlText w:val="o"/>
      <w:lvlJc w:val="left"/>
      <w:pPr>
        <w:ind w:left="8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29604FE">
      <w:start w:val="1"/>
      <w:numFmt w:val="bullet"/>
      <w:lvlText w:val="▪"/>
      <w:lvlJc w:val="left"/>
      <w:pPr>
        <w:ind w:left="15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53CAE6C">
      <w:start w:val="1"/>
      <w:numFmt w:val="bullet"/>
      <w:lvlText w:val="•"/>
      <w:lvlJc w:val="left"/>
      <w:pPr>
        <w:ind w:left="22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35C29C0">
      <w:start w:val="1"/>
      <w:numFmt w:val="bullet"/>
      <w:lvlText w:val="o"/>
      <w:lvlJc w:val="left"/>
      <w:pPr>
        <w:ind w:left="29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7BCB16E">
      <w:start w:val="1"/>
      <w:numFmt w:val="bullet"/>
      <w:lvlText w:val="▪"/>
      <w:lvlJc w:val="left"/>
      <w:pPr>
        <w:ind w:left="37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60C714E">
      <w:start w:val="1"/>
      <w:numFmt w:val="bullet"/>
      <w:lvlText w:val="•"/>
      <w:lvlJc w:val="left"/>
      <w:pPr>
        <w:ind w:left="44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C14C392">
      <w:start w:val="1"/>
      <w:numFmt w:val="bullet"/>
      <w:lvlText w:val="o"/>
      <w:lvlJc w:val="left"/>
      <w:pPr>
        <w:ind w:left="51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9D0C3E6">
      <w:start w:val="1"/>
      <w:numFmt w:val="bullet"/>
      <w:lvlText w:val="▪"/>
      <w:lvlJc w:val="left"/>
      <w:pPr>
        <w:ind w:left="58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26E54B5A"/>
    <w:multiLevelType w:val="singleLevel"/>
    <w:tmpl w:val="9D2E6670"/>
    <w:lvl w:ilvl="0">
      <w:start w:val="1"/>
      <w:numFmt w:val="decimal"/>
      <w:pStyle w:val="Numro-6pts"/>
      <w:lvlText w:val="%1)"/>
      <w:lvlJc w:val="left"/>
      <w:pPr>
        <w:tabs>
          <w:tab w:val="num" w:pos="360"/>
        </w:tabs>
        <w:ind w:left="360" w:hanging="360"/>
      </w:pPr>
    </w:lvl>
  </w:abstractNum>
  <w:abstractNum w:abstractNumId="15" w15:restartNumberingAfterBreak="0">
    <w:nsid w:val="281D2BAE"/>
    <w:multiLevelType w:val="hybridMultilevel"/>
    <w:tmpl w:val="9AB8FF9A"/>
    <w:lvl w:ilvl="0" w:tplc="77068FB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BE3626C"/>
    <w:multiLevelType w:val="multilevel"/>
    <w:tmpl w:val="E4DC9272"/>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306A0D4B"/>
    <w:multiLevelType w:val="hybridMultilevel"/>
    <w:tmpl w:val="9AB0D766"/>
    <w:lvl w:ilvl="0" w:tplc="04090011">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8" w15:restartNumberingAfterBreak="0">
    <w:nsid w:val="323D155C"/>
    <w:multiLevelType w:val="multilevel"/>
    <w:tmpl w:val="B0F65C4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40"/>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29A065C"/>
    <w:multiLevelType w:val="hybridMultilevel"/>
    <w:tmpl w:val="ACE0892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7725AA"/>
    <w:multiLevelType w:val="singleLevel"/>
    <w:tmpl w:val="37483246"/>
    <w:lvl w:ilvl="0">
      <w:start w:val="1"/>
      <w:numFmt w:val="bullet"/>
      <w:pStyle w:val="Puce4-6pts"/>
      <w:lvlText w:val=""/>
      <w:lvlJc w:val="left"/>
      <w:pPr>
        <w:tabs>
          <w:tab w:val="num" w:pos="1432"/>
        </w:tabs>
        <w:ind w:left="1429" w:hanging="357"/>
      </w:pPr>
      <w:rPr>
        <w:rFonts w:ascii="Wingdings" w:hAnsi="Wingdings" w:hint="default"/>
      </w:rPr>
    </w:lvl>
  </w:abstractNum>
  <w:abstractNum w:abstractNumId="21" w15:restartNumberingAfterBreak="0">
    <w:nsid w:val="347B0F05"/>
    <w:multiLevelType w:val="hybridMultilevel"/>
    <w:tmpl w:val="99A6F51C"/>
    <w:lvl w:ilvl="0" w:tplc="5886853C">
      <w:start w:val="1"/>
      <w:numFmt w:val="bullet"/>
      <w:pStyle w:val="PEFABullet"/>
      <w:lvlText w:val=""/>
      <w:lvlJc w:val="left"/>
      <w:pPr>
        <w:ind w:left="720" w:hanging="360"/>
      </w:pPr>
      <w:rPr>
        <w:rFonts w:ascii="Symbol" w:hAnsi="Symbol" w:hint="default"/>
      </w:rPr>
    </w:lvl>
    <w:lvl w:ilvl="1" w:tplc="E9B8F662">
      <w:start w:val="1"/>
      <w:numFmt w:val="bullet"/>
      <w:lvlText w:val="o"/>
      <w:lvlJc w:val="left"/>
      <w:pPr>
        <w:ind w:left="1440" w:hanging="360"/>
      </w:pPr>
      <w:rPr>
        <w:rFonts w:ascii="Courier New" w:hAnsi="Courier New" w:cs="Wingdings" w:hint="default"/>
      </w:rPr>
    </w:lvl>
    <w:lvl w:ilvl="2" w:tplc="D938B9AA" w:tentative="1">
      <w:start w:val="1"/>
      <w:numFmt w:val="bullet"/>
      <w:lvlText w:val=""/>
      <w:lvlJc w:val="left"/>
      <w:pPr>
        <w:ind w:left="2160" w:hanging="360"/>
      </w:pPr>
      <w:rPr>
        <w:rFonts w:ascii="Wingdings" w:hAnsi="Wingdings" w:hint="default"/>
      </w:rPr>
    </w:lvl>
    <w:lvl w:ilvl="3" w:tplc="25B28964" w:tentative="1">
      <w:start w:val="1"/>
      <w:numFmt w:val="bullet"/>
      <w:lvlText w:val=""/>
      <w:lvlJc w:val="left"/>
      <w:pPr>
        <w:ind w:left="2880" w:hanging="360"/>
      </w:pPr>
      <w:rPr>
        <w:rFonts w:ascii="Symbol" w:hAnsi="Symbol" w:hint="default"/>
      </w:rPr>
    </w:lvl>
    <w:lvl w:ilvl="4" w:tplc="60A28E00" w:tentative="1">
      <w:start w:val="1"/>
      <w:numFmt w:val="bullet"/>
      <w:lvlText w:val="o"/>
      <w:lvlJc w:val="left"/>
      <w:pPr>
        <w:ind w:left="3600" w:hanging="360"/>
      </w:pPr>
      <w:rPr>
        <w:rFonts w:ascii="Courier New" w:hAnsi="Courier New" w:cs="Wingdings" w:hint="default"/>
      </w:rPr>
    </w:lvl>
    <w:lvl w:ilvl="5" w:tplc="1952B792" w:tentative="1">
      <w:start w:val="1"/>
      <w:numFmt w:val="bullet"/>
      <w:lvlText w:val=""/>
      <w:lvlJc w:val="left"/>
      <w:pPr>
        <w:ind w:left="4320" w:hanging="360"/>
      </w:pPr>
      <w:rPr>
        <w:rFonts w:ascii="Wingdings" w:hAnsi="Wingdings" w:hint="default"/>
      </w:rPr>
    </w:lvl>
    <w:lvl w:ilvl="6" w:tplc="0C80D700" w:tentative="1">
      <w:start w:val="1"/>
      <w:numFmt w:val="bullet"/>
      <w:lvlText w:val=""/>
      <w:lvlJc w:val="left"/>
      <w:pPr>
        <w:ind w:left="5040" w:hanging="360"/>
      </w:pPr>
      <w:rPr>
        <w:rFonts w:ascii="Symbol" w:hAnsi="Symbol" w:hint="default"/>
      </w:rPr>
    </w:lvl>
    <w:lvl w:ilvl="7" w:tplc="DCBEE18A" w:tentative="1">
      <w:start w:val="1"/>
      <w:numFmt w:val="bullet"/>
      <w:lvlText w:val="o"/>
      <w:lvlJc w:val="left"/>
      <w:pPr>
        <w:ind w:left="5760" w:hanging="360"/>
      </w:pPr>
      <w:rPr>
        <w:rFonts w:ascii="Courier New" w:hAnsi="Courier New" w:cs="Wingdings" w:hint="default"/>
      </w:rPr>
    </w:lvl>
    <w:lvl w:ilvl="8" w:tplc="1B1ECED4" w:tentative="1">
      <w:start w:val="1"/>
      <w:numFmt w:val="bullet"/>
      <w:lvlText w:val=""/>
      <w:lvlJc w:val="left"/>
      <w:pPr>
        <w:ind w:left="6480" w:hanging="360"/>
      </w:pPr>
      <w:rPr>
        <w:rFonts w:ascii="Wingdings" w:hAnsi="Wingdings" w:hint="default"/>
      </w:rPr>
    </w:lvl>
  </w:abstractNum>
  <w:abstractNum w:abstractNumId="22" w15:restartNumberingAfterBreak="0">
    <w:nsid w:val="35374283"/>
    <w:multiLevelType w:val="singleLevel"/>
    <w:tmpl w:val="41E44174"/>
    <w:lvl w:ilvl="0">
      <w:start w:val="1"/>
      <w:numFmt w:val="bullet"/>
      <w:pStyle w:val="Puce1-0pt"/>
      <w:lvlText w:val=""/>
      <w:lvlJc w:val="left"/>
      <w:pPr>
        <w:tabs>
          <w:tab w:val="num" w:pos="360"/>
        </w:tabs>
        <w:ind w:left="360" w:hanging="360"/>
      </w:pPr>
      <w:rPr>
        <w:rFonts w:ascii="Wingdings" w:hAnsi="Wingdings" w:hint="default"/>
      </w:rPr>
    </w:lvl>
  </w:abstractNum>
  <w:abstractNum w:abstractNumId="23" w15:restartNumberingAfterBreak="0">
    <w:nsid w:val="370D3BCB"/>
    <w:multiLevelType w:val="hybridMultilevel"/>
    <w:tmpl w:val="6590CDAE"/>
    <w:lvl w:ilvl="0" w:tplc="70EA348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F53553"/>
    <w:multiLevelType w:val="hybridMultilevel"/>
    <w:tmpl w:val="C6A42D20"/>
    <w:lvl w:ilvl="0" w:tplc="9C10B28E">
      <w:start w:val="1"/>
      <w:numFmt w:val="bullet"/>
      <w:pStyle w:val="Aufzhlungszeichen1"/>
      <w:lvlText w:val=""/>
      <w:lvlJc w:val="left"/>
      <w:pPr>
        <w:tabs>
          <w:tab w:val="num" w:pos="357"/>
        </w:tabs>
        <w:ind w:left="357" w:hanging="357"/>
      </w:pPr>
      <w:rPr>
        <w:rFonts w:ascii="Symbol" w:hAnsi="Symbol" w:hint="default"/>
        <w:sz w:val="16"/>
      </w:rPr>
    </w:lvl>
    <w:lvl w:ilvl="1" w:tplc="9A961AD0">
      <w:start w:val="1"/>
      <w:numFmt w:val="bullet"/>
      <w:lvlText w:val="o"/>
      <w:lvlJc w:val="left"/>
      <w:pPr>
        <w:tabs>
          <w:tab w:val="num" w:pos="1440"/>
        </w:tabs>
        <w:ind w:left="1440" w:hanging="360"/>
      </w:pPr>
      <w:rPr>
        <w:rFonts w:ascii="Courier New" w:hAnsi="Courier New" w:hint="default"/>
      </w:rPr>
    </w:lvl>
    <w:lvl w:ilvl="2" w:tplc="E2A46C9C" w:tentative="1">
      <w:start w:val="1"/>
      <w:numFmt w:val="bullet"/>
      <w:lvlText w:val=""/>
      <w:lvlJc w:val="left"/>
      <w:pPr>
        <w:tabs>
          <w:tab w:val="num" w:pos="2160"/>
        </w:tabs>
        <w:ind w:left="2160" w:hanging="360"/>
      </w:pPr>
      <w:rPr>
        <w:rFonts w:ascii="Wingdings" w:hAnsi="Wingdings" w:hint="default"/>
      </w:rPr>
    </w:lvl>
    <w:lvl w:ilvl="3" w:tplc="234A1002" w:tentative="1">
      <w:start w:val="1"/>
      <w:numFmt w:val="bullet"/>
      <w:lvlText w:val=""/>
      <w:lvlJc w:val="left"/>
      <w:pPr>
        <w:tabs>
          <w:tab w:val="num" w:pos="2880"/>
        </w:tabs>
        <w:ind w:left="2880" w:hanging="360"/>
      </w:pPr>
      <w:rPr>
        <w:rFonts w:ascii="Symbol" w:hAnsi="Symbol" w:hint="default"/>
      </w:rPr>
    </w:lvl>
    <w:lvl w:ilvl="4" w:tplc="64D4777A" w:tentative="1">
      <w:start w:val="1"/>
      <w:numFmt w:val="bullet"/>
      <w:lvlText w:val="o"/>
      <w:lvlJc w:val="left"/>
      <w:pPr>
        <w:tabs>
          <w:tab w:val="num" w:pos="3600"/>
        </w:tabs>
        <w:ind w:left="3600" w:hanging="360"/>
      </w:pPr>
      <w:rPr>
        <w:rFonts w:ascii="Courier New" w:hAnsi="Courier New" w:hint="default"/>
      </w:rPr>
    </w:lvl>
    <w:lvl w:ilvl="5" w:tplc="F3DA82F0" w:tentative="1">
      <w:start w:val="1"/>
      <w:numFmt w:val="bullet"/>
      <w:lvlText w:val=""/>
      <w:lvlJc w:val="left"/>
      <w:pPr>
        <w:tabs>
          <w:tab w:val="num" w:pos="4320"/>
        </w:tabs>
        <w:ind w:left="4320" w:hanging="360"/>
      </w:pPr>
      <w:rPr>
        <w:rFonts w:ascii="Wingdings" w:hAnsi="Wingdings" w:hint="default"/>
      </w:rPr>
    </w:lvl>
    <w:lvl w:ilvl="6" w:tplc="CF383910" w:tentative="1">
      <w:start w:val="1"/>
      <w:numFmt w:val="bullet"/>
      <w:lvlText w:val=""/>
      <w:lvlJc w:val="left"/>
      <w:pPr>
        <w:tabs>
          <w:tab w:val="num" w:pos="5040"/>
        </w:tabs>
        <w:ind w:left="5040" w:hanging="360"/>
      </w:pPr>
      <w:rPr>
        <w:rFonts w:ascii="Symbol" w:hAnsi="Symbol" w:hint="default"/>
      </w:rPr>
    </w:lvl>
    <w:lvl w:ilvl="7" w:tplc="661A83BC" w:tentative="1">
      <w:start w:val="1"/>
      <w:numFmt w:val="bullet"/>
      <w:lvlText w:val="o"/>
      <w:lvlJc w:val="left"/>
      <w:pPr>
        <w:tabs>
          <w:tab w:val="num" w:pos="5760"/>
        </w:tabs>
        <w:ind w:left="5760" w:hanging="360"/>
      </w:pPr>
      <w:rPr>
        <w:rFonts w:ascii="Courier New" w:hAnsi="Courier New" w:hint="default"/>
      </w:rPr>
    </w:lvl>
    <w:lvl w:ilvl="8" w:tplc="67767FA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2A2510"/>
    <w:multiLevelType w:val="singleLevel"/>
    <w:tmpl w:val="4DAE7FD4"/>
    <w:lvl w:ilvl="0">
      <w:start w:val="1"/>
      <w:numFmt w:val="bullet"/>
      <w:pStyle w:val="Puce2-6pts"/>
      <w:lvlText w:val=""/>
      <w:lvlJc w:val="left"/>
      <w:pPr>
        <w:tabs>
          <w:tab w:val="num" w:pos="717"/>
        </w:tabs>
        <w:ind w:left="714" w:hanging="357"/>
      </w:pPr>
      <w:rPr>
        <w:rFonts w:ascii="Wingdings" w:hAnsi="Wingdings" w:hint="default"/>
        <w:sz w:val="16"/>
      </w:rPr>
    </w:lvl>
  </w:abstractNum>
  <w:abstractNum w:abstractNumId="26" w15:restartNumberingAfterBreak="0">
    <w:nsid w:val="3CF96CB9"/>
    <w:multiLevelType w:val="multilevel"/>
    <w:tmpl w:val="B3487DC6"/>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15:restartNumberingAfterBreak="0">
    <w:nsid w:val="3D831C94"/>
    <w:multiLevelType w:val="hybridMultilevel"/>
    <w:tmpl w:val="BF6AEDA4"/>
    <w:lvl w:ilvl="0" w:tplc="5D9A6860">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3F9D34C5"/>
    <w:multiLevelType w:val="singleLevel"/>
    <w:tmpl w:val="78A6ED3A"/>
    <w:lvl w:ilvl="0">
      <w:start w:val="1"/>
      <w:numFmt w:val="bullet"/>
      <w:pStyle w:val="Puce1-12pts"/>
      <w:lvlText w:val=""/>
      <w:lvlJc w:val="left"/>
      <w:pPr>
        <w:tabs>
          <w:tab w:val="num" w:pos="360"/>
        </w:tabs>
        <w:ind w:left="360" w:hanging="360"/>
      </w:pPr>
      <w:rPr>
        <w:rFonts w:ascii="Wingdings" w:hAnsi="Wingdings" w:hint="default"/>
      </w:rPr>
    </w:lvl>
  </w:abstractNum>
  <w:abstractNum w:abstractNumId="29" w15:restartNumberingAfterBreak="0">
    <w:nsid w:val="41C44617"/>
    <w:multiLevelType w:val="multilevel"/>
    <w:tmpl w:val="27229794"/>
    <w:lvl w:ilvl="0">
      <w:start w:val="1"/>
      <w:numFmt w:val="decimal"/>
      <w:pStyle w:val="Heading1"/>
      <w:lvlText w:val="%1"/>
      <w:lvlJc w:val="left"/>
      <w:pPr>
        <w:tabs>
          <w:tab w:val="num" w:pos="1134"/>
        </w:tabs>
        <w:ind w:left="1134" w:hanging="1134"/>
      </w:pPr>
      <w:rPr>
        <w:rFonts w:cs="Times New Roman"/>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276"/>
        </w:tabs>
        <w:ind w:left="1276" w:hanging="1134"/>
      </w:pPr>
      <w:rPr>
        <w:rFonts w:ascii="Arial" w:hAnsi="Arial" w:hint="default"/>
        <w:sz w:val="24"/>
      </w:rPr>
    </w:lvl>
    <w:lvl w:ilvl="2">
      <w:start w:val="1"/>
      <w:numFmt w:val="decimal"/>
      <w:pStyle w:val="Heading3"/>
      <w:lvlText w:val="%1.%2.%3"/>
      <w:lvlJc w:val="left"/>
      <w:pPr>
        <w:tabs>
          <w:tab w:val="num" w:pos="1276"/>
        </w:tabs>
        <w:ind w:left="1276" w:hanging="113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440"/>
        </w:tabs>
        <w:ind w:left="1134" w:hanging="113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3F302D2"/>
    <w:multiLevelType w:val="singleLevel"/>
    <w:tmpl w:val="459A9D36"/>
    <w:lvl w:ilvl="0">
      <w:start w:val="1"/>
      <w:numFmt w:val="bullet"/>
      <w:pStyle w:val="Puce3-0pt"/>
      <w:lvlText w:val=""/>
      <w:lvlJc w:val="left"/>
      <w:pPr>
        <w:tabs>
          <w:tab w:val="num" w:pos="1074"/>
        </w:tabs>
        <w:ind w:left="1072" w:hanging="358"/>
      </w:pPr>
      <w:rPr>
        <w:rFonts w:ascii="Wingdings" w:hAnsi="Wingdings" w:hint="default"/>
      </w:rPr>
    </w:lvl>
  </w:abstractNum>
  <w:abstractNum w:abstractNumId="31" w15:restartNumberingAfterBreak="0">
    <w:nsid w:val="44AF1ECE"/>
    <w:multiLevelType w:val="hybridMultilevel"/>
    <w:tmpl w:val="EDDEE06C"/>
    <w:lvl w:ilvl="0" w:tplc="DC7E4A9A">
      <w:start w:val="1"/>
      <w:numFmt w:val="bullet"/>
      <w:pStyle w:val="Tabellen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5160D62"/>
    <w:multiLevelType w:val="hybridMultilevel"/>
    <w:tmpl w:val="39E8D03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5354669"/>
    <w:multiLevelType w:val="hybridMultilevel"/>
    <w:tmpl w:val="E000F910"/>
    <w:lvl w:ilvl="0" w:tplc="0409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4D614E8D"/>
    <w:multiLevelType w:val="hybridMultilevel"/>
    <w:tmpl w:val="9364F8B2"/>
    <w:lvl w:ilvl="0" w:tplc="5D9A6860">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4D904013"/>
    <w:multiLevelType w:val="hybridMultilevel"/>
    <w:tmpl w:val="B2F61460"/>
    <w:lvl w:ilvl="0" w:tplc="70EA34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F604ADD"/>
    <w:multiLevelType w:val="singleLevel"/>
    <w:tmpl w:val="78F4B2EC"/>
    <w:lvl w:ilvl="0">
      <w:start w:val="1"/>
      <w:numFmt w:val="decimal"/>
      <w:pStyle w:val="Numro-12pts"/>
      <w:lvlText w:val="%1)"/>
      <w:lvlJc w:val="left"/>
      <w:pPr>
        <w:tabs>
          <w:tab w:val="num" w:pos="360"/>
        </w:tabs>
        <w:ind w:left="360" w:hanging="360"/>
      </w:pPr>
    </w:lvl>
  </w:abstractNum>
  <w:abstractNum w:abstractNumId="37" w15:restartNumberingAfterBreak="0">
    <w:nsid w:val="50AB6F9F"/>
    <w:multiLevelType w:val="hybridMultilevel"/>
    <w:tmpl w:val="8D16F780"/>
    <w:lvl w:ilvl="0" w:tplc="5D9A6860">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53EB2CEC"/>
    <w:multiLevelType w:val="hybridMultilevel"/>
    <w:tmpl w:val="201061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FD7584"/>
    <w:multiLevelType w:val="hybridMultilevel"/>
    <w:tmpl w:val="45C272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3D53B6"/>
    <w:multiLevelType w:val="singleLevel"/>
    <w:tmpl w:val="2EB6411A"/>
    <w:lvl w:ilvl="0">
      <w:start w:val="1"/>
      <w:numFmt w:val="bullet"/>
      <w:pStyle w:val="Puce2-0pt"/>
      <w:lvlText w:val=""/>
      <w:lvlJc w:val="left"/>
      <w:pPr>
        <w:tabs>
          <w:tab w:val="num" w:pos="717"/>
        </w:tabs>
        <w:ind w:left="714" w:hanging="357"/>
      </w:pPr>
      <w:rPr>
        <w:rFonts w:ascii="Wingdings" w:hAnsi="Wingdings" w:hint="default"/>
        <w:sz w:val="16"/>
      </w:rPr>
    </w:lvl>
  </w:abstractNum>
  <w:abstractNum w:abstractNumId="41" w15:restartNumberingAfterBreak="0">
    <w:nsid w:val="5DEA1B92"/>
    <w:multiLevelType w:val="singleLevel"/>
    <w:tmpl w:val="C0EC8E68"/>
    <w:lvl w:ilvl="0">
      <w:start w:val="1"/>
      <w:numFmt w:val="bullet"/>
      <w:pStyle w:val="Puce4-0pt"/>
      <w:lvlText w:val=""/>
      <w:lvlJc w:val="left"/>
      <w:pPr>
        <w:tabs>
          <w:tab w:val="num" w:pos="1432"/>
        </w:tabs>
        <w:ind w:left="1429" w:hanging="357"/>
      </w:pPr>
      <w:rPr>
        <w:rFonts w:ascii="Wingdings" w:hAnsi="Wingdings" w:hint="default"/>
      </w:rPr>
    </w:lvl>
  </w:abstractNum>
  <w:abstractNum w:abstractNumId="42" w15:restartNumberingAfterBreak="0">
    <w:nsid w:val="5E371B83"/>
    <w:multiLevelType w:val="hybridMultilevel"/>
    <w:tmpl w:val="9EEA05B6"/>
    <w:lvl w:ilvl="0" w:tplc="6B7C03D6">
      <w:start w:val="1"/>
      <w:numFmt w:val="decimal"/>
      <w:lvlText w:val="%1)"/>
      <w:lvlJc w:val="left"/>
      <w:pPr>
        <w:ind w:left="720" w:hanging="360"/>
      </w:pPr>
      <w:rPr>
        <w:rFont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013161B"/>
    <w:multiLevelType w:val="multilevel"/>
    <w:tmpl w:val="97DA2988"/>
    <w:lvl w:ilvl="0">
      <w:start w:val="1"/>
      <w:numFmt w:val="decimal"/>
      <w:lvlText w:val="R %1."/>
      <w:lvlJc w:val="left"/>
      <w:pPr>
        <w:tabs>
          <w:tab w:val="num" w:pos="397"/>
        </w:tabs>
        <w:ind w:left="397" w:hanging="397"/>
      </w:pPr>
      <w:rPr>
        <w:rFonts w:asciiTheme="minorHAnsi" w:hAnsiTheme="minorHAnsi" w:hint="default"/>
        <w:b/>
        <w:i w:val="0"/>
        <w:color w:val="034EA2" w:themeColor="accent6"/>
        <w:sz w:val="19"/>
      </w:rPr>
    </w:lvl>
    <w:lvl w:ilvl="1">
      <w:start w:val="1"/>
      <w:numFmt w:val="decimal"/>
      <w:lvlText w:val="R %1.%2."/>
      <w:lvlJc w:val="left"/>
      <w:pPr>
        <w:tabs>
          <w:tab w:val="num" w:pos="794"/>
        </w:tabs>
        <w:ind w:left="397" w:hanging="397"/>
      </w:pPr>
      <w:rPr>
        <w:rFonts w:asciiTheme="minorHAnsi" w:hAnsiTheme="minorHAnsi" w:hint="default"/>
        <w:b/>
        <w:i w:val="0"/>
        <w:color w:val="034EA2" w:themeColor="accent6"/>
        <w:sz w:val="19"/>
      </w:rPr>
    </w:lvl>
    <w:lvl w:ilvl="2">
      <w:start w:val="1"/>
      <w:numFmt w:val="decimal"/>
      <w:lvlText w:val="R.%1.%2.%3."/>
      <w:lvlJc w:val="left"/>
      <w:pPr>
        <w:tabs>
          <w:tab w:val="num" w:pos="1191"/>
        </w:tabs>
        <w:ind w:left="567" w:hanging="567"/>
      </w:pPr>
      <w:rPr>
        <w:rFonts w:asciiTheme="minorHAnsi" w:hAnsiTheme="minorHAnsi" w:hint="default"/>
        <w:b/>
        <w:i w:val="0"/>
        <w:color w:val="034EA2" w:themeColor="accent6"/>
        <w:sz w:val="19"/>
      </w:rPr>
    </w:lvl>
    <w:lvl w:ilvl="3">
      <w:start w:val="1"/>
      <w:numFmt w:val="decimal"/>
      <w:pStyle w:val="List4"/>
      <w:lvlText w:val="%4.)"/>
      <w:lvlJc w:val="left"/>
      <w:pPr>
        <w:tabs>
          <w:tab w:val="num" w:pos="1588"/>
        </w:tabs>
        <w:ind w:left="1588" w:hanging="397"/>
      </w:pPr>
      <w:rPr>
        <w:rFonts w:asciiTheme="minorHAnsi" w:hAnsiTheme="minorHAnsi" w:hint="default"/>
        <w:b w:val="0"/>
        <w:i w:val="0"/>
        <w:color w:val="034EA2" w:themeColor="accent6"/>
        <w:sz w:val="19"/>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4" w15:restartNumberingAfterBreak="0">
    <w:nsid w:val="602B1377"/>
    <w:multiLevelType w:val="singleLevel"/>
    <w:tmpl w:val="5C22FA50"/>
    <w:lvl w:ilvl="0">
      <w:start w:val="1"/>
      <w:numFmt w:val="decimal"/>
      <w:pStyle w:val="Numro-0pt"/>
      <w:lvlText w:val="%1)"/>
      <w:lvlJc w:val="left"/>
      <w:pPr>
        <w:tabs>
          <w:tab w:val="num" w:pos="360"/>
        </w:tabs>
        <w:ind w:left="360" w:hanging="360"/>
      </w:pPr>
    </w:lvl>
  </w:abstractNum>
  <w:abstractNum w:abstractNumId="45" w15:restartNumberingAfterBreak="0">
    <w:nsid w:val="658B543D"/>
    <w:multiLevelType w:val="singleLevel"/>
    <w:tmpl w:val="9D7A0220"/>
    <w:lvl w:ilvl="0">
      <w:start w:val="1"/>
      <w:numFmt w:val="bullet"/>
      <w:pStyle w:val="Puce3-6pts"/>
      <w:lvlText w:val=""/>
      <w:lvlJc w:val="left"/>
      <w:pPr>
        <w:tabs>
          <w:tab w:val="num" w:pos="1074"/>
        </w:tabs>
        <w:ind w:left="1072" w:hanging="358"/>
      </w:pPr>
      <w:rPr>
        <w:rFonts w:ascii="Wingdings" w:hAnsi="Wingdings" w:hint="default"/>
      </w:rPr>
    </w:lvl>
  </w:abstractNum>
  <w:abstractNum w:abstractNumId="46" w15:restartNumberingAfterBreak="0">
    <w:nsid w:val="659835A7"/>
    <w:multiLevelType w:val="singleLevel"/>
    <w:tmpl w:val="3182ABC0"/>
    <w:lvl w:ilvl="0">
      <w:start w:val="1"/>
      <w:numFmt w:val="lowerLetter"/>
      <w:pStyle w:val="Lettre-6pts"/>
      <w:lvlText w:val="%1)"/>
      <w:lvlJc w:val="left"/>
      <w:pPr>
        <w:tabs>
          <w:tab w:val="num" w:pos="360"/>
        </w:tabs>
        <w:ind w:left="360" w:hanging="360"/>
      </w:pPr>
    </w:lvl>
  </w:abstractNum>
  <w:abstractNum w:abstractNumId="47" w15:restartNumberingAfterBreak="0">
    <w:nsid w:val="659D762A"/>
    <w:multiLevelType w:val="singleLevel"/>
    <w:tmpl w:val="8BF6F8F0"/>
    <w:lvl w:ilvl="0">
      <w:start w:val="1"/>
      <w:numFmt w:val="bullet"/>
      <w:pStyle w:val="Puce3-12pts"/>
      <w:lvlText w:val=""/>
      <w:lvlJc w:val="left"/>
      <w:pPr>
        <w:tabs>
          <w:tab w:val="num" w:pos="1074"/>
        </w:tabs>
        <w:ind w:left="1072" w:hanging="358"/>
      </w:pPr>
      <w:rPr>
        <w:rFonts w:ascii="Wingdings" w:hAnsi="Wingdings" w:hint="default"/>
      </w:rPr>
    </w:lvl>
  </w:abstractNum>
  <w:abstractNum w:abstractNumId="48" w15:restartNumberingAfterBreak="0">
    <w:nsid w:val="6EC01B5A"/>
    <w:multiLevelType w:val="singleLevel"/>
    <w:tmpl w:val="F4A8530C"/>
    <w:lvl w:ilvl="0">
      <w:start w:val="1"/>
      <w:numFmt w:val="bullet"/>
      <w:pStyle w:val="Puce2-12pts"/>
      <w:lvlText w:val=""/>
      <w:lvlJc w:val="left"/>
      <w:pPr>
        <w:tabs>
          <w:tab w:val="num" w:pos="717"/>
        </w:tabs>
        <w:ind w:left="714" w:hanging="357"/>
      </w:pPr>
      <w:rPr>
        <w:rFonts w:ascii="Wingdings" w:hAnsi="Wingdings" w:hint="default"/>
        <w:sz w:val="16"/>
      </w:rPr>
    </w:lvl>
  </w:abstractNum>
  <w:abstractNum w:abstractNumId="49" w15:restartNumberingAfterBreak="0">
    <w:nsid w:val="72881152"/>
    <w:multiLevelType w:val="hybridMultilevel"/>
    <w:tmpl w:val="BFB06D40"/>
    <w:lvl w:ilvl="0" w:tplc="097416EA">
      <w:start w:val="1"/>
      <w:numFmt w:val="decimal"/>
      <w:pStyle w:val="Heding2"/>
      <w:lvlText w:val="1.%1."/>
      <w:lvlJc w:val="left"/>
      <w:pPr>
        <w:tabs>
          <w:tab w:val="num" w:pos="360"/>
        </w:tabs>
        <w:ind w:left="360" w:hanging="360"/>
      </w:pPr>
      <w:rPr>
        <w:rFonts w:hint="default"/>
      </w:rPr>
    </w:lvl>
    <w:lvl w:ilvl="1" w:tplc="7EE214F2" w:tentative="1">
      <w:start w:val="1"/>
      <w:numFmt w:val="lowerLetter"/>
      <w:lvlText w:val="%2."/>
      <w:lvlJc w:val="left"/>
      <w:pPr>
        <w:tabs>
          <w:tab w:val="num" w:pos="1440"/>
        </w:tabs>
        <w:ind w:left="1440" w:hanging="360"/>
      </w:pPr>
    </w:lvl>
    <w:lvl w:ilvl="2" w:tplc="05700920" w:tentative="1">
      <w:start w:val="1"/>
      <w:numFmt w:val="lowerRoman"/>
      <w:lvlText w:val="%3."/>
      <w:lvlJc w:val="right"/>
      <w:pPr>
        <w:tabs>
          <w:tab w:val="num" w:pos="2160"/>
        </w:tabs>
        <w:ind w:left="2160" w:hanging="180"/>
      </w:pPr>
    </w:lvl>
    <w:lvl w:ilvl="3" w:tplc="655284E4" w:tentative="1">
      <w:start w:val="1"/>
      <w:numFmt w:val="decimal"/>
      <w:lvlText w:val="%4."/>
      <w:lvlJc w:val="left"/>
      <w:pPr>
        <w:tabs>
          <w:tab w:val="num" w:pos="2880"/>
        </w:tabs>
        <w:ind w:left="2880" w:hanging="360"/>
      </w:pPr>
    </w:lvl>
    <w:lvl w:ilvl="4" w:tplc="89E46230" w:tentative="1">
      <w:start w:val="1"/>
      <w:numFmt w:val="lowerLetter"/>
      <w:lvlText w:val="%5."/>
      <w:lvlJc w:val="left"/>
      <w:pPr>
        <w:tabs>
          <w:tab w:val="num" w:pos="3600"/>
        </w:tabs>
        <w:ind w:left="3600" w:hanging="360"/>
      </w:pPr>
    </w:lvl>
    <w:lvl w:ilvl="5" w:tplc="21F2963C" w:tentative="1">
      <w:start w:val="1"/>
      <w:numFmt w:val="lowerRoman"/>
      <w:lvlText w:val="%6."/>
      <w:lvlJc w:val="right"/>
      <w:pPr>
        <w:tabs>
          <w:tab w:val="num" w:pos="4320"/>
        </w:tabs>
        <w:ind w:left="4320" w:hanging="180"/>
      </w:pPr>
    </w:lvl>
    <w:lvl w:ilvl="6" w:tplc="EA0C5C7C" w:tentative="1">
      <w:start w:val="1"/>
      <w:numFmt w:val="decimal"/>
      <w:lvlText w:val="%7."/>
      <w:lvlJc w:val="left"/>
      <w:pPr>
        <w:tabs>
          <w:tab w:val="num" w:pos="5040"/>
        </w:tabs>
        <w:ind w:left="5040" w:hanging="360"/>
      </w:pPr>
    </w:lvl>
    <w:lvl w:ilvl="7" w:tplc="7C869AF2" w:tentative="1">
      <w:start w:val="1"/>
      <w:numFmt w:val="lowerLetter"/>
      <w:lvlText w:val="%8."/>
      <w:lvlJc w:val="left"/>
      <w:pPr>
        <w:tabs>
          <w:tab w:val="num" w:pos="5760"/>
        </w:tabs>
        <w:ind w:left="5760" w:hanging="360"/>
      </w:pPr>
    </w:lvl>
    <w:lvl w:ilvl="8" w:tplc="A4DC1A3E" w:tentative="1">
      <w:start w:val="1"/>
      <w:numFmt w:val="lowerRoman"/>
      <w:lvlText w:val="%9."/>
      <w:lvlJc w:val="right"/>
      <w:pPr>
        <w:tabs>
          <w:tab w:val="num" w:pos="6480"/>
        </w:tabs>
        <w:ind w:left="6480" w:hanging="180"/>
      </w:pPr>
    </w:lvl>
  </w:abstractNum>
  <w:abstractNum w:abstractNumId="50" w15:restartNumberingAfterBreak="0">
    <w:nsid w:val="72DE70EA"/>
    <w:multiLevelType w:val="hybridMultilevel"/>
    <w:tmpl w:val="8DC670AA"/>
    <w:lvl w:ilvl="0" w:tplc="FFFFFFFF">
      <w:start w:val="1"/>
      <w:numFmt w:val="bullet"/>
      <w:lvlText w:val=""/>
      <w:lvlJc w:val="left"/>
      <w:pPr>
        <w:ind w:left="720" w:hanging="360"/>
      </w:pPr>
      <w:rPr>
        <w:rFonts w:ascii="Symbol" w:hAnsi="Symbol" w:hint="default"/>
      </w:rPr>
    </w:lvl>
    <w:lvl w:ilvl="1" w:tplc="5D9A6860">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73555289"/>
    <w:multiLevelType w:val="multilevel"/>
    <w:tmpl w:val="0407001D"/>
    <w:styleLink w:val="1ai"/>
    <w:lvl w:ilvl="0">
      <w:start w:val="1"/>
      <w:numFmt w:val="decimal"/>
      <w:lvlText w:val="%1"/>
      <w:lvlJc w:val="left"/>
      <w:pPr>
        <w:ind w:left="360" w:hanging="360"/>
      </w:pPr>
      <w:rPr>
        <w:rFonts w:asciiTheme="minorHAnsi" w:hAnsiTheme="minorHAns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5687340"/>
    <w:multiLevelType w:val="multilevel"/>
    <w:tmpl w:val="3CEA409C"/>
    <w:lvl w:ilvl="0">
      <w:start w:val="1"/>
      <w:numFmt w:val="decimal"/>
      <w:pStyle w:val="Einzug1"/>
      <w:lvlText w:val="%1."/>
      <w:lvlJc w:val="left"/>
      <w:pPr>
        <w:ind w:left="1070" w:hanging="360"/>
      </w:pPr>
      <w:rPr>
        <w:rFonts w:hint="default"/>
        <w:sz w:val="28"/>
      </w:rPr>
    </w:lvl>
    <w:lvl w:ilvl="1">
      <w:start w:val="1"/>
      <w:numFmt w:val="decimal"/>
      <w:isLgl/>
      <w:lvlText w:val="%1.%2."/>
      <w:lvlJc w:val="left"/>
      <w:pPr>
        <w:ind w:left="1212" w:hanging="720"/>
      </w:pPr>
      <w:rPr>
        <w:rFonts w:hint="default"/>
      </w:rPr>
    </w:lvl>
    <w:lvl w:ilvl="2">
      <w:start w:val="1"/>
      <w:numFmt w:val="decimal"/>
      <w:isLgl/>
      <w:lvlText w:val="%1.%2.%3."/>
      <w:lvlJc w:val="left"/>
      <w:pPr>
        <w:ind w:left="1790" w:hanging="108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510" w:hanging="180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870" w:hanging="2160"/>
      </w:pPr>
      <w:rPr>
        <w:rFonts w:hint="default"/>
      </w:rPr>
    </w:lvl>
    <w:lvl w:ilvl="8">
      <w:start w:val="1"/>
      <w:numFmt w:val="decimal"/>
      <w:isLgl/>
      <w:lvlText w:val="%1.%2.%3.%4.%5.%6.%7.%8.%9."/>
      <w:lvlJc w:val="left"/>
      <w:pPr>
        <w:ind w:left="3230" w:hanging="2520"/>
      </w:pPr>
      <w:rPr>
        <w:rFonts w:hint="default"/>
      </w:rPr>
    </w:lvl>
  </w:abstractNum>
  <w:abstractNum w:abstractNumId="53" w15:restartNumberingAfterBreak="0">
    <w:nsid w:val="764C1AED"/>
    <w:multiLevelType w:val="hybridMultilevel"/>
    <w:tmpl w:val="4C362AF6"/>
    <w:lvl w:ilvl="0" w:tplc="5D9A6860">
      <w:start w:val="1"/>
      <w:numFmt w:val="decimal"/>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4" w15:restartNumberingAfterBreak="0">
    <w:nsid w:val="76F611A8"/>
    <w:multiLevelType w:val="hybridMultilevel"/>
    <w:tmpl w:val="3DE274E6"/>
    <w:lvl w:ilvl="0" w:tplc="0409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5" w15:restartNumberingAfterBreak="0">
    <w:nsid w:val="783A0994"/>
    <w:multiLevelType w:val="singleLevel"/>
    <w:tmpl w:val="04190001"/>
    <w:lvl w:ilvl="0">
      <w:start w:val="1"/>
      <w:numFmt w:val="bullet"/>
      <w:pStyle w:val="Listanumerotata"/>
      <w:lvlText w:val=""/>
      <w:lvlJc w:val="left"/>
      <w:pPr>
        <w:tabs>
          <w:tab w:val="num" w:pos="360"/>
        </w:tabs>
        <w:ind w:left="360" w:hanging="360"/>
      </w:pPr>
      <w:rPr>
        <w:rFonts w:ascii="Symbol" w:hAnsi="Symbol" w:hint="default"/>
      </w:rPr>
    </w:lvl>
  </w:abstractNum>
  <w:abstractNum w:abstractNumId="56" w15:restartNumberingAfterBreak="0">
    <w:nsid w:val="79A86B52"/>
    <w:multiLevelType w:val="singleLevel"/>
    <w:tmpl w:val="5D7E0D7C"/>
    <w:lvl w:ilvl="0">
      <w:start w:val="1"/>
      <w:numFmt w:val="lowerLetter"/>
      <w:pStyle w:val="Lettre-0pt"/>
      <w:lvlText w:val="%1)"/>
      <w:lvlJc w:val="left"/>
      <w:pPr>
        <w:tabs>
          <w:tab w:val="num" w:pos="360"/>
        </w:tabs>
        <w:ind w:left="360" w:hanging="360"/>
      </w:pPr>
    </w:lvl>
  </w:abstractNum>
  <w:abstractNum w:abstractNumId="57" w15:restartNumberingAfterBreak="0">
    <w:nsid w:val="79C3102A"/>
    <w:multiLevelType w:val="singleLevel"/>
    <w:tmpl w:val="A5A64854"/>
    <w:lvl w:ilvl="0">
      <w:start w:val="1"/>
      <w:numFmt w:val="bullet"/>
      <w:pStyle w:val="Puce4-12pts"/>
      <w:lvlText w:val=""/>
      <w:lvlJc w:val="left"/>
      <w:pPr>
        <w:tabs>
          <w:tab w:val="num" w:pos="1432"/>
        </w:tabs>
        <w:ind w:left="1429" w:hanging="357"/>
      </w:pPr>
      <w:rPr>
        <w:rFonts w:ascii="Wingdings" w:hAnsi="Wingdings" w:hint="default"/>
      </w:rPr>
    </w:lvl>
  </w:abstractNum>
  <w:abstractNum w:abstractNumId="58" w15:restartNumberingAfterBreak="0">
    <w:nsid w:val="7F9422D7"/>
    <w:multiLevelType w:val="singleLevel"/>
    <w:tmpl w:val="6E6A40D2"/>
    <w:lvl w:ilvl="0">
      <w:start w:val="1"/>
      <w:numFmt w:val="bullet"/>
      <w:pStyle w:val="Puce1-6pts"/>
      <w:lvlText w:val=""/>
      <w:lvlJc w:val="left"/>
      <w:pPr>
        <w:tabs>
          <w:tab w:val="num" w:pos="360"/>
        </w:tabs>
        <w:ind w:left="360" w:hanging="360"/>
      </w:pPr>
      <w:rPr>
        <w:rFonts w:ascii="Wingdings" w:hAnsi="Wingdings" w:hint="default"/>
      </w:rPr>
    </w:lvl>
  </w:abstractNum>
  <w:num w:numId="1" w16cid:durableId="355231370">
    <w:abstractNumId w:val="18"/>
  </w:num>
  <w:num w:numId="2" w16cid:durableId="255359524">
    <w:abstractNumId w:val="29"/>
  </w:num>
  <w:num w:numId="3" w16cid:durableId="1098790329">
    <w:abstractNumId w:val="49"/>
  </w:num>
  <w:num w:numId="4" w16cid:durableId="1577590209">
    <w:abstractNumId w:val="55"/>
  </w:num>
  <w:num w:numId="5" w16cid:durableId="100534009">
    <w:abstractNumId w:val="21"/>
  </w:num>
  <w:num w:numId="6" w16cid:durableId="1823933585">
    <w:abstractNumId w:val="51"/>
  </w:num>
  <w:num w:numId="7" w16cid:durableId="606816764">
    <w:abstractNumId w:val="1"/>
  </w:num>
  <w:num w:numId="8" w16cid:durableId="878592603">
    <w:abstractNumId w:val="0"/>
  </w:num>
  <w:num w:numId="9" w16cid:durableId="550850383">
    <w:abstractNumId w:val="2"/>
  </w:num>
  <w:num w:numId="10" w16cid:durableId="976034679">
    <w:abstractNumId w:val="43"/>
  </w:num>
  <w:num w:numId="11" w16cid:durableId="1146120554">
    <w:abstractNumId w:val="5"/>
  </w:num>
  <w:num w:numId="12" w16cid:durableId="208225498">
    <w:abstractNumId w:val="24"/>
  </w:num>
  <w:num w:numId="13" w16cid:durableId="323975930">
    <w:abstractNumId w:val="56"/>
  </w:num>
  <w:num w:numId="14" w16cid:durableId="820316241">
    <w:abstractNumId w:val="8"/>
  </w:num>
  <w:num w:numId="15" w16cid:durableId="2082218018">
    <w:abstractNumId w:val="46"/>
  </w:num>
  <w:num w:numId="16" w16cid:durableId="889150633">
    <w:abstractNumId w:val="44"/>
  </w:num>
  <w:num w:numId="17" w16cid:durableId="1018772322">
    <w:abstractNumId w:val="36"/>
  </w:num>
  <w:num w:numId="18" w16cid:durableId="1221864322">
    <w:abstractNumId w:val="14"/>
  </w:num>
  <w:num w:numId="19" w16cid:durableId="809791510">
    <w:abstractNumId w:val="22"/>
  </w:num>
  <w:num w:numId="20" w16cid:durableId="556475058">
    <w:abstractNumId w:val="28"/>
  </w:num>
  <w:num w:numId="21" w16cid:durableId="1520385583">
    <w:abstractNumId w:val="58"/>
  </w:num>
  <w:num w:numId="22" w16cid:durableId="1632250598">
    <w:abstractNumId w:val="40"/>
  </w:num>
  <w:num w:numId="23" w16cid:durableId="210921150">
    <w:abstractNumId w:val="48"/>
  </w:num>
  <w:num w:numId="24" w16cid:durableId="670646914">
    <w:abstractNumId w:val="25"/>
  </w:num>
  <w:num w:numId="25" w16cid:durableId="1307592715">
    <w:abstractNumId w:val="30"/>
  </w:num>
  <w:num w:numId="26" w16cid:durableId="895167065">
    <w:abstractNumId w:val="47"/>
  </w:num>
  <w:num w:numId="27" w16cid:durableId="271061073">
    <w:abstractNumId w:val="45"/>
  </w:num>
  <w:num w:numId="28" w16cid:durableId="2119174407">
    <w:abstractNumId w:val="41"/>
  </w:num>
  <w:num w:numId="29" w16cid:durableId="1332413051">
    <w:abstractNumId w:val="57"/>
  </w:num>
  <w:num w:numId="30" w16cid:durableId="1861308428">
    <w:abstractNumId w:val="20"/>
  </w:num>
  <w:num w:numId="31" w16cid:durableId="2133329609">
    <w:abstractNumId w:val="31"/>
  </w:num>
  <w:num w:numId="32" w16cid:durableId="2005233786">
    <w:abstractNumId w:val="33"/>
  </w:num>
  <w:num w:numId="33" w16cid:durableId="414592298">
    <w:abstractNumId w:val="4"/>
  </w:num>
  <w:num w:numId="34" w16cid:durableId="1792282678">
    <w:abstractNumId w:val="15"/>
  </w:num>
  <w:num w:numId="35" w16cid:durableId="1007253298">
    <w:abstractNumId w:val="23"/>
  </w:num>
  <w:num w:numId="36" w16cid:durableId="2137600541">
    <w:abstractNumId w:val="16"/>
  </w:num>
  <w:num w:numId="37" w16cid:durableId="479201568">
    <w:abstractNumId w:val="17"/>
  </w:num>
  <w:num w:numId="38" w16cid:durableId="107429023">
    <w:abstractNumId w:val="54"/>
  </w:num>
  <w:num w:numId="39" w16cid:durableId="2360934">
    <w:abstractNumId w:val="26"/>
  </w:num>
  <w:num w:numId="40" w16cid:durableId="38094641">
    <w:abstractNumId w:val="52"/>
  </w:num>
  <w:num w:numId="41" w16cid:durableId="669021867">
    <w:abstractNumId w:val="35"/>
  </w:num>
  <w:num w:numId="42" w16cid:durableId="632760669">
    <w:abstractNumId w:val="37"/>
  </w:num>
  <w:num w:numId="43" w16cid:durableId="496501922">
    <w:abstractNumId w:val="34"/>
  </w:num>
  <w:num w:numId="44" w16cid:durableId="2091348642">
    <w:abstractNumId w:val="42"/>
  </w:num>
  <w:num w:numId="45" w16cid:durableId="1699967084">
    <w:abstractNumId w:val="52"/>
  </w:num>
  <w:num w:numId="46" w16cid:durableId="2059935642">
    <w:abstractNumId w:val="13"/>
  </w:num>
  <w:num w:numId="47" w16cid:durableId="49428142">
    <w:abstractNumId w:val="19"/>
  </w:num>
  <w:num w:numId="48" w16cid:durableId="1304116188">
    <w:abstractNumId w:val="11"/>
  </w:num>
  <w:num w:numId="49" w16cid:durableId="942878197">
    <w:abstractNumId w:val="27"/>
  </w:num>
  <w:num w:numId="50" w16cid:durableId="186334083">
    <w:abstractNumId w:val="10"/>
  </w:num>
  <w:num w:numId="51" w16cid:durableId="642585074">
    <w:abstractNumId w:val="32"/>
  </w:num>
  <w:num w:numId="52" w16cid:durableId="753287557">
    <w:abstractNumId w:val="39"/>
  </w:num>
  <w:num w:numId="53" w16cid:durableId="2027052226">
    <w:abstractNumId w:val="53"/>
  </w:num>
  <w:num w:numId="54" w16cid:durableId="56510952">
    <w:abstractNumId w:val="38"/>
  </w:num>
  <w:num w:numId="55" w16cid:durableId="576020236">
    <w:abstractNumId w:val="9"/>
  </w:num>
  <w:num w:numId="56" w16cid:durableId="1630551620">
    <w:abstractNumId w:val="7"/>
  </w:num>
  <w:num w:numId="57" w16cid:durableId="1002780649">
    <w:abstractNumId w:val="12"/>
  </w:num>
  <w:num w:numId="58" w16cid:durableId="1873030827">
    <w:abstractNumId w:val="3"/>
  </w:num>
  <w:num w:numId="59" w16cid:durableId="1129320335">
    <w:abstractNumId w:val="50"/>
  </w:num>
  <w:num w:numId="60" w16cid:durableId="575165629">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defaultTabStop w:val="720"/>
  <w:hyphenationZone w:val="425"/>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3MzcyszAzszQxMzFQ0lEKTi0uzszPAykwqgUAwwVwVCwAAAA="/>
    <w:docVar w:name="dgnword-docGUID" w:val="{B230E4B6-3354-4E38-8AC4-72E256B32357}"/>
    <w:docVar w:name="dgnword-eventsink" w:val="365277080"/>
  </w:docVars>
  <w:rsids>
    <w:rsidRoot w:val="00293FC4"/>
    <w:rsid w:val="00000561"/>
    <w:rsid w:val="000015F4"/>
    <w:rsid w:val="00002575"/>
    <w:rsid w:val="00003D01"/>
    <w:rsid w:val="000046E3"/>
    <w:rsid w:val="00004B41"/>
    <w:rsid w:val="00005705"/>
    <w:rsid w:val="00005D27"/>
    <w:rsid w:val="00006A83"/>
    <w:rsid w:val="00006EE7"/>
    <w:rsid w:val="00007087"/>
    <w:rsid w:val="00007B1B"/>
    <w:rsid w:val="00007B7E"/>
    <w:rsid w:val="00007BC7"/>
    <w:rsid w:val="000106FD"/>
    <w:rsid w:val="000110B2"/>
    <w:rsid w:val="0001144D"/>
    <w:rsid w:val="000116C9"/>
    <w:rsid w:val="00011D62"/>
    <w:rsid w:val="00011FF1"/>
    <w:rsid w:val="00012507"/>
    <w:rsid w:val="00012621"/>
    <w:rsid w:val="000129E0"/>
    <w:rsid w:val="00013577"/>
    <w:rsid w:val="00014A6D"/>
    <w:rsid w:val="00014C48"/>
    <w:rsid w:val="00014D46"/>
    <w:rsid w:val="00014FBE"/>
    <w:rsid w:val="0001539F"/>
    <w:rsid w:val="00015933"/>
    <w:rsid w:val="00016298"/>
    <w:rsid w:val="000163DA"/>
    <w:rsid w:val="000164BA"/>
    <w:rsid w:val="0001667D"/>
    <w:rsid w:val="000167F5"/>
    <w:rsid w:val="00016B3A"/>
    <w:rsid w:val="00016B76"/>
    <w:rsid w:val="00016BF5"/>
    <w:rsid w:val="00016C64"/>
    <w:rsid w:val="000202A1"/>
    <w:rsid w:val="00020723"/>
    <w:rsid w:val="0002091A"/>
    <w:rsid w:val="00020928"/>
    <w:rsid w:val="00020EAD"/>
    <w:rsid w:val="00021613"/>
    <w:rsid w:val="0002186D"/>
    <w:rsid w:val="00021C6A"/>
    <w:rsid w:val="00021D6D"/>
    <w:rsid w:val="00022153"/>
    <w:rsid w:val="000221C9"/>
    <w:rsid w:val="00022291"/>
    <w:rsid w:val="0002239C"/>
    <w:rsid w:val="000228D8"/>
    <w:rsid w:val="00022C23"/>
    <w:rsid w:val="00022DEA"/>
    <w:rsid w:val="00023096"/>
    <w:rsid w:val="000230B6"/>
    <w:rsid w:val="000231DE"/>
    <w:rsid w:val="00023A6C"/>
    <w:rsid w:val="00023B05"/>
    <w:rsid w:val="00023EA6"/>
    <w:rsid w:val="0002497A"/>
    <w:rsid w:val="000249C6"/>
    <w:rsid w:val="00024BCB"/>
    <w:rsid w:val="00024D04"/>
    <w:rsid w:val="0002649E"/>
    <w:rsid w:val="0002694D"/>
    <w:rsid w:val="00026A3F"/>
    <w:rsid w:val="00026A6C"/>
    <w:rsid w:val="00026AE4"/>
    <w:rsid w:val="00026BE5"/>
    <w:rsid w:val="000274B8"/>
    <w:rsid w:val="00027573"/>
    <w:rsid w:val="0003039C"/>
    <w:rsid w:val="0003064B"/>
    <w:rsid w:val="000312CB"/>
    <w:rsid w:val="00031364"/>
    <w:rsid w:val="0003140F"/>
    <w:rsid w:val="00031459"/>
    <w:rsid w:val="0003171D"/>
    <w:rsid w:val="00031DA1"/>
    <w:rsid w:val="000322CD"/>
    <w:rsid w:val="00032383"/>
    <w:rsid w:val="000331B5"/>
    <w:rsid w:val="000334B1"/>
    <w:rsid w:val="00033A66"/>
    <w:rsid w:val="00033EDD"/>
    <w:rsid w:val="000342DE"/>
    <w:rsid w:val="000345D3"/>
    <w:rsid w:val="0003470A"/>
    <w:rsid w:val="00034CAC"/>
    <w:rsid w:val="000355B2"/>
    <w:rsid w:val="0003560E"/>
    <w:rsid w:val="0003567B"/>
    <w:rsid w:val="000357FB"/>
    <w:rsid w:val="00035E0A"/>
    <w:rsid w:val="00035FC4"/>
    <w:rsid w:val="000376A6"/>
    <w:rsid w:val="000376E5"/>
    <w:rsid w:val="000403DF"/>
    <w:rsid w:val="00040480"/>
    <w:rsid w:val="000406A4"/>
    <w:rsid w:val="000407B8"/>
    <w:rsid w:val="00040B56"/>
    <w:rsid w:val="000410FD"/>
    <w:rsid w:val="00041223"/>
    <w:rsid w:val="000413C2"/>
    <w:rsid w:val="000414E7"/>
    <w:rsid w:val="00041758"/>
    <w:rsid w:val="000419E8"/>
    <w:rsid w:val="0004205A"/>
    <w:rsid w:val="000420DB"/>
    <w:rsid w:val="000421AC"/>
    <w:rsid w:val="00042F48"/>
    <w:rsid w:val="0004326B"/>
    <w:rsid w:val="00043836"/>
    <w:rsid w:val="00043A06"/>
    <w:rsid w:val="00043E9A"/>
    <w:rsid w:val="000441B4"/>
    <w:rsid w:val="00045397"/>
    <w:rsid w:val="00045511"/>
    <w:rsid w:val="000461AF"/>
    <w:rsid w:val="000469CF"/>
    <w:rsid w:val="00046D4A"/>
    <w:rsid w:val="00046EB2"/>
    <w:rsid w:val="00046FA4"/>
    <w:rsid w:val="00047C44"/>
    <w:rsid w:val="000500F2"/>
    <w:rsid w:val="000505B0"/>
    <w:rsid w:val="00050C95"/>
    <w:rsid w:val="00050DC6"/>
    <w:rsid w:val="00051033"/>
    <w:rsid w:val="00051C32"/>
    <w:rsid w:val="0005203A"/>
    <w:rsid w:val="00052847"/>
    <w:rsid w:val="000528D2"/>
    <w:rsid w:val="00053AA0"/>
    <w:rsid w:val="00054637"/>
    <w:rsid w:val="00054A63"/>
    <w:rsid w:val="0005548E"/>
    <w:rsid w:val="0005578E"/>
    <w:rsid w:val="000564D4"/>
    <w:rsid w:val="0005673F"/>
    <w:rsid w:val="000576BD"/>
    <w:rsid w:val="000578C5"/>
    <w:rsid w:val="00057C3F"/>
    <w:rsid w:val="0006108B"/>
    <w:rsid w:val="000619DA"/>
    <w:rsid w:val="000619EC"/>
    <w:rsid w:val="00061AB0"/>
    <w:rsid w:val="00061D7E"/>
    <w:rsid w:val="00061FE4"/>
    <w:rsid w:val="000623E8"/>
    <w:rsid w:val="0006293A"/>
    <w:rsid w:val="00062A82"/>
    <w:rsid w:val="0006327A"/>
    <w:rsid w:val="0006393B"/>
    <w:rsid w:val="00063B3B"/>
    <w:rsid w:val="00063C8E"/>
    <w:rsid w:val="00064094"/>
    <w:rsid w:val="000644F2"/>
    <w:rsid w:val="00064810"/>
    <w:rsid w:val="00064B93"/>
    <w:rsid w:val="000652BF"/>
    <w:rsid w:val="000663DE"/>
    <w:rsid w:val="00066E91"/>
    <w:rsid w:val="00066F1C"/>
    <w:rsid w:val="000673F1"/>
    <w:rsid w:val="00067472"/>
    <w:rsid w:val="00067FC0"/>
    <w:rsid w:val="000701DB"/>
    <w:rsid w:val="00070D24"/>
    <w:rsid w:val="00071119"/>
    <w:rsid w:val="00071BB0"/>
    <w:rsid w:val="0007211E"/>
    <w:rsid w:val="00072D0B"/>
    <w:rsid w:val="00072F46"/>
    <w:rsid w:val="000732C0"/>
    <w:rsid w:val="000741DC"/>
    <w:rsid w:val="00074579"/>
    <w:rsid w:val="00074A2D"/>
    <w:rsid w:val="00074ACC"/>
    <w:rsid w:val="00074B3B"/>
    <w:rsid w:val="00074FC3"/>
    <w:rsid w:val="00075A9A"/>
    <w:rsid w:val="00075C17"/>
    <w:rsid w:val="00075FCF"/>
    <w:rsid w:val="0007609A"/>
    <w:rsid w:val="00076222"/>
    <w:rsid w:val="0007626A"/>
    <w:rsid w:val="000762F7"/>
    <w:rsid w:val="00076682"/>
    <w:rsid w:val="00076F26"/>
    <w:rsid w:val="000773C2"/>
    <w:rsid w:val="000777E7"/>
    <w:rsid w:val="00077A77"/>
    <w:rsid w:val="00077ECE"/>
    <w:rsid w:val="00077FF7"/>
    <w:rsid w:val="00080146"/>
    <w:rsid w:val="00080971"/>
    <w:rsid w:val="00080DDF"/>
    <w:rsid w:val="00080E9E"/>
    <w:rsid w:val="00081246"/>
    <w:rsid w:val="000816B7"/>
    <w:rsid w:val="00081875"/>
    <w:rsid w:val="0008245D"/>
    <w:rsid w:val="0008270B"/>
    <w:rsid w:val="00082AE5"/>
    <w:rsid w:val="00082E91"/>
    <w:rsid w:val="00083155"/>
    <w:rsid w:val="00083364"/>
    <w:rsid w:val="00083758"/>
    <w:rsid w:val="00083AE1"/>
    <w:rsid w:val="00083F56"/>
    <w:rsid w:val="00084437"/>
    <w:rsid w:val="00084EE6"/>
    <w:rsid w:val="00084F9B"/>
    <w:rsid w:val="0008509A"/>
    <w:rsid w:val="000858B7"/>
    <w:rsid w:val="00085A71"/>
    <w:rsid w:val="00085E79"/>
    <w:rsid w:val="000860F6"/>
    <w:rsid w:val="00086238"/>
    <w:rsid w:val="00086647"/>
    <w:rsid w:val="00086D8F"/>
    <w:rsid w:val="000875D2"/>
    <w:rsid w:val="00087A7D"/>
    <w:rsid w:val="00090221"/>
    <w:rsid w:val="00090313"/>
    <w:rsid w:val="00090950"/>
    <w:rsid w:val="000909A4"/>
    <w:rsid w:val="00090E7F"/>
    <w:rsid w:val="0009177B"/>
    <w:rsid w:val="000917C0"/>
    <w:rsid w:val="0009235F"/>
    <w:rsid w:val="000937B2"/>
    <w:rsid w:val="00093CF0"/>
    <w:rsid w:val="00093E12"/>
    <w:rsid w:val="00093FEC"/>
    <w:rsid w:val="000941CD"/>
    <w:rsid w:val="0009461F"/>
    <w:rsid w:val="0009466E"/>
    <w:rsid w:val="00094ABC"/>
    <w:rsid w:val="00094DE0"/>
    <w:rsid w:val="00094E76"/>
    <w:rsid w:val="000952C5"/>
    <w:rsid w:val="00095451"/>
    <w:rsid w:val="0009578E"/>
    <w:rsid w:val="000963B5"/>
    <w:rsid w:val="000965CA"/>
    <w:rsid w:val="000967ED"/>
    <w:rsid w:val="00096CF8"/>
    <w:rsid w:val="0009798F"/>
    <w:rsid w:val="00097C40"/>
    <w:rsid w:val="00097F7B"/>
    <w:rsid w:val="000A02E0"/>
    <w:rsid w:val="000A0733"/>
    <w:rsid w:val="000A08CA"/>
    <w:rsid w:val="000A1644"/>
    <w:rsid w:val="000A18A7"/>
    <w:rsid w:val="000A1E05"/>
    <w:rsid w:val="000A1EE2"/>
    <w:rsid w:val="000A2436"/>
    <w:rsid w:val="000A2914"/>
    <w:rsid w:val="000A2AFD"/>
    <w:rsid w:val="000A33F8"/>
    <w:rsid w:val="000A369A"/>
    <w:rsid w:val="000A42A5"/>
    <w:rsid w:val="000A4374"/>
    <w:rsid w:val="000A43F4"/>
    <w:rsid w:val="000A4682"/>
    <w:rsid w:val="000A51E5"/>
    <w:rsid w:val="000A52E9"/>
    <w:rsid w:val="000A5334"/>
    <w:rsid w:val="000A5421"/>
    <w:rsid w:val="000A5CEF"/>
    <w:rsid w:val="000A5D65"/>
    <w:rsid w:val="000A61D5"/>
    <w:rsid w:val="000A6584"/>
    <w:rsid w:val="000A7954"/>
    <w:rsid w:val="000A7BCF"/>
    <w:rsid w:val="000B0307"/>
    <w:rsid w:val="000B0906"/>
    <w:rsid w:val="000B0B68"/>
    <w:rsid w:val="000B0B6D"/>
    <w:rsid w:val="000B0C6B"/>
    <w:rsid w:val="000B0E5C"/>
    <w:rsid w:val="000B1091"/>
    <w:rsid w:val="000B123E"/>
    <w:rsid w:val="000B1356"/>
    <w:rsid w:val="000B18E2"/>
    <w:rsid w:val="000B190A"/>
    <w:rsid w:val="000B1AAA"/>
    <w:rsid w:val="000B1BEC"/>
    <w:rsid w:val="000B1C2C"/>
    <w:rsid w:val="000B2060"/>
    <w:rsid w:val="000B2459"/>
    <w:rsid w:val="000B24EC"/>
    <w:rsid w:val="000B29AB"/>
    <w:rsid w:val="000B37CA"/>
    <w:rsid w:val="000B3EE8"/>
    <w:rsid w:val="000B4305"/>
    <w:rsid w:val="000B436B"/>
    <w:rsid w:val="000B4419"/>
    <w:rsid w:val="000B4A5C"/>
    <w:rsid w:val="000B5476"/>
    <w:rsid w:val="000B5D07"/>
    <w:rsid w:val="000B5E0C"/>
    <w:rsid w:val="000B6575"/>
    <w:rsid w:val="000B65F1"/>
    <w:rsid w:val="000B6963"/>
    <w:rsid w:val="000B7537"/>
    <w:rsid w:val="000B75F4"/>
    <w:rsid w:val="000B7897"/>
    <w:rsid w:val="000B79DF"/>
    <w:rsid w:val="000B7D1D"/>
    <w:rsid w:val="000B7D4F"/>
    <w:rsid w:val="000B7E03"/>
    <w:rsid w:val="000C00D6"/>
    <w:rsid w:val="000C02BE"/>
    <w:rsid w:val="000C0349"/>
    <w:rsid w:val="000C0DAD"/>
    <w:rsid w:val="000C1223"/>
    <w:rsid w:val="000C1678"/>
    <w:rsid w:val="000C189E"/>
    <w:rsid w:val="000C1924"/>
    <w:rsid w:val="000C1C60"/>
    <w:rsid w:val="000C1C7B"/>
    <w:rsid w:val="000C254F"/>
    <w:rsid w:val="000C2D39"/>
    <w:rsid w:val="000C2E73"/>
    <w:rsid w:val="000C2F88"/>
    <w:rsid w:val="000C3569"/>
    <w:rsid w:val="000C3B35"/>
    <w:rsid w:val="000C3C30"/>
    <w:rsid w:val="000C3EC9"/>
    <w:rsid w:val="000C40A6"/>
    <w:rsid w:val="000C4475"/>
    <w:rsid w:val="000C44B7"/>
    <w:rsid w:val="000C44C2"/>
    <w:rsid w:val="000C45BF"/>
    <w:rsid w:val="000C4736"/>
    <w:rsid w:val="000C474E"/>
    <w:rsid w:val="000C48F7"/>
    <w:rsid w:val="000C51CE"/>
    <w:rsid w:val="000C541D"/>
    <w:rsid w:val="000C5A62"/>
    <w:rsid w:val="000C5DFD"/>
    <w:rsid w:val="000C5E47"/>
    <w:rsid w:val="000C6654"/>
    <w:rsid w:val="000C6B2D"/>
    <w:rsid w:val="000C7013"/>
    <w:rsid w:val="000C7366"/>
    <w:rsid w:val="000C7795"/>
    <w:rsid w:val="000C7997"/>
    <w:rsid w:val="000C79A3"/>
    <w:rsid w:val="000C7B67"/>
    <w:rsid w:val="000D0789"/>
    <w:rsid w:val="000D0B0B"/>
    <w:rsid w:val="000D138A"/>
    <w:rsid w:val="000D1ABC"/>
    <w:rsid w:val="000D1C41"/>
    <w:rsid w:val="000D1F5D"/>
    <w:rsid w:val="000D2AC0"/>
    <w:rsid w:val="000D2C38"/>
    <w:rsid w:val="000D2FB2"/>
    <w:rsid w:val="000D3029"/>
    <w:rsid w:val="000D3417"/>
    <w:rsid w:val="000D39E3"/>
    <w:rsid w:val="000D3CBA"/>
    <w:rsid w:val="000D412B"/>
    <w:rsid w:val="000D4664"/>
    <w:rsid w:val="000D4937"/>
    <w:rsid w:val="000D504E"/>
    <w:rsid w:val="000D5146"/>
    <w:rsid w:val="000D522B"/>
    <w:rsid w:val="000D55CD"/>
    <w:rsid w:val="000D5D74"/>
    <w:rsid w:val="000D6182"/>
    <w:rsid w:val="000D621C"/>
    <w:rsid w:val="000D625A"/>
    <w:rsid w:val="000D68AF"/>
    <w:rsid w:val="000D6BB0"/>
    <w:rsid w:val="000D7562"/>
    <w:rsid w:val="000D7B58"/>
    <w:rsid w:val="000D7BBD"/>
    <w:rsid w:val="000D7FF6"/>
    <w:rsid w:val="000E0213"/>
    <w:rsid w:val="000E048D"/>
    <w:rsid w:val="000E0C09"/>
    <w:rsid w:val="000E103B"/>
    <w:rsid w:val="000E12CD"/>
    <w:rsid w:val="000E1644"/>
    <w:rsid w:val="000E1A58"/>
    <w:rsid w:val="000E1E1F"/>
    <w:rsid w:val="000E2477"/>
    <w:rsid w:val="000E2958"/>
    <w:rsid w:val="000E3108"/>
    <w:rsid w:val="000E336D"/>
    <w:rsid w:val="000E397A"/>
    <w:rsid w:val="000E3C47"/>
    <w:rsid w:val="000E4269"/>
    <w:rsid w:val="000E45E7"/>
    <w:rsid w:val="000E4E5C"/>
    <w:rsid w:val="000E5107"/>
    <w:rsid w:val="000E5461"/>
    <w:rsid w:val="000E573B"/>
    <w:rsid w:val="000E580C"/>
    <w:rsid w:val="000E5A82"/>
    <w:rsid w:val="000E653B"/>
    <w:rsid w:val="000E6789"/>
    <w:rsid w:val="000E68E2"/>
    <w:rsid w:val="000E6984"/>
    <w:rsid w:val="000E6CB8"/>
    <w:rsid w:val="000E7056"/>
    <w:rsid w:val="000E784F"/>
    <w:rsid w:val="000E7A80"/>
    <w:rsid w:val="000E7F63"/>
    <w:rsid w:val="000F0117"/>
    <w:rsid w:val="000F0511"/>
    <w:rsid w:val="000F07C6"/>
    <w:rsid w:val="000F09CD"/>
    <w:rsid w:val="000F0AF4"/>
    <w:rsid w:val="000F0C37"/>
    <w:rsid w:val="000F1128"/>
    <w:rsid w:val="000F13BD"/>
    <w:rsid w:val="000F1458"/>
    <w:rsid w:val="000F1CE2"/>
    <w:rsid w:val="000F1FDB"/>
    <w:rsid w:val="000F2D27"/>
    <w:rsid w:val="000F2E04"/>
    <w:rsid w:val="000F2F24"/>
    <w:rsid w:val="000F394B"/>
    <w:rsid w:val="000F3BC5"/>
    <w:rsid w:val="000F4996"/>
    <w:rsid w:val="000F4B6E"/>
    <w:rsid w:val="000F4CB0"/>
    <w:rsid w:val="000F4F15"/>
    <w:rsid w:val="000F5036"/>
    <w:rsid w:val="000F5206"/>
    <w:rsid w:val="000F528D"/>
    <w:rsid w:val="000F530B"/>
    <w:rsid w:val="000F54BF"/>
    <w:rsid w:val="000F56D6"/>
    <w:rsid w:val="000F5D35"/>
    <w:rsid w:val="000F6188"/>
    <w:rsid w:val="000F6606"/>
    <w:rsid w:val="000F6D74"/>
    <w:rsid w:val="000F73A5"/>
    <w:rsid w:val="000F73C8"/>
    <w:rsid w:val="000F7CB3"/>
    <w:rsid w:val="0010022E"/>
    <w:rsid w:val="00101A22"/>
    <w:rsid w:val="00101A24"/>
    <w:rsid w:val="00101FE4"/>
    <w:rsid w:val="001020AC"/>
    <w:rsid w:val="001021E4"/>
    <w:rsid w:val="00102E51"/>
    <w:rsid w:val="00102FE7"/>
    <w:rsid w:val="00103140"/>
    <w:rsid w:val="00103158"/>
    <w:rsid w:val="0010399E"/>
    <w:rsid w:val="00103AB3"/>
    <w:rsid w:val="00104C41"/>
    <w:rsid w:val="00104EAD"/>
    <w:rsid w:val="00105EC0"/>
    <w:rsid w:val="00106D14"/>
    <w:rsid w:val="00106E2D"/>
    <w:rsid w:val="001070E1"/>
    <w:rsid w:val="00107E74"/>
    <w:rsid w:val="001106DA"/>
    <w:rsid w:val="001106DF"/>
    <w:rsid w:val="001107BE"/>
    <w:rsid w:val="00110B3B"/>
    <w:rsid w:val="00110CD5"/>
    <w:rsid w:val="0011128F"/>
    <w:rsid w:val="00111F3F"/>
    <w:rsid w:val="001120D8"/>
    <w:rsid w:val="0011223C"/>
    <w:rsid w:val="0011295F"/>
    <w:rsid w:val="00112A70"/>
    <w:rsid w:val="0011304F"/>
    <w:rsid w:val="0011309E"/>
    <w:rsid w:val="001133B2"/>
    <w:rsid w:val="001142EF"/>
    <w:rsid w:val="001144E2"/>
    <w:rsid w:val="00114904"/>
    <w:rsid w:val="00115B07"/>
    <w:rsid w:val="001161F5"/>
    <w:rsid w:val="0011693D"/>
    <w:rsid w:val="001170D3"/>
    <w:rsid w:val="001171DD"/>
    <w:rsid w:val="00117A96"/>
    <w:rsid w:val="00117C6B"/>
    <w:rsid w:val="00117F5A"/>
    <w:rsid w:val="001208BD"/>
    <w:rsid w:val="0012157B"/>
    <w:rsid w:val="00121966"/>
    <w:rsid w:val="001227A1"/>
    <w:rsid w:val="00123183"/>
    <w:rsid w:val="0012356E"/>
    <w:rsid w:val="00124B64"/>
    <w:rsid w:val="00124E81"/>
    <w:rsid w:val="0012554E"/>
    <w:rsid w:val="00127216"/>
    <w:rsid w:val="001274A0"/>
    <w:rsid w:val="00127682"/>
    <w:rsid w:val="001278D6"/>
    <w:rsid w:val="00127AB6"/>
    <w:rsid w:val="0013032B"/>
    <w:rsid w:val="00130FD8"/>
    <w:rsid w:val="00131317"/>
    <w:rsid w:val="00131333"/>
    <w:rsid w:val="00131584"/>
    <w:rsid w:val="001317E2"/>
    <w:rsid w:val="00131919"/>
    <w:rsid w:val="00131C33"/>
    <w:rsid w:val="00131C61"/>
    <w:rsid w:val="001329F2"/>
    <w:rsid w:val="00132C16"/>
    <w:rsid w:val="001335AE"/>
    <w:rsid w:val="00133A65"/>
    <w:rsid w:val="00133AFD"/>
    <w:rsid w:val="00134109"/>
    <w:rsid w:val="0013465C"/>
    <w:rsid w:val="0013496A"/>
    <w:rsid w:val="00135561"/>
    <w:rsid w:val="00135B4C"/>
    <w:rsid w:val="00135ECB"/>
    <w:rsid w:val="00136E19"/>
    <w:rsid w:val="00137ADC"/>
    <w:rsid w:val="00137EA2"/>
    <w:rsid w:val="00140144"/>
    <w:rsid w:val="0014014A"/>
    <w:rsid w:val="001402EC"/>
    <w:rsid w:val="00140736"/>
    <w:rsid w:val="00140BE4"/>
    <w:rsid w:val="0014118F"/>
    <w:rsid w:val="0014143F"/>
    <w:rsid w:val="0014169E"/>
    <w:rsid w:val="00141836"/>
    <w:rsid w:val="00141B9D"/>
    <w:rsid w:val="00141D63"/>
    <w:rsid w:val="00141E0E"/>
    <w:rsid w:val="00142693"/>
    <w:rsid w:val="001431A2"/>
    <w:rsid w:val="00143CBB"/>
    <w:rsid w:val="00144970"/>
    <w:rsid w:val="00144B94"/>
    <w:rsid w:val="00144D08"/>
    <w:rsid w:val="00145F53"/>
    <w:rsid w:val="0014621B"/>
    <w:rsid w:val="001465C7"/>
    <w:rsid w:val="001466C2"/>
    <w:rsid w:val="001467DB"/>
    <w:rsid w:val="00146963"/>
    <w:rsid w:val="001469E9"/>
    <w:rsid w:val="00146BC8"/>
    <w:rsid w:val="00146D74"/>
    <w:rsid w:val="00146FCD"/>
    <w:rsid w:val="00147178"/>
    <w:rsid w:val="00147288"/>
    <w:rsid w:val="0014744B"/>
    <w:rsid w:val="001476A5"/>
    <w:rsid w:val="00147D56"/>
    <w:rsid w:val="00150069"/>
    <w:rsid w:val="00150630"/>
    <w:rsid w:val="00150979"/>
    <w:rsid w:val="00150AB3"/>
    <w:rsid w:val="00151429"/>
    <w:rsid w:val="00151A5C"/>
    <w:rsid w:val="00151E3B"/>
    <w:rsid w:val="00152378"/>
    <w:rsid w:val="0015252E"/>
    <w:rsid w:val="001527D3"/>
    <w:rsid w:val="001532D1"/>
    <w:rsid w:val="0015361D"/>
    <w:rsid w:val="001538BA"/>
    <w:rsid w:val="0015390B"/>
    <w:rsid w:val="00153C49"/>
    <w:rsid w:val="00153DA0"/>
    <w:rsid w:val="00153E4D"/>
    <w:rsid w:val="00154CD9"/>
    <w:rsid w:val="00155078"/>
    <w:rsid w:val="001552E6"/>
    <w:rsid w:val="001554F2"/>
    <w:rsid w:val="001555C9"/>
    <w:rsid w:val="00155833"/>
    <w:rsid w:val="00156677"/>
    <w:rsid w:val="0015673D"/>
    <w:rsid w:val="001568DD"/>
    <w:rsid w:val="00156E96"/>
    <w:rsid w:val="001570CF"/>
    <w:rsid w:val="001577F4"/>
    <w:rsid w:val="001579C9"/>
    <w:rsid w:val="00157AB8"/>
    <w:rsid w:val="00157ACE"/>
    <w:rsid w:val="00160190"/>
    <w:rsid w:val="0016106E"/>
    <w:rsid w:val="001611A9"/>
    <w:rsid w:val="00161700"/>
    <w:rsid w:val="00162A96"/>
    <w:rsid w:val="00162C66"/>
    <w:rsid w:val="00163174"/>
    <w:rsid w:val="001635A2"/>
    <w:rsid w:val="0016396B"/>
    <w:rsid w:val="00163E97"/>
    <w:rsid w:val="00163F7B"/>
    <w:rsid w:val="00164344"/>
    <w:rsid w:val="0016441E"/>
    <w:rsid w:val="00164487"/>
    <w:rsid w:val="001647E0"/>
    <w:rsid w:val="0016491A"/>
    <w:rsid w:val="0016497A"/>
    <w:rsid w:val="001649BC"/>
    <w:rsid w:val="00165BBC"/>
    <w:rsid w:val="001660FC"/>
    <w:rsid w:val="001665FA"/>
    <w:rsid w:val="001666A7"/>
    <w:rsid w:val="00166727"/>
    <w:rsid w:val="00166BC2"/>
    <w:rsid w:val="0016728B"/>
    <w:rsid w:val="00167841"/>
    <w:rsid w:val="00170425"/>
    <w:rsid w:val="00170A49"/>
    <w:rsid w:val="00170EE8"/>
    <w:rsid w:val="00171166"/>
    <w:rsid w:val="00171A88"/>
    <w:rsid w:val="001726E5"/>
    <w:rsid w:val="00172841"/>
    <w:rsid w:val="00172D67"/>
    <w:rsid w:val="00172DB7"/>
    <w:rsid w:val="00172F69"/>
    <w:rsid w:val="00172FB9"/>
    <w:rsid w:val="00173307"/>
    <w:rsid w:val="001733DA"/>
    <w:rsid w:val="001735F4"/>
    <w:rsid w:val="00173614"/>
    <w:rsid w:val="001739B7"/>
    <w:rsid w:val="00173F87"/>
    <w:rsid w:val="0017411B"/>
    <w:rsid w:val="001745B1"/>
    <w:rsid w:val="0017462D"/>
    <w:rsid w:val="00175035"/>
    <w:rsid w:val="001753A5"/>
    <w:rsid w:val="00175743"/>
    <w:rsid w:val="00176CD3"/>
    <w:rsid w:val="00176FB2"/>
    <w:rsid w:val="00176FF2"/>
    <w:rsid w:val="0017709E"/>
    <w:rsid w:val="00177102"/>
    <w:rsid w:val="001775A1"/>
    <w:rsid w:val="001776A1"/>
    <w:rsid w:val="0018051B"/>
    <w:rsid w:val="00180790"/>
    <w:rsid w:val="00180795"/>
    <w:rsid w:val="001809A1"/>
    <w:rsid w:val="00180BC6"/>
    <w:rsid w:val="00181D6A"/>
    <w:rsid w:val="00181DB2"/>
    <w:rsid w:val="00181DB5"/>
    <w:rsid w:val="0018215B"/>
    <w:rsid w:val="0018285F"/>
    <w:rsid w:val="001829E0"/>
    <w:rsid w:val="00182BF1"/>
    <w:rsid w:val="00182C16"/>
    <w:rsid w:val="00182E68"/>
    <w:rsid w:val="00182FAD"/>
    <w:rsid w:val="001831F8"/>
    <w:rsid w:val="00183639"/>
    <w:rsid w:val="00183CEA"/>
    <w:rsid w:val="00184139"/>
    <w:rsid w:val="0018438A"/>
    <w:rsid w:val="00184958"/>
    <w:rsid w:val="00184CC1"/>
    <w:rsid w:val="00186394"/>
    <w:rsid w:val="0018683E"/>
    <w:rsid w:val="001870A9"/>
    <w:rsid w:val="00187425"/>
    <w:rsid w:val="001874F1"/>
    <w:rsid w:val="001875B4"/>
    <w:rsid w:val="00187718"/>
    <w:rsid w:val="00187A03"/>
    <w:rsid w:val="00187D1C"/>
    <w:rsid w:val="00187DB7"/>
    <w:rsid w:val="00187E8D"/>
    <w:rsid w:val="00187E99"/>
    <w:rsid w:val="0019167A"/>
    <w:rsid w:val="0019176E"/>
    <w:rsid w:val="0019185A"/>
    <w:rsid w:val="00191DE2"/>
    <w:rsid w:val="00192BDD"/>
    <w:rsid w:val="00192D5D"/>
    <w:rsid w:val="00193186"/>
    <w:rsid w:val="00193236"/>
    <w:rsid w:val="0019357A"/>
    <w:rsid w:val="00193A7B"/>
    <w:rsid w:val="00193AE4"/>
    <w:rsid w:val="00193D6C"/>
    <w:rsid w:val="00193E23"/>
    <w:rsid w:val="00194D68"/>
    <w:rsid w:val="001952F5"/>
    <w:rsid w:val="00195B75"/>
    <w:rsid w:val="00195C14"/>
    <w:rsid w:val="00195CDA"/>
    <w:rsid w:val="00196190"/>
    <w:rsid w:val="0019634B"/>
    <w:rsid w:val="001966BF"/>
    <w:rsid w:val="00196A44"/>
    <w:rsid w:val="00196C7E"/>
    <w:rsid w:val="001970ED"/>
    <w:rsid w:val="001970FF"/>
    <w:rsid w:val="00197124"/>
    <w:rsid w:val="00197BD4"/>
    <w:rsid w:val="001A1062"/>
    <w:rsid w:val="001A10A5"/>
    <w:rsid w:val="001A15B3"/>
    <w:rsid w:val="001A1A44"/>
    <w:rsid w:val="001A1EAC"/>
    <w:rsid w:val="001A2A8D"/>
    <w:rsid w:val="001A2C1A"/>
    <w:rsid w:val="001A2C25"/>
    <w:rsid w:val="001A2FCF"/>
    <w:rsid w:val="001A3132"/>
    <w:rsid w:val="001A321E"/>
    <w:rsid w:val="001A33F1"/>
    <w:rsid w:val="001A3E29"/>
    <w:rsid w:val="001A4AF8"/>
    <w:rsid w:val="001A4DB2"/>
    <w:rsid w:val="001A5495"/>
    <w:rsid w:val="001A5E88"/>
    <w:rsid w:val="001A65EA"/>
    <w:rsid w:val="001A6FDE"/>
    <w:rsid w:val="001A720E"/>
    <w:rsid w:val="001A749F"/>
    <w:rsid w:val="001A7A7E"/>
    <w:rsid w:val="001B03AA"/>
    <w:rsid w:val="001B0CF6"/>
    <w:rsid w:val="001B100E"/>
    <w:rsid w:val="001B127C"/>
    <w:rsid w:val="001B15BA"/>
    <w:rsid w:val="001B1DB7"/>
    <w:rsid w:val="001B1DDE"/>
    <w:rsid w:val="001B1FD2"/>
    <w:rsid w:val="001B2043"/>
    <w:rsid w:val="001B2CDD"/>
    <w:rsid w:val="001B2D19"/>
    <w:rsid w:val="001B31FE"/>
    <w:rsid w:val="001B37E0"/>
    <w:rsid w:val="001B3E96"/>
    <w:rsid w:val="001B4770"/>
    <w:rsid w:val="001B4B95"/>
    <w:rsid w:val="001B53F9"/>
    <w:rsid w:val="001B5784"/>
    <w:rsid w:val="001B5B55"/>
    <w:rsid w:val="001B6388"/>
    <w:rsid w:val="001B6637"/>
    <w:rsid w:val="001B6C5B"/>
    <w:rsid w:val="001B7861"/>
    <w:rsid w:val="001B78BC"/>
    <w:rsid w:val="001C00AF"/>
    <w:rsid w:val="001C0173"/>
    <w:rsid w:val="001C0244"/>
    <w:rsid w:val="001C0275"/>
    <w:rsid w:val="001C05C3"/>
    <w:rsid w:val="001C0847"/>
    <w:rsid w:val="001C0AE7"/>
    <w:rsid w:val="001C0B91"/>
    <w:rsid w:val="001C0E63"/>
    <w:rsid w:val="001C11C7"/>
    <w:rsid w:val="001C195B"/>
    <w:rsid w:val="001C2254"/>
    <w:rsid w:val="001C27F3"/>
    <w:rsid w:val="001C295E"/>
    <w:rsid w:val="001C2B42"/>
    <w:rsid w:val="001C354F"/>
    <w:rsid w:val="001C37FB"/>
    <w:rsid w:val="001C3BAA"/>
    <w:rsid w:val="001C406A"/>
    <w:rsid w:val="001C41B6"/>
    <w:rsid w:val="001C46E0"/>
    <w:rsid w:val="001C4864"/>
    <w:rsid w:val="001C5104"/>
    <w:rsid w:val="001C510A"/>
    <w:rsid w:val="001C5621"/>
    <w:rsid w:val="001C614C"/>
    <w:rsid w:val="001C71B7"/>
    <w:rsid w:val="001C72A7"/>
    <w:rsid w:val="001C7BF5"/>
    <w:rsid w:val="001D0339"/>
    <w:rsid w:val="001D08BA"/>
    <w:rsid w:val="001D0B4D"/>
    <w:rsid w:val="001D0CE0"/>
    <w:rsid w:val="001D0F0A"/>
    <w:rsid w:val="001D14D8"/>
    <w:rsid w:val="001D197E"/>
    <w:rsid w:val="001D1A9D"/>
    <w:rsid w:val="001D1B3F"/>
    <w:rsid w:val="001D1EC9"/>
    <w:rsid w:val="001D1F81"/>
    <w:rsid w:val="001D27C4"/>
    <w:rsid w:val="001D3245"/>
    <w:rsid w:val="001D326F"/>
    <w:rsid w:val="001D3801"/>
    <w:rsid w:val="001D3BF5"/>
    <w:rsid w:val="001D42A6"/>
    <w:rsid w:val="001D45FC"/>
    <w:rsid w:val="001D4DF3"/>
    <w:rsid w:val="001D50D5"/>
    <w:rsid w:val="001D510D"/>
    <w:rsid w:val="001D559F"/>
    <w:rsid w:val="001D5657"/>
    <w:rsid w:val="001D590B"/>
    <w:rsid w:val="001D5AF1"/>
    <w:rsid w:val="001D60F9"/>
    <w:rsid w:val="001D641B"/>
    <w:rsid w:val="001D6DA9"/>
    <w:rsid w:val="001D6E4A"/>
    <w:rsid w:val="001D70DA"/>
    <w:rsid w:val="001D7115"/>
    <w:rsid w:val="001E007B"/>
    <w:rsid w:val="001E0FCF"/>
    <w:rsid w:val="001E13C3"/>
    <w:rsid w:val="001E1A91"/>
    <w:rsid w:val="001E1F5B"/>
    <w:rsid w:val="001E30B7"/>
    <w:rsid w:val="001E30C9"/>
    <w:rsid w:val="001E3D24"/>
    <w:rsid w:val="001E40D9"/>
    <w:rsid w:val="001E5A6D"/>
    <w:rsid w:val="001E5A73"/>
    <w:rsid w:val="001E5FDC"/>
    <w:rsid w:val="001E622B"/>
    <w:rsid w:val="001E6555"/>
    <w:rsid w:val="001E67A2"/>
    <w:rsid w:val="001E6DC0"/>
    <w:rsid w:val="001E6DD5"/>
    <w:rsid w:val="001E70E8"/>
    <w:rsid w:val="001F071B"/>
    <w:rsid w:val="001F12EC"/>
    <w:rsid w:val="001F14DC"/>
    <w:rsid w:val="001F176D"/>
    <w:rsid w:val="001F180C"/>
    <w:rsid w:val="001F1CFD"/>
    <w:rsid w:val="001F1D31"/>
    <w:rsid w:val="001F1FC4"/>
    <w:rsid w:val="001F22F9"/>
    <w:rsid w:val="001F27EE"/>
    <w:rsid w:val="001F2BB9"/>
    <w:rsid w:val="001F2CC5"/>
    <w:rsid w:val="001F30A3"/>
    <w:rsid w:val="001F3974"/>
    <w:rsid w:val="001F3B5D"/>
    <w:rsid w:val="001F4005"/>
    <w:rsid w:val="001F4053"/>
    <w:rsid w:val="001F4386"/>
    <w:rsid w:val="001F74BF"/>
    <w:rsid w:val="001F7E80"/>
    <w:rsid w:val="00200888"/>
    <w:rsid w:val="002008C2"/>
    <w:rsid w:val="00200ACB"/>
    <w:rsid w:val="00201795"/>
    <w:rsid w:val="00202087"/>
    <w:rsid w:val="002020A2"/>
    <w:rsid w:val="0020235E"/>
    <w:rsid w:val="00202F36"/>
    <w:rsid w:val="00203B6A"/>
    <w:rsid w:val="00203BAE"/>
    <w:rsid w:val="00203E3A"/>
    <w:rsid w:val="002049F6"/>
    <w:rsid w:val="00204B5C"/>
    <w:rsid w:val="00205139"/>
    <w:rsid w:val="002052ED"/>
    <w:rsid w:val="0020534C"/>
    <w:rsid w:val="00205443"/>
    <w:rsid w:val="002054E9"/>
    <w:rsid w:val="002054F0"/>
    <w:rsid w:val="00205534"/>
    <w:rsid w:val="00205675"/>
    <w:rsid w:val="002056AB"/>
    <w:rsid w:val="00205B8D"/>
    <w:rsid w:val="00205D88"/>
    <w:rsid w:val="00206A1F"/>
    <w:rsid w:val="00206ABE"/>
    <w:rsid w:val="0020708A"/>
    <w:rsid w:val="002072FD"/>
    <w:rsid w:val="002076FA"/>
    <w:rsid w:val="00207719"/>
    <w:rsid w:val="00207799"/>
    <w:rsid w:val="00207D32"/>
    <w:rsid w:val="00207E9C"/>
    <w:rsid w:val="00210124"/>
    <w:rsid w:val="002102AE"/>
    <w:rsid w:val="00210640"/>
    <w:rsid w:val="00210ACA"/>
    <w:rsid w:val="00210E87"/>
    <w:rsid w:val="00211610"/>
    <w:rsid w:val="00211A46"/>
    <w:rsid w:val="00211DE5"/>
    <w:rsid w:val="00212062"/>
    <w:rsid w:val="0021231A"/>
    <w:rsid w:val="00212B6F"/>
    <w:rsid w:val="00212F0A"/>
    <w:rsid w:val="00213212"/>
    <w:rsid w:val="0021322B"/>
    <w:rsid w:val="00213A93"/>
    <w:rsid w:val="00213ABC"/>
    <w:rsid w:val="00213B41"/>
    <w:rsid w:val="00213FE5"/>
    <w:rsid w:val="00214863"/>
    <w:rsid w:val="0021489F"/>
    <w:rsid w:val="00214E4E"/>
    <w:rsid w:val="00214ED7"/>
    <w:rsid w:val="002153A5"/>
    <w:rsid w:val="00215A53"/>
    <w:rsid w:val="00216281"/>
    <w:rsid w:val="002162D9"/>
    <w:rsid w:val="002162E1"/>
    <w:rsid w:val="002176DA"/>
    <w:rsid w:val="00217813"/>
    <w:rsid w:val="00217ED5"/>
    <w:rsid w:val="00220047"/>
    <w:rsid w:val="00221A6C"/>
    <w:rsid w:val="00221CD8"/>
    <w:rsid w:val="00222109"/>
    <w:rsid w:val="00222197"/>
    <w:rsid w:val="002228E5"/>
    <w:rsid w:val="0022309B"/>
    <w:rsid w:val="0022335A"/>
    <w:rsid w:val="00223AEC"/>
    <w:rsid w:val="00223CA0"/>
    <w:rsid w:val="0022482D"/>
    <w:rsid w:val="00224B5E"/>
    <w:rsid w:val="00224CED"/>
    <w:rsid w:val="00225466"/>
    <w:rsid w:val="0022547B"/>
    <w:rsid w:val="0022576F"/>
    <w:rsid w:val="002258A8"/>
    <w:rsid w:val="00225AA0"/>
    <w:rsid w:val="00225B63"/>
    <w:rsid w:val="00225EC8"/>
    <w:rsid w:val="00226499"/>
    <w:rsid w:val="002267AD"/>
    <w:rsid w:val="002268BF"/>
    <w:rsid w:val="00226948"/>
    <w:rsid w:val="00226D52"/>
    <w:rsid w:val="00227492"/>
    <w:rsid w:val="00227499"/>
    <w:rsid w:val="00227634"/>
    <w:rsid w:val="0022798D"/>
    <w:rsid w:val="0023024A"/>
    <w:rsid w:val="002307C1"/>
    <w:rsid w:val="00230F20"/>
    <w:rsid w:val="00231370"/>
    <w:rsid w:val="002316F7"/>
    <w:rsid w:val="00231BDF"/>
    <w:rsid w:val="00231C21"/>
    <w:rsid w:val="00231FC5"/>
    <w:rsid w:val="00232346"/>
    <w:rsid w:val="002336C5"/>
    <w:rsid w:val="002342E5"/>
    <w:rsid w:val="0023431D"/>
    <w:rsid w:val="00234741"/>
    <w:rsid w:val="00234A02"/>
    <w:rsid w:val="0023509A"/>
    <w:rsid w:val="00235454"/>
    <w:rsid w:val="002355E5"/>
    <w:rsid w:val="00235912"/>
    <w:rsid w:val="00235B44"/>
    <w:rsid w:val="0023625D"/>
    <w:rsid w:val="00236B3E"/>
    <w:rsid w:val="00236D9C"/>
    <w:rsid w:val="002370A3"/>
    <w:rsid w:val="00237415"/>
    <w:rsid w:val="002376B5"/>
    <w:rsid w:val="00237808"/>
    <w:rsid w:val="00237C55"/>
    <w:rsid w:val="0024097A"/>
    <w:rsid w:val="00240C4C"/>
    <w:rsid w:val="002414FE"/>
    <w:rsid w:val="002418CA"/>
    <w:rsid w:val="002419F3"/>
    <w:rsid w:val="00241DFB"/>
    <w:rsid w:val="00242077"/>
    <w:rsid w:val="0024218F"/>
    <w:rsid w:val="00242FAB"/>
    <w:rsid w:val="0024361D"/>
    <w:rsid w:val="00243A1F"/>
    <w:rsid w:val="0024408E"/>
    <w:rsid w:val="00244403"/>
    <w:rsid w:val="002446F4"/>
    <w:rsid w:val="002450EE"/>
    <w:rsid w:val="00246076"/>
    <w:rsid w:val="002462CD"/>
    <w:rsid w:val="0024683A"/>
    <w:rsid w:val="00246EE3"/>
    <w:rsid w:val="00247088"/>
    <w:rsid w:val="002470D0"/>
    <w:rsid w:val="00247A73"/>
    <w:rsid w:val="00247F66"/>
    <w:rsid w:val="0025014E"/>
    <w:rsid w:val="00250269"/>
    <w:rsid w:val="002507BC"/>
    <w:rsid w:val="00250A3A"/>
    <w:rsid w:val="00250D1D"/>
    <w:rsid w:val="00250DF3"/>
    <w:rsid w:val="0025130C"/>
    <w:rsid w:val="0025142F"/>
    <w:rsid w:val="002514A8"/>
    <w:rsid w:val="00251519"/>
    <w:rsid w:val="00251524"/>
    <w:rsid w:val="00251BB8"/>
    <w:rsid w:val="002528D7"/>
    <w:rsid w:val="00253302"/>
    <w:rsid w:val="00253675"/>
    <w:rsid w:val="0025379B"/>
    <w:rsid w:val="00253918"/>
    <w:rsid w:val="00254538"/>
    <w:rsid w:val="00254674"/>
    <w:rsid w:val="00254985"/>
    <w:rsid w:val="00254A8B"/>
    <w:rsid w:val="002556DA"/>
    <w:rsid w:val="002557EF"/>
    <w:rsid w:val="00255819"/>
    <w:rsid w:val="002568CA"/>
    <w:rsid w:val="00256DD5"/>
    <w:rsid w:val="002571BE"/>
    <w:rsid w:val="00257AA6"/>
    <w:rsid w:val="00257BF5"/>
    <w:rsid w:val="00260297"/>
    <w:rsid w:val="00260844"/>
    <w:rsid w:val="00261386"/>
    <w:rsid w:val="0026186C"/>
    <w:rsid w:val="002619DD"/>
    <w:rsid w:val="00261AD4"/>
    <w:rsid w:val="0026226C"/>
    <w:rsid w:val="002623B2"/>
    <w:rsid w:val="00263149"/>
    <w:rsid w:val="00263210"/>
    <w:rsid w:val="002634BE"/>
    <w:rsid w:val="002637A2"/>
    <w:rsid w:val="00263A1F"/>
    <w:rsid w:val="00263A3E"/>
    <w:rsid w:val="00263EB8"/>
    <w:rsid w:val="00264056"/>
    <w:rsid w:val="0026460D"/>
    <w:rsid w:val="0026475C"/>
    <w:rsid w:val="00264A23"/>
    <w:rsid w:val="00264F84"/>
    <w:rsid w:val="00265691"/>
    <w:rsid w:val="00265B78"/>
    <w:rsid w:val="00265EEB"/>
    <w:rsid w:val="0026713B"/>
    <w:rsid w:val="0026771D"/>
    <w:rsid w:val="00267ED3"/>
    <w:rsid w:val="002701EF"/>
    <w:rsid w:val="00270319"/>
    <w:rsid w:val="00270381"/>
    <w:rsid w:val="00270571"/>
    <w:rsid w:val="00270AD3"/>
    <w:rsid w:val="0027147A"/>
    <w:rsid w:val="00271912"/>
    <w:rsid w:val="00271E31"/>
    <w:rsid w:val="00271E87"/>
    <w:rsid w:val="0027212F"/>
    <w:rsid w:val="002721F4"/>
    <w:rsid w:val="00272884"/>
    <w:rsid w:val="002728D9"/>
    <w:rsid w:val="00272B98"/>
    <w:rsid w:val="00272C6C"/>
    <w:rsid w:val="00273086"/>
    <w:rsid w:val="00273090"/>
    <w:rsid w:val="00273747"/>
    <w:rsid w:val="002738E6"/>
    <w:rsid w:val="002738ED"/>
    <w:rsid w:val="00273B73"/>
    <w:rsid w:val="00274392"/>
    <w:rsid w:val="0027482B"/>
    <w:rsid w:val="00274E7D"/>
    <w:rsid w:val="00275261"/>
    <w:rsid w:val="002752CD"/>
    <w:rsid w:val="002755A2"/>
    <w:rsid w:val="002756D9"/>
    <w:rsid w:val="00275FA0"/>
    <w:rsid w:val="0027683E"/>
    <w:rsid w:val="002769BF"/>
    <w:rsid w:val="00276CFB"/>
    <w:rsid w:val="00277352"/>
    <w:rsid w:val="002774D9"/>
    <w:rsid w:val="002777ED"/>
    <w:rsid w:val="00277CE7"/>
    <w:rsid w:val="00280163"/>
    <w:rsid w:val="00280544"/>
    <w:rsid w:val="00280829"/>
    <w:rsid w:val="00280A8F"/>
    <w:rsid w:val="00281181"/>
    <w:rsid w:val="00282085"/>
    <w:rsid w:val="0028223A"/>
    <w:rsid w:val="0028240E"/>
    <w:rsid w:val="00282ACA"/>
    <w:rsid w:val="00282E6E"/>
    <w:rsid w:val="00283243"/>
    <w:rsid w:val="0028346D"/>
    <w:rsid w:val="00283554"/>
    <w:rsid w:val="00283576"/>
    <w:rsid w:val="00283607"/>
    <w:rsid w:val="002838A8"/>
    <w:rsid w:val="002839D9"/>
    <w:rsid w:val="00284370"/>
    <w:rsid w:val="00284469"/>
    <w:rsid w:val="00284471"/>
    <w:rsid w:val="00284C96"/>
    <w:rsid w:val="00284D93"/>
    <w:rsid w:val="00284DF0"/>
    <w:rsid w:val="0028575A"/>
    <w:rsid w:val="0028626D"/>
    <w:rsid w:val="002862FB"/>
    <w:rsid w:val="0028657A"/>
    <w:rsid w:val="002868E7"/>
    <w:rsid w:val="00286A75"/>
    <w:rsid w:val="00286A90"/>
    <w:rsid w:val="00287162"/>
    <w:rsid w:val="002871A7"/>
    <w:rsid w:val="002874C4"/>
    <w:rsid w:val="00287A89"/>
    <w:rsid w:val="00287E88"/>
    <w:rsid w:val="002906F1"/>
    <w:rsid w:val="00290F3A"/>
    <w:rsid w:val="00291447"/>
    <w:rsid w:val="00291488"/>
    <w:rsid w:val="0029235A"/>
    <w:rsid w:val="002925CB"/>
    <w:rsid w:val="00292A56"/>
    <w:rsid w:val="00293091"/>
    <w:rsid w:val="0029309D"/>
    <w:rsid w:val="002931C0"/>
    <w:rsid w:val="002935B3"/>
    <w:rsid w:val="0029378D"/>
    <w:rsid w:val="0029389F"/>
    <w:rsid w:val="00293D0F"/>
    <w:rsid w:val="00293FC4"/>
    <w:rsid w:val="002948E9"/>
    <w:rsid w:val="0029494E"/>
    <w:rsid w:val="00294CF7"/>
    <w:rsid w:val="00294EFE"/>
    <w:rsid w:val="00295BDA"/>
    <w:rsid w:val="0029645A"/>
    <w:rsid w:val="00296778"/>
    <w:rsid w:val="00296E73"/>
    <w:rsid w:val="00296E9F"/>
    <w:rsid w:val="002974FA"/>
    <w:rsid w:val="002976CF"/>
    <w:rsid w:val="002976FA"/>
    <w:rsid w:val="00297C68"/>
    <w:rsid w:val="00297D8D"/>
    <w:rsid w:val="00297DDF"/>
    <w:rsid w:val="00297E81"/>
    <w:rsid w:val="002A00F5"/>
    <w:rsid w:val="002A0EB9"/>
    <w:rsid w:val="002A126B"/>
    <w:rsid w:val="002A1637"/>
    <w:rsid w:val="002A2F09"/>
    <w:rsid w:val="002A3C94"/>
    <w:rsid w:val="002A3D95"/>
    <w:rsid w:val="002A3E3F"/>
    <w:rsid w:val="002A4499"/>
    <w:rsid w:val="002A4D9A"/>
    <w:rsid w:val="002A5125"/>
    <w:rsid w:val="002A580F"/>
    <w:rsid w:val="002A5896"/>
    <w:rsid w:val="002A6052"/>
    <w:rsid w:val="002A62C9"/>
    <w:rsid w:val="002A65EB"/>
    <w:rsid w:val="002A6919"/>
    <w:rsid w:val="002A6969"/>
    <w:rsid w:val="002A6A54"/>
    <w:rsid w:val="002A7138"/>
    <w:rsid w:val="002A7253"/>
    <w:rsid w:val="002A7E50"/>
    <w:rsid w:val="002B000E"/>
    <w:rsid w:val="002B0055"/>
    <w:rsid w:val="002B006D"/>
    <w:rsid w:val="002B01F5"/>
    <w:rsid w:val="002B079F"/>
    <w:rsid w:val="002B0EB7"/>
    <w:rsid w:val="002B13A7"/>
    <w:rsid w:val="002B1972"/>
    <w:rsid w:val="002B1A21"/>
    <w:rsid w:val="002B1D3E"/>
    <w:rsid w:val="002B306C"/>
    <w:rsid w:val="002B37F9"/>
    <w:rsid w:val="002B5068"/>
    <w:rsid w:val="002B5535"/>
    <w:rsid w:val="002B5B64"/>
    <w:rsid w:val="002B60B4"/>
    <w:rsid w:val="002B6BE7"/>
    <w:rsid w:val="002B7242"/>
    <w:rsid w:val="002B72B3"/>
    <w:rsid w:val="002B735D"/>
    <w:rsid w:val="002B75EF"/>
    <w:rsid w:val="002B7873"/>
    <w:rsid w:val="002B7EA3"/>
    <w:rsid w:val="002C04C0"/>
    <w:rsid w:val="002C0929"/>
    <w:rsid w:val="002C0973"/>
    <w:rsid w:val="002C0CF3"/>
    <w:rsid w:val="002C13AE"/>
    <w:rsid w:val="002C168F"/>
    <w:rsid w:val="002C1CEB"/>
    <w:rsid w:val="002C2811"/>
    <w:rsid w:val="002C28EE"/>
    <w:rsid w:val="002C2FB0"/>
    <w:rsid w:val="002C3758"/>
    <w:rsid w:val="002C402A"/>
    <w:rsid w:val="002C408B"/>
    <w:rsid w:val="002C409C"/>
    <w:rsid w:val="002C52E5"/>
    <w:rsid w:val="002C5D12"/>
    <w:rsid w:val="002C5DAD"/>
    <w:rsid w:val="002C611A"/>
    <w:rsid w:val="002C61C1"/>
    <w:rsid w:val="002C68FC"/>
    <w:rsid w:val="002C6AA6"/>
    <w:rsid w:val="002C6E2A"/>
    <w:rsid w:val="002C704E"/>
    <w:rsid w:val="002C7805"/>
    <w:rsid w:val="002C7B66"/>
    <w:rsid w:val="002D00A3"/>
    <w:rsid w:val="002D01D8"/>
    <w:rsid w:val="002D0835"/>
    <w:rsid w:val="002D098F"/>
    <w:rsid w:val="002D0FB3"/>
    <w:rsid w:val="002D12E3"/>
    <w:rsid w:val="002D1636"/>
    <w:rsid w:val="002D177F"/>
    <w:rsid w:val="002D17BE"/>
    <w:rsid w:val="002D1AB5"/>
    <w:rsid w:val="002D1F70"/>
    <w:rsid w:val="002D29ED"/>
    <w:rsid w:val="002D2B2F"/>
    <w:rsid w:val="002D343A"/>
    <w:rsid w:val="002D3536"/>
    <w:rsid w:val="002D36C7"/>
    <w:rsid w:val="002D3C14"/>
    <w:rsid w:val="002D3DDA"/>
    <w:rsid w:val="002D4244"/>
    <w:rsid w:val="002D4A1C"/>
    <w:rsid w:val="002D4B0A"/>
    <w:rsid w:val="002D4D08"/>
    <w:rsid w:val="002D4DC1"/>
    <w:rsid w:val="002D4E85"/>
    <w:rsid w:val="002D53A0"/>
    <w:rsid w:val="002D6859"/>
    <w:rsid w:val="002D6E39"/>
    <w:rsid w:val="002D6EC0"/>
    <w:rsid w:val="002D6F09"/>
    <w:rsid w:val="002D70A6"/>
    <w:rsid w:val="002E0843"/>
    <w:rsid w:val="002E19AD"/>
    <w:rsid w:val="002E19F2"/>
    <w:rsid w:val="002E1B27"/>
    <w:rsid w:val="002E311B"/>
    <w:rsid w:val="002E45DF"/>
    <w:rsid w:val="002E52FE"/>
    <w:rsid w:val="002E581C"/>
    <w:rsid w:val="002E5BD4"/>
    <w:rsid w:val="002E5EC4"/>
    <w:rsid w:val="002E5EFE"/>
    <w:rsid w:val="002E6015"/>
    <w:rsid w:val="002E6766"/>
    <w:rsid w:val="002E6791"/>
    <w:rsid w:val="002E6CFE"/>
    <w:rsid w:val="002E7168"/>
    <w:rsid w:val="002E718D"/>
    <w:rsid w:val="002E7CC1"/>
    <w:rsid w:val="002E7D9B"/>
    <w:rsid w:val="002F00C4"/>
    <w:rsid w:val="002F079E"/>
    <w:rsid w:val="002F0934"/>
    <w:rsid w:val="002F0D8F"/>
    <w:rsid w:val="002F108B"/>
    <w:rsid w:val="002F1D5F"/>
    <w:rsid w:val="002F210E"/>
    <w:rsid w:val="002F2119"/>
    <w:rsid w:val="002F239F"/>
    <w:rsid w:val="002F2A9A"/>
    <w:rsid w:val="002F2BA7"/>
    <w:rsid w:val="002F2D47"/>
    <w:rsid w:val="002F393F"/>
    <w:rsid w:val="002F3BED"/>
    <w:rsid w:val="002F3D7B"/>
    <w:rsid w:val="002F402F"/>
    <w:rsid w:val="002F40D8"/>
    <w:rsid w:val="002F4404"/>
    <w:rsid w:val="002F44D6"/>
    <w:rsid w:val="002F4DD2"/>
    <w:rsid w:val="002F5206"/>
    <w:rsid w:val="002F5361"/>
    <w:rsid w:val="002F5A67"/>
    <w:rsid w:val="002F6425"/>
    <w:rsid w:val="002F64E5"/>
    <w:rsid w:val="002F6530"/>
    <w:rsid w:val="002F66EB"/>
    <w:rsid w:val="002F6C27"/>
    <w:rsid w:val="002F6E62"/>
    <w:rsid w:val="002F728A"/>
    <w:rsid w:val="002F75A6"/>
    <w:rsid w:val="002F79AB"/>
    <w:rsid w:val="002F7F1B"/>
    <w:rsid w:val="0030045F"/>
    <w:rsid w:val="003008F8"/>
    <w:rsid w:val="00300D29"/>
    <w:rsid w:val="00300F6E"/>
    <w:rsid w:val="00301059"/>
    <w:rsid w:val="00301944"/>
    <w:rsid w:val="003019E6"/>
    <w:rsid w:val="00301B7C"/>
    <w:rsid w:val="00301BA1"/>
    <w:rsid w:val="00302034"/>
    <w:rsid w:val="0030213C"/>
    <w:rsid w:val="00302178"/>
    <w:rsid w:val="003021C3"/>
    <w:rsid w:val="0030224F"/>
    <w:rsid w:val="003022B2"/>
    <w:rsid w:val="003023F9"/>
    <w:rsid w:val="003025E6"/>
    <w:rsid w:val="003030CB"/>
    <w:rsid w:val="00303428"/>
    <w:rsid w:val="003035A7"/>
    <w:rsid w:val="00303813"/>
    <w:rsid w:val="00303AC3"/>
    <w:rsid w:val="0030463D"/>
    <w:rsid w:val="0030550B"/>
    <w:rsid w:val="00305684"/>
    <w:rsid w:val="00305861"/>
    <w:rsid w:val="00305950"/>
    <w:rsid w:val="00306065"/>
    <w:rsid w:val="003066C5"/>
    <w:rsid w:val="003067EA"/>
    <w:rsid w:val="003068B8"/>
    <w:rsid w:val="00306A9F"/>
    <w:rsid w:val="00306ABB"/>
    <w:rsid w:val="00306E51"/>
    <w:rsid w:val="00306EEF"/>
    <w:rsid w:val="003074ED"/>
    <w:rsid w:val="00307CC6"/>
    <w:rsid w:val="00310601"/>
    <w:rsid w:val="003107A6"/>
    <w:rsid w:val="00310DCB"/>
    <w:rsid w:val="00310F4A"/>
    <w:rsid w:val="003110D1"/>
    <w:rsid w:val="003119B5"/>
    <w:rsid w:val="00311DAE"/>
    <w:rsid w:val="0031203F"/>
    <w:rsid w:val="00312744"/>
    <w:rsid w:val="003129AC"/>
    <w:rsid w:val="00312B65"/>
    <w:rsid w:val="00312D4D"/>
    <w:rsid w:val="00312E2E"/>
    <w:rsid w:val="003136CC"/>
    <w:rsid w:val="003139EE"/>
    <w:rsid w:val="00314399"/>
    <w:rsid w:val="00315046"/>
    <w:rsid w:val="003154FF"/>
    <w:rsid w:val="00315AA9"/>
    <w:rsid w:val="00315F8B"/>
    <w:rsid w:val="00316844"/>
    <w:rsid w:val="00317305"/>
    <w:rsid w:val="00317394"/>
    <w:rsid w:val="003174D9"/>
    <w:rsid w:val="00320CDA"/>
    <w:rsid w:val="003212BD"/>
    <w:rsid w:val="0032138F"/>
    <w:rsid w:val="003213B5"/>
    <w:rsid w:val="00321495"/>
    <w:rsid w:val="00321591"/>
    <w:rsid w:val="0032160F"/>
    <w:rsid w:val="00321654"/>
    <w:rsid w:val="00321B40"/>
    <w:rsid w:val="00321C32"/>
    <w:rsid w:val="00321EB6"/>
    <w:rsid w:val="00322192"/>
    <w:rsid w:val="0032230F"/>
    <w:rsid w:val="003226D5"/>
    <w:rsid w:val="00322896"/>
    <w:rsid w:val="0032343C"/>
    <w:rsid w:val="0032394D"/>
    <w:rsid w:val="00324433"/>
    <w:rsid w:val="00324B02"/>
    <w:rsid w:val="00324CAA"/>
    <w:rsid w:val="00324D35"/>
    <w:rsid w:val="0032595D"/>
    <w:rsid w:val="00325B39"/>
    <w:rsid w:val="00325D36"/>
    <w:rsid w:val="00326004"/>
    <w:rsid w:val="00326668"/>
    <w:rsid w:val="00326A82"/>
    <w:rsid w:val="00326BB0"/>
    <w:rsid w:val="00327AC7"/>
    <w:rsid w:val="00327C96"/>
    <w:rsid w:val="00330A47"/>
    <w:rsid w:val="00330BC0"/>
    <w:rsid w:val="00331612"/>
    <w:rsid w:val="00331766"/>
    <w:rsid w:val="00331A4C"/>
    <w:rsid w:val="00332ACF"/>
    <w:rsid w:val="00334516"/>
    <w:rsid w:val="0033471A"/>
    <w:rsid w:val="00334ECD"/>
    <w:rsid w:val="003358E9"/>
    <w:rsid w:val="00335CBB"/>
    <w:rsid w:val="0033628D"/>
    <w:rsid w:val="003366CA"/>
    <w:rsid w:val="003369A1"/>
    <w:rsid w:val="00336A50"/>
    <w:rsid w:val="00336B39"/>
    <w:rsid w:val="00337226"/>
    <w:rsid w:val="0033794F"/>
    <w:rsid w:val="00337ADD"/>
    <w:rsid w:val="00337C53"/>
    <w:rsid w:val="0034006D"/>
    <w:rsid w:val="00340502"/>
    <w:rsid w:val="003410A6"/>
    <w:rsid w:val="003411E0"/>
    <w:rsid w:val="00341533"/>
    <w:rsid w:val="0034194E"/>
    <w:rsid w:val="00341956"/>
    <w:rsid w:val="00342923"/>
    <w:rsid w:val="00342956"/>
    <w:rsid w:val="003433C3"/>
    <w:rsid w:val="003433DC"/>
    <w:rsid w:val="003435CF"/>
    <w:rsid w:val="00343A34"/>
    <w:rsid w:val="00343B97"/>
    <w:rsid w:val="00344AFA"/>
    <w:rsid w:val="00344E46"/>
    <w:rsid w:val="00344FC9"/>
    <w:rsid w:val="00345757"/>
    <w:rsid w:val="00345F0A"/>
    <w:rsid w:val="0034698A"/>
    <w:rsid w:val="003475EF"/>
    <w:rsid w:val="00347BAF"/>
    <w:rsid w:val="00347DB8"/>
    <w:rsid w:val="00347FF3"/>
    <w:rsid w:val="003503E2"/>
    <w:rsid w:val="003504DE"/>
    <w:rsid w:val="00350682"/>
    <w:rsid w:val="003506B0"/>
    <w:rsid w:val="003508C3"/>
    <w:rsid w:val="00350A8A"/>
    <w:rsid w:val="00351060"/>
    <w:rsid w:val="003513D9"/>
    <w:rsid w:val="003515B8"/>
    <w:rsid w:val="00351730"/>
    <w:rsid w:val="0035174D"/>
    <w:rsid w:val="003520A8"/>
    <w:rsid w:val="003520DB"/>
    <w:rsid w:val="003520E8"/>
    <w:rsid w:val="00352DD6"/>
    <w:rsid w:val="0035307E"/>
    <w:rsid w:val="00353339"/>
    <w:rsid w:val="00353843"/>
    <w:rsid w:val="00353B06"/>
    <w:rsid w:val="0035448D"/>
    <w:rsid w:val="00354B5D"/>
    <w:rsid w:val="00354C7B"/>
    <w:rsid w:val="00355319"/>
    <w:rsid w:val="003557AD"/>
    <w:rsid w:val="00355D74"/>
    <w:rsid w:val="003567F6"/>
    <w:rsid w:val="0036063B"/>
    <w:rsid w:val="003606CA"/>
    <w:rsid w:val="00360B84"/>
    <w:rsid w:val="00360DD6"/>
    <w:rsid w:val="0036159B"/>
    <w:rsid w:val="00361D81"/>
    <w:rsid w:val="00361EE7"/>
    <w:rsid w:val="00362B7A"/>
    <w:rsid w:val="00362BD0"/>
    <w:rsid w:val="00362DC9"/>
    <w:rsid w:val="0036355F"/>
    <w:rsid w:val="00363769"/>
    <w:rsid w:val="00363B6A"/>
    <w:rsid w:val="00364292"/>
    <w:rsid w:val="00364797"/>
    <w:rsid w:val="0036495E"/>
    <w:rsid w:val="00364B56"/>
    <w:rsid w:val="00364FF5"/>
    <w:rsid w:val="003652EA"/>
    <w:rsid w:val="003658E4"/>
    <w:rsid w:val="00365AC7"/>
    <w:rsid w:val="0036653D"/>
    <w:rsid w:val="00366872"/>
    <w:rsid w:val="00367591"/>
    <w:rsid w:val="003678BD"/>
    <w:rsid w:val="00367D9B"/>
    <w:rsid w:val="00367E57"/>
    <w:rsid w:val="0037035A"/>
    <w:rsid w:val="003704C1"/>
    <w:rsid w:val="00370FB7"/>
    <w:rsid w:val="003719F1"/>
    <w:rsid w:val="00371BAA"/>
    <w:rsid w:val="003727E1"/>
    <w:rsid w:val="003734B4"/>
    <w:rsid w:val="0037373F"/>
    <w:rsid w:val="0037374A"/>
    <w:rsid w:val="00373FAF"/>
    <w:rsid w:val="0037423B"/>
    <w:rsid w:val="00374BEB"/>
    <w:rsid w:val="003752AB"/>
    <w:rsid w:val="003754F7"/>
    <w:rsid w:val="0037560B"/>
    <w:rsid w:val="0037579B"/>
    <w:rsid w:val="0037593B"/>
    <w:rsid w:val="003759DD"/>
    <w:rsid w:val="00375AB3"/>
    <w:rsid w:val="00375FFC"/>
    <w:rsid w:val="00376011"/>
    <w:rsid w:val="00377CC1"/>
    <w:rsid w:val="00380012"/>
    <w:rsid w:val="0038075D"/>
    <w:rsid w:val="00380E15"/>
    <w:rsid w:val="00381353"/>
    <w:rsid w:val="00381589"/>
    <w:rsid w:val="003816E4"/>
    <w:rsid w:val="003817DE"/>
    <w:rsid w:val="00381A1B"/>
    <w:rsid w:val="00382947"/>
    <w:rsid w:val="00382E94"/>
    <w:rsid w:val="003830B7"/>
    <w:rsid w:val="003834A5"/>
    <w:rsid w:val="003837F9"/>
    <w:rsid w:val="00384239"/>
    <w:rsid w:val="003844C6"/>
    <w:rsid w:val="0038475D"/>
    <w:rsid w:val="00384796"/>
    <w:rsid w:val="003848D4"/>
    <w:rsid w:val="003851BD"/>
    <w:rsid w:val="003852E4"/>
    <w:rsid w:val="00385382"/>
    <w:rsid w:val="00385414"/>
    <w:rsid w:val="003857E0"/>
    <w:rsid w:val="003859BA"/>
    <w:rsid w:val="00385A37"/>
    <w:rsid w:val="00385A88"/>
    <w:rsid w:val="00385B56"/>
    <w:rsid w:val="00385E25"/>
    <w:rsid w:val="003863AD"/>
    <w:rsid w:val="0038663D"/>
    <w:rsid w:val="00386C1F"/>
    <w:rsid w:val="00387532"/>
    <w:rsid w:val="00387594"/>
    <w:rsid w:val="003905D8"/>
    <w:rsid w:val="003906DF"/>
    <w:rsid w:val="00390767"/>
    <w:rsid w:val="00390D52"/>
    <w:rsid w:val="003910E4"/>
    <w:rsid w:val="003912DA"/>
    <w:rsid w:val="00391331"/>
    <w:rsid w:val="003916EC"/>
    <w:rsid w:val="00391A2E"/>
    <w:rsid w:val="00391B23"/>
    <w:rsid w:val="00392383"/>
    <w:rsid w:val="00393673"/>
    <w:rsid w:val="00393776"/>
    <w:rsid w:val="00394060"/>
    <w:rsid w:val="0039426A"/>
    <w:rsid w:val="0039446A"/>
    <w:rsid w:val="0039467B"/>
    <w:rsid w:val="003947E7"/>
    <w:rsid w:val="003957AE"/>
    <w:rsid w:val="00395F88"/>
    <w:rsid w:val="00396303"/>
    <w:rsid w:val="00396767"/>
    <w:rsid w:val="0039680D"/>
    <w:rsid w:val="00396EDA"/>
    <w:rsid w:val="00396F22"/>
    <w:rsid w:val="003970DE"/>
    <w:rsid w:val="003977B7"/>
    <w:rsid w:val="00397C64"/>
    <w:rsid w:val="00397EB9"/>
    <w:rsid w:val="00397F03"/>
    <w:rsid w:val="003A0003"/>
    <w:rsid w:val="003A020D"/>
    <w:rsid w:val="003A0513"/>
    <w:rsid w:val="003A08D8"/>
    <w:rsid w:val="003A0DB9"/>
    <w:rsid w:val="003A0F93"/>
    <w:rsid w:val="003A0FB6"/>
    <w:rsid w:val="003A10CE"/>
    <w:rsid w:val="003A18E9"/>
    <w:rsid w:val="003A195D"/>
    <w:rsid w:val="003A209D"/>
    <w:rsid w:val="003A2127"/>
    <w:rsid w:val="003A2132"/>
    <w:rsid w:val="003A29E1"/>
    <w:rsid w:val="003A2A07"/>
    <w:rsid w:val="003A2ECE"/>
    <w:rsid w:val="003A3044"/>
    <w:rsid w:val="003A3142"/>
    <w:rsid w:val="003A426B"/>
    <w:rsid w:val="003A4588"/>
    <w:rsid w:val="003A45C3"/>
    <w:rsid w:val="003A4DB3"/>
    <w:rsid w:val="003A4DE9"/>
    <w:rsid w:val="003A5482"/>
    <w:rsid w:val="003A594D"/>
    <w:rsid w:val="003A5BB6"/>
    <w:rsid w:val="003A5D08"/>
    <w:rsid w:val="003A5F1C"/>
    <w:rsid w:val="003A6180"/>
    <w:rsid w:val="003A690E"/>
    <w:rsid w:val="003A6B52"/>
    <w:rsid w:val="003A6B60"/>
    <w:rsid w:val="003A7B11"/>
    <w:rsid w:val="003A7C9E"/>
    <w:rsid w:val="003A7F5C"/>
    <w:rsid w:val="003A7FBD"/>
    <w:rsid w:val="003B0023"/>
    <w:rsid w:val="003B023D"/>
    <w:rsid w:val="003B06EC"/>
    <w:rsid w:val="003B09AF"/>
    <w:rsid w:val="003B11B8"/>
    <w:rsid w:val="003B2276"/>
    <w:rsid w:val="003B24EB"/>
    <w:rsid w:val="003B3148"/>
    <w:rsid w:val="003B3B97"/>
    <w:rsid w:val="003B40F7"/>
    <w:rsid w:val="003B41D8"/>
    <w:rsid w:val="003B42CB"/>
    <w:rsid w:val="003B4AF9"/>
    <w:rsid w:val="003B5042"/>
    <w:rsid w:val="003B5FDF"/>
    <w:rsid w:val="003B695C"/>
    <w:rsid w:val="003B69DB"/>
    <w:rsid w:val="003B6F2A"/>
    <w:rsid w:val="003B6FEE"/>
    <w:rsid w:val="003B70A3"/>
    <w:rsid w:val="003B75E9"/>
    <w:rsid w:val="003B7E9A"/>
    <w:rsid w:val="003C043F"/>
    <w:rsid w:val="003C0488"/>
    <w:rsid w:val="003C0758"/>
    <w:rsid w:val="003C07DD"/>
    <w:rsid w:val="003C0ACF"/>
    <w:rsid w:val="003C0FA5"/>
    <w:rsid w:val="003C1445"/>
    <w:rsid w:val="003C15D6"/>
    <w:rsid w:val="003C1BB7"/>
    <w:rsid w:val="003C1BBA"/>
    <w:rsid w:val="003C1C32"/>
    <w:rsid w:val="003C1E4C"/>
    <w:rsid w:val="003C2244"/>
    <w:rsid w:val="003C27B4"/>
    <w:rsid w:val="003C2AED"/>
    <w:rsid w:val="003C3645"/>
    <w:rsid w:val="003C36FD"/>
    <w:rsid w:val="003C4259"/>
    <w:rsid w:val="003C4813"/>
    <w:rsid w:val="003C4991"/>
    <w:rsid w:val="003C4F92"/>
    <w:rsid w:val="003C51C9"/>
    <w:rsid w:val="003C5512"/>
    <w:rsid w:val="003C55A3"/>
    <w:rsid w:val="003C5E0F"/>
    <w:rsid w:val="003C6275"/>
    <w:rsid w:val="003C64C0"/>
    <w:rsid w:val="003C667C"/>
    <w:rsid w:val="003C66E7"/>
    <w:rsid w:val="003C67D8"/>
    <w:rsid w:val="003C6CE8"/>
    <w:rsid w:val="003C6D85"/>
    <w:rsid w:val="003C6E91"/>
    <w:rsid w:val="003C6F53"/>
    <w:rsid w:val="003C71E4"/>
    <w:rsid w:val="003C725C"/>
    <w:rsid w:val="003C76E7"/>
    <w:rsid w:val="003C7EDE"/>
    <w:rsid w:val="003D0500"/>
    <w:rsid w:val="003D07A1"/>
    <w:rsid w:val="003D0D23"/>
    <w:rsid w:val="003D0E94"/>
    <w:rsid w:val="003D0F73"/>
    <w:rsid w:val="003D109E"/>
    <w:rsid w:val="003D14C9"/>
    <w:rsid w:val="003D26E9"/>
    <w:rsid w:val="003D2ADE"/>
    <w:rsid w:val="003D3014"/>
    <w:rsid w:val="003D307D"/>
    <w:rsid w:val="003D31BE"/>
    <w:rsid w:val="003D32D4"/>
    <w:rsid w:val="003D3300"/>
    <w:rsid w:val="003D3669"/>
    <w:rsid w:val="003D40B7"/>
    <w:rsid w:val="003D4404"/>
    <w:rsid w:val="003D4632"/>
    <w:rsid w:val="003D4BCF"/>
    <w:rsid w:val="003D4CD6"/>
    <w:rsid w:val="003D4F2B"/>
    <w:rsid w:val="003D5AAD"/>
    <w:rsid w:val="003D5F37"/>
    <w:rsid w:val="003D606B"/>
    <w:rsid w:val="003D63ED"/>
    <w:rsid w:val="003D68C8"/>
    <w:rsid w:val="003D6B35"/>
    <w:rsid w:val="003D6DF9"/>
    <w:rsid w:val="003D707B"/>
    <w:rsid w:val="003D7606"/>
    <w:rsid w:val="003D786B"/>
    <w:rsid w:val="003D7D91"/>
    <w:rsid w:val="003E010A"/>
    <w:rsid w:val="003E0391"/>
    <w:rsid w:val="003E05D4"/>
    <w:rsid w:val="003E06FC"/>
    <w:rsid w:val="003E11B7"/>
    <w:rsid w:val="003E125F"/>
    <w:rsid w:val="003E177F"/>
    <w:rsid w:val="003E17A2"/>
    <w:rsid w:val="003E1A7F"/>
    <w:rsid w:val="003E1B81"/>
    <w:rsid w:val="003E1F4D"/>
    <w:rsid w:val="003E2415"/>
    <w:rsid w:val="003E26C3"/>
    <w:rsid w:val="003E2E7F"/>
    <w:rsid w:val="003E2E8B"/>
    <w:rsid w:val="003E3DA7"/>
    <w:rsid w:val="003E3EDD"/>
    <w:rsid w:val="003E42FC"/>
    <w:rsid w:val="003E449E"/>
    <w:rsid w:val="003E456A"/>
    <w:rsid w:val="003E4664"/>
    <w:rsid w:val="003E47B2"/>
    <w:rsid w:val="003E488A"/>
    <w:rsid w:val="003E48DC"/>
    <w:rsid w:val="003E7612"/>
    <w:rsid w:val="003F0B79"/>
    <w:rsid w:val="003F1615"/>
    <w:rsid w:val="003F1E40"/>
    <w:rsid w:val="003F1FA6"/>
    <w:rsid w:val="003F2073"/>
    <w:rsid w:val="003F209E"/>
    <w:rsid w:val="003F210B"/>
    <w:rsid w:val="003F23A6"/>
    <w:rsid w:val="003F2649"/>
    <w:rsid w:val="003F32CC"/>
    <w:rsid w:val="003F344F"/>
    <w:rsid w:val="003F34AD"/>
    <w:rsid w:val="003F368F"/>
    <w:rsid w:val="003F40FC"/>
    <w:rsid w:val="003F4600"/>
    <w:rsid w:val="003F6A18"/>
    <w:rsid w:val="003F6CC5"/>
    <w:rsid w:val="003F76DC"/>
    <w:rsid w:val="003F77B1"/>
    <w:rsid w:val="0040011C"/>
    <w:rsid w:val="0040083D"/>
    <w:rsid w:val="00400B2B"/>
    <w:rsid w:val="00400C1C"/>
    <w:rsid w:val="00400E1F"/>
    <w:rsid w:val="00401086"/>
    <w:rsid w:val="004010AE"/>
    <w:rsid w:val="004011B2"/>
    <w:rsid w:val="004015AD"/>
    <w:rsid w:val="00401853"/>
    <w:rsid w:val="004019A3"/>
    <w:rsid w:val="00401B1A"/>
    <w:rsid w:val="004023B0"/>
    <w:rsid w:val="00402CD9"/>
    <w:rsid w:val="00402FF8"/>
    <w:rsid w:val="004038F9"/>
    <w:rsid w:val="00403AD9"/>
    <w:rsid w:val="00403C1D"/>
    <w:rsid w:val="00403D51"/>
    <w:rsid w:val="00403FAA"/>
    <w:rsid w:val="00404096"/>
    <w:rsid w:val="00404375"/>
    <w:rsid w:val="00404EB9"/>
    <w:rsid w:val="00404F4E"/>
    <w:rsid w:val="00405062"/>
    <w:rsid w:val="0040531A"/>
    <w:rsid w:val="00405327"/>
    <w:rsid w:val="0040541B"/>
    <w:rsid w:val="004060A0"/>
    <w:rsid w:val="004060BB"/>
    <w:rsid w:val="004064C0"/>
    <w:rsid w:val="0041030F"/>
    <w:rsid w:val="004112B7"/>
    <w:rsid w:val="00411D29"/>
    <w:rsid w:val="004128D4"/>
    <w:rsid w:val="00413188"/>
    <w:rsid w:val="0041342B"/>
    <w:rsid w:val="004137EC"/>
    <w:rsid w:val="0041390F"/>
    <w:rsid w:val="00413ED3"/>
    <w:rsid w:val="004143A0"/>
    <w:rsid w:val="004145D6"/>
    <w:rsid w:val="00414C6D"/>
    <w:rsid w:val="0041521E"/>
    <w:rsid w:val="00415473"/>
    <w:rsid w:val="004156B9"/>
    <w:rsid w:val="00415D03"/>
    <w:rsid w:val="00415F62"/>
    <w:rsid w:val="00416CB9"/>
    <w:rsid w:val="00416E04"/>
    <w:rsid w:val="0041705F"/>
    <w:rsid w:val="00417F14"/>
    <w:rsid w:val="004208E6"/>
    <w:rsid w:val="00420E35"/>
    <w:rsid w:val="00420F89"/>
    <w:rsid w:val="00421ADA"/>
    <w:rsid w:val="00422673"/>
    <w:rsid w:val="004227AD"/>
    <w:rsid w:val="00422AC0"/>
    <w:rsid w:val="00422B76"/>
    <w:rsid w:val="00422D4E"/>
    <w:rsid w:val="00422F52"/>
    <w:rsid w:val="004238EE"/>
    <w:rsid w:val="00423986"/>
    <w:rsid w:val="0042483E"/>
    <w:rsid w:val="00424BAF"/>
    <w:rsid w:val="00425228"/>
    <w:rsid w:val="004252AD"/>
    <w:rsid w:val="0042556C"/>
    <w:rsid w:val="00425692"/>
    <w:rsid w:val="004259BE"/>
    <w:rsid w:val="00425ED8"/>
    <w:rsid w:val="00426025"/>
    <w:rsid w:val="0042637F"/>
    <w:rsid w:val="004264F7"/>
    <w:rsid w:val="0042728B"/>
    <w:rsid w:val="004274BC"/>
    <w:rsid w:val="00430478"/>
    <w:rsid w:val="00430893"/>
    <w:rsid w:val="00430C54"/>
    <w:rsid w:val="0043103F"/>
    <w:rsid w:val="004310EA"/>
    <w:rsid w:val="00431245"/>
    <w:rsid w:val="004313AF"/>
    <w:rsid w:val="004314DA"/>
    <w:rsid w:val="00431F4B"/>
    <w:rsid w:val="004320C8"/>
    <w:rsid w:val="004321B9"/>
    <w:rsid w:val="004323E0"/>
    <w:rsid w:val="0043242A"/>
    <w:rsid w:val="00432B84"/>
    <w:rsid w:val="00432D5E"/>
    <w:rsid w:val="0043375E"/>
    <w:rsid w:val="00433821"/>
    <w:rsid w:val="00433C24"/>
    <w:rsid w:val="0043475B"/>
    <w:rsid w:val="00434777"/>
    <w:rsid w:val="00434F17"/>
    <w:rsid w:val="00435293"/>
    <w:rsid w:val="004352BE"/>
    <w:rsid w:val="00435EEA"/>
    <w:rsid w:val="00436A6C"/>
    <w:rsid w:val="00436AEC"/>
    <w:rsid w:val="00437288"/>
    <w:rsid w:val="00437485"/>
    <w:rsid w:val="0043768F"/>
    <w:rsid w:val="00437F5B"/>
    <w:rsid w:val="0044053C"/>
    <w:rsid w:val="004409A7"/>
    <w:rsid w:val="00440B83"/>
    <w:rsid w:val="004413B2"/>
    <w:rsid w:val="00441B2B"/>
    <w:rsid w:val="00441D5D"/>
    <w:rsid w:val="00442056"/>
    <w:rsid w:val="0044221C"/>
    <w:rsid w:val="00442C2A"/>
    <w:rsid w:val="004433EE"/>
    <w:rsid w:val="00443933"/>
    <w:rsid w:val="00443A4F"/>
    <w:rsid w:val="004440BF"/>
    <w:rsid w:val="00444190"/>
    <w:rsid w:val="0044558A"/>
    <w:rsid w:val="00445807"/>
    <w:rsid w:val="00445863"/>
    <w:rsid w:val="00446269"/>
    <w:rsid w:val="00446566"/>
    <w:rsid w:val="004465F0"/>
    <w:rsid w:val="00446ADD"/>
    <w:rsid w:val="00447495"/>
    <w:rsid w:val="00450179"/>
    <w:rsid w:val="004502B6"/>
    <w:rsid w:val="00450367"/>
    <w:rsid w:val="004503AC"/>
    <w:rsid w:val="004504B7"/>
    <w:rsid w:val="00450756"/>
    <w:rsid w:val="00450874"/>
    <w:rsid w:val="004508C0"/>
    <w:rsid w:val="00450A76"/>
    <w:rsid w:val="00450AC5"/>
    <w:rsid w:val="00450D6A"/>
    <w:rsid w:val="00450EF9"/>
    <w:rsid w:val="0045159B"/>
    <w:rsid w:val="004517B1"/>
    <w:rsid w:val="00451D56"/>
    <w:rsid w:val="00451E3B"/>
    <w:rsid w:val="00451EB6"/>
    <w:rsid w:val="00451F72"/>
    <w:rsid w:val="00452308"/>
    <w:rsid w:val="00452563"/>
    <w:rsid w:val="00452829"/>
    <w:rsid w:val="00452A72"/>
    <w:rsid w:val="004530D9"/>
    <w:rsid w:val="00453459"/>
    <w:rsid w:val="0045366B"/>
    <w:rsid w:val="00453EB3"/>
    <w:rsid w:val="00453F72"/>
    <w:rsid w:val="00454DEC"/>
    <w:rsid w:val="00454F84"/>
    <w:rsid w:val="004550DE"/>
    <w:rsid w:val="00455577"/>
    <w:rsid w:val="0045564B"/>
    <w:rsid w:val="0045577B"/>
    <w:rsid w:val="00455AFA"/>
    <w:rsid w:val="00455F0B"/>
    <w:rsid w:val="00456062"/>
    <w:rsid w:val="00456197"/>
    <w:rsid w:val="004564A7"/>
    <w:rsid w:val="00456C2D"/>
    <w:rsid w:val="004570C0"/>
    <w:rsid w:val="00457306"/>
    <w:rsid w:val="00460A08"/>
    <w:rsid w:val="00460FF0"/>
    <w:rsid w:val="00461566"/>
    <w:rsid w:val="00462057"/>
    <w:rsid w:val="00462329"/>
    <w:rsid w:val="00462581"/>
    <w:rsid w:val="0046260D"/>
    <w:rsid w:val="0046273C"/>
    <w:rsid w:val="0046305D"/>
    <w:rsid w:val="00464808"/>
    <w:rsid w:val="00464BBA"/>
    <w:rsid w:val="00465081"/>
    <w:rsid w:val="00465723"/>
    <w:rsid w:val="004658D4"/>
    <w:rsid w:val="0046592A"/>
    <w:rsid w:val="00465A0E"/>
    <w:rsid w:val="00466068"/>
    <w:rsid w:val="00466342"/>
    <w:rsid w:val="004665B5"/>
    <w:rsid w:val="004668B8"/>
    <w:rsid w:val="00466AF6"/>
    <w:rsid w:val="00466F97"/>
    <w:rsid w:val="004673E0"/>
    <w:rsid w:val="00470314"/>
    <w:rsid w:val="00470532"/>
    <w:rsid w:val="00471110"/>
    <w:rsid w:val="0047133D"/>
    <w:rsid w:val="00471A68"/>
    <w:rsid w:val="00472084"/>
    <w:rsid w:val="0047219C"/>
    <w:rsid w:val="004724E1"/>
    <w:rsid w:val="0047263E"/>
    <w:rsid w:val="00472782"/>
    <w:rsid w:val="004729C9"/>
    <w:rsid w:val="00472C26"/>
    <w:rsid w:val="00473075"/>
    <w:rsid w:val="00473938"/>
    <w:rsid w:val="0047423E"/>
    <w:rsid w:val="0047429F"/>
    <w:rsid w:val="004750F9"/>
    <w:rsid w:val="004755E6"/>
    <w:rsid w:val="0047582F"/>
    <w:rsid w:val="00475854"/>
    <w:rsid w:val="00475C20"/>
    <w:rsid w:val="00475C84"/>
    <w:rsid w:val="00475EB1"/>
    <w:rsid w:val="00475EC5"/>
    <w:rsid w:val="00476160"/>
    <w:rsid w:val="00476FA7"/>
    <w:rsid w:val="00476FA8"/>
    <w:rsid w:val="00477086"/>
    <w:rsid w:val="0047721A"/>
    <w:rsid w:val="004777CC"/>
    <w:rsid w:val="00477A4A"/>
    <w:rsid w:val="00477F9E"/>
    <w:rsid w:val="0048035B"/>
    <w:rsid w:val="0048044F"/>
    <w:rsid w:val="00480847"/>
    <w:rsid w:val="004818C6"/>
    <w:rsid w:val="004818E6"/>
    <w:rsid w:val="004819C2"/>
    <w:rsid w:val="004819E5"/>
    <w:rsid w:val="00481F1D"/>
    <w:rsid w:val="004826A0"/>
    <w:rsid w:val="00482E0B"/>
    <w:rsid w:val="004837F7"/>
    <w:rsid w:val="00483850"/>
    <w:rsid w:val="0048385A"/>
    <w:rsid w:val="00483CE7"/>
    <w:rsid w:val="0048402C"/>
    <w:rsid w:val="00484084"/>
    <w:rsid w:val="0048422F"/>
    <w:rsid w:val="00484CFE"/>
    <w:rsid w:val="00484E69"/>
    <w:rsid w:val="00486069"/>
    <w:rsid w:val="0048607A"/>
    <w:rsid w:val="004864FE"/>
    <w:rsid w:val="004865CB"/>
    <w:rsid w:val="004869B3"/>
    <w:rsid w:val="00486ABE"/>
    <w:rsid w:val="00486C23"/>
    <w:rsid w:val="00486F37"/>
    <w:rsid w:val="00486FB2"/>
    <w:rsid w:val="004875FC"/>
    <w:rsid w:val="00487CA7"/>
    <w:rsid w:val="004905C4"/>
    <w:rsid w:val="00490660"/>
    <w:rsid w:val="004907CC"/>
    <w:rsid w:val="004921E3"/>
    <w:rsid w:val="00492313"/>
    <w:rsid w:val="004931B9"/>
    <w:rsid w:val="004931C1"/>
    <w:rsid w:val="0049332B"/>
    <w:rsid w:val="00493828"/>
    <w:rsid w:val="00493835"/>
    <w:rsid w:val="00493F08"/>
    <w:rsid w:val="004941DA"/>
    <w:rsid w:val="00494F32"/>
    <w:rsid w:val="00495CCD"/>
    <w:rsid w:val="00495DB9"/>
    <w:rsid w:val="00496237"/>
    <w:rsid w:val="00496481"/>
    <w:rsid w:val="00496853"/>
    <w:rsid w:val="004968B2"/>
    <w:rsid w:val="00496972"/>
    <w:rsid w:val="004979F5"/>
    <w:rsid w:val="00497D57"/>
    <w:rsid w:val="004A08EE"/>
    <w:rsid w:val="004A0A4C"/>
    <w:rsid w:val="004A0F43"/>
    <w:rsid w:val="004A0F6A"/>
    <w:rsid w:val="004A12C2"/>
    <w:rsid w:val="004A1F5D"/>
    <w:rsid w:val="004A207B"/>
    <w:rsid w:val="004A2BFD"/>
    <w:rsid w:val="004A2C45"/>
    <w:rsid w:val="004A3249"/>
    <w:rsid w:val="004A35C7"/>
    <w:rsid w:val="004A4392"/>
    <w:rsid w:val="004A467C"/>
    <w:rsid w:val="004A4951"/>
    <w:rsid w:val="004A5709"/>
    <w:rsid w:val="004A5AAB"/>
    <w:rsid w:val="004A5B43"/>
    <w:rsid w:val="004A6706"/>
    <w:rsid w:val="004A6B9A"/>
    <w:rsid w:val="004A799B"/>
    <w:rsid w:val="004B01DD"/>
    <w:rsid w:val="004B02D0"/>
    <w:rsid w:val="004B0FD0"/>
    <w:rsid w:val="004B14B1"/>
    <w:rsid w:val="004B1AC9"/>
    <w:rsid w:val="004B2205"/>
    <w:rsid w:val="004B248A"/>
    <w:rsid w:val="004B263C"/>
    <w:rsid w:val="004B32AA"/>
    <w:rsid w:val="004B38A2"/>
    <w:rsid w:val="004B3A93"/>
    <w:rsid w:val="004B424D"/>
    <w:rsid w:val="004B42BA"/>
    <w:rsid w:val="004B4453"/>
    <w:rsid w:val="004B4A33"/>
    <w:rsid w:val="004B5623"/>
    <w:rsid w:val="004B599A"/>
    <w:rsid w:val="004B62A7"/>
    <w:rsid w:val="004B65C2"/>
    <w:rsid w:val="004B6673"/>
    <w:rsid w:val="004B67ED"/>
    <w:rsid w:val="004B6C08"/>
    <w:rsid w:val="004B73F5"/>
    <w:rsid w:val="004C0DEB"/>
    <w:rsid w:val="004C108D"/>
    <w:rsid w:val="004C171D"/>
    <w:rsid w:val="004C18B9"/>
    <w:rsid w:val="004C1B6C"/>
    <w:rsid w:val="004C2759"/>
    <w:rsid w:val="004C299B"/>
    <w:rsid w:val="004C2A31"/>
    <w:rsid w:val="004C2B2A"/>
    <w:rsid w:val="004C2BCD"/>
    <w:rsid w:val="004C2C01"/>
    <w:rsid w:val="004C2D88"/>
    <w:rsid w:val="004C2E32"/>
    <w:rsid w:val="004C2E99"/>
    <w:rsid w:val="004C36C1"/>
    <w:rsid w:val="004C404C"/>
    <w:rsid w:val="004C465B"/>
    <w:rsid w:val="004C486C"/>
    <w:rsid w:val="004C495D"/>
    <w:rsid w:val="004C4EB6"/>
    <w:rsid w:val="004C5B80"/>
    <w:rsid w:val="004C5E7C"/>
    <w:rsid w:val="004C6449"/>
    <w:rsid w:val="004C657D"/>
    <w:rsid w:val="004C683D"/>
    <w:rsid w:val="004C68E3"/>
    <w:rsid w:val="004C6BA1"/>
    <w:rsid w:val="004C74F1"/>
    <w:rsid w:val="004D01A3"/>
    <w:rsid w:val="004D08C2"/>
    <w:rsid w:val="004D11EE"/>
    <w:rsid w:val="004D12E5"/>
    <w:rsid w:val="004D13D7"/>
    <w:rsid w:val="004D14FA"/>
    <w:rsid w:val="004D183E"/>
    <w:rsid w:val="004D202A"/>
    <w:rsid w:val="004D2155"/>
    <w:rsid w:val="004D2CE3"/>
    <w:rsid w:val="004D3E97"/>
    <w:rsid w:val="004D4B89"/>
    <w:rsid w:val="004D4E7F"/>
    <w:rsid w:val="004D5474"/>
    <w:rsid w:val="004D55EA"/>
    <w:rsid w:val="004D602A"/>
    <w:rsid w:val="004D6213"/>
    <w:rsid w:val="004D6AF3"/>
    <w:rsid w:val="004D7862"/>
    <w:rsid w:val="004D7F43"/>
    <w:rsid w:val="004E047B"/>
    <w:rsid w:val="004E0734"/>
    <w:rsid w:val="004E087A"/>
    <w:rsid w:val="004E087C"/>
    <w:rsid w:val="004E08A1"/>
    <w:rsid w:val="004E09BC"/>
    <w:rsid w:val="004E09D7"/>
    <w:rsid w:val="004E1284"/>
    <w:rsid w:val="004E189F"/>
    <w:rsid w:val="004E21B4"/>
    <w:rsid w:val="004E2C2B"/>
    <w:rsid w:val="004E2C9D"/>
    <w:rsid w:val="004E2F5C"/>
    <w:rsid w:val="004E2F71"/>
    <w:rsid w:val="004E3163"/>
    <w:rsid w:val="004E3329"/>
    <w:rsid w:val="004E3456"/>
    <w:rsid w:val="004E35C1"/>
    <w:rsid w:val="004E39AC"/>
    <w:rsid w:val="004E3FD6"/>
    <w:rsid w:val="004E406B"/>
    <w:rsid w:val="004E47FE"/>
    <w:rsid w:val="004E4F00"/>
    <w:rsid w:val="004E5014"/>
    <w:rsid w:val="004E5139"/>
    <w:rsid w:val="004E5261"/>
    <w:rsid w:val="004E54B0"/>
    <w:rsid w:val="004E6A1D"/>
    <w:rsid w:val="004E6C1F"/>
    <w:rsid w:val="004E6CD1"/>
    <w:rsid w:val="004E6D02"/>
    <w:rsid w:val="004E7212"/>
    <w:rsid w:val="004E74D6"/>
    <w:rsid w:val="004E7561"/>
    <w:rsid w:val="004F03DD"/>
    <w:rsid w:val="004F07F0"/>
    <w:rsid w:val="004F0C8E"/>
    <w:rsid w:val="004F0CA0"/>
    <w:rsid w:val="004F0CCD"/>
    <w:rsid w:val="004F0CCE"/>
    <w:rsid w:val="004F0F07"/>
    <w:rsid w:val="004F1660"/>
    <w:rsid w:val="004F1866"/>
    <w:rsid w:val="004F2394"/>
    <w:rsid w:val="004F31BB"/>
    <w:rsid w:val="004F3A6A"/>
    <w:rsid w:val="004F3C8D"/>
    <w:rsid w:val="004F4354"/>
    <w:rsid w:val="004F4501"/>
    <w:rsid w:val="004F4C69"/>
    <w:rsid w:val="004F51C5"/>
    <w:rsid w:val="004F5290"/>
    <w:rsid w:val="004F54E9"/>
    <w:rsid w:val="004F5668"/>
    <w:rsid w:val="004F5E1C"/>
    <w:rsid w:val="004F5F13"/>
    <w:rsid w:val="004F66E4"/>
    <w:rsid w:val="004F6795"/>
    <w:rsid w:val="004F6D75"/>
    <w:rsid w:val="004F7016"/>
    <w:rsid w:val="004F7419"/>
    <w:rsid w:val="004F7E73"/>
    <w:rsid w:val="004F7FDA"/>
    <w:rsid w:val="0050046A"/>
    <w:rsid w:val="00502CB3"/>
    <w:rsid w:val="00502F30"/>
    <w:rsid w:val="005033B2"/>
    <w:rsid w:val="0050438E"/>
    <w:rsid w:val="00505564"/>
    <w:rsid w:val="00505581"/>
    <w:rsid w:val="005055BF"/>
    <w:rsid w:val="00505665"/>
    <w:rsid w:val="00505D95"/>
    <w:rsid w:val="00506544"/>
    <w:rsid w:val="00506CC9"/>
    <w:rsid w:val="00506D9F"/>
    <w:rsid w:val="00507517"/>
    <w:rsid w:val="00507944"/>
    <w:rsid w:val="00507C2B"/>
    <w:rsid w:val="00510861"/>
    <w:rsid w:val="00510981"/>
    <w:rsid w:val="00510AD6"/>
    <w:rsid w:val="00510B34"/>
    <w:rsid w:val="00510B9C"/>
    <w:rsid w:val="0051136D"/>
    <w:rsid w:val="00511A92"/>
    <w:rsid w:val="00511EE2"/>
    <w:rsid w:val="00511F6A"/>
    <w:rsid w:val="00512026"/>
    <w:rsid w:val="00512846"/>
    <w:rsid w:val="00512D8A"/>
    <w:rsid w:val="0051334E"/>
    <w:rsid w:val="005138F1"/>
    <w:rsid w:val="0051392A"/>
    <w:rsid w:val="005147F4"/>
    <w:rsid w:val="00514DE4"/>
    <w:rsid w:val="0051507F"/>
    <w:rsid w:val="005155E9"/>
    <w:rsid w:val="00515817"/>
    <w:rsid w:val="00515A4B"/>
    <w:rsid w:val="00515D38"/>
    <w:rsid w:val="00515DFE"/>
    <w:rsid w:val="00515E7C"/>
    <w:rsid w:val="00516083"/>
    <w:rsid w:val="0051645E"/>
    <w:rsid w:val="00516C09"/>
    <w:rsid w:val="0051713F"/>
    <w:rsid w:val="005172EF"/>
    <w:rsid w:val="00517303"/>
    <w:rsid w:val="00517866"/>
    <w:rsid w:val="00517B7A"/>
    <w:rsid w:val="005216C4"/>
    <w:rsid w:val="0052179A"/>
    <w:rsid w:val="005221F2"/>
    <w:rsid w:val="00522249"/>
    <w:rsid w:val="005224FE"/>
    <w:rsid w:val="00522516"/>
    <w:rsid w:val="0052251F"/>
    <w:rsid w:val="00522636"/>
    <w:rsid w:val="00522708"/>
    <w:rsid w:val="00522848"/>
    <w:rsid w:val="00522EE1"/>
    <w:rsid w:val="0052338C"/>
    <w:rsid w:val="005235E3"/>
    <w:rsid w:val="00524115"/>
    <w:rsid w:val="00524124"/>
    <w:rsid w:val="005246A8"/>
    <w:rsid w:val="00524B78"/>
    <w:rsid w:val="00524F30"/>
    <w:rsid w:val="00524FA0"/>
    <w:rsid w:val="00525731"/>
    <w:rsid w:val="005257EF"/>
    <w:rsid w:val="00525ACA"/>
    <w:rsid w:val="00525B58"/>
    <w:rsid w:val="00526080"/>
    <w:rsid w:val="00526D7F"/>
    <w:rsid w:val="00527F60"/>
    <w:rsid w:val="005303F7"/>
    <w:rsid w:val="00530B3F"/>
    <w:rsid w:val="00530E8B"/>
    <w:rsid w:val="0053160F"/>
    <w:rsid w:val="00531F8A"/>
    <w:rsid w:val="00532599"/>
    <w:rsid w:val="005326FD"/>
    <w:rsid w:val="0053305E"/>
    <w:rsid w:val="005333BA"/>
    <w:rsid w:val="00533EAE"/>
    <w:rsid w:val="00534045"/>
    <w:rsid w:val="005349ED"/>
    <w:rsid w:val="0053549D"/>
    <w:rsid w:val="005355E5"/>
    <w:rsid w:val="005358AC"/>
    <w:rsid w:val="00535C00"/>
    <w:rsid w:val="005362BF"/>
    <w:rsid w:val="00536522"/>
    <w:rsid w:val="00536757"/>
    <w:rsid w:val="00536AC9"/>
    <w:rsid w:val="0053722F"/>
    <w:rsid w:val="00537377"/>
    <w:rsid w:val="00537C55"/>
    <w:rsid w:val="00540126"/>
    <w:rsid w:val="005402CC"/>
    <w:rsid w:val="00540EEE"/>
    <w:rsid w:val="0054199B"/>
    <w:rsid w:val="005422C6"/>
    <w:rsid w:val="00542388"/>
    <w:rsid w:val="00542693"/>
    <w:rsid w:val="0054282B"/>
    <w:rsid w:val="00542A1B"/>
    <w:rsid w:val="00542A7D"/>
    <w:rsid w:val="0054319A"/>
    <w:rsid w:val="00543328"/>
    <w:rsid w:val="0054334D"/>
    <w:rsid w:val="005433CD"/>
    <w:rsid w:val="005436F8"/>
    <w:rsid w:val="00543F51"/>
    <w:rsid w:val="00543F79"/>
    <w:rsid w:val="005441CF"/>
    <w:rsid w:val="00544201"/>
    <w:rsid w:val="005449B8"/>
    <w:rsid w:val="00544B94"/>
    <w:rsid w:val="00544C06"/>
    <w:rsid w:val="00544EC4"/>
    <w:rsid w:val="00544F3A"/>
    <w:rsid w:val="00545C1F"/>
    <w:rsid w:val="00545CC5"/>
    <w:rsid w:val="00545EB5"/>
    <w:rsid w:val="00545F61"/>
    <w:rsid w:val="005461CA"/>
    <w:rsid w:val="005463FC"/>
    <w:rsid w:val="005469CB"/>
    <w:rsid w:val="00546D14"/>
    <w:rsid w:val="005471E1"/>
    <w:rsid w:val="00547522"/>
    <w:rsid w:val="00547E6C"/>
    <w:rsid w:val="00550506"/>
    <w:rsid w:val="0055073A"/>
    <w:rsid w:val="00550BF4"/>
    <w:rsid w:val="0055130E"/>
    <w:rsid w:val="005514E4"/>
    <w:rsid w:val="00551718"/>
    <w:rsid w:val="00551847"/>
    <w:rsid w:val="00551E7A"/>
    <w:rsid w:val="00552024"/>
    <w:rsid w:val="005528D9"/>
    <w:rsid w:val="00552ADC"/>
    <w:rsid w:val="00552B52"/>
    <w:rsid w:val="0055306E"/>
    <w:rsid w:val="005531EB"/>
    <w:rsid w:val="00553480"/>
    <w:rsid w:val="005537E8"/>
    <w:rsid w:val="0055423D"/>
    <w:rsid w:val="00554531"/>
    <w:rsid w:val="00554DE4"/>
    <w:rsid w:val="00554DFD"/>
    <w:rsid w:val="00554F07"/>
    <w:rsid w:val="0055509E"/>
    <w:rsid w:val="00555918"/>
    <w:rsid w:val="00555C65"/>
    <w:rsid w:val="00555E31"/>
    <w:rsid w:val="005562B0"/>
    <w:rsid w:val="005579AB"/>
    <w:rsid w:val="00557BB2"/>
    <w:rsid w:val="00560550"/>
    <w:rsid w:val="00560CA3"/>
    <w:rsid w:val="0056164F"/>
    <w:rsid w:val="00561E62"/>
    <w:rsid w:val="00561FF2"/>
    <w:rsid w:val="00562207"/>
    <w:rsid w:val="0056266A"/>
    <w:rsid w:val="00562911"/>
    <w:rsid w:val="00562A51"/>
    <w:rsid w:val="00562E9A"/>
    <w:rsid w:val="00562F94"/>
    <w:rsid w:val="005638EB"/>
    <w:rsid w:val="00563CD9"/>
    <w:rsid w:val="00563DC6"/>
    <w:rsid w:val="00564181"/>
    <w:rsid w:val="00564590"/>
    <w:rsid w:val="00564CBA"/>
    <w:rsid w:val="00564FD4"/>
    <w:rsid w:val="005650CD"/>
    <w:rsid w:val="00565501"/>
    <w:rsid w:val="00565772"/>
    <w:rsid w:val="00565CBE"/>
    <w:rsid w:val="00565CC4"/>
    <w:rsid w:val="00566C50"/>
    <w:rsid w:val="00566F05"/>
    <w:rsid w:val="00566F7F"/>
    <w:rsid w:val="005715EC"/>
    <w:rsid w:val="00571B31"/>
    <w:rsid w:val="00571DAE"/>
    <w:rsid w:val="0057270F"/>
    <w:rsid w:val="00572975"/>
    <w:rsid w:val="00572C42"/>
    <w:rsid w:val="005735BD"/>
    <w:rsid w:val="0057363E"/>
    <w:rsid w:val="005738AD"/>
    <w:rsid w:val="00573C6B"/>
    <w:rsid w:val="005741A4"/>
    <w:rsid w:val="005743DD"/>
    <w:rsid w:val="0057442B"/>
    <w:rsid w:val="0057451A"/>
    <w:rsid w:val="00574674"/>
    <w:rsid w:val="00574A25"/>
    <w:rsid w:val="0057532A"/>
    <w:rsid w:val="00575583"/>
    <w:rsid w:val="005755B1"/>
    <w:rsid w:val="0057571D"/>
    <w:rsid w:val="005759BE"/>
    <w:rsid w:val="0057603D"/>
    <w:rsid w:val="00576D58"/>
    <w:rsid w:val="0057734E"/>
    <w:rsid w:val="00577EB0"/>
    <w:rsid w:val="005800FD"/>
    <w:rsid w:val="00580206"/>
    <w:rsid w:val="005808D0"/>
    <w:rsid w:val="00581000"/>
    <w:rsid w:val="00581007"/>
    <w:rsid w:val="0058153D"/>
    <w:rsid w:val="00582021"/>
    <w:rsid w:val="00583480"/>
    <w:rsid w:val="00583B04"/>
    <w:rsid w:val="00583BA5"/>
    <w:rsid w:val="00583CA3"/>
    <w:rsid w:val="005842AF"/>
    <w:rsid w:val="005851DC"/>
    <w:rsid w:val="00585706"/>
    <w:rsid w:val="00586063"/>
    <w:rsid w:val="00586238"/>
    <w:rsid w:val="0058654F"/>
    <w:rsid w:val="005870B4"/>
    <w:rsid w:val="005870C1"/>
    <w:rsid w:val="00587219"/>
    <w:rsid w:val="005873AD"/>
    <w:rsid w:val="005877B5"/>
    <w:rsid w:val="00587EA0"/>
    <w:rsid w:val="00590130"/>
    <w:rsid w:val="00590379"/>
    <w:rsid w:val="00590620"/>
    <w:rsid w:val="005909C3"/>
    <w:rsid w:val="00590AE7"/>
    <w:rsid w:val="00590DC4"/>
    <w:rsid w:val="00590F15"/>
    <w:rsid w:val="005910C7"/>
    <w:rsid w:val="00591508"/>
    <w:rsid w:val="005916DA"/>
    <w:rsid w:val="0059172D"/>
    <w:rsid w:val="00592ADA"/>
    <w:rsid w:val="00592E22"/>
    <w:rsid w:val="00593711"/>
    <w:rsid w:val="00593969"/>
    <w:rsid w:val="00593C63"/>
    <w:rsid w:val="00593D1F"/>
    <w:rsid w:val="00593EF0"/>
    <w:rsid w:val="0059438C"/>
    <w:rsid w:val="005943D6"/>
    <w:rsid w:val="00594555"/>
    <w:rsid w:val="00594BFA"/>
    <w:rsid w:val="0059524F"/>
    <w:rsid w:val="005958EE"/>
    <w:rsid w:val="0059652B"/>
    <w:rsid w:val="00597A07"/>
    <w:rsid w:val="00597F1C"/>
    <w:rsid w:val="005A08E5"/>
    <w:rsid w:val="005A0AA2"/>
    <w:rsid w:val="005A0C4D"/>
    <w:rsid w:val="005A0C6E"/>
    <w:rsid w:val="005A0D30"/>
    <w:rsid w:val="005A138D"/>
    <w:rsid w:val="005A1491"/>
    <w:rsid w:val="005A15CB"/>
    <w:rsid w:val="005A1814"/>
    <w:rsid w:val="005A184C"/>
    <w:rsid w:val="005A201C"/>
    <w:rsid w:val="005A215B"/>
    <w:rsid w:val="005A24EC"/>
    <w:rsid w:val="005A31F8"/>
    <w:rsid w:val="005A3389"/>
    <w:rsid w:val="005A3718"/>
    <w:rsid w:val="005A3806"/>
    <w:rsid w:val="005A3875"/>
    <w:rsid w:val="005A3A5E"/>
    <w:rsid w:val="005A3AEA"/>
    <w:rsid w:val="005A47D5"/>
    <w:rsid w:val="005A4E6D"/>
    <w:rsid w:val="005A51A5"/>
    <w:rsid w:val="005A5246"/>
    <w:rsid w:val="005A53E2"/>
    <w:rsid w:val="005A563A"/>
    <w:rsid w:val="005A593E"/>
    <w:rsid w:val="005A5F27"/>
    <w:rsid w:val="005A6297"/>
    <w:rsid w:val="005A652A"/>
    <w:rsid w:val="005A672F"/>
    <w:rsid w:val="005A70EA"/>
    <w:rsid w:val="005A7307"/>
    <w:rsid w:val="005A743F"/>
    <w:rsid w:val="005A7BB3"/>
    <w:rsid w:val="005A7CE1"/>
    <w:rsid w:val="005A7D6C"/>
    <w:rsid w:val="005A7DA3"/>
    <w:rsid w:val="005A7EBA"/>
    <w:rsid w:val="005B082F"/>
    <w:rsid w:val="005B0A0D"/>
    <w:rsid w:val="005B1104"/>
    <w:rsid w:val="005B147E"/>
    <w:rsid w:val="005B1513"/>
    <w:rsid w:val="005B1A81"/>
    <w:rsid w:val="005B1DA8"/>
    <w:rsid w:val="005B1FB6"/>
    <w:rsid w:val="005B21EF"/>
    <w:rsid w:val="005B2808"/>
    <w:rsid w:val="005B2CF3"/>
    <w:rsid w:val="005B3321"/>
    <w:rsid w:val="005B39F4"/>
    <w:rsid w:val="005B3AB7"/>
    <w:rsid w:val="005B427B"/>
    <w:rsid w:val="005B47AC"/>
    <w:rsid w:val="005B49B1"/>
    <w:rsid w:val="005B4C84"/>
    <w:rsid w:val="005B4ECE"/>
    <w:rsid w:val="005B5296"/>
    <w:rsid w:val="005B5409"/>
    <w:rsid w:val="005B57E3"/>
    <w:rsid w:val="005B5897"/>
    <w:rsid w:val="005B5C53"/>
    <w:rsid w:val="005B64FB"/>
    <w:rsid w:val="005B6903"/>
    <w:rsid w:val="005B70CC"/>
    <w:rsid w:val="005B777B"/>
    <w:rsid w:val="005B7D03"/>
    <w:rsid w:val="005B7EE5"/>
    <w:rsid w:val="005C0EE5"/>
    <w:rsid w:val="005C1646"/>
    <w:rsid w:val="005C2429"/>
    <w:rsid w:val="005C294A"/>
    <w:rsid w:val="005C2D56"/>
    <w:rsid w:val="005C2DF8"/>
    <w:rsid w:val="005C32CC"/>
    <w:rsid w:val="005C36BB"/>
    <w:rsid w:val="005C3C9E"/>
    <w:rsid w:val="005C3EB2"/>
    <w:rsid w:val="005C4B56"/>
    <w:rsid w:val="005C4CD7"/>
    <w:rsid w:val="005C4CE8"/>
    <w:rsid w:val="005C4F47"/>
    <w:rsid w:val="005C513E"/>
    <w:rsid w:val="005C5227"/>
    <w:rsid w:val="005C581F"/>
    <w:rsid w:val="005C5888"/>
    <w:rsid w:val="005C5BBE"/>
    <w:rsid w:val="005C5BC0"/>
    <w:rsid w:val="005C6096"/>
    <w:rsid w:val="005C623E"/>
    <w:rsid w:val="005C6257"/>
    <w:rsid w:val="005C68B0"/>
    <w:rsid w:val="005C6DB7"/>
    <w:rsid w:val="005C71B7"/>
    <w:rsid w:val="005C721E"/>
    <w:rsid w:val="005C78E2"/>
    <w:rsid w:val="005C7B4D"/>
    <w:rsid w:val="005C7C02"/>
    <w:rsid w:val="005C7E87"/>
    <w:rsid w:val="005D05E4"/>
    <w:rsid w:val="005D0B49"/>
    <w:rsid w:val="005D12A4"/>
    <w:rsid w:val="005D19A1"/>
    <w:rsid w:val="005D1DA3"/>
    <w:rsid w:val="005D22DE"/>
    <w:rsid w:val="005D2512"/>
    <w:rsid w:val="005D27B7"/>
    <w:rsid w:val="005D2A56"/>
    <w:rsid w:val="005D331B"/>
    <w:rsid w:val="005D3439"/>
    <w:rsid w:val="005D39A0"/>
    <w:rsid w:val="005D3A6F"/>
    <w:rsid w:val="005D3CBA"/>
    <w:rsid w:val="005D3D81"/>
    <w:rsid w:val="005D4BED"/>
    <w:rsid w:val="005D5359"/>
    <w:rsid w:val="005D542F"/>
    <w:rsid w:val="005D56AE"/>
    <w:rsid w:val="005D56D6"/>
    <w:rsid w:val="005D5A25"/>
    <w:rsid w:val="005D63B7"/>
    <w:rsid w:val="005D6B54"/>
    <w:rsid w:val="005D6FA7"/>
    <w:rsid w:val="005D7783"/>
    <w:rsid w:val="005E05E0"/>
    <w:rsid w:val="005E081A"/>
    <w:rsid w:val="005E0E5D"/>
    <w:rsid w:val="005E113E"/>
    <w:rsid w:val="005E17D0"/>
    <w:rsid w:val="005E24A5"/>
    <w:rsid w:val="005E24B3"/>
    <w:rsid w:val="005E26F6"/>
    <w:rsid w:val="005E29DD"/>
    <w:rsid w:val="005E2E6D"/>
    <w:rsid w:val="005E369B"/>
    <w:rsid w:val="005E38FD"/>
    <w:rsid w:val="005E402E"/>
    <w:rsid w:val="005E40D0"/>
    <w:rsid w:val="005E42C8"/>
    <w:rsid w:val="005E4350"/>
    <w:rsid w:val="005E44C1"/>
    <w:rsid w:val="005E498A"/>
    <w:rsid w:val="005E4F5A"/>
    <w:rsid w:val="005E6247"/>
    <w:rsid w:val="005E6535"/>
    <w:rsid w:val="005E6594"/>
    <w:rsid w:val="005E69E0"/>
    <w:rsid w:val="005E6C5A"/>
    <w:rsid w:val="005E6F1C"/>
    <w:rsid w:val="005E70D8"/>
    <w:rsid w:val="005E7129"/>
    <w:rsid w:val="005E7AE8"/>
    <w:rsid w:val="005F003E"/>
    <w:rsid w:val="005F050A"/>
    <w:rsid w:val="005F089E"/>
    <w:rsid w:val="005F0B10"/>
    <w:rsid w:val="005F1464"/>
    <w:rsid w:val="005F15D7"/>
    <w:rsid w:val="005F1825"/>
    <w:rsid w:val="005F1D3B"/>
    <w:rsid w:val="005F21EE"/>
    <w:rsid w:val="005F228D"/>
    <w:rsid w:val="005F2317"/>
    <w:rsid w:val="005F2B58"/>
    <w:rsid w:val="005F2C8B"/>
    <w:rsid w:val="005F2D4F"/>
    <w:rsid w:val="005F2E22"/>
    <w:rsid w:val="005F3895"/>
    <w:rsid w:val="005F42E3"/>
    <w:rsid w:val="005F480B"/>
    <w:rsid w:val="005F4B83"/>
    <w:rsid w:val="005F4C68"/>
    <w:rsid w:val="005F55CF"/>
    <w:rsid w:val="005F5767"/>
    <w:rsid w:val="005F638D"/>
    <w:rsid w:val="005F656E"/>
    <w:rsid w:val="005F6A0D"/>
    <w:rsid w:val="005F6B3C"/>
    <w:rsid w:val="005F6E19"/>
    <w:rsid w:val="005F7F83"/>
    <w:rsid w:val="00600A43"/>
    <w:rsid w:val="00600BFE"/>
    <w:rsid w:val="00601113"/>
    <w:rsid w:val="0060143B"/>
    <w:rsid w:val="00601771"/>
    <w:rsid w:val="0060179A"/>
    <w:rsid w:val="006020A6"/>
    <w:rsid w:val="00602283"/>
    <w:rsid w:val="00602697"/>
    <w:rsid w:val="00602D0C"/>
    <w:rsid w:val="006031E0"/>
    <w:rsid w:val="00603453"/>
    <w:rsid w:val="00603B1E"/>
    <w:rsid w:val="00604269"/>
    <w:rsid w:val="0060440E"/>
    <w:rsid w:val="0060467B"/>
    <w:rsid w:val="00604967"/>
    <w:rsid w:val="00604A2E"/>
    <w:rsid w:val="00604C69"/>
    <w:rsid w:val="00605248"/>
    <w:rsid w:val="006053B0"/>
    <w:rsid w:val="00605418"/>
    <w:rsid w:val="00605422"/>
    <w:rsid w:val="00605950"/>
    <w:rsid w:val="00605FFB"/>
    <w:rsid w:val="00606640"/>
    <w:rsid w:val="00606CE1"/>
    <w:rsid w:val="00606EFE"/>
    <w:rsid w:val="006070B1"/>
    <w:rsid w:val="0060714E"/>
    <w:rsid w:val="006073BF"/>
    <w:rsid w:val="00607807"/>
    <w:rsid w:val="00607CBA"/>
    <w:rsid w:val="00610163"/>
    <w:rsid w:val="0061016B"/>
    <w:rsid w:val="00610239"/>
    <w:rsid w:val="00610280"/>
    <w:rsid w:val="00610CC9"/>
    <w:rsid w:val="00610FE3"/>
    <w:rsid w:val="00611876"/>
    <w:rsid w:val="00611DF8"/>
    <w:rsid w:val="00612091"/>
    <w:rsid w:val="006120C0"/>
    <w:rsid w:val="00612608"/>
    <w:rsid w:val="00612693"/>
    <w:rsid w:val="00612B7A"/>
    <w:rsid w:val="006131C2"/>
    <w:rsid w:val="00613470"/>
    <w:rsid w:val="00613CCE"/>
    <w:rsid w:val="00613D9C"/>
    <w:rsid w:val="00613F3B"/>
    <w:rsid w:val="00613F4B"/>
    <w:rsid w:val="00614618"/>
    <w:rsid w:val="00614B9C"/>
    <w:rsid w:val="00614FF8"/>
    <w:rsid w:val="00615051"/>
    <w:rsid w:val="0061569B"/>
    <w:rsid w:val="006157ED"/>
    <w:rsid w:val="00615BC2"/>
    <w:rsid w:val="00615D3A"/>
    <w:rsid w:val="006160CB"/>
    <w:rsid w:val="00616236"/>
    <w:rsid w:val="006163E1"/>
    <w:rsid w:val="00616683"/>
    <w:rsid w:val="00617247"/>
    <w:rsid w:val="006175BF"/>
    <w:rsid w:val="00617AA5"/>
    <w:rsid w:val="00620013"/>
    <w:rsid w:val="006200B0"/>
    <w:rsid w:val="006204CB"/>
    <w:rsid w:val="0062084F"/>
    <w:rsid w:val="00620D7E"/>
    <w:rsid w:val="00620E5D"/>
    <w:rsid w:val="00621587"/>
    <w:rsid w:val="00621CC0"/>
    <w:rsid w:val="006220E0"/>
    <w:rsid w:val="006222A9"/>
    <w:rsid w:val="0062269A"/>
    <w:rsid w:val="00622A36"/>
    <w:rsid w:val="00622AC1"/>
    <w:rsid w:val="006230E3"/>
    <w:rsid w:val="006230F7"/>
    <w:rsid w:val="006237C9"/>
    <w:rsid w:val="00623B01"/>
    <w:rsid w:val="00624209"/>
    <w:rsid w:val="006242B7"/>
    <w:rsid w:val="006246D1"/>
    <w:rsid w:val="00624736"/>
    <w:rsid w:val="006247B8"/>
    <w:rsid w:val="00624B96"/>
    <w:rsid w:val="00624CDA"/>
    <w:rsid w:val="00624FC7"/>
    <w:rsid w:val="006252D2"/>
    <w:rsid w:val="0062588F"/>
    <w:rsid w:val="00625DFF"/>
    <w:rsid w:val="00625F8F"/>
    <w:rsid w:val="0062676A"/>
    <w:rsid w:val="0062686A"/>
    <w:rsid w:val="00626878"/>
    <w:rsid w:val="00626ACC"/>
    <w:rsid w:val="00626B51"/>
    <w:rsid w:val="00626D09"/>
    <w:rsid w:val="00627994"/>
    <w:rsid w:val="00627AEB"/>
    <w:rsid w:val="00627F4D"/>
    <w:rsid w:val="006300BA"/>
    <w:rsid w:val="0063010C"/>
    <w:rsid w:val="0063021A"/>
    <w:rsid w:val="006303BE"/>
    <w:rsid w:val="0063099D"/>
    <w:rsid w:val="00630B28"/>
    <w:rsid w:val="006311EB"/>
    <w:rsid w:val="0063225E"/>
    <w:rsid w:val="006325D8"/>
    <w:rsid w:val="006326DD"/>
    <w:rsid w:val="00632ABF"/>
    <w:rsid w:val="00632B78"/>
    <w:rsid w:val="00632BBB"/>
    <w:rsid w:val="00632C9F"/>
    <w:rsid w:val="00632F83"/>
    <w:rsid w:val="006332EF"/>
    <w:rsid w:val="00633E15"/>
    <w:rsid w:val="00634406"/>
    <w:rsid w:val="0063440B"/>
    <w:rsid w:val="00634688"/>
    <w:rsid w:val="006348D5"/>
    <w:rsid w:val="00634BD8"/>
    <w:rsid w:val="00635590"/>
    <w:rsid w:val="00635A53"/>
    <w:rsid w:val="00635C2C"/>
    <w:rsid w:val="00635DE1"/>
    <w:rsid w:val="0063636C"/>
    <w:rsid w:val="00636886"/>
    <w:rsid w:val="006379E4"/>
    <w:rsid w:val="00637AF4"/>
    <w:rsid w:val="0064001A"/>
    <w:rsid w:val="0064013F"/>
    <w:rsid w:val="006403ED"/>
    <w:rsid w:val="006409D2"/>
    <w:rsid w:val="00640C94"/>
    <w:rsid w:val="0064136C"/>
    <w:rsid w:val="006418DC"/>
    <w:rsid w:val="00641A99"/>
    <w:rsid w:val="0064274B"/>
    <w:rsid w:val="006427B4"/>
    <w:rsid w:val="00642A7C"/>
    <w:rsid w:val="00642B37"/>
    <w:rsid w:val="00642D51"/>
    <w:rsid w:val="0064344D"/>
    <w:rsid w:val="00643572"/>
    <w:rsid w:val="00643B86"/>
    <w:rsid w:val="00643DFE"/>
    <w:rsid w:val="00643E8C"/>
    <w:rsid w:val="00644584"/>
    <w:rsid w:val="00644A94"/>
    <w:rsid w:val="00644A97"/>
    <w:rsid w:val="00644E4B"/>
    <w:rsid w:val="00645160"/>
    <w:rsid w:val="00645293"/>
    <w:rsid w:val="00645423"/>
    <w:rsid w:val="006456A8"/>
    <w:rsid w:val="006458BB"/>
    <w:rsid w:val="00645B18"/>
    <w:rsid w:val="006462E4"/>
    <w:rsid w:val="006464E3"/>
    <w:rsid w:val="00646D44"/>
    <w:rsid w:val="00646E80"/>
    <w:rsid w:val="00647000"/>
    <w:rsid w:val="006474FB"/>
    <w:rsid w:val="0064773D"/>
    <w:rsid w:val="00647B22"/>
    <w:rsid w:val="00647FCC"/>
    <w:rsid w:val="00650308"/>
    <w:rsid w:val="00650344"/>
    <w:rsid w:val="006503BC"/>
    <w:rsid w:val="00650601"/>
    <w:rsid w:val="00651285"/>
    <w:rsid w:val="006512A1"/>
    <w:rsid w:val="00651613"/>
    <w:rsid w:val="006519D3"/>
    <w:rsid w:val="00651F90"/>
    <w:rsid w:val="006525E7"/>
    <w:rsid w:val="00652668"/>
    <w:rsid w:val="0065280F"/>
    <w:rsid w:val="00652C3B"/>
    <w:rsid w:val="00652C88"/>
    <w:rsid w:val="00653188"/>
    <w:rsid w:val="00653336"/>
    <w:rsid w:val="00653500"/>
    <w:rsid w:val="00653DCE"/>
    <w:rsid w:val="006542F7"/>
    <w:rsid w:val="00654537"/>
    <w:rsid w:val="006547E1"/>
    <w:rsid w:val="00655240"/>
    <w:rsid w:val="00655C30"/>
    <w:rsid w:val="00655FA6"/>
    <w:rsid w:val="0065641B"/>
    <w:rsid w:val="00656B0D"/>
    <w:rsid w:val="00657329"/>
    <w:rsid w:val="006574B9"/>
    <w:rsid w:val="00660026"/>
    <w:rsid w:val="0066169D"/>
    <w:rsid w:val="0066176D"/>
    <w:rsid w:val="0066253C"/>
    <w:rsid w:val="00662753"/>
    <w:rsid w:val="006628F6"/>
    <w:rsid w:val="00662DAC"/>
    <w:rsid w:val="00663634"/>
    <w:rsid w:val="0066373D"/>
    <w:rsid w:val="006637B2"/>
    <w:rsid w:val="00663BD0"/>
    <w:rsid w:val="00663DBE"/>
    <w:rsid w:val="00663F18"/>
    <w:rsid w:val="00664474"/>
    <w:rsid w:val="00664603"/>
    <w:rsid w:val="00664B8D"/>
    <w:rsid w:val="006650FA"/>
    <w:rsid w:val="006651AE"/>
    <w:rsid w:val="0066550D"/>
    <w:rsid w:val="00665810"/>
    <w:rsid w:val="006663F4"/>
    <w:rsid w:val="006664B4"/>
    <w:rsid w:val="00666531"/>
    <w:rsid w:val="00666C1D"/>
    <w:rsid w:val="00666C64"/>
    <w:rsid w:val="00666E11"/>
    <w:rsid w:val="00666E13"/>
    <w:rsid w:val="0066734D"/>
    <w:rsid w:val="00667477"/>
    <w:rsid w:val="0067041A"/>
    <w:rsid w:val="006704F0"/>
    <w:rsid w:val="00670590"/>
    <w:rsid w:val="00670BBC"/>
    <w:rsid w:val="0067100B"/>
    <w:rsid w:val="00671550"/>
    <w:rsid w:val="006716F9"/>
    <w:rsid w:val="00671CE2"/>
    <w:rsid w:val="00671E0B"/>
    <w:rsid w:val="00671F42"/>
    <w:rsid w:val="0067208B"/>
    <w:rsid w:val="006729A5"/>
    <w:rsid w:val="00672D5D"/>
    <w:rsid w:val="006734A0"/>
    <w:rsid w:val="00673527"/>
    <w:rsid w:val="00673607"/>
    <w:rsid w:val="006736AB"/>
    <w:rsid w:val="00673BD8"/>
    <w:rsid w:val="00674002"/>
    <w:rsid w:val="0067446E"/>
    <w:rsid w:val="00674E0D"/>
    <w:rsid w:val="00674F6E"/>
    <w:rsid w:val="0067611B"/>
    <w:rsid w:val="00676199"/>
    <w:rsid w:val="00676928"/>
    <w:rsid w:val="006769AA"/>
    <w:rsid w:val="00676B3E"/>
    <w:rsid w:val="00676E29"/>
    <w:rsid w:val="00676F71"/>
    <w:rsid w:val="00677457"/>
    <w:rsid w:val="0067755D"/>
    <w:rsid w:val="006777DB"/>
    <w:rsid w:val="00677FF6"/>
    <w:rsid w:val="00680EFC"/>
    <w:rsid w:val="00680F9D"/>
    <w:rsid w:val="0068101F"/>
    <w:rsid w:val="0068150E"/>
    <w:rsid w:val="0068160D"/>
    <w:rsid w:val="0068173C"/>
    <w:rsid w:val="00682140"/>
    <w:rsid w:val="0068249F"/>
    <w:rsid w:val="006825D4"/>
    <w:rsid w:val="00682E1B"/>
    <w:rsid w:val="00682F18"/>
    <w:rsid w:val="006838A1"/>
    <w:rsid w:val="0068459E"/>
    <w:rsid w:val="00684985"/>
    <w:rsid w:val="00684CF7"/>
    <w:rsid w:val="00684F95"/>
    <w:rsid w:val="00685B4D"/>
    <w:rsid w:val="00685D5C"/>
    <w:rsid w:val="0068603F"/>
    <w:rsid w:val="00687130"/>
    <w:rsid w:val="0068732C"/>
    <w:rsid w:val="00687CDD"/>
    <w:rsid w:val="00687F22"/>
    <w:rsid w:val="00690075"/>
    <w:rsid w:val="00690184"/>
    <w:rsid w:val="00690489"/>
    <w:rsid w:val="00690BE0"/>
    <w:rsid w:val="00690DD2"/>
    <w:rsid w:val="00691FA9"/>
    <w:rsid w:val="00692D55"/>
    <w:rsid w:val="0069316A"/>
    <w:rsid w:val="0069320A"/>
    <w:rsid w:val="00693275"/>
    <w:rsid w:val="006935F9"/>
    <w:rsid w:val="006936AF"/>
    <w:rsid w:val="006939FE"/>
    <w:rsid w:val="00693E2B"/>
    <w:rsid w:val="0069418B"/>
    <w:rsid w:val="00694D92"/>
    <w:rsid w:val="00694FCF"/>
    <w:rsid w:val="006953F5"/>
    <w:rsid w:val="006954BF"/>
    <w:rsid w:val="00696276"/>
    <w:rsid w:val="0069660B"/>
    <w:rsid w:val="00696786"/>
    <w:rsid w:val="00696A71"/>
    <w:rsid w:val="00696C4C"/>
    <w:rsid w:val="00696E5F"/>
    <w:rsid w:val="006971FF"/>
    <w:rsid w:val="006978C2"/>
    <w:rsid w:val="0069792B"/>
    <w:rsid w:val="006A13A7"/>
    <w:rsid w:val="006A16C8"/>
    <w:rsid w:val="006A1B81"/>
    <w:rsid w:val="006A24CC"/>
    <w:rsid w:val="006A2562"/>
    <w:rsid w:val="006A2BFB"/>
    <w:rsid w:val="006A2E6E"/>
    <w:rsid w:val="006A3123"/>
    <w:rsid w:val="006A37B6"/>
    <w:rsid w:val="006A3BA7"/>
    <w:rsid w:val="006A42A1"/>
    <w:rsid w:val="006A45E0"/>
    <w:rsid w:val="006A4B61"/>
    <w:rsid w:val="006A5473"/>
    <w:rsid w:val="006A57E5"/>
    <w:rsid w:val="006A5AA2"/>
    <w:rsid w:val="006A5C46"/>
    <w:rsid w:val="006A5F4A"/>
    <w:rsid w:val="006A698C"/>
    <w:rsid w:val="006A6CB1"/>
    <w:rsid w:val="006A6CBA"/>
    <w:rsid w:val="006A6E2F"/>
    <w:rsid w:val="006A7721"/>
    <w:rsid w:val="006A7C11"/>
    <w:rsid w:val="006A7C53"/>
    <w:rsid w:val="006B04AF"/>
    <w:rsid w:val="006B0DB9"/>
    <w:rsid w:val="006B1013"/>
    <w:rsid w:val="006B127E"/>
    <w:rsid w:val="006B170E"/>
    <w:rsid w:val="006B1DAA"/>
    <w:rsid w:val="006B1FD0"/>
    <w:rsid w:val="006B2147"/>
    <w:rsid w:val="006B2153"/>
    <w:rsid w:val="006B22A6"/>
    <w:rsid w:val="006B24D3"/>
    <w:rsid w:val="006B27D5"/>
    <w:rsid w:val="006B28BA"/>
    <w:rsid w:val="006B2914"/>
    <w:rsid w:val="006B3553"/>
    <w:rsid w:val="006B364C"/>
    <w:rsid w:val="006B36FB"/>
    <w:rsid w:val="006B39C7"/>
    <w:rsid w:val="006B3DA1"/>
    <w:rsid w:val="006B40D5"/>
    <w:rsid w:val="006B4552"/>
    <w:rsid w:val="006B480A"/>
    <w:rsid w:val="006B49BB"/>
    <w:rsid w:val="006B515B"/>
    <w:rsid w:val="006B5BB3"/>
    <w:rsid w:val="006B5CF1"/>
    <w:rsid w:val="006B6D07"/>
    <w:rsid w:val="006B6D3C"/>
    <w:rsid w:val="006B7333"/>
    <w:rsid w:val="006B73B3"/>
    <w:rsid w:val="006B757E"/>
    <w:rsid w:val="006B7C28"/>
    <w:rsid w:val="006C0389"/>
    <w:rsid w:val="006C05A6"/>
    <w:rsid w:val="006C06C1"/>
    <w:rsid w:val="006C1031"/>
    <w:rsid w:val="006C1423"/>
    <w:rsid w:val="006C2A00"/>
    <w:rsid w:val="006C3D50"/>
    <w:rsid w:val="006C4892"/>
    <w:rsid w:val="006C4B2F"/>
    <w:rsid w:val="006C4BCB"/>
    <w:rsid w:val="006C5182"/>
    <w:rsid w:val="006C5198"/>
    <w:rsid w:val="006C55CF"/>
    <w:rsid w:val="006C5715"/>
    <w:rsid w:val="006C638E"/>
    <w:rsid w:val="006C6EEE"/>
    <w:rsid w:val="006C70D6"/>
    <w:rsid w:val="006C73A9"/>
    <w:rsid w:val="006C7CB6"/>
    <w:rsid w:val="006C7EF2"/>
    <w:rsid w:val="006C7F13"/>
    <w:rsid w:val="006D0091"/>
    <w:rsid w:val="006D0994"/>
    <w:rsid w:val="006D0C51"/>
    <w:rsid w:val="006D1285"/>
    <w:rsid w:val="006D19C3"/>
    <w:rsid w:val="006D1B4B"/>
    <w:rsid w:val="006D1E19"/>
    <w:rsid w:val="006D203A"/>
    <w:rsid w:val="006D267D"/>
    <w:rsid w:val="006D2A10"/>
    <w:rsid w:val="006D331D"/>
    <w:rsid w:val="006D34E8"/>
    <w:rsid w:val="006D360C"/>
    <w:rsid w:val="006D3722"/>
    <w:rsid w:val="006D38F8"/>
    <w:rsid w:val="006D3A1B"/>
    <w:rsid w:val="006D3B6A"/>
    <w:rsid w:val="006D43D2"/>
    <w:rsid w:val="006D4899"/>
    <w:rsid w:val="006D4A0C"/>
    <w:rsid w:val="006D4DE4"/>
    <w:rsid w:val="006D5591"/>
    <w:rsid w:val="006D5BE8"/>
    <w:rsid w:val="006D5CDC"/>
    <w:rsid w:val="006D6AB1"/>
    <w:rsid w:val="006D6BC0"/>
    <w:rsid w:val="006D6F61"/>
    <w:rsid w:val="006D72BC"/>
    <w:rsid w:val="006D731D"/>
    <w:rsid w:val="006D733B"/>
    <w:rsid w:val="006D7CDC"/>
    <w:rsid w:val="006E0545"/>
    <w:rsid w:val="006E09B7"/>
    <w:rsid w:val="006E0E90"/>
    <w:rsid w:val="006E1A03"/>
    <w:rsid w:val="006E2004"/>
    <w:rsid w:val="006E2484"/>
    <w:rsid w:val="006E3013"/>
    <w:rsid w:val="006E31B2"/>
    <w:rsid w:val="006E335E"/>
    <w:rsid w:val="006E345D"/>
    <w:rsid w:val="006E356B"/>
    <w:rsid w:val="006E3653"/>
    <w:rsid w:val="006E3D4C"/>
    <w:rsid w:val="006E443C"/>
    <w:rsid w:val="006E458C"/>
    <w:rsid w:val="006E462C"/>
    <w:rsid w:val="006E4AD1"/>
    <w:rsid w:val="006E541E"/>
    <w:rsid w:val="006E6422"/>
    <w:rsid w:val="006E655B"/>
    <w:rsid w:val="006E6573"/>
    <w:rsid w:val="006E69E6"/>
    <w:rsid w:val="006E724F"/>
    <w:rsid w:val="006F072D"/>
    <w:rsid w:val="006F07A1"/>
    <w:rsid w:val="006F17DC"/>
    <w:rsid w:val="006F1C21"/>
    <w:rsid w:val="006F1ED6"/>
    <w:rsid w:val="006F28AF"/>
    <w:rsid w:val="006F2DB3"/>
    <w:rsid w:val="006F32B9"/>
    <w:rsid w:val="006F396E"/>
    <w:rsid w:val="006F4221"/>
    <w:rsid w:val="006F430A"/>
    <w:rsid w:val="006F4316"/>
    <w:rsid w:val="006F4777"/>
    <w:rsid w:val="006F4AA4"/>
    <w:rsid w:val="006F4B10"/>
    <w:rsid w:val="006F4D3B"/>
    <w:rsid w:val="006F505B"/>
    <w:rsid w:val="006F547B"/>
    <w:rsid w:val="006F5701"/>
    <w:rsid w:val="006F5A7B"/>
    <w:rsid w:val="006F5EB5"/>
    <w:rsid w:val="006F6100"/>
    <w:rsid w:val="006F6543"/>
    <w:rsid w:val="006F6B74"/>
    <w:rsid w:val="006F7044"/>
    <w:rsid w:val="006F76F9"/>
    <w:rsid w:val="006F792F"/>
    <w:rsid w:val="00700393"/>
    <w:rsid w:val="007006FA"/>
    <w:rsid w:val="00700A39"/>
    <w:rsid w:val="00700B4F"/>
    <w:rsid w:val="00700C33"/>
    <w:rsid w:val="00701105"/>
    <w:rsid w:val="00701367"/>
    <w:rsid w:val="00701688"/>
    <w:rsid w:val="007016B1"/>
    <w:rsid w:val="0070178D"/>
    <w:rsid w:val="00701B42"/>
    <w:rsid w:val="00701B73"/>
    <w:rsid w:val="00701BC3"/>
    <w:rsid w:val="00701C8C"/>
    <w:rsid w:val="00702268"/>
    <w:rsid w:val="00702AD6"/>
    <w:rsid w:val="00703598"/>
    <w:rsid w:val="00703619"/>
    <w:rsid w:val="007038DF"/>
    <w:rsid w:val="00703FF8"/>
    <w:rsid w:val="007046BC"/>
    <w:rsid w:val="00704FDD"/>
    <w:rsid w:val="007055EA"/>
    <w:rsid w:val="00705AC2"/>
    <w:rsid w:val="00705F7F"/>
    <w:rsid w:val="0070650E"/>
    <w:rsid w:val="00706786"/>
    <w:rsid w:val="00707597"/>
    <w:rsid w:val="00707C62"/>
    <w:rsid w:val="00707FC8"/>
    <w:rsid w:val="00707FEE"/>
    <w:rsid w:val="007100E4"/>
    <w:rsid w:val="00710645"/>
    <w:rsid w:val="00710DEE"/>
    <w:rsid w:val="0071103C"/>
    <w:rsid w:val="007110D6"/>
    <w:rsid w:val="0071117A"/>
    <w:rsid w:val="00711665"/>
    <w:rsid w:val="007117BF"/>
    <w:rsid w:val="00711B1A"/>
    <w:rsid w:val="00711BBF"/>
    <w:rsid w:val="00711EE3"/>
    <w:rsid w:val="007120E1"/>
    <w:rsid w:val="00712AC0"/>
    <w:rsid w:val="00712D39"/>
    <w:rsid w:val="00713262"/>
    <w:rsid w:val="007133AF"/>
    <w:rsid w:val="0071440A"/>
    <w:rsid w:val="00714691"/>
    <w:rsid w:val="00714F53"/>
    <w:rsid w:val="0071509E"/>
    <w:rsid w:val="0071525D"/>
    <w:rsid w:val="00715D4B"/>
    <w:rsid w:val="007164BA"/>
    <w:rsid w:val="007169ED"/>
    <w:rsid w:val="00716A07"/>
    <w:rsid w:val="00717978"/>
    <w:rsid w:val="00717C79"/>
    <w:rsid w:val="007201C6"/>
    <w:rsid w:val="00720654"/>
    <w:rsid w:val="007208ED"/>
    <w:rsid w:val="00720B8F"/>
    <w:rsid w:val="0072140A"/>
    <w:rsid w:val="00721729"/>
    <w:rsid w:val="00721884"/>
    <w:rsid w:val="00721919"/>
    <w:rsid w:val="00721DFA"/>
    <w:rsid w:val="00722548"/>
    <w:rsid w:val="00722636"/>
    <w:rsid w:val="00723275"/>
    <w:rsid w:val="007232D3"/>
    <w:rsid w:val="007235F3"/>
    <w:rsid w:val="00723738"/>
    <w:rsid w:val="007239D1"/>
    <w:rsid w:val="00723F0F"/>
    <w:rsid w:val="00723F81"/>
    <w:rsid w:val="00724D77"/>
    <w:rsid w:val="00724F80"/>
    <w:rsid w:val="007250A5"/>
    <w:rsid w:val="00725395"/>
    <w:rsid w:val="00725FB7"/>
    <w:rsid w:val="007262CA"/>
    <w:rsid w:val="00726710"/>
    <w:rsid w:val="00726711"/>
    <w:rsid w:val="00727207"/>
    <w:rsid w:val="0072756F"/>
    <w:rsid w:val="007300E7"/>
    <w:rsid w:val="0073062C"/>
    <w:rsid w:val="00730C34"/>
    <w:rsid w:val="00730E8F"/>
    <w:rsid w:val="007313FC"/>
    <w:rsid w:val="00731C4F"/>
    <w:rsid w:val="00732D20"/>
    <w:rsid w:val="00733894"/>
    <w:rsid w:val="00733B6E"/>
    <w:rsid w:val="00733BDE"/>
    <w:rsid w:val="00733F76"/>
    <w:rsid w:val="0073514F"/>
    <w:rsid w:val="00735AAB"/>
    <w:rsid w:val="00735D16"/>
    <w:rsid w:val="00736181"/>
    <w:rsid w:val="00736BB1"/>
    <w:rsid w:val="00736CF7"/>
    <w:rsid w:val="00737AF0"/>
    <w:rsid w:val="00737C49"/>
    <w:rsid w:val="00740997"/>
    <w:rsid w:val="00740D1E"/>
    <w:rsid w:val="00740E67"/>
    <w:rsid w:val="00740F75"/>
    <w:rsid w:val="00741566"/>
    <w:rsid w:val="00741AC6"/>
    <w:rsid w:val="00741BA8"/>
    <w:rsid w:val="00741C6A"/>
    <w:rsid w:val="00741FC8"/>
    <w:rsid w:val="007423FD"/>
    <w:rsid w:val="0074247F"/>
    <w:rsid w:val="0074300F"/>
    <w:rsid w:val="0074320A"/>
    <w:rsid w:val="0074333B"/>
    <w:rsid w:val="007434CE"/>
    <w:rsid w:val="00743AD7"/>
    <w:rsid w:val="00743D2B"/>
    <w:rsid w:val="00743F5C"/>
    <w:rsid w:val="0074438A"/>
    <w:rsid w:val="00744705"/>
    <w:rsid w:val="00744C26"/>
    <w:rsid w:val="007454B1"/>
    <w:rsid w:val="00745B98"/>
    <w:rsid w:val="00745E59"/>
    <w:rsid w:val="00746954"/>
    <w:rsid w:val="00746BF2"/>
    <w:rsid w:val="00746EC4"/>
    <w:rsid w:val="00746F9B"/>
    <w:rsid w:val="007472A6"/>
    <w:rsid w:val="007503AF"/>
    <w:rsid w:val="00750DA9"/>
    <w:rsid w:val="007511D1"/>
    <w:rsid w:val="0075215C"/>
    <w:rsid w:val="007522BD"/>
    <w:rsid w:val="007523D5"/>
    <w:rsid w:val="00752D6C"/>
    <w:rsid w:val="00752E50"/>
    <w:rsid w:val="00753358"/>
    <w:rsid w:val="00753C2C"/>
    <w:rsid w:val="00753F49"/>
    <w:rsid w:val="00754176"/>
    <w:rsid w:val="00754BE7"/>
    <w:rsid w:val="007561AC"/>
    <w:rsid w:val="00756969"/>
    <w:rsid w:val="007569F1"/>
    <w:rsid w:val="00756C3E"/>
    <w:rsid w:val="007573B2"/>
    <w:rsid w:val="0075775B"/>
    <w:rsid w:val="00757C0C"/>
    <w:rsid w:val="00760408"/>
    <w:rsid w:val="00760EFD"/>
    <w:rsid w:val="0076120F"/>
    <w:rsid w:val="0076149C"/>
    <w:rsid w:val="007615EA"/>
    <w:rsid w:val="0076195C"/>
    <w:rsid w:val="00761C6D"/>
    <w:rsid w:val="00761CC5"/>
    <w:rsid w:val="00761DE5"/>
    <w:rsid w:val="00761F25"/>
    <w:rsid w:val="00762462"/>
    <w:rsid w:val="00762B6A"/>
    <w:rsid w:val="00763981"/>
    <w:rsid w:val="00763A35"/>
    <w:rsid w:val="00763E46"/>
    <w:rsid w:val="007643A9"/>
    <w:rsid w:val="00764707"/>
    <w:rsid w:val="00764C29"/>
    <w:rsid w:val="00764CF7"/>
    <w:rsid w:val="00764DA2"/>
    <w:rsid w:val="00765368"/>
    <w:rsid w:val="00765439"/>
    <w:rsid w:val="0076586C"/>
    <w:rsid w:val="00765B02"/>
    <w:rsid w:val="00766624"/>
    <w:rsid w:val="00766902"/>
    <w:rsid w:val="007669B2"/>
    <w:rsid w:val="007670D9"/>
    <w:rsid w:val="007672C6"/>
    <w:rsid w:val="007672E9"/>
    <w:rsid w:val="00767675"/>
    <w:rsid w:val="007679BE"/>
    <w:rsid w:val="00767C9B"/>
    <w:rsid w:val="00767CEA"/>
    <w:rsid w:val="00767FAF"/>
    <w:rsid w:val="00767FC1"/>
    <w:rsid w:val="00771563"/>
    <w:rsid w:val="0077293C"/>
    <w:rsid w:val="00772945"/>
    <w:rsid w:val="00773665"/>
    <w:rsid w:val="0077366C"/>
    <w:rsid w:val="007736E0"/>
    <w:rsid w:val="0077412A"/>
    <w:rsid w:val="0077456A"/>
    <w:rsid w:val="00774C15"/>
    <w:rsid w:val="00774E17"/>
    <w:rsid w:val="007750F7"/>
    <w:rsid w:val="00775127"/>
    <w:rsid w:val="00775485"/>
    <w:rsid w:val="00775826"/>
    <w:rsid w:val="007759ED"/>
    <w:rsid w:val="00775D6B"/>
    <w:rsid w:val="00776A53"/>
    <w:rsid w:val="00776B62"/>
    <w:rsid w:val="00776D28"/>
    <w:rsid w:val="00776D2D"/>
    <w:rsid w:val="00776DA5"/>
    <w:rsid w:val="00776F47"/>
    <w:rsid w:val="00776F54"/>
    <w:rsid w:val="007773BE"/>
    <w:rsid w:val="00777D27"/>
    <w:rsid w:val="0078008E"/>
    <w:rsid w:val="00780772"/>
    <w:rsid w:val="00780C31"/>
    <w:rsid w:val="00780D31"/>
    <w:rsid w:val="007813FA"/>
    <w:rsid w:val="00781A13"/>
    <w:rsid w:val="00781D57"/>
    <w:rsid w:val="00781FB9"/>
    <w:rsid w:val="007821E7"/>
    <w:rsid w:val="00782351"/>
    <w:rsid w:val="00782716"/>
    <w:rsid w:val="0078276A"/>
    <w:rsid w:val="00782BD9"/>
    <w:rsid w:val="007835DC"/>
    <w:rsid w:val="007846DC"/>
    <w:rsid w:val="00784AEB"/>
    <w:rsid w:val="00784B9B"/>
    <w:rsid w:val="00784D71"/>
    <w:rsid w:val="00785AE6"/>
    <w:rsid w:val="00785CFF"/>
    <w:rsid w:val="00785E40"/>
    <w:rsid w:val="00785E91"/>
    <w:rsid w:val="00785EAA"/>
    <w:rsid w:val="007862ED"/>
    <w:rsid w:val="00786EDD"/>
    <w:rsid w:val="00787A5F"/>
    <w:rsid w:val="00787AA0"/>
    <w:rsid w:val="00787AD7"/>
    <w:rsid w:val="0079006B"/>
    <w:rsid w:val="0079006C"/>
    <w:rsid w:val="00790424"/>
    <w:rsid w:val="00790AEB"/>
    <w:rsid w:val="00790FA1"/>
    <w:rsid w:val="007910A3"/>
    <w:rsid w:val="007914A1"/>
    <w:rsid w:val="00791DD1"/>
    <w:rsid w:val="00791E8D"/>
    <w:rsid w:val="00792175"/>
    <w:rsid w:val="00792246"/>
    <w:rsid w:val="0079265E"/>
    <w:rsid w:val="00792816"/>
    <w:rsid w:val="007928A1"/>
    <w:rsid w:val="00792D4A"/>
    <w:rsid w:val="00793F7A"/>
    <w:rsid w:val="00794162"/>
    <w:rsid w:val="007941B9"/>
    <w:rsid w:val="00794301"/>
    <w:rsid w:val="00794685"/>
    <w:rsid w:val="007949B1"/>
    <w:rsid w:val="00795041"/>
    <w:rsid w:val="00795689"/>
    <w:rsid w:val="00796492"/>
    <w:rsid w:val="007967CC"/>
    <w:rsid w:val="00796CBE"/>
    <w:rsid w:val="00796EEE"/>
    <w:rsid w:val="007971C3"/>
    <w:rsid w:val="00797293"/>
    <w:rsid w:val="00797463"/>
    <w:rsid w:val="00797DD6"/>
    <w:rsid w:val="007A04F0"/>
    <w:rsid w:val="007A0749"/>
    <w:rsid w:val="007A08BD"/>
    <w:rsid w:val="007A1064"/>
    <w:rsid w:val="007A112C"/>
    <w:rsid w:val="007A1192"/>
    <w:rsid w:val="007A1CFC"/>
    <w:rsid w:val="007A1F9D"/>
    <w:rsid w:val="007A200F"/>
    <w:rsid w:val="007A2084"/>
    <w:rsid w:val="007A25B2"/>
    <w:rsid w:val="007A2C68"/>
    <w:rsid w:val="007A2E40"/>
    <w:rsid w:val="007A30EF"/>
    <w:rsid w:val="007A3892"/>
    <w:rsid w:val="007A3918"/>
    <w:rsid w:val="007A3ADE"/>
    <w:rsid w:val="007A3D22"/>
    <w:rsid w:val="007A3DAB"/>
    <w:rsid w:val="007A40B0"/>
    <w:rsid w:val="007A4519"/>
    <w:rsid w:val="007A4DAC"/>
    <w:rsid w:val="007A4EFC"/>
    <w:rsid w:val="007A4F81"/>
    <w:rsid w:val="007A667C"/>
    <w:rsid w:val="007A6781"/>
    <w:rsid w:val="007A6883"/>
    <w:rsid w:val="007A6885"/>
    <w:rsid w:val="007A6C5C"/>
    <w:rsid w:val="007A6ED6"/>
    <w:rsid w:val="007A7479"/>
    <w:rsid w:val="007A75D5"/>
    <w:rsid w:val="007A7B56"/>
    <w:rsid w:val="007A7B6A"/>
    <w:rsid w:val="007A7D7F"/>
    <w:rsid w:val="007B0304"/>
    <w:rsid w:val="007B056E"/>
    <w:rsid w:val="007B0616"/>
    <w:rsid w:val="007B061C"/>
    <w:rsid w:val="007B0849"/>
    <w:rsid w:val="007B0ABA"/>
    <w:rsid w:val="007B0D97"/>
    <w:rsid w:val="007B0F61"/>
    <w:rsid w:val="007B1496"/>
    <w:rsid w:val="007B19B2"/>
    <w:rsid w:val="007B1EBD"/>
    <w:rsid w:val="007B1FF8"/>
    <w:rsid w:val="007B3144"/>
    <w:rsid w:val="007B321E"/>
    <w:rsid w:val="007B32E1"/>
    <w:rsid w:val="007B3D7D"/>
    <w:rsid w:val="007B3E3C"/>
    <w:rsid w:val="007B42D5"/>
    <w:rsid w:val="007B4844"/>
    <w:rsid w:val="007B4862"/>
    <w:rsid w:val="007B4CF1"/>
    <w:rsid w:val="007B5787"/>
    <w:rsid w:val="007B5805"/>
    <w:rsid w:val="007B60BA"/>
    <w:rsid w:val="007B6833"/>
    <w:rsid w:val="007B7354"/>
    <w:rsid w:val="007B7FA5"/>
    <w:rsid w:val="007C03A9"/>
    <w:rsid w:val="007C0523"/>
    <w:rsid w:val="007C0822"/>
    <w:rsid w:val="007C1195"/>
    <w:rsid w:val="007C1493"/>
    <w:rsid w:val="007C164E"/>
    <w:rsid w:val="007C1734"/>
    <w:rsid w:val="007C1A5C"/>
    <w:rsid w:val="007C1BFD"/>
    <w:rsid w:val="007C1E57"/>
    <w:rsid w:val="007C2070"/>
    <w:rsid w:val="007C20B0"/>
    <w:rsid w:val="007C2297"/>
    <w:rsid w:val="007C261B"/>
    <w:rsid w:val="007C2782"/>
    <w:rsid w:val="007C27A1"/>
    <w:rsid w:val="007C28C6"/>
    <w:rsid w:val="007C2AC6"/>
    <w:rsid w:val="007C2B42"/>
    <w:rsid w:val="007C2F63"/>
    <w:rsid w:val="007C3C51"/>
    <w:rsid w:val="007C3CD5"/>
    <w:rsid w:val="007C43BD"/>
    <w:rsid w:val="007C4642"/>
    <w:rsid w:val="007C4958"/>
    <w:rsid w:val="007C4CD3"/>
    <w:rsid w:val="007C538B"/>
    <w:rsid w:val="007C57C9"/>
    <w:rsid w:val="007C5E25"/>
    <w:rsid w:val="007C5FEF"/>
    <w:rsid w:val="007C618C"/>
    <w:rsid w:val="007C6380"/>
    <w:rsid w:val="007C6541"/>
    <w:rsid w:val="007C6DE9"/>
    <w:rsid w:val="007C6E23"/>
    <w:rsid w:val="007C6E51"/>
    <w:rsid w:val="007C7716"/>
    <w:rsid w:val="007C7B4D"/>
    <w:rsid w:val="007D0F9C"/>
    <w:rsid w:val="007D13D9"/>
    <w:rsid w:val="007D1867"/>
    <w:rsid w:val="007D1DAE"/>
    <w:rsid w:val="007D1E90"/>
    <w:rsid w:val="007D207C"/>
    <w:rsid w:val="007D29AD"/>
    <w:rsid w:val="007D2DC0"/>
    <w:rsid w:val="007D3F44"/>
    <w:rsid w:val="007D4022"/>
    <w:rsid w:val="007D43CB"/>
    <w:rsid w:val="007D511C"/>
    <w:rsid w:val="007D532E"/>
    <w:rsid w:val="007D5341"/>
    <w:rsid w:val="007D5AE1"/>
    <w:rsid w:val="007D62DA"/>
    <w:rsid w:val="007D6652"/>
    <w:rsid w:val="007D7012"/>
    <w:rsid w:val="007D71AA"/>
    <w:rsid w:val="007D74C2"/>
    <w:rsid w:val="007E013B"/>
    <w:rsid w:val="007E0BE3"/>
    <w:rsid w:val="007E1489"/>
    <w:rsid w:val="007E196C"/>
    <w:rsid w:val="007E1C74"/>
    <w:rsid w:val="007E2167"/>
    <w:rsid w:val="007E2441"/>
    <w:rsid w:val="007E438E"/>
    <w:rsid w:val="007E4862"/>
    <w:rsid w:val="007E49F3"/>
    <w:rsid w:val="007E4D1D"/>
    <w:rsid w:val="007E5280"/>
    <w:rsid w:val="007E52D6"/>
    <w:rsid w:val="007E532B"/>
    <w:rsid w:val="007E5AE3"/>
    <w:rsid w:val="007E5EF9"/>
    <w:rsid w:val="007E6467"/>
    <w:rsid w:val="007E73EB"/>
    <w:rsid w:val="007E7EAC"/>
    <w:rsid w:val="007E7FED"/>
    <w:rsid w:val="007F01BB"/>
    <w:rsid w:val="007F0807"/>
    <w:rsid w:val="007F100E"/>
    <w:rsid w:val="007F1170"/>
    <w:rsid w:val="007F1927"/>
    <w:rsid w:val="007F1A9F"/>
    <w:rsid w:val="007F1D94"/>
    <w:rsid w:val="007F1E7C"/>
    <w:rsid w:val="007F2036"/>
    <w:rsid w:val="007F21EA"/>
    <w:rsid w:val="007F2271"/>
    <w:rsid w:val="007F323B"/>
    <w:rsid w:val="007F3A1F"/>
    <w:rsid w:val="007F3AED"/>
    <w:rsid w:val="007F3C08"/>
    <w:rsid w:val="007F4018"/>
    <w:rsid w:val="007F4737"/>
    <w:rsid w:val="007F4AC7"/>
    <w:rsid w:val="007F5350"/>
    <w:rsid w:val="007F5BC6"/>
    <w:rsid w:val="007F69F7"/>
    <w:rsid w:val="007F69FA"/>
    <w:rsid w:val="007F6B63"/>
    <w:rsid w:val="007F73E1"/>
    <w:rsid w:val="007F7736"/>
    <w:rsid w:val="007F77A7"/>
    <w:rsid w:val="007F7AC1"/>
    <w:rsid w:val="0080000D"/>
    <w:rsid w:val="00800246"/>
    <w:rsid w:val="0080059D"/>
    <w:rsid w:val="00801212"/>
    <w:rsid w:val="008016AF"/>
    <w:rsid w:val="008017E0"/>
    <w:rsid w:val="008018FF"/>
    <w:rsid w:val="0080257F"/>
    <w:rsid w:val="008025E1"/>
    <w:rsid w:val="00802CD3"/>
    <w:rsid w:val="00803018"/>
    <w:rsid w:val="00803533"/>
    <w:rsid w:val="00803AD6"/>
    <w:rsid w:val="00803FC9"/>
    <w:rsid w:val="008041B2"/>
    <w:rsid w:val="008042A9"/>
    <w:rsid w:val="0080517D"/>
    <w:rsid w:val="0080534F"/>
    <w:rsid w:val="008054E4"/>
    <w:rsid w:val="00806A7A"/>
    <w:rsid w:val="00807009"/>
    <w:rsid w:val="00807257"/>
    <w:rsid w:val="00807599"/>
    <w:rsid w:val="00807B80"/>
    <w:rsid w:val="00807C67"/>
    <w:rsid w:val="00807F5C"/>
    <w:rsid w:val="00810A14"/>
    <w:rsid w:val="00811FE1"/>
    <w:rsid w:val="008130C4"/>
    <w:rsid w:val="008134D8"/>
    <w:rsid w:val="00813613"/>
    <w:rsid w:val="00813A2A"/>
    <w:rsid w:val="00813A2E"/>
    <w:rsid w:val="00813B0E"/>
    <w:rsid w:val="00813E70"/>
    <w:rsid w:val="0081454D"/>
    <w:rsid w:val="00814559"/>
    <w:rsid w:val="00814FE4"/>
    <w:rsid w:val="008153BF"/>
    <w:rsid w:val="00815C82"/>
    <w:rsid w:val="00816585"/>
    <w:rsid w:val="008167E7"/>
    <w:rsid w:val="00816AC8"/>
    <w:rsid w:val="00817679"/>
    <w:rsid w:val="008179B0"/>
    <w:rsid w:val="008200D8"/>
    <w:rsid w:val="00820B02"/>
    <w:rsid w:val="00821A42"/>
    <w:rsid w:val="00821CB3"/>
    <w:rsid w:val="00822592"/>
    <w:rsid w:val="00822745"/>
    <w:rsid w:val="008228D5"/>
    <w:rsid w:val="00822CCF"/>
    <w:rsid w:val="00822D61"/>
    <w:rsid w:val="00822E8C"/>
    <w:rsid w:val="008237BB"/>
    <w:rsid w:val="0082382B"/>
    <w:rsid w:val="00823DE1"/>
    <w:rsid w:val="00823F2E"/>
    <w:rsid w:val="00824449"/>
    <w:rsid w:val="00824474"/>
    <w:rsid w:val="008249E2"/>
    <w:rsid w:val="0082591F"/>
    <w:rsid w:val="0082623B"/>
    <w:rsid w:val="008262FA"/>
    <w:rsid w:val="0082650A"/>
    <w:rsid w:val="00826C24"/>
    <w:rsid w:val="00827854"/>
    <w:rsid w:val="00827968"/>
    <w:rsid w:val="00827D34"/>
    <w:rsid w:val="00827DE8"/>
    <w:rsid w:val="00827F47"/>
    <w:rsid w:val="00830915"/>
    <w:rsid w:val="00830E07"/>
    <w:rsid w:val="00830FB6"/>
    <w:rsid w:val="00831000"/>
    <w:rsid w:val="008315B8"/>
    <w:rsid w:val="00831943"/>
    <w:rsid w:val="00831AC7"/>
    <w:rsid w:val="00831D06"/>
    <w:rsid w:val="00831D70"/>
    <w:rsid w:val="008324EC"/>
    <w:rsid w:val="00832532"/>
    <w:rsid w:val="008325DD"/>
    <w:rsid w:val="00832A28"/>
    <w:rsid w:val="00833138"/>
    <w:rsid w:val="00833E38"/>
    <w:rsid w:val="0083479E"/>
    <w:rsid w:val="00834851"/>
    <w:rsid w:val="008348C2"/>
    <w:rsid w:val="00834943"/>
    <w:rsid w:val="00835CE6"/>
    <w:rsid w:val="00836188"/>
    <w:rsid w:val="0083667A"/>
    <w:rsid w:val="00836C79"/>
    <w:rsid w:val="00837527"/>
    <w:rsid w:val="0083768C"/>
    <w:rsid w:val="0083789B"/>
    <w:rsid w:val="008400E9"/>
    <w:rsid w:val="008401D6"/>
    <w:rsid w:val="0084038B"/>
    <w:rsid w:val="00840424"/>
    <w:rsid w:val="008409C7"/>
    <w:rsid w:val="00841548"/>
    <w:rsid w:val="00841A9C"/>
    <w:rsid w:val="00841D7B"/>
    <w:rsid w:val="00841F97"/>
    <w:rsid w:val="00842212"/>
    <w:rsid w:val="00842FA6"/>
    <w:rsid w:val="0084375B"/>
    <w:rsid w:val="00843A1F"/>
    <w:rsid w:val="00843F0B"/>
    <w:rsid w:val="0084428A"/>
    <w:rsid w:val="0084466E"/>
    <w:rsid w:val="008449BD"/>
    <w:rsid w:val="00845025"/>
    <w:rsid w:val="0084541E"/>
    <w:rsid w:val="00845844"/>
    <w:rsid w:val="008462F4"/>
    <w:rsid w:val="0084640B"/>
    <w:rsid w:val="0084650E"/>
    <w:rsid w:val="00846918"/>
    <w:rsid w:val="00846FC3"/>
    <w:rsid w:val="0084705A"/>
    <w:rsid w:val="00847E9B"/>
    <w:rsid w:val="0085033F"/>
    <w:rsid w:val="00851084"/>
    <w:rsid w:val="00851162"/>
    <w:rsid w:val="00851368"/>
    <w:rsid w:val="00851439"/>
    <w:rsid w:val="008514F9"/>
    <w:rsid w:val="00851B4E"/>
    <w:rsid w:val="008525C5"/>
    <w:rsid w:val="008525DC"/>
    <w:rsid w:val="008526F2"/>
    <w:rsid w:val="00853253"/>
    <w:rsid w:val="00853378"/>
    <w:rsid w:val="008535C6"/>
    <w:rsid w:val="00853658"/>
    <w:rsid w:val="008539F2"/>
    <w:rsid w:val="00854003"/>
    <w:rsid w:val="0085441D"/>
    <w:rsid w:val="0085464E"/>
    <w:rsid w:val="00854EFF"/>
    <w:rsid w:val="008552CF"/>
    <w:rsid w:val="00855BD3"/>
    <w:rsid w:val="00855C10"/>
    <w:rsid w:val="00855C71"/>
    <w:rsid w:val="00855D8F"/>
    <w:rsid w:val="00856063"/>
    <w:rsid w:val="00856389"/>
    <w:rsid w:val="008563DA"/>
    <w:rsid w:val="00856C6B"/>
    <w:rsid w:val="00857F99"/>
    <w:rsid w:val="008602C6"/>
    <w:rsid w:val="00860551"/>
    <w:rsid w:val="008605D5"/>
    <w:rsid w:val="008609F0"/>
    <w:rsid w:val="00860CF0"/>
    <w:rsid w:val="00860E5E"/>
    <w:rsid w:val="0086126D"/>
    <w:rsid w:val="008613A4"/>
    <w:rsid w:val="00861676"/>
    <w:rsid w:val="008621BD"/>
    <w:rsid w:val="008628BC"/>
    <w:rsid w:val="00862A6D"/>
    <w:rsid w:val="00862E09"/>
    <w:rsid w:val="008633E4"/>
    <w:rsid w:val="00863419"/>
    <w:rsid w:val="00863B24"/>
    <w:rsid w:val="00863B69"/>
    <w:rsid w:val="00863CBA"/>
    <w:rsid w:val="00864225"/>
    <w:rsid w:val="00864318"/>
    <w:rsid w:val="00864549"/>
    <w:rsid w:val="00864757"/>
    <w:rsid w:val="00864E37"/>
    <w:rsid w:val="00865778"/>
    <w:rsid w:val="00865B62"/>
    <w:rsid w:val="0086603A"/>
    <w:rsid w:val="0086632E"/>
    <w:rsid w:val="0086636A"/>
    <w:rsid w:val="008665BC"/>
    <w:rsid w:val="00866C15"/>
    <w:rsid w:val="0086754E"/>
    <w:rsid w:val="00867A23"/>
    <w:rsid w:val="00867C02"/>
    <w:rsid w:val="00867F50"/>
    <w:rsid w:val="0087007F"/>
    <w:rsid w:val="00870502"/>
    <w:rsid w:val="00870664"/>
    <w:rsid w:val="00870E18"/>
    <w:rsid w:val="00872295"/>
    <w:rsid w:val="00872D89"/>
    <w:rsid w:val="00872E80"/>
    <w:rsid w:val="00872FB9"/>
    <w:rsid w:val="0087310A"/>
    <w:rsid w:val="00873619"/>
    <w:rsid w:val="00873909"/>
    <w:rsid w:val="00873958"/>
    <w:rsid w:val="00875470"/>
    <w:rsid w:val="00875619"/>
    <w:rsid w:val="008759AD"/>
    <w:rsid w:val="00875C6F"/>
    <w:rsid w:val="00875E5E"/>
    <w:rsid w:val="0087627B"/>
    <w:rsid w:val="00876832"/>
    <w:rsid w:val="00876B84"/>
    <w:rsid w:val="0087787D"/>
    <w:rsid w:val="0088026F"/>
    <w:rsid w:val="00880AE9"/>
    <w:rsid w:val="00880C01"/>
    <w:rsid w:val="0088112C"/>
    <w:rsid w:val="00882BBA"/>
    <w:rsid w:val="00883419"/>
    <w:rsid w:val="0088357E"/>
    <w:rsid w:val="00883BD7"/>
    <w:rsid w:val="00883CD9"/>
    <w:rsid w:val="008841F5"/>
    <w:rsid w:val="00884356"/>
    <w:rsid w:val="0088477C"/>
    <w:rsid w:val="00884BCB"/>
    <w:rsid w:val="00884F7B"/>
    <w:rsid w:val="008850A9"/>
    <w:rsid w:val="0088556C"/>
    <w:rsid w:val="00885AE3"/>
    <w:rsid w:val="00886DD2"/>
    <w:rsid w:val="0088765F"/>
    <w:rsid w:val="008879F9"/>
    <w:rsid w:val="00887A58"/>
    <w:rsid w:val="00887F5B"/>
    <w:rsid w:val="00890DF0"/>
    <w:rsid w:val="00890E1F"/>
    <w:rsid w:val="0089162A"/>
    <w:rsid w:val="008917F3"/>
    <w:rsid w:val="00891B5B"/>
    <w:rsid w:val="00891D36"/>
    <w:rsid w:val="008920F6"/>
    <w:rsid w:val="008924CC"/>
    <w:rsid w:val="00892EB9"/>
    <w:rsid w:val="008934A6"/>
    <w:rsid w:val="008936A0"/>
    <w:rsid w:val="0089371C"/>
    <w:rsid w:val="00893822"/>
    <w:rsid w:val="00893BC3"/>
    <w:rsid w:val="00893C39"/>
    <w:rsid w:val="0089411B"/>
    <w:rsid w:val="008941AD"/>
    <w:rsid w:val="008942A8"/>
    <w:rsid w:val="00894342"/>
    <w:rsid w:val="008949DD"/>
    <w:rsid w:val="00894FEF"/>
    <w:rsid w:val="00895536"/>
    <w:rsid w:val="0089565B"/>
    <w:rsid w:val="00895773"/>
    <w:rsid w:val="0089579E"/>
    <w:rsid w:val="00895B21"/>
    <w:rsid w:val="00896278"/>
    <w:rsid w:val="008962B1"/>
    <w:rsid w:val="00896350"/>
    <w:rsid w:val="008963D8"/>
    <w:rsid w:val="008967F8"/>
    <w:rsid w:val="008970A1"/>
    <w:rsid w:val="00897511"/>
    <w:rsid w:val="00897C12"/>
    <w:rsid w:val="008A0085"/>
    <w:rsid w:val="008A049B"/>
    <w:rsid w:val="008A04AD"/>
    <w:rsid w:val="008A0748"/>
    <w:rsid w:val="008A084F"/>
    <w:rsid w:val="008A093F"/>
    <w:rsid w:val="008A12A0"/>
    <w:rsid w:val="008A131E"/>
    <w:rsid w:val="008A22D4"/>
    <w:rsid w:val="008A23DD"/>
    <w:rsid w:val="008A2EDD"/>
    <w:rsid w:val="008A3149"/>
    <w:rsid w:val="008A36FD"/>
    <w:rsid w:val="008A373B"/>
    <w:rsid w:val="008A38FE"/>
    <w:rsid w:val="008A40EC"/>
    <w:rsid w:val="008A4632"/>
    <w:rsid w:val="008A51C5"/>
    <w:rsid w:val="008A5237"/>
    <w:rsid w:val="008A571A"/>
    <w:rsid w:val="008A5884"/>
    <w:rsid w:val="008A5D43"/>
    <w:rsid w:val="008A601B"/>
    <w:rsid w:val="008A6AEB"/>
    <w:rsid w:val="008A6E43"/>
    <w:rsid w:val="008A7402"/>
    <w:rsid w:val="008A747E"/>
    <w:rsid w:val="008A7588"/>
    <w:rsid w:val="008A7FAD"/>
    <w:rsid w:val="008B000B"/>
    <w:rsid w:val="008B0ADE"/>
    <w:rsid w:val="008B0D4A"/>
    <w:rsid w:val="008B0EE4"/>
    <w:rsid w:val="008B1312"/>
    <w:rsid w:val="008B1CAD"/>
    <w:rsid w:val="008B1E86"/>
    <w:rsid w:val="008B28F9"/>
    <w:rsid w:val="008B2B5C"/>
    <w:rsid w:val="008B2D00"/>
    <w:rsid w:val="008B3503"/>
    <w:rsid w:val="008B3C95"/>
    <w:rsid w:val="008B3CE4"/>
    <w:rsid w:val="008B59A5"/>
    <w:rsid w:val="008B5B1B"/>
    <w:rsid w:val="008B5B25"/>
    <w:rsid w:val="008B6367"/>
    <w:rsid w:val="008B6531"/>
    <w:rsid w:val="008B65D9"/>
    <w:rsid w:val="008B6E1F"/>
    <w:rsid w:val="008B710E"/>
    <w:rsid w:val="008B7222"/>
    <w:rsid w:val="008B73DA"/>
    <w:rsid w:val="008B7A50"/>
    <w:rsid w:val="008C068E"/>
    <w:rsid w:val="008C09DE"/>
    <w:rsid w:val="008C0A4B"/>
    <w:rsid w:val="008C0DB2"/>
    <w:rsid w:val="008C1128"/>
    <w:rsid w:val="008C13C1"/>
    <w:rsid w:val="008C16CD"/>
    <w:rsid w:val="008C1A61"/>
    <w:rsid w:val="008C2339"/>
    <w:rsid w:val="008C2DCB"/>
    <w:rsid w:val="008C3844"/>
    <w:rsid w:val="008C3DFB"/>
    <w:rsid w:val="008C4024"/>
    <w:rsid w:val="008C40CC"/>
    <w:rsid w:val="008C4701"/>
    <w:rsid w:val="008C4775"/>
    <w:rsid w:val="008C503A"/>
    <w:rsid w:val="008C5344"/>
    <w:rsid w:val="008C542C"/>
    <w:rsid w:val="008C5AE6"/>
    <w:rsid w:val="008C5C6B"/>
    <w:rsid w:val="008C6499"/>
    <w:rsid w:val="008C64D1"/>
    <w:rsid w:val="008C674A"/>
    <w:rsid w:val="008C683D"/>
    <w:rsid w:val="008C6B45"/>
    <w:rsid w:val="008C6CDE"/>
    <w:rsid w:val="008C7AFE"/>
    <w:rsid w:val="008C7BCD"/>
    <w:rsid w:val="008D051C"/>
    <w:rsid w:val="008D059E"/>
    <w:rsid w:val="008D0735"/>
    <w:rsid w:val="008D0771"/>
    <w:rsid w:val="008D07A9"/>
    <w:rsid w:val="008D181A"/>
    <w:rsid w:val="008D1A0B"/>
    <w:rsid w:val="008D21F1"/>
    <w:rsid w:val="008D2595"/>
    <w:rsid w:val="008D2A19"/>
    <w:rsid w:val="008D2EBB"/>
    <w:rsid w:val="008D3407"/>
    <w:rsid w:val="008D34B8"/>
    <w:rsid w:val="008D3875"/>
    <w:rsid w:val="008D43E6"/>
    <w:rsid w:val="008D4493"/>
    <w:rsid w:val="008D4AD9"/>
    <w:rsid w:val="008D4B7B"/>
    <w:rsid w:val="008D512C"/>
    <w:rsid w:val="008D58EF"/>
    <w:rsid w:val="008D61B7"/>
    <w:rsid w:val="008D641B"/>
    <w:rsid w:val="008D69AF"/>
    <w:rsid w:val="008D6BB6"/>
    <w:rsid w:val="008D6E7F"/>
    <w:rsid w:val="008D7408"/>
    <w:rsid w:val="008D77E9"/>
    <w:rsid w:val="008E02EE"/>
    <w:rsid w:val="008E072D"/>
    <w:rsid w:val="008E09BA"/>
    <w:rsid w:val="008E1632"/>
    <w:rsid w:val="008E1758"/>
    <w:rsid w:val="008E17C0"/>
    <w:rsid w:val="008E19CB"/>
    <w:rsid w:val="008E1D76"/>
    <w:rsid w:val="008E1D89"/>
    <w:rsid w:val="008E2334"/>
    <w:rsid w:val="008E2340"/>
    <w:rsid w:val="008E234F"/>
    <w:rsid w:val="008E2545"/>
    <w:rsid w:val="008E2A44"/>
    <w:rsid w:val="008E2DE5"/>
    <w:rsid w:val="008E32C0"/>
    <w:rsid w:val="008E3670"/>
    <w:rsid w:val="008E392F"/>
    <w:rsid w:val="008E3A05"/>
    <w:rsid w:val="008E422B"/>
    <w:rsid w:val="008E441E"/>
    <w:rsid w:val="008E4639"/>
    <w:rsid w:val="008E4D2F"/>
    <w:rsid w:val="008E5133"/>
    <w:rsid w:val="008E5844"/>
    <w:rsid w:val="008E5A84"/>
    <w:rsid w:val="008E5B37"/>
    <w:rsid w:val="008E6671"/>
    <w:rsid w:val="008E676F"/>
    <w:rsid w:val="008E67EA"/>
    <w:rsid w:val="008E6D83"/>
    <w:rsid w:val="008E7460"/>
    <w:rsid w:val="008E7E05"/>
    <w:rsid w:val="008F0564"/>
    <w:rsid w:val="008F0CB9"/>
    <w:rsid w:val="008F0EFF"/>
    <w:rsid w:val="008F1329"/>
    <w:rsid w:val="008F2317"/>
    <w:rsid w:val="008F23AD"/>
    <w:rsid w:val="008F241C"/>
    <w:rsid w:val="008F2F8C"/>
    <w:rsid w:val="008F31A7"/>
    <w:rsid w:val="008F3457"/>
    <w:rsid w:val="008F3859"/>
    <w:rsid w:val="008F3FE8"/>
    <w:rsid w:val="008F4328"/>
    <w:rsid w:val="008F44BF"/>
    <w:rsid w:val="008F453B"/>
    <w:rsid w:val="008F4818"/>
    <w:rsid w:val="008F49CE"/>
    <w:rsid w:val="008F4C1F"/>
    <w:rsid w:val="008F4F1A"/>
    <w:rsid w:val="008F4FF0"/>
    <w:rsid w:val="008F5032"/>
    <w:rsid w:val="008F51F0"/>
    <w:rsid w:val="008F52C9"/>
    <w:rsid w:val="008F5432"/>
    <w:rsid w:val="008F5BD4"/>
    <w:rsid w:val="008F5DDE"/>
    <w:rsid w:val="008F60EF"/>
    <w:rsid w:val="008F6339"/>
    <w:rsid w:val="008F65C6"/>
    <w:rsid w:val="008F6C54"/>
    <w:rsid w:val="008F6F63"/>
    <w:rsid w:val="008F720E"/>
    <w:rsid w:val="008F7B7A"/>
    <w:rsid w:val="008F7D9B"/>
    <w:rsid w:val="008F7F81"/>
    <w:rsid w:val="00900627"/>
    <w:rsid w:val="00900F47"/>
    <w:rsid w:val="009018F6"/>
    <w:rsid w:val="0090190D"/>
    <w:rsid w:val="00901B03"/>
    <w:rsid w:val="00901E8C"/>
    <w:rsid w:val="00901EE4"/>
    <w:rsid w:val="00901F9B"/>
    <w:rsid w:val="009023DE"/>
    <w:rsid w:val="00902427"/>
    <w:rsid w:val="00902710"/>
    <w:rsid w:val="0090285B"/>
    <w:rsid w:val="00902CBA"/>
    <w:rsid w:val="00903CD0"/>
    <w:rsid w:val="00903CFA"/>
    <w:rsid w:val="00904DAE"/>
    <w:rsid w:val="009050AD"/>
    <w:rsid w:val="00905839"/>
    <w:rsid w:val="00905942"/>
    <w:rsid w:val="00906068"/>
    <w:rsid w:val="009063BA"/>
    <w:rsid w:val="00906882"/>
    <w:rsid w:val="00907B6E"/>
    <w:rsid w:val="00907CE4"/>
    <w:rsid w:val="00907E2F"/>
    <w:rsid w:val="00907F2D"/>
    <w:rsid w:val="00910378"/>
    <w:rsid w:val="009106A1"/>
    <w:rsid w:val="009108B6"/>
    <w:rsid w:val="00910C04"/>
    <w:rsid w:val="00911083"/>
    <w:rsid w:val="0091117E"/>
    <w:rsid w:val="0091121C"/>
    <w:rsid w:val="00911316"/>
    <w:rsid w:val="0091228D"/>
    <w:rsid w:val="009127C1"/>
    <w:rsid w:val="00912C42"/>
    <w:rsid w:val="00913B12"/>
    <w:rsid w:val="00913E0A"/>
    <w:rsid w:val="00913F54"/>
    <w:rsid w:val="009145D9"/>
    <w:rsid w:val="009148CC"/>
    <w:rsid w:val="00914BAA"/>
    <w:rsid w:val="00914D66"/>
    <w:rsid w:val="00914F80"/>
    <w:rsid w:val="00915598"/>
    <w:rsid w:val="00915AF8"/>
    <w:rsid w:val="00916011"/>
    <w:rsid w:val="00916046"/>
    <w:rsid w:val="00916059"/>
    <w:rsid w:val="00916093"/>
    <w:rsid w:val="0091779E"/>
    <w:rsid w:val="009179D3"/>
    <w:rsid w:val="00917A70"/>
    <w:rsid w:val="00917B84"/>
    <w:rsid w:val="00917EA9"/>
    <w:rsid w:val="0092029B"/>
    <w:rsid w:val="009203CD"/>
    <w:rsid w:val="009203E1"/>
    <w:rsid w:val="0092111F"/>
    <w:rsid w:val="009213BE"/>
    <w:rsid w:val="009216F8"/>
    <w:rsid w:val="0092189E"/>
    <w:rsid w:val="00921985"/>
    <w:rsid w:val="009219FC"/>
    <w:rsid w:val="00921F79"/>
    <w:rsid w:val="00922371"/>
    <w:rsid w:val="009226D8"/>
    <w:rsid w:val="00923296"/>
    <w:rsid w:val="009234C4"/>
    <w:rsid w:val="00923744"/>
    <w:rsid w:val="009237A2"/>
    <w:rsid w:val="00923A4D"/>
    <w:rsid w:val="00923B70"/>
    <w:rsid w:val="009242DD"/>
    <w:rsid w:val="00924BFD"/>
    <w:rsid w:val="00925517"/>
    <w:rsid w:val="00925621"/>
    <w:rsid w:val="009266E2"/>
    <w:rsid w:val="009275D7"/>
    <w:rsid w:val="0092766D"/>
    <w:rsid w:val="009276B6"/>
    <w:rsid w:val="009279C6"/>
    <w:rsid w:val="00927BE8"/>
    <w:rsid w:val="00930013"/>
    <w:rsid w:val="009308E4"/>
    <w:rsid w:val="00930BDA"/>
    <w:rsid w:val="00930F3D"/>
    <w:rsid w:val="00931839"/>
    <w:rsid w:val="00931E2C"/>
    <w:rsid w:val="009326B3"/>
    <w:rsid w:val="00933079"/>
    <w:rsid w:val="00933792"/>
    <w:rsid w:val="0093398A"/>
    <w:rsid w:val="00933F83"/>
    <w:rsid w:val="00934036"/>
    <w:rsid w:val="009340A4"/>
    <w:rsid w:val="00934175"/>
    <w:rsid w:val="009346AF"/>
    <w:rsid w:val="0093470C"/>
    <w:rsid w:val="00934B63"/>
    <w:rsid w:val="009364D8"/>
    <w:rsid w:val="009365D9"/>
    <w:rsid w:val="0093699E"/>
    <w:rsid w:val="009375A7"/>
    <w:rsid w:val="0094118D"/>
    <w:rsid w:val="00941200"/>
    <w:rsid w:val="009412CD"/>
    <w:rsid w:val="00941464"/>
    <w:rsid w:val="009416A7"/>
    <w:rsid w:val="009419E0"/>
    <w:rsid w:val="009423FD"/>
    <w:rsid w:val="0094270B"/>
    <w:rsid w:val="0094290C"/>
    <w:rsid w:val="00942D98"/>
    <w:rsid w:val="00942F2E"/>
    <w:rsid w:val="00943942"/>
    <w:rsid w:val="009439AD"/>
    <w:rsid w:val="009443CD"/>
    <w:rsid w:val="00944624"/>
    <w:rsid w:val="009451F1"/>
    <w:rsid w:val="00945561"/>
    <w:rsid w:val="00945840"/>
    <w:rsid w:val="0094599E"/>
    <w:rsid w:val="00945B08"/>
    <w:rsid w:val="00945B10"/>
    <w:rsid w:val="00945C19"/>
    <w:rsid w:val="00945EE2"/>
    <w:rsid w:val="009461AE"/>
    <w:rsid w:val="0094698D"/>
    <w:rsid w:val="009471A6"/>
    <w:rsid w:val="00947767"/>
    <w:rsid w:val="00947DEC"/>
    <w:rsid w:val="00947DF7"/>
    <w:rsid w:val="00947FF6"/>
    <w:rsid w:val="00950482"/>
    <w:rsid w:val="00950617"/>
    <w:rsid w:val="009507DA"/>
    <w:rsid w:val="00950809"/>
    <w:rsid w:val="0095080B"/>
    <w:rsid w:val="0095094C"/>
    <w:rsid w:val="009510DE"/>
    <w:rsid w:val="009523C7"/>
    <w:rsid w:val="0095279C"/>
    <w:rsid w:val="00952CCA"/>
    <w:rsid w:val="0095321E"/>
    <w:rsid w:val="009533D0"/>
    <w:rsid w:val="009534C8"/>
    <w:rsid w:val="00953D42"/>
    <w:rsid w:val="00954188"/>
    <w:rsid w:val="0095436F"/>
    <w:rsid w:val="00954741"/>
    <w:rsid w:val="00954765"/>
    <w:rsid w:val="00954A38"/>
    <w:rsid w:val="00954B86"/>
    <w:rsid w:val="00954CEA"/>
    <w:rsid w:val="00955072"/>
    <w:rsid w:val="009550B0"/>
    <w:rsid w:val="009555CF"/>
    <w:rsid w:val="009556A7"/>
    <w:rsid w:val="0095585A"/>
    <w:rsid w:val="00955BF0"/>
    <w:rsid w:val="00955C45"/>
    <w:rsid w:val="009563C1"/>
    <w:rsid w:val="00956600"/>
    <w:rsid w:val="00957B57"/>
    <w:rsid w:val="00960561"/>
    <w:rsid w:val="00960B18"/>
    <w:rsid w:val="00960F96"/>
    <w:rsid w:val="00961148"/>
    <w:rsid w:val="00961F8C"/>
    <w:rsid w:val="0096210C"/>
    <w:rsid w:val="00962130"/>
    <w:rsid w:val="0096256C"/>
    <w:rsid w:val="00962D2A"/>
    <w:rsid w:val="00963379"/>
    <w:rsid w:val="00963ED5"/>
    <w:rsid w:val="009640FE"/>
    <w:rsid w:val="00964109"/>
    <w:rsid w:val="00964470"/>
    <w:rsid w:val="00964DF0"/>
    <w:rsid w:val="00964E89"/>
    <w:rsid w:val="009650F6"/>
    <w:rsid w:val="009654D8"/>
    <w:rsid w:val="00965732"/>
    <w:rsid w:val="00965769"/>
    <w:rsid w:val="00965E3C"/>
    <w:rsid w:val="00965FFE"/>
    <w:rsid w:val="0096627C"/>
    <w:rsid w:val="00966800"/>
    <w:rsid w:val="00966FF0"/>
    <w:rsid w:val="00967BF4"/>
    <w:rsid w:val="00970006"/>
    <w:rsid w:val="00970990"/>
    <w:rsid w:val="00970D4A"/>
    <w:rsid w:val="009711BD"/>
    <w:rsid w:val="0097135F"/>
    <w:rsid w:val="00971641"/>
    <w:rsid w:val="00971A75"/>
    <w:rsid w:val="00971C23"/>
    <w:rsid w:val="00973222"/>
    <w:rsid w:val="00973784"/>
    <w:rsid w:val="009738B5"/>
    <w:rsid w:val="00973942"/>
    <w:rsid w:val="009740F0"/>
    <w:rsid w:val="0097411D"/>
    <w:rsid w:val="009741FC"/>
    <w:rsid w:val="009742C4"/>
    <w:rsid w:val="0097460E"/>
    <w:rsid w:val="009747F6"/>
    <w:rsid w:val="009748FB"/>
    <w:rsid w:val="00974979"/>
    <w:rsid w:val="00974D73"/>
    <w:rsid w:val="00975294"/>
    <w:rsid w:val="00975B13"/>
    <w:rsid w:val="0097660A"/>
    <w:rsid w:val="00976897"/>
    <w:rsid w:val="00976C7B"/>
    <w:rsid w:val="00976DD6"/>
    <w:rsid w:val="00980855"/>
    <w:rsid w:val="009808D2"/>
    <w:rsid w:val="00980B94"/>
    <w:rsid w:val="00981026"/>
    <w:rsid w:val="009810DC"/>
    <w:rsid w:val="009815DB"/>
    <w:rsid w:val="00981EE0"/>
    <w:rsid w:val="00982061"/>
    <w:rsid w:val="00982280"/>
    <w:rsid w:val="00982FCF"/>
    <w:rsid w:val="0098388D"/>
    <w:rsid w:val="0098399E"/>
    <w:rsid w:val="00983C08"/>
    <w:rsid w:val="00984404"/>
    <w:rsid w:val="009845E8"/>
    <w:rsid w:val="009846E7"/>
    <w:rsid w:val="009855BA"/>
    <w:rsid w:val="00985D8A"/>
    <w:rsid w:val="00986236"/>
    <w:rsid w:val="0098684B"/>
    <w:rsid w:val="00986EC3"/>
    <w:rsid w:val="00987726"/>
    <w:rsid w:val="0099071F"/>
    <w:rsid w:val="00990D8C"/>
    <w:rsid w:val="00991157"/>
    <w:rsid w:val="009911F8"/>
    <w:rsid w:val="00991377"/>
    <w:rsid w:val="0099137C"/>
    <w:rsid w:val="00991540"/>
    <w:rsid w:val="0099164C"/>
    <w:rsid w:val="009916DB"/>
    <w:rsid w:val="00991830"/>
    <w:rsid w:val="00991982"/>
    <w:rsid w:val="00991A66"/>
    <w:rsid w:val="00991CE5"/>
    <w:rsid w:val="009924BA"/>
    <w:rsid w:val="0099285D"/>
    <w:rsid w:val="009928F1"/>
    <w:rsid w:val="00993BA3"/>
    <w:rsid w:val="00993D76"/>
    <w:rsid w:val="00994493"/>
    <w:rsid w:val="009944B6"/>
    <w:rsid w:val="00994594"/>
    <w:rsid w:val="00994699"/>
    <w:rsid w:val="00994760"/>
    <w:rsid w:val="00994AFE"/>
    <w:rsid w:val="00995038"/>
    <w:rsid w:val="009958A8"/>
    <w:rsid w:val="00995A53"/>
    <w:rsid w:val="00995B03"/>
    <w:rsid w:val="00995BBD"/>
    <w:rsid w:val="00996397"/>
    <w:rsid w:val="0099652A"/>
    <w:rsid w:val="009965DA"/>
    <w:rsid w:val="0099727F"/>
    <w:rsid w:val="00997A89"/>
    <w:rsid w:val="00997BC7"/>
    <w:rsid w:val="009A01C7"/>
    <w:rsid w:val="009A0230"/>
    <w:rsid w:val="009A076A"/>
    <w:rsid w:val="009A0D14"/>
    <w:rsid w:val="009A10CF"/>
    <w:rsid w:val="009A1AAC"/>
    <w:rsid w:val="009A2C6C"/>
    <w:rsid w:val="009A3081"/>
    <w:rsid w:val="009A30EB"/>
    <w:rsid w:val="009A31DA"/>
    <w:rsid w:val="009A3418"/>
    <w:rsid w:val="009A365A"/>
    <w:rsid w:val="009A41A5"/>
    <w:rsid w:val="009A4647"/>
    <w:rsid w:val="009A503F"/>
    <w:rsid w:val="009A51CF"/>
    <w:rsid w:val="009A541B"/>
    <w:rsid w:val="009A572A"/>
    <w:rsid w:val="009A6055"/>
    <w:rsid w:val="009A612C"/>
    <w:rsid w:val="009A644D"/>
    <w:rsid w:val="009A658E"/>
    <w:rsid w:val="009A7873"/>
    <w:rsid w:val="009A7C1A"/>
    <w:rsid w:val="009B04F4"/>
    <w:rsid w:val="009B0609"/>
    <w:rsid w:val="009B0C07"/>
    <w:rsid w:val="009B0C83"/>
    <w:rsid w:val="009B0D6D"/>
    <w:rsid w:val="009B1A3C"/>
    <w:rsid w:val="009B334E"/>
    <w:rsid w:val="009B34F5"/>
    <w:rsid w:val="009B3831"/>
    <w:rsid w:val="009B3A07"/>
    <w:rsid w:val="009B3AEF"/>
    <w:rsid w:val="009B434F"/>
    <w:rsid w:val="009B45C6"/>
    <w:rsid w:val="009B485C"/>
    <w:rsid w:val="009B495E"/>
    <w:rsid w:val="009B4EDE"/>
    <w:rsid w:val="009B5E1C"/>
    <w:rsid w:val="009B60BE"/>
    <w:rsid w:val="009B618A"/>
    <w:rsid w:val="009B6BB4"/>
    <w:rsid w:val="009B7779"/>
    <w:rsid w:val="009B78E5"/>
    <w:rsid w:val="009B78EE"/>
    <w:rsid w:val="009B7CEE"/>
    <w:rsid w:val="009B7F4F"/>
    <w:rsid w:val="009C02EE"/>
    <w:rsid w:val="009C0F87"/>
    <w:rsid w:val="009C1B19"/>
    <w:rsid w:val="009C1CAA"/>
    <w:rsid w:val="009C22D4"/>
    <w:rsid w:val="009C2B77"/>
    <w:rsid w:val="009C382C"/>
    <w:rsid w:val="009C3A83"/>
    <w:rsid w:val="009C3B5E"/>
    <w:rsid w:val="009C3FF9"/>
    <w:rsid w:val="009C4154"/>
    <w:rsid w:val="009C47DE"/>
    <w:rsid w:val="009C4918"/>
    <w:rsid w:val="009C497D"/>
    <w:rsid w:val="009C50D5"/>
    <w:rsid w:val="009C54B8"/>
    <w:rsid w:val="009C5A9E"/>
    <w:rsid w:val="009C69C9"/>
    <w:rsid w:val="009C6BBE"/>
    <w:rsid w:val="009C743F"/>
    <w:rsid w:val="009C77BC"/>
    <w:rsid w:val="009C7BB4"/>
    <w:rsid w:val="009C7E06"/>
    <w:rsid w:val="009D0019"/>
    <w:rsid w:val="009D0194"/>
    <w:rsid w:val="009D01D0"/>
    <w:rsid w:val="009D0BA1"/>
    <w:rsid w:val="009D12C7"/>
    <w:rsid w:val="009D1693"/>
    <w:rsid w:val="009D1963"/>
    <w:rsid w:val="009D1CD8"/>
    <w:rsid w:val="009D2A7D"/>
    <w:rsid w:val="009D2ED5"/>
    <w:rsid w:val="009D32C8"/>
    <w:rsid w:val="009D36E1"/>
    <w:rsid w:val="009D37F3"/>
    <w:rsid w:val="009D3B25"/>
    <w:rsid w:val="009D3EC3"/>
    <w:rsid w:val="009D4115"/>
    <w:rsid w:val="009D4169"/>
    <w:rsid w:val="009D4783"/>
    <w:rsid w:val="009D4C7B"/>
    <w:rsid w:val="009D4ED6"/>
    <w:rsid w:val="009D5431"/>
    <w:rsid w:val="009D55B4"/>
    <w:rsid w:val="009D6067"/>
    <w:rsid w:val="009D6D99"/>
    <w:rsid w:val="009D72B1"/>
    <w:rsid w:val="009D73C1"/>
    <w:rsid w:val="009D7457"/>
    <w:rsid w:val="009D7C53"/>
    <w:rsid w:val="009E00A0"/>
    <w:rsid w:val="009E00E5"/>
    <w:rsid w:val="009E0146"/>
    <w:rsid w:val="009E0825"/>
    <w:rsid w:val="009E0C17"/>
    <w:rsid w:val="009E1E28"/>
    <w:rsid w:val="009E1FA9"/>
    <w:rsid w:val="009E2063"/>
    <w:rsid w:val="009E228C"/>
    <w:rsid w:val="009E28AE"/>
    <w:rsid w:val="009E2F5A"/>
    <w:rsid w:val="009E3164"/>
    <w:rsid w:val="009E3279"/>
    <w:rsid w:val="009E3861"/>
    <w:rsid w:val="009E3A79"/>
    <w:rsid w:val="009E3E33"/>
    <w:rsid w:val="009E4191"/>
    <w:rsid w:val="009E4644"/>
    <w:rsid w:val="009E517F"/>
    <w:rsid w:val="009E5586"/>
    <w:rsid w:val="009E5931"/>
    <w:rsid w:val="009E594D"/>
    <w:rsid w:val="009E59EE"/>
    <w:rsid w:val="009E5BB9"/>
    <w:rsid w:val="009E5D75"/>
    <w:rsid w:val="009E6160"/>
    <w:rsid w:val="009E6347"/>
    <w:rsid w:val="009E68EB"/>
    <w:rsid w:val="009E7261"/>
    <w:rsid w:val="009E749A"/>
    <w:rsid w:val="009E76E1"/>
    <w:rsid w:val="009E78A7"/>
    <w:rsid w:val="009E7906"/>
    <w:rsid w:val="009E7A20"/>
    <w:rsid w:val="009E7BB1"/>
    <w:rsid w:val="009E7CA1"/>
    <w:rsid w:val="009F0205"/>
    <w:rsid w:val="009F06EA"/>
    <w:rsid w:val="009F0823"/>
    <w:rsid w:val="009F0C90"/>
    <w:rsid w:val="009F0F36"/>
    <w:rsid w:val="009F1B52"/>
    <w:rsid w:val="009F1C32"/>
    <w:rsid w:val="009F1C9C"/>
    <w:rsid w:val="009F229E"/>
    <w:rsid w:val="009F22EE"/>
    <w:rsid w:val="009F2304"/>
    <w:rsid w:val="009F28A2"/>
    <w:rsid w:val="009F2947"/>
    <w:rsid w:val="009F2AA5"/>
    <w:rsid w:val="009F2AE9"/>
    <w:rsid w:val="009F2C55"/>
    <w:rsid w:val="009F3485"/>
    <w:rsid w:val="009F34B0"/>
    <w:rsid w:val="009F3960"/>
    <w:rsid w:val="009F3C2C"/>
    <w:rsid w:val="009F3DE0"/>
    <w:rsid w:val="009F4280"/>
    <w:rsid w:val="009F4B14"/>
    <w:rsid w:val="009F4EA8"/>
    <w:rsid w:val="009F4EED"/>
    <w:rsid w:val="009F54A1"/>
    <w:rsid w:val="009F5BD2"/>
    <w:rsid w:val="009F63F8"/>
    <w:rsid w:val="009F6771"/>
    <w:rsid w:val="009F7017"/>
    <w:rsid w:val="009F7161"/>
    <w:rsid w:val="009F78CE"/>
    <w:rsid w:val="009F7CE2"/>
    <w:rsid w:val="009F7F26"/>
    <w:rsid w:val="009F7FAD"/>
    <w:rsid w:val="00A00263"/>
    <w:rsid w:val="00A00E77"/>
    <w:rsid w:val="00A01207"/>
    <w:rsid w:val="00A01410"/>
    <w:rsid w:val="00A014AA"/>
    <w:rsid w:val="00A01896"/>
    <w:rsid w:val="00A023A9"/>
    <w:rsid w:val="00A023C2"/>
    <w:rsid w:val="00A024C8"/>
    <w:rsid w:val="00A02EE4"/>
    <w:rsid w:val="00A02FBD"/>
    <w:rsid w:val="00A03A5F"/>
    <w:rsid w:val="00A03C1D"/>
    <w:rsid w:val="00A0403F"/>
    <w:rsid w:val="00A041C2"/>
    <w:rsid w:val="00A04392"/>
    <w:rsid w:val="00A04BAB"/>
    <w:rsid w:val="00A04FEF"/>
    <w:rsid w:val="00A0509F"/>
    <w:rsid w:val="00A05DB8"/>
    <w:rsid w:val="00A0672D"/>
    <w:rsid w:val="00A069FC"/>
    <w:rsid w:val="00A06A04"/>
    <w:rsid w:val="00A06BB2"/>
    <w:rsid w:val="00A06CEE"/>
    <w:rsid w:val="00A06D7C"/>
    <w:rsid w:val="00A070E0"/>
    <w:rsid w:val="00A07392"/>
    <w:rsid w:val="00A07A56"/>
    <w:rsid w:val="00A10309"/>
    <w:rsid w:val="00A10912"/>
    <w:rsid w:val="00A11019"/>
    <w:rsid w:val="00A113EF"/>
    <w:rsid w:val="00A11948"/>
    <w:rsid w:val="00A11CEE"/>
    <w:rsid w:val="00A11F03"/>
    <w:rsid w:val="00A12441"/>
    <w:rsid w:val="00A12CCA"/>
    <w:rsid w:val="00A13059"/>
    <w:rsid w:val="00A13B9A"/>
    <w:rsid w:val="00A13D48"/>
    <w:rsid w:val="00A13FF8"/>
    <w:rsid w:val="00A1427B"/>
    <w:rsid w:val="00A14A70"/>
    <w:rsid w:val="00A14CC6"/>
    <w:rsid w:val="00A1559E"/>
    <w:rsid w:val="00A15831"/>
    <w:rsid w:val="00A15BCD"/>
    <w:rsid w:val="00A15C20"/>
    <w:rsid w:val="00A15E0A"/>
    <w:rsid w:val="00A16245"/>
    <w:rsid w:val="00A16787"/>
    <w:rsid w:val="00A168FE"/>
    <w:rsid w:val="00A17222"/>
    <w:rsid w:val="00A177D9"/>
    <w:rsid w:val="00A17981"/>
    <w:rsid w:val="00A17FF5"/>
    <w:rsid w:val="00A20327"/>
    <w:rsid w:val="00A20727"/>
    <w:rsid w:val="00A20B99"/>
    <w:rsid w:val="00A21FD1"/>
    <w:rsid w:val="00A22EDF"/>
    <w:rsid w:val="00A22FA6"/>
    <w:rsid w:val="00A23132"/>
    <w:rsid w:val="00A232DE"/>
    <w:rsid w:val="00A235AC"/>
    <w:rsid w:val="00A239CF"/>
    <w:rsid w:val="00A23D4E"/>
    <w:rsid w:val="00A23E66"/>
    <w:rsid w:val="00A2465B"/>
    <w:rsid w:val="00A246A8"/>
    <w:rsid w:val="00A248B4"/>
    <w:rsid w:val="00A24AE7"/>
    <w:rsid w:val="00A24EDD"/>
    <w:rsid w:val="00A25097"/>
    <w:rsid w:val="00A2512D"/>
    <w:rsid w:val="00A255DF"/>
    <w:rsid w:val="00A25B86"/>
    <w:rsid w:val="00A26747"/>
    <w:rsid w:val="00A26BD6"/>
    <w:rsid w:val="00A26C0B"/>
    <w:rsid w:val="00A26DD1"/>
    <w:rsid w:val="00A26F4A"/>
    <w:rsid w:val="00A2745B"/>
    <w:rsid w:val="00A27539"/>
    <w:rsid w:val="00A30062"/>
    <w:rsid w:val="00A30165"/>
    <w:rsid w:val="00A305D6"/>
    <w:rsid w:val="00A30775"/>
    <w:rsid w:val="00A308AD"/>
    <w:rsid w:val="00A30A9F"/>
    <w:rsid w:val="00A30F9B"/>
    <w:rsid w:val="00A31090"/>
    <w:rsid w:val="00A31960"/>
    <w:rsid w:val="00A31FE0"/>
    <w:rsid w:val="00A3261B"/>
    <w:rsid w:val="00A32DF5"/>
    <w:rsid w:val="00A33718"/>
    <w:rsid w:val="00A33976"/>
    <w:rsid w:val="00A33ACF"/>
    <w:rsid w:val="00A33C11"/>
    <w:rsid w:val="00A33D78"/>
    <w:rsid w:val="00A33F4F"/>
    <w:rsid w:val="00A33FBF"/>
    <w:rsid w:val="00A35537"/>
    <w:rsid w:val="00A35758"/>
    <w:rsid w:val="00A35F8D"/>
    <w:rsid w:val="00A36269"/>
    <w:rsid w:val="00A36A9C"/>
    <w:rsid w:val="00A370B1"/>
    <w:rsid w:val="00A37364"/>
    <w:rsid w:val="00A374D4"/>
    <w:rsid w:val="00A37C95"/>
    <w:rsid w:val="00A37E5B"/>
    <w:rsid w:val="00A40676"/>
    <w:rsid w:val="00A40850"/>
    <w:rsid w:val="00A4097E"/>
    <w:rsid w:val="00A420A2"/>
    <w:rsid w:val="00A4236F"/>
    <w:rsid w:val="00A42BC7"/>
    <w:rsid w:val="00A42E78"/>
    <w:rsid w:val="00A43791"/>
    <w:rsid w:val="00A43987"/>
    <w:rsid w:val="00A43AEC"/>
    <w:rsid w:val="00A43EBE"/>
    <w:rsid w:val="00A442AC"/>
    <w:rsid w:val="00A4432C"/>
    <w:rsid w:val="00A4432F"/>
    <w:rsid w:val="00A44DAA"/>
    <w:rsid w:val="00A450CC"/>
    <w:rsid w:val="00A4570B"/>
    <w:rsid w:val="00A46819"/>
    <w:rsid w:val="00A46EBE"/>
    <w:rsid w:val="00A4770B"/>
    <w:rsid w:val="00A47719"/>
    <w:rsid w:val="00A50209"/>
    <w:rsid w:val="00A50338"/>
    <w:rsid w:val="00A509F8"/>
    <w:rsid w:val="00A50F88"/>
    <w:rsid w:val="00A511E6"/>
    <w:rsid w:val="00A5140F"/>
    <w:rsid w:val="00A51891"/>
    <w:rsid w:val="00A5213C"/>
    <w:rsid w:val="00A528A5"/>
    <w:rsid w:val="00A52BAC"/>
    <w:rsid w:val="00A533BD"/>
    <w:rsid w:val="00A538D7"/>
    <w:rsid w:val="00A54344"/>
    <w:rsid w:val="00A5456C"/>
    <w:rsid w:val="00A54ACC"/>
    <w:rsid w:val="00A54BA7"/>
    <w:rsid w:val="00A54DD6"/>
    <w:rsid w:val="00A55449"/>
    <w:rsid w:val="00A55536"/>
    <w:rsid w:val="00A556D2"/>
    <w:rsid w:val="00A55D6E"/>
    <w:rsid w:val="00A5603F"/>
    <w:rsid w:val="00A560D2"/>
    <w:rsid w:val="00A56C0B"/>
    <w:rsid w:val="00A5750B"/>
    <w:rsid w:val="00A5764D"/>
    <w:rsid w:val="00A576E5"/>
    <w:rsid w:val="00A60C92"/>
    <w:rsid w:val="00A614A0"/>
    <w:rsid w:val="00A61634"/>
    <w:rsid w:val="00A61A59"/>
    <w:rsid w:val="00A62008"/>
    <w:rsid w:val="00A621E6"/>
    <w:rsid w:val="00A626F9"/>
    <w:rsid w:val="00A628B9"/>
    <w:rsid w:val="00A62B70"/>
    <w:rsid w:val="00A62B8E"/>
    <w:rsid w:val="00A634A3"/>
    <w:rsid w:val="00A63A50"/>
    <w:rsid w:val="00A63CD2"/>
    <w:rsid w:val="00A63ED4"/>
    <w:rsid w:val="00A64198"/>
    <w:rsid w:val="00A644B6"/>
    <w:rsid w:val="00A644DD"/>
    <w:rsid w:val="00A64572"/>
    <w:rsid w:val="00A650CF"/>
    <w:rsid w:val="00A657D6"/>
    <w:rsid w:val="00A66C06"/>
    <w:rsid w:val="00A677AF"/>
    <w:rsid w:val="00A679B2"/>
    <w:rsid w:val="00A67BD6"/>
    <w:rsid w:val="00A714C1"/>
    <w:rsid w:val="00A718C4"/>
    <w:rsid w:val="00A71974"/>
    <w:rsid w:val="00A72567"/>
    <w:rsid w:val="00A72853"/>
    <w:rsid w:val="00A72D7F"/>
    <w:rsid w:val="00A731E8"/>
    <w:rsid w:val="00A745EB"/>
    <w:rsid w:val="00A750D5"/>
    <w:rsid w:val="00A752E9"/>
    <w:rsid w:val="00A754DD"/>
    <w:rsid w:val="00A75E25"/>
    <w:rsid w:val="00A762A1"/>
    <w:rsid w:val="00A76550"/>
    <w:rsid w:val="00A766E0"/>
    <w:rsid w:val="00A768FA"/>
    <w:rsid w:val="00A76AE5"/>
    <w:rsid w:val="00A76E60"/>
    <w:rsid w:val="00A76F0E"/>
    <w:rsid w:val="00A775FE"/>
    <w:rsid w:val="00A7761A"/>
    <w:rsid w:val="00A777C6"/>
    <w:rsid w:val="00A801A0"/>
    <w:rsid w:val="00A8044C"/>
    <w:rsid w:val="00A80994"/>
    <w:rsid w:val="00A80CFB"/>
    <w:rsid w:val="00A80F89"/>
    <w:rsid w:val="00A814E0"/>
    <w:rsid w:val="00A81A39"/>
    <w:rsid w:val="00A81AF7"/>
    <w:rsid w:val="00A81C06"/>
    <w:rsid w:val="00A81C14"/>
    <w:rsid w:val="00A8286A"/>
    <w:rsid w:val="00A82BA8"/>
    <w:rsid w:val="00A82D50"/>
    <w:rsid w:val="00A83BBB"/>
    <w:rsid w:val="00A84B08"/>
    <w:rsid w:val="00A84C8C"/>
    <w:rsid w:val="00A84F92"/>
    <w:rsid w:val="00A851FF"/>
    <w:rsid w:val="00A85229"/>
    <w:rsid w:val="00A8549A"/>
    <w:rsid w:val="00A85A3A"/>
    <w:rsid w:val="00A85D00"/>
    <w:rsid w:val="00A86038"/>
    <w:rsid w:val="00A860A7"/>
    <w:rsid w:val="00A863F1"/>
    <w:rsid w:val="00A8673A"/>
    <w:rsid w:val="00A86ACC"/>
    <w:rsid w:val="00A870C3"/>
    <w:rsid w:val="00A87792"/>
    <w:rsid w:val="00A87FA6"/>
    <w:rsid w:val="00A90A55"/>
    <w:rsid w:val="00A92394"/>
    <w:rsid w:val="00A93313"/>
    <w:rsid w:val="00A9337A"/>
    <w:rsid w:val="00A9342F"/>
    <w:rsid w:val="00A93466"/>
    <w:rsid w:val="00A94376"/>
    <w:rsid w:val="00A94510"/>
    <w:rsid w:val="00A94D75"/>
    <w:rsid w:val="00A953E4"/>
    <w:rsid w:val="00A95956"/>
    <w:rsid w:val="00A95C1A"/>
    <w:rsid w:val="00A96157"/>
    <w:rsid w:val="00A96C2A"/>
    <w:rsid w:val="00A97318"/>
    <w:rsid w:val="00A97542"/>
    <w:rsid w:val="00AA0114"/>
    <w:rsid w:val="00AA0238"/>
    <w:rsid w:val="00AA0E2A"/>
    <w:rsid w:val="00AA11A5"/>
    <w:rsid w:val="00AA1275"/>
    <w:rsid w:val="00AA17DA"/>
    <w:rsid w:val="00AA1D07"/>
    <w:rsid w:val="00AA21A3"/>
    <w:rsid w:val="00AA24B3"/>
    <w:rsid w:val="00AA291D"/>
    <w:rsid w:val="00AA2B15"/>
    <w:rsid w:val="00AA3AE1"/>
    <w:rsid w:val="00AA3F06"/>
    <w:rsid w:val="00AA4DAA"/>
    <w:rsid w:val="00AA4F2F"/>
    <w:rsid w:val="00AA51EE"/>
    <w:rsid w:val="00AA532B"/>
    <w:rsid w:val="00AA56F2"/>
    <w:rsid w:val="00AA5E19"/>
    <w:rsid w:val="00AA5E66"/>
    <w:rsid w:val="00AA651A"/>
    <w:rsid w:val="00AA6687"/>
    <w:rsid w:val="00AA66A8"/>
    <w:rsid w:val="00AA6712"/>
    <w:rsid w:val="00AA7612"/>
    <w:rsid w:val="00AA77EA"/>
    <w:rsid w:val="00AA7A3D"/>
    <w:rsid w:val="00AA7A66"/>
    <w:rsid w:val="00AA7B98"/>
    <w:rsid w:val="00AA7F1D"/>
    <w:rsid w:val="00AB0010"/>
    <w:rsid w:val="00AB0036"/>
    <w:rsid w:val="00AB026F"/>
    <w:rsid w:val="00AB0ACD"/>
    <w:rsid w:val="00AB15A1"/>
    <w:rsid w:val="00AB16E5"/>
    <w:rsid w:val="00AB1996"/>
    <w:rsid w:val="00AB1BC3"/>
    <w:rsid w:val="00AB1E57"/>
    <w:rsid w:val="00AB24A3"/>
    <w:rsid w:val="00AB273F"/>
    <w:rsid w:val="00AB31D8"/>
    <w:rsid w:val="00AB322A"/>
    <w:rsid w:val="00AB32B4"/>
    <w:rsid w:val="00AB350B"/>
    <w:rsid w:val="00AB3B39"/>
    <w:rsid w:val="00AB433B"/>
    <w:rsid w:val="00AB4690"/>
    <w:rsid w:val="00AB4AAE"/>
    <w:rsid w:val="00AB4DD8"/>
    <w:rsid w:val="00AB4DE9"/>
    <w:rsid w:val="00AB4FC9"/>
    <w:rsid w:val="00AB558C"/>
    <w:rsid w:val="00AB56EB"/>
    <w:rsid w:val="00AB5ADC"/>
    <w:rsid w:val="00AB5C38"/>
    <w:rsid w:val="00AB62A0"/>
    <w:rsid w:val="00AB6738"/>
    <w:rsid w:val="00AB688E"/>
    <w:rsid w:val="00AB7224"/>
    <w:rsid w:val="00AB7227"/>
    <w:rsid w:val="00AB732C"/>
    <w:rsid w:val="00AB73D3"/>
    <w:rsid w:val="00AB7A8C"/>
    <w:rsid w:val="00AC00AB"/>
    <w:rsid w:val="00AC03C0"/>
    <w:rsid w:val="00AC069A"/>
    <w:rsid w:val="00AC093C"/>
    <w:rsid w:val="00AC0DC6"/>
    <w:rsid w:val="00AC0F1E"/>
    <w:rsid w:val="00AC17E3"/>
    <w:rsid w:val="00AC1E7B"/>
    <w:rsid w:val="00AC21FB"/>
    <w:rsid w:val="00AC23CF"/>
    <w:rsid w:val="00AC289F"/>
    <w:rsid w:val="00AC2A22"/>
    <w:rsid w:val="00AC2C76"/>
    <w:rsid w:val="00AC3165"/>
    <w:rsid w:val="00AC341D"/>
    <w:rsid w:val="00AC3509"/>
    <w:rsid w:val="00AC35F0"/>
    <w:rsid w:val="00AC370E"/>
    <w:rsid w:val="00AC3924"/>
    <w:rsid w:val="00AC3958"/>
    <w:rsid w:val="00AC39D3"/>
    <w:rsid w:val="00AC3BB6"/>
    <w:rsid w:val="00AC3D08"/>
    <w:rsid w:val="00AC403D"/>
    <w:rsid w:val="00AC4F88"/>
    <w:rsid w:val="00AC5176"/>
    <w:rsid w:val="00AC5524"/>
    <w:rsid w:val="00AC5F45"/>
    <w:rsid w:val="00AC6478"/>
    <w:rsid w:val="00AC682B"/>
    <w:rsid w:val="00AC6900"/>
    <w:rsid w:val="00AC6D34"/>
    <w:rsid w:val="00AC7773"/>
    <w:rsid w:val="00AC7EC8"/>
    <w:rsid w:val="00AD0309"/>
    <w:rsid w:val="00AD0339"/>
    <w:rsid w:val="00AD0527"/>
    <w:rsid w:val="00AD0B72"/>
    <w:rsid w:val="00AD2611"/>
    <w:rsid w:val="00AD299B"/>
    <w:rsid w:val="00AD2A06"/>
    <w:rsid w:val="00AD2B53"/>
    <w:rsid w:val="00AD2CCB"/>
    <w:rsid w:val="00AD3178"/>
    <w:rsid w:val="00AD4236"/>
    <w:rsid w:val="00AD4530"/>
    <w:rsid w:val="00AD4877"/>
    <w:rsid w:val="00AD4E7C"/>
    <w:rsid w:val="00AD4F27"/>
    <w:rsid w:val="00AD5420"/>
    <w:rsid w:val="00AD59D8"/>
    <w:rsid w:val="00AD5AED"/>
    <w:rsid w:val="00AD6488"/>
    <w:rsid w:val="00AD652E"/>
    <w:rsid w:val="00AD671B"/>
    <w:rsid w:val="00AD672B"/>
    <w:rsid w:val="00AD67E2"/>
    <w:rsid w:val="00AD68BB"/>
    <w:rsid w:val="00AD6C1F"/>
    <w:rsid w:val="00AD6ECF"/>
    <w:rsid w:val="00AD7DF2"/>
    <w:rsid w:val="00AE00AE"/>
    <w:rsid w:val="00AE0199"/>
    <w:rsid w:val="00AE0785"/>
    <w:rsid w:val="00AE0963"/>
    <w:rsid w:val="00AE0BF9"/>
    <w:rsid w:val="00AE1F16"/>
    <w:rsid w:val="00AE2496"/>
    <w:rsid w:val="00AE263B"/>
    <w:rsid w:val="00AE2B1F"/>
    <w:rsid w:val="00AE302D"/>
    <w:rsid w:val="00AE3514"/>
    <w:rsid w:val="00AE41BB"/>
    <w:rsid w:val="00AE46B3"/>
    <w:rsid w:val="00AE4BFE"/>
    <w:rsid w:val="00AE5136"/>
    <w:rsid w:val="00AE51CD"/>
    <w:rsid w:val="00AE52BC"/>
    <w:rsid w:val="00AE572A"/>
    <w:rsid w:val="00AE606A"/>
    <w:rsid w:val="00AE60F3"/>
    <w:rsid w:val="00AE62C8"/>
    <w:rsid w:val="00AE63F0"/>
    <w:rsid w:val="00AE693B"/>
    <w:rsid w:val="00AE7330"/>
    <w:rsid w:val="00AE7829"/>
    <w:rsid w:val="00AE7FA2"/>
    <w:rsid w:val="00AF041D"/>
    <w:rsid w:val="00AF084D"/>
    <w:rsid w:val="00AF0B4D"/>
    <w:rsid w:val="00AF11A4"/>
    <w:rsid w:val="00AF1F80"/>
    <w:rsid w:val="00AF23CB"/>
    <w:rsid w:val="00AF24E8"/>
    <w:rsid w:val="00AF265F"/>
    <w:rsid w:val="00AF2A91"/>
    <w:rsid w:val="00AF35B9"/>
    <w:rsid w:val="00AF3BBC"/>
    <w:rsid w:val="00AF3DF8"/>
    <w:rsid w:val="00AF3EA9"/>
    <w:rsid w:val="00AF4067"/>
    <w:rsid w:val="00AF4675"/>
    <w:rsid w:val="00AF46CE"/>
    <w:rsid w:val="00AF5117"/>
    <w:rsid w:val="00AF62B1"/>
    <w:rsid w:val="00AF6ADC"/>
    <w:rsid w:val="00AF6CF9"/>
    <w:rsid w:val="00AF6E53"/>
    <w:rsid w:val="00AF71AB"/>
    <w:rsid w:val="00AF7B81"/>
    <w:rsid w:val="00B0022C"/>
    <w:rsid w:val="00B0023B"/>
    <w:rsid w:val="00B003A7"/>
    <w:rsid w:val="00B0045C"/>
    <w:rsid w:val="00B005B7"/>
    <w:rsid w:val="00B0095C"/>
    <w:rsid w:val="00B00D50"/>
    <w:rsid w:val="00B00F7E"/>
    <w:rsid w:val="00B01082"/>
    <w:rsid w:val="00B01093"/>
    <w:rsid w:val="00B011E6"/>
    <w:rsid w:val="00B01D9E"/>
    <w:rsid w:val="00B026EB"/>
    <w:rsid w:val="00B027F6"/>
    <w:rsid w:val="00B028BD"/>
    <w:rsid w:val="00B02B5B"/>
    <w:rsid w:val="00B02E0C"/>
    <w:rsid w:val="00B0315E"/>
    <w:rsid w:val="00B0334E"/>
    <w:rsid w:val="00B038D0"/>
    <w:rsid w:val="00B0503A"/>
    <w:rsid w:val="00B051FE"/>
    <w:rsid w:val="00B058AC"/>
    <w:rsid w:val="00B05959"/>
    <w:rsid w:val="00B059F0"/>
    <w:rsid w:val="00B062AA"/>
    <w:rsid w:val="00B06334"/>
    <w:rsid w:val="00B06596"/>
    <w:rsid w:val="00B06799"/>
    <w:rsid w:val="00B06C01"/>
    <w:rsid w:val="00B06D62"/>
    <w:rsid w:val="00B07795"/>
    <w:rsid w:val="00B07F58"/>
    <w:rsid w:val="00B1036B"/>
    <w:rsid w:val="00B1069B"/>
    <w:rsid w:val="00B10D4C"/>
    <w:rsid w:val="00B111C6"/>
    <w:rsid w:val="00B1123F"/>
    <w:rsid w:val="00B117B6"/>
    <w:rsid w:val="00B1246E"/>
    <w:rsid w:val="00B126F1"/>
    <w:rsid w:val="00B12F2F"/>
    <w:rsid w:val="00B13A06"/>
    <w:rsid w:val="00B13F32"/>
    <w:rsid w:val="00B141F5"/>
    <w:rsid w:val="00B14318"/>
    <w:rsid w:val="00B1448C"/>
    <w:rsid w:val="00B1457C"/>
    <w:rsid w:val="00B14C00"/>
    <w:rsid w:val="00B14C64"/>
    <w:rsid w:val="00B14CA9"/>
    <w:rsid w:val="00B1526C"/>
    <w:rsid w:val="00B1544C"/>
    <w:rsid w:val="00B15546"/>
    <w:rsid w:val="00B15715"/>
    <w:rsid w:val="00B1584C"/>
    <w:rsid w:val="00B15B5A"/>
    <w:rsid w:val="00B16191"/>
    <w:rsid w:val="00B16477"/>
    <w:rsid w:val="00B1650F"/>
    <w:rsid w:val="00B1700E"/>
    <w:rsid w:val="00B171A2"/>
    <w:rsid w:val="00B202E0"/>
    <w:rsid w:val="00B2089C"/>
    <w:rsid w:val="00B20C2E"/>
    <w:rsid w:val="00B20FDF"/>
    <w:rsid w:val="00B21191"/>
    <w:rsid w:val="00B21228"/>
    <w:rsid w:val="00B213DB"/>
    <w:rsid w:val="00B21CAE"/>
    <w:rsid w:val="00B220AE"/>
    <w:rsid w:val="00B221EE"/>
    <w:rsid w:val="00B228C4"/>
    <w:rsid w:val="00B22955"/>
    <w:rsid w:val="00B22CC3"/>
    <w:rsid w:val="00B22D9D"/>
    <w:rsid w:val="00B2327D"/>
    <w:rsid w:val="00B239D9"/>
    <w:rsid w:val="00B23EE0"/>
    <w:rsid w:val="00B23F15"/>
    <w:rsid w:val="00B2418F"/>
    <w:rsid w:val="00B24887"/>
    <w:rsid w:val="00B2496D"/>
    <w:rsid w:val="00B24B72"/>
    <w:rsid w:val="00B24EEF"/>
    <w:rsid w:val="00B25321"/>
    <w:rsid w:val="00B25DDF"/>
    <w:rsid w:val="00B26054"/>
    <w:rsid w:val="00B26D76"/>
    <w:rsid w:val="00B26EC1"/>
    <w:rsid w:val="00B271F6"/>
    <w:rsid w:val="00B275F0"/>
    <w:rsid w:val="00B27F8F"/>
    <w:rsid w:val="00B301E5"/>
    <w:rsid w:val="00B3049D"/>
    <w:rsid w:val="00B304A5"/>
    <w:rsid w:val="00B30548"/>
    <w:rsid w:val="00B305F1"/>
    <w:rsid w:val="00B30883"/>
    <w:rsid w:val="00B31476"/>
    <w:rsid w:val="00B31ADD"/>
    <w:rsid w:val="00B320B1"/>
    <w:rsid w:val="00B32817"/>
    <w:rsid w:val="00B32BBD"/>
    <w:rsid w:val="00B332BD"/>
    <w:rsid w:val="00B336F1"/>
    <w:rsid w:val="00B3378B"/>
    <w:rsid w:val="00B33B85"/>
    <w:rsid w:val="00B33E51"/>
    <w:rsid w:val="00B3467C"/>
    <w:rsid w:val="00B346C5"/>
    <w:rsid w:val="00B3493B"/>
    <w:rsid w:val="00B34B5F"/>
    <w:rsid w:val="00B352F2"/>
    <w:rsid w:val="00B35D66"/>
    <w:rsid w:val="00B35E83"/>
    <w:rsid w:val="00B36212"/>
    <w:rsid w:val="00B362D1"/>
    <w:rsid w:val="00B365F9"/>
    <w:rsid w:val="00B36B69"/>
    <w:rsid w:val="00B376A0"/>
    <w:rsid w:val="00B40BE0"/>
    <w:rsid w:val="00B40EF5"/>
    <w:rsid w:val="00B4204C"/>
    <w:rsid w:val="00B4221D"/>
    <w:rsid w:val="00B42623"/>
    <w:rsid w:val="00B42624"/>
    <w:rsid w:val="00B42B8B"/>
    <w:rsid w:val="00B42C1F"/>
    <w:rsid w:val="00B43DA0"/>
    <w:rsid w:val="00B43F70"/>
    <w:rsid w:val="00B442D7"/>
    <w:rsid w:val="00B449FC"/>
    <w:rsid w:val="00B458B8"/>
    <w:rsid w:val="00B45B79"/>
    <w:rsid w:val="00B46398"/>
    <w:rsid w:val="00B4678A"/>
    <w:rsid w:val="00B468C4"/>
    <w:rsid w:val="00B46D3E"/>
    <w:rsid w:val="00B46ED6"/>
    <w:rsid w:val="00B47215"/>
    <w:rsid w:val="00B4749A"/>
    <w:rsid w:val="00B4787A"/>
    <w:rsid w:val="00B47EE3"/>
    <w:rsid w:val="00B502B7"/>
    <w:rsid w:val="00B5068F"/>
    <w:rsid w:val="00B5103F"/>
    <w:rsid w:val="00B51FA5"/>
    <w:rsid w:val="00B52423"/>
    <w:rsid w:val="00B52BFC"/>
    <w:rsid w:val="00B52DC7"/>
    <w:rsid w:val="00B538D6"/>
    <w:rsid w:val="00B53D9A"/>
    <w:rsid w:val="00B53DB8"/>
    <w:rsid w:val="00B5426A"/>
    <w:rsid w:val="00B5449A"/>
    <w:rsid w:val="00B54CED"/>
    <w:rsid w:val="00B54E01"/>
    <w:rsid w:val="00B5509F"/>
    <w:rsid w:val="00B5554D"/>
    <w:rsid w:val="00B55B8A"/>
    <w:rsid w:val="00B55C21"/>
    <w:rsid w:val="00B55FC9"/>
    <w:rsid w:val="00B566CD"/>
    <w:rsid w:val="00B56D68"/>
    <w:rsid w:val="00B56E74"/>
    <w:rsid w:val="00B57044"/>
    <w:rsid w:val="00B572D0"/>
    <w:rsid w:val="00B57D25"/>
    <w:rsid w:val="00B57DE9"/>
    <w:rsid w:val="00B6005D"/>
    <w:rsid w:val="00B606A4"/>
    <w:rsid w:val="00B60745"/>
    <w:rsid w:val="00B60FA0"/>
    <w:rsid w:val="00B61252"/>
    <w:rsid w:val="00B61276"/>
    <w:rsid w:val="00B6142B"/>
    <w:rsid w:val="00B62253"/>
    <w:rsid w:val="00B622B7"/>
    <w:rsid w:val="00B62332"/>
    <w:rsid w:val="00B6260C"/>
    <w:rsid w:val="00B629FB"/>
    <w:rsid w:val="00B62AE0"/>
    <w:rsid w:val="00B63325"/>
    <w:rsid w:val="00B63776"/>
    <w:rsid w:val="00B637FD"/>
    <w:rsid w:val="00B6448A"/>
    <w:rsid w:val="00B65AFC"/>
    <w:rsid w:val="00B65E39"/>
    <w:rsid w:val="00B65F72"/>
    <w:rsid w:val="00B65FEC"/>
    <w:rsid w:val="00B6602E"/>
    <w:rsid w:val="00B660C4"/>
    <w:rsid w:val="00B66158"/>
    <w:rsid w:val="00B664D2"/>
    <w:rsid w:val="00B6660C"/>
    <w:rsid w:val="00B666AF"/>
    <w:rsid w:val="00B66741"/>
    <w:rsid w:val="00B66D79"/>
    <w:rsid w:val="00B66E60"/>
    <w:rsid w:val="00B673B0"/>
    <w:rsid w:val="00B67626"/>
    <w:rsid w:val="00B70EDC"/>
    <w:rsid w:val="00B710C3"/>
    <w:rsid w:val="00B71D7B"/>
    <w:rsid w:val="00B72BC4"/>
    <w:rsid w:val="00B72BFA"/>
    <w:rsid w:val="00B73374"/>
    <w:rsid w:val="00B73BF9"/>
    <w:rsid w:val="00B74363"/>
    <w:rsid w:val="00B745A1"/>
    <w:rsid w:val="00B745B3"/>
    <w:rsid w:val="00B75576"/>
    <w:rsid w:val="00B7558A"/>
    <w:rsid w:val="00B75D70"/>
    <w:rsid w:val="00B76261"/>
    <w:rsid w:val="00B76735"/>
    <w:rsid w:val="00B7688B"/>
    <w:rsid w:val="00B76A3A"/>
    <w:rsid w:val="00B771B7"/>
    <w:rsid w:val="00B77703"/>
    <w:rsid w:val="00B80094"/>
    <w:rsid w:val="00B80658"/>
    <w:rsid w:val="00B80BAE"/>
    <w:rsid w:val="00B8135B"/>
    <w:rsid w:val="00B819D4"/>
    <w:rsid w:val="00B82196"/>
    <w:rsid w:val="00B8258D"/>
    <w:rsid w:val="00B825E6"/>
    <w:rsid w:val="00B828F3"/>
    <w:rsid w:val="00B829C5"/>
    <w:rsid w:val="00B82A93"/>
    <w:rsid w:val="00B82EC5"/>
    <w:rsid w:val="00B832AB"/>
    <w:rsid w:val="00B8338F"/>
    <w:rsid w:val="00B834E0"/>
    <w:rsid w:val="00B838DC"/>
    <w:rsid w:val="00B83E2B"/>
    <w:rsid w:val="00B83EF0"/>
    <w:rsid w:val="00B83F35"/>
    <w:rsid w:val="00B84581"/>
    <w:rsid w:val="00B8479A"/>
    <w:rsid w:val="00B84863"/>
    <w:rsid w:val="00B8495E"/>
    <w:rsid w:val="00B853D4"/>
    <w:rsid w:val="00B858DC"/>
    <w:rsid w:val="00B85EF5"/>
    <w:rsid w:val="00B85F96"/>
    <w:rsid w:val="00B8634B"/>
    <w:rsid w:val="00B9042E"/>
    <w:rsid w:val="00B90919"/>
    <w:rsid w:val="00B91824"/>
    <w:rsid w:val="00B91AFA"/>
    <w:rsid w:val="00B91D07"/>
    <w:rsid w:val="00B923FC"/>
    <w:rsid w:val="00B93360"/>
    <w:rsid w:val="00B94065"/>
    <w:rsid w:val="00B944E7"/>
    <w:rsid w:val="00B94A42"/>
    <w:rsid w:val="00B94C3C"/>
    <w:rsid w:val="00B94E80"/>
    <w:rsid w:val="00B954ED"/>
    <w:rsid w:val="00B9557B"/>
    <w:rsid w:val="00B9628A"/>
    <w:rsid w:val="00B96552"/>
    <w:rsid w:val="00B9668A"/>
    <w:rsid w:val="00B96B9D"/>
    <w:rsid w:val="00B96D49"/>
    <w:rsid w:val="00B9768D"/>
    <w:rsid w:val="00B9772F"/>
    <w:rsid w:val="00B97807"/>
    <w:rsid w:val="00B97A6D"/>
    <w:rsid w:val="00B97F60"/>
    <w:rsid w:val="00BA0382"/>
    <w:rsid w:val="00BA0389"/>
    <w:rsid w:val="00BA188A"/>
    <w:rsid w:val="00BA1949"/>
    <w:rsid w:val="00BA1B76"/>
    <w:rsid w:val="00BA205D"/>
    <w:rsid w:val="00BA345E"/>
    <w:rsid w:val="00BA3675"/>
    <w:rsid w:val="00BA3809"/>
    <w:rsid w:val="00BA3C0A"/>
    <w:rsid w:val="00BA3C8D"/>
    <w:rsid w:val="00BA425A"/>
    <w:rsid w:val="00BA4D31"/>
    <w:rsid w:val="00BA4EAE"/>
    <w:rsid w:val="00BA4F54"/>
    <w:rsid w:val="00BA5590"/>
    <w:rsid w:val="00BA55FA"/>
    <w:rsid w:val="00BA5FA6"/>
    <w:rsid w:val="00BA6182"/>
    <w:rsid w:val="00BA6437"/>
    <w:rsid w:val="00BA648A"/>
    <w:rsid w:val="00BA657B"/>
    <w:rsid w:val="00BA6795"/>
    <w:rsid w:val="00BA6A41"/>
    <w:rsid w:val="00BA6D66"/>
    <w:rsid w:val="00BA6EE7"/>
    <w:rsid w:val="00BA709B"/>
    <w:rsid w:val="00BA7885"/>
    <w:rsid w:val="00BA78C4"/>
    <w:rsid w:val="00BA7992"/>
    <w:rsid w:val="00BA7CB5"/>
    <w:rsid w:val="00BB036B"/>
    <w:rsid w:val="00BB0AA2"/>
    <w:rsid w:val="00BB1027"/>
    <w:rsid w:val="00BB1152"/>
    <w:rsid w:val="00BB21EF"/>
    <w:rsid w:val="00BB25C9"/>
    <w:rsid w:val="00BB26A0"/>
    <w:rsid w:val="00BB2B4C"/>
    <w:rsid w:val="00BB2EDF"/>
    <w:rsid w:val="00BB2F8C"/>
    <w:rsid w:val="00BB31D7"/>
    <w:rsid w:val="00BB3FEF"/>
    <w:rsid w:val="00BB41AE"/>
    <w:rsid w:val="00BB4A82"/>
    <w:rsid w:val="00BB4A88"/>
    <w:rsid w:val="00BB4BD8"/>
    <w:rsid w:val="00BB54ED"/>
    <w:rsid w:val="00BB59CB"/>
    <w:rsid w:val="00BB64EC"/>
    <w:rsid w:val="00BB657F"/>
    <w:rsid w:val="00BB6BB4"/>
    <w:rsid w:val="00BB6C6F"/>
    <w:rsid w:val="00BB73D3"/>
    <w:rsid w:val="00BB77E0"/>
    <w:rsid w:val="00BB7980"/>
    <w:rsid w:val="00BB79C9"/>
    <w:rsid w:val="00BB7E76"/>
    <w:rsid w:val="00BC06F3"/>
    <w:rsid w:val="00BC0827"/>
    <w:rsid w:val="00BC0A7F"/>
    <w:rsid w:val="00BC0AD6"/>
    <w:rsid w:val="00BC0BFA"/>
    <w:rsid w:val="00BC0E66"/>
    <w:rsid w:val="00BC0E8A"/>
    <w:rsid w:val="00BC19BD"/>
    <w:rsid w:val="00BC1C4C"/>
    <w:rsid w:val="00BC1FCC"/>
    <w:rsid w:val="00BC209D"/>
    <w:rsid w:val="00BC20E5"/>
    <w:rsid w:val="00BC243B"/>
    <w:rsid w:val="00BC26DC"/>
    <w:rsid w:val="00BC2A45"/>
    <w:rsid w:val="00BC2ACC"/>
    <w:rsid w:val="00BC2FA1"/>
    <w:rsid w:val="00BC3131"/>
    <w:rsid w:val="00BC327E"/>
    <w:rsid w:val="00BC352D"/>
    <w:rsid w:val="00BC3FE0"/>
    <w:rsid w:val="00BC4730"/>
    <w:rsid w:val="00BC4920"/>
    <w:rsid w:val="00BC4C19"/>
    <w:rsid w:val="00BC4C7E"/>
    <w:rsid w:val="00BC4F36"/>
    <w:rsid w:val="00BC50D6"/>
    <w:rsid w:val="00BC53ED"/>
    <w:rsid w:val="00BC7218"/>
    <w:rsid w:val="00BC78E8"/>
    <w:rsid w:val="00BC7CE0"/>
    <w:rsid w:val="00BC7EA8"/>
    <w:rsid w:val="00BD002E"/>
    <w:rsid w:val="00BD02AF"/>
    <w:rsid w:val="00BD0572"/>
    <w:rsid w:val="00BD08B1"/>
    <w:rsid w:val="00BD0965"/>
    <w:rsid w:val="00BD116A"/>
    <w:rsid w:val="00BD253E"/>
    <w:rsid w:val="00BD2983"/>
    <w:rsid w:val="00BD29C6"/>
    <w:rsid w:val="00BD2A38"/>
    <w:rsid w:val="00BD2F93"/>
    <w:rsid w:val="00BD2FA8"/>
    <w:rsid w:val="00BD30DC"/>
    <w:rsid w:val="00BD36A8"/>
    <w:rsid w:val="00BD3CB5"/>
    <w:rsid w:val="00BD3D78"/>
    <w:rsid w:val="00BD49A7"/>
    <w:rsid w:val="00BD500E"/>
    <w:rsid w:val="00BD515E"/>
    <w:rsid w:val="00BD5659"/>
    <w:rsid w:val="00BD5CA2"/>
    <w:rsid w:val="00BD5D12"/>
    <w:rsid w:val="00BD5D86"/>
    <w:rsid w:val="00BD6404"/>
    <w:rsid w:val="00BD64AB"/>
    <w:rsid w:val="00BD7DEB"/>
    <w:rsid w:val="00BE006C"/>
    <w:rsid w:val="00BE0921"/>
    <w:rsid w:val="00BE0BB5"/>
    <w:rsid w:val="00BE0C4D"/>
    <w:rsid w:val="00BE0DE0"/>
    <w:rsid w:val="00BE1878"/>
    <w:rsid w:val="00BE1A74"/>
    <w:rsid w:val="00BE22F8"/>
    <w:rsid w:val="00BE2D5B"/>
    <w:rsid w:val="00BE3015"/>
    <w:rsid w:val="00BE32B0"/>
    <w:rsid w:val="00BE377A"/>
    <w:rsid w:val="00BE3966"/>
    <w:rsid w:val="00BE4098"/>
    <w:rsid w:val="00BE43A2"/>
    <w:rsid w:val="00BE48CB"/>
    <w:rsid w:val="00BE49D7"/>
    <w:rsid w:val="00BE5B1E"/>
    <w:rsid w:val="00BE6FEB"/>
    <w:rsid w:val="00BE7019"/>
    <w:rsid w:val="00BF028A"/>
    <w:rsid w:val="00BF02BA"/>
    <w:rsid w:val="00BF050A"/>
    <w:rsid w:val="00BF0787"/>
    <w:rsid w:val="00BF0B29"/>
    <w:rsid w:val="00BF0EB3"/>
    <w:rsid w:val="00BF0F1F"/>
    <w:rsid w:val="00BF17D6"/>
    <w:rsid w:val="00BF1C65"/>
    <w:rsid w:val="00BF20EF"/>
    <w:rsid w:val="00BF2AA4"/>
    <w:rsid w:val="00BF2E2A"/>
    <w:rsid w:val="00BF2FBE"/>
    <w:rsid w:val="00BF3033"/>
    <w:rsid w:val="00BF31F0"/>
    <w:rsid w:val="00BF3BEA"/>
    <w:rsid w:val="00BF3F77"/>
    <w:rsid w:val="00BF41F6"/>
    <w:rsid w:val="00BF4BFC"/>
    <w:rsid w:val="00BF4BFD"/>
    <w:rsid w:val="00BF51A2"/>
    <w:rsid w:val="00BF5204"/>
    <w:rsid w:val="00BF53C3"/>
    <w:rsid w:val="00BF5A65"/>
    <w:rsid w:val="00BF5F8A"/>
    <w:rsid w:val="00BF6478"/>
    <w:rsid w:val="00BF65FC"/>
    <w:rsid w:val="00BF6840"/>
    <w:rsid w:val="00BF746F"/>
    <w:rsid w:val="00BF7E1C"/>
    <w:rsid w:val="00BF7E97"/>
    <w:rsid w:val="00BF7EFB"/>
    <w:rsid w:val="00C006D3"/>
    <w:rsid w:val="00C00B59"/>
    <w:rsid w:val="00C010F2"/>
    <w:rsid w:val="00C013BF"/>
    <w:rsid w:val="00C01CA9"/>
    <w:rsid w:val="00C02975"/>
    <w:rsid w:val="00C033BD"/>
    <w:rsid w:val="00C03451"/>
    <w:rsid w:val="00C034FD"/>
    <w:rsid w:val="00C0354F"/>
    <w:rsid w:val="00C03B16"/>
    <w:rsid w:val="00C03C17"/>
    <w:rsid w:val="00C042CE"/>
    <w:rsid w:val="00C04A04"/>
    <w:rsid w:val="00C04F2A"/>
    <w:rsid w:val="00C054B1"/>
    <w:rsid w:val="00C0568F"/>
    <w:rsid w:val="00C05965"/>
    <w:rsid w:val="00C06124"/>
    <w:rsid w:val="00C061B9"/>
    <w:rsid w:val="00C06413"/>
    <w:rsid w:val="00C06792"/>
    <w:rsid w:val="00C0684F"/>
    <w:rsid w:val="00C06D0F"/>
    <w:rsid w:val="00C07486"/>
    <w:rsid w:val="00C075DD"/>
    <w:rsid w:val="00C07C45"/>
    <w:rsid w:val="00C07D98"/>
    <w:rsid w:val="00C101D7"/>
    <w:rsid w:val="00C10355"/>
    <w:rsid w:val="00C107F5"/>
    <w:rsid w:val="00C10B80"/>
    <w:rsid w:val="00C10C6C"/>
    <w:rsid w:val="00C110C0"/>
    <w:rsid w:val="00C1132A"/>
    <w:rsid w:val="00C11381"/>
    <w:rsid w:val="00C11A7C"/>
    <w:rsid w:val="00C11ACD"/>
    <w:rsid w:val="00C11D22"/>
    <w:rsid w:val="00C12A2A"/>
    <w:rsid w:val="00C12DD7"/>
    <w:rsid w:val="00C12EE4"/>
    <w:rsid w:val="00C1328A"/>
    <w:rsid w:val="00C133BB"/>
    <w:rsid w:val="00C13694"/>
    <w:rsid w:val="00C145A0"/>
    <w:rsid w:val="00C14B38"/>
    <w:rsid w:val="00C15942"/>
    <w:rsid w:val="00C15ACE"/>
    <w:rsid w:val="00C161B0"/>
    <w:rsid w:val="00C16FA2"/>
    <w:rsid w:val="00C17744"/>
    <w:rsid w:val="00C178E5"/>
    <w:rsid w:val="00C17972"/>
    <w:rsid w:val="00C2077F"/>
    <w:rsid w:val="00C20848"/>
    <w:rsid w:val="00C20B14"/>
    <w:rsid w:val="00C20C86"/>
    <w:rsid w:val="00C20EF6"/>
    <w:rsid w:val="00C21EAB"/>
    <w:rsid w:val="00C22061"/>
    <w:rsid w:val="00C22258"/>
    <w:rsid w:val="00C2290A"/>
    <w:rsid w:val="00C22F12"/>
    <w:rsid w:val="00C23C97"/>
    <w:rsid w:val="00C2451C"/>
    <w:rsid w:val="00C2488A"/>
    <w:rsid w:val="00C2516E"/>
    <w:rsid w:val="00C2552A"/>
    <w:rsid w:val="00C25C34"/>
    <w:rsid w:val="00C27709"/>
    <w:rsid w:val="00C27771"/>
    <w:rsid w:val="00C2780C"/>
    <w:rsid w:val="00C27CA7"/>
    <w:rsid w:val="00C30086"/>
    <w:rsid w:val="00C30289"/>
    <w:rsid w:val="00C303E3"/>
    <w:rsid w:val="00C305E5"/>
    <w:rsid w:val="00C31056"/>
    <w:rsid w:val="00C31802"/>
    <w:rsid w:val="00C322E0"/>
    <w:rsid w:val="00C32786"/>
    <w:rsid w:val="00C3305C"/>
    <w:rsid w:val="00C338B5"/>
    <w:rsid w:val="00C33B10"/>
    <w:rsid w:val="00C33CCE"/>
    <w:rsid w:val="00C33FAC"/>
    <w:rsid w:val="00C342F2"/>
    <w:rsid w:val="00C34E25"/>
    <w:rsid w:val="00C350D6"/>
    <w:rsid w:val="00C358C0"/>
    <w:rsid w:val="00C3591C"/>
    <w:rsid w:val="00C35B4E"/>
    <w:rsid w:val="00C363C3"/>
    <w:rsid w:val="00C363CC"/>
    <w:rsid w:val="00C36603"/>
    <w:rsid w:val="00C36F87"/>
    <w:rsid w:val="00C372F8"/>
    <w:rsid w:val="00C37505"/>
    <w:rsid w:val="00C3770B"/>
    <w:rsid w:val="00C3788B"/>
    <w:rsid w:val="00C405AF"/>
    <w:rsid w:val="00C40694"/>
    <w:rsid w:val="00C407AC"/>
    <w:rsid w:val="00C40962"/>
    <w:rsid w:val="00C40980"/>
    <w:rsid w:val="00C40E34"/>
    <w:rsid w:val="00C40F7D"/>
    <w:rsid w:val="00C40F94"/>
    <w:rsid w:val="00C413D4"/>
    <w:rsid w:val="00C415D0"/>
    <w:rsid w:val="00C41914"/>
    <w:rsid w:val="00C41CAB"/>
    <w:rsid w:val="00C41DB3"/>
    <w:rsid w:val="00C41EE1"/>
    <w:rsid w:val="00C41FAB"/>
    <w:rsid w:val="00C42133"/>
    <w:rsid w:val="00C422C1"/>
    <w:rsid w:val="00C4247B"/>
    <w:rsid w:val="00C42C22"/>
    <w:rsid w:val="00C42E72"/>
    <w:rsid w:val="00C430FC"/>
    <w:rsid w:val="00C436F6"/>
    <w:rsid w:val="00C438F0"/>
    <w:rsid w:val="00C43AC0"/>
    <w:rsid w:val="00C44125"/>
    <w:rsid w:val="00C44469"/>
    <w:rsid w:val="00C45050"/>
    <w:rsid w:val="00C45993"/>
    <w:rsid w:val="00C45FB3"/>
    <w:rsid w:val="00C46074"/>
    <w:rsid w:val="00C46320"/>
    <w:rsid w:val="00C4638D"/>
    <w:rsid w:val="00C46585"/>
    <w:rsid w:val="00C46958"/>
    <w:rsid w:val="00C46A8B"/>
    <w:rsid w:val="00C46B3C"/>
    <w:rsid w:val="00C4756F"/>
    <w:rsid w:val="00C47CF4"/>
    <w:rsid w:val="00C47FB8"/>
    <w:rsid w:val="00C500D3"/>
    <w:rsid w:val="00C5019F"/>
    <w:rsid w:val="00C50603"/>
    <w:rsid w:val="00C51575"/>
    <w:rsid w:val="00C51AEC"/>
    <w:rsid w:val="00C520A3"/>
    <w:rsid w:val="00C52454"/>
    <w:rsid w:val="00C52554"/>
    <w:rsid w:val="00C5265B"/>
    <w:rsid w:val="00C52A7D"/>
    <w:rsid w:val="00C52C31"/>
    <w:rsid w:val="00C539DA"/>
    <w:rsid w:val="00C5429F"/>
    <w:rsid w:val="00C5436C"/>
    <w:rsid w:val="00C543DA"/>
    <w:rsid w:val="00C546DB"/>
    <w:rsid w:val="00C5497D"/>
    <w:rsid w:val="00C54B1C"/>
    <w:rsid w:val="00C556CD"/>
    <w:rsid w:val="00C559AD"/>
    <w:rsid w:val="00C560CC"/>
    <w:rsid w:val="00C56552"/>
    <w:rsid w:val="00C56CBE"/>
    <w:rsid w:val="00C56F46"/>
    <w:rsid w:val="00C57232"/>
    <w:rsid w:val="00C5727D"/>
    <w:rsid w:val="00C57366"/>
    <w:rsid w:val="00C5756A"/>
    <w:rsid w:val="00C57977"/>
    <w:rsid w:val="00C57A69"/>
    <w:rsid w:val="00C57AAD"/>
    <w:rsid w:val="00C57BC6"/>
    <w:rsid w:val="00C60410"/>
    <w:rsid w:val="00C60640"/>
    <w:rsid w:val="00C6094E"/>
    <w:rsid w:val="00C60E4F"/>
    <w:rsid w:val="00C615CF"/>
    <w:rsid w:val="00C61627"/>
    <w:rsid w:val="00C616BB"/>
    <w:rsid w:val="00C61A1C"/>
    <w:rsid w:val="00C61B08"/>
    <w:rsid w:val="00C61BAD"/>
    <w:rsid w:val="00C61E4E"/>
    <w:rsid w:val="00C61F87"/>
    <w:rsid w:val="00C6213A"/>
    <w:rsid w:val="00C6218A"/>
    <w:rsid w:val="00C62A71"/>
    <w:rsid w:val="00C62EED"/>
    <w:rsid w:val="00C6317C"/>
    <w:rsid w:val="00C6326C"/>
    <w:rsid w:val="00C643BB"/>
    <w:rsid w:val="00C64895"/>
    <w:rsid w:val="00C64AC3"/>
    <w:rsid w:val="00C6538C"/>
    <w:rsid w:val="00C6582B"/>
    <w:rsid w:val="00C65951"/>
    <w:rsid w:val="00C65BEA"/>
    <w:rsid w:val="00C65DC9"/>
    <w:rsid w:val="00C65F5A"/>
    <w:rsid w:val="00C66213"/>
    <w:rsid w:val="00C66420"/>
    <w:rsid w:val="00C6658A"/>
    <w:rsid w:val="00C67024"/>
    <w:rsid w:val="00C671ED"/>
    <w:rsid w:val="00C67735"/>
    <w:rsid w:val="00C6793C"/>
    <w:rsid w:val="00C70572"/>
    <w:rsid w:val="00C70575"/>
    <w:rsid w:val="00C70993"/>
    <w:rsid w:val="00C71155"/>
    <w:rsid w:val="00C71486"/>
    <w:rsid w:val="00C719F3"/>
    <w:rsid w:val="00C71C31"/>
    <w:rsid w:val="00C72692"/>
    <w:rsid w:val="00C72B76"/>
    <w:rsid w:val="00C72BF0"/>
    <w:rsid w:val="00C72DFD"/>
    <w:rsid w:val="00C73601"/>
    <w:rsid w:val="00C73834"/>
    <w:rsid w:val="00C73A11"/>
    <w:rsid w:val="00C73AEA"/>
    <w:rsid w:val="00C740A3"/>
    <w:rsid w:val="00C748AE"/>
    <w:rsid w:val="00C748C7"/>
    <w:rsid w:val="00C7510B"/>
    <w:rsid w:val="00C754A0"/>
    <w:rsid w:val="00C75899"/>
    <w:rsid w:val="00C75D27"/>
    <w:rsid w:val="00C76412"/>
    <w:rsid w:val="00C767F1"/>
    <w:rsid w:val="00C76AA1"/>
    <w:rsid w:val="00C76ED3"/>
    <w:rsid w:val="00C771EF"/>
    <w:rsid w:val="00C7729E"/>
    <w:rsid w:val="00C77691"/>
    <w:rsid w:val="00C77852"/>
    <w:rsid w:val="00C77928"/>
    <w:rsid w:val="00C77B68"/>
    <w:rsid w:val="00C77C1C"/>
    <w:rsid w:val="00C801FA"/>
    <w:rsid w:val="00C808C5"/>
    <w:rsid w:val="00C809B0"/>
    <w:rsid w:val="00C80C37"/>
    <w:rsid w:val="00C80EEF"/>
    <w:rsid w:val="00C8134D"/>
    <w:rsid w:val="00C813A4"/>
    <w:rsid w:val="00C81408"/>
    <w:rsid w:val="00C81498"/>
    <w:rsid w:val="00C8197B"/>
    <w:rsid w:val="00C81DD7"/>
    <w:rsid w:val="00C81E5C"/>
    <w:rsid w:val="00C82100"/>
    <w:rsid w:val="00C82542"/>
    <w:rsid w:val="00C82B26"/>
    <w:rsid w:val="00C82B60"/>
    <w:rsid w:val="00C82E6D"/>
    <w:rsid w:val="00C82F65"/>
    <w:rsid w:val="00C83A70"/>
    <w:rsid w:val="00C84387"/>
    <w:rsid w:val="00C84D75"/>
    <w:rsid w:val="00C84EA3"/>
    <w:rsid w:val="00C8535C"/>
    <w:rsid w:val="00C85624"/>
    <w:rsid w:val="00C85772"/>
    <w:rsid w:val="00C85C58"/>
    <w:rsid w:val="00C866FF"/>
    <w:rsid w:val="00C86B3B"/>
    <w:rsid w:val="00C86BF1"/>
    <w:rsid w:val="00C86C3B"/>
    <w:rsid w:val="00C86E3B"/>
    <w:rsid w:val="00C878E2"/>
    <w:rsid w:val="00C9008A"/>
    <w:rsid w:val="00C9039C"/>
    <w:rsid w:val="00C904E2"/>
    <w:rsid w:val="00C90596"/>
    <w:rsid w:val="00C905DB"/>
    <w:rsid w:val="00C91712"/>
    <w:rsid w:val="00C91786"/>
    <w:rsid w:val="00C91A4C"/>
    <w:rsid w:val="00C920DE"/>
    <w:rsid w:val="00C92718"/>
    <w:rsid w:val="00C927A9"/>
    <w:rsid w:val="00C9299C"/>
    <w:rsid w:val="00C92EE6"/>
    <w:rsid w:val="00C931C7"/>
    <w:rsid w:val="00C931F4"/>
    <w:rsid w:val="00C93391"/>
    <w:rsid w:val="00C9356D"/>
    <w:rsid w:val="00C93826"/>
    <w:rsid w:val="00C9403C"/>
    <w:rsid w:val="00C947EE"/>
    <w:rsid w:val="00C94FA4"/>
    <w:rsid w:val="00C95196"/>
    <w:rsid w:val="00C951DD"/>
    <w:rsid w:val="00C95316"/>
    <w:rsid w:val="00C95626"/>
    <w:rsid w:val="00C95C66"/>
    <w:rsid w:val="00C9645B"/>
    <w:rsid w:val="00C96A06"/>
    <w:rsid w:val="00C96AEE"/>
    <w:rsid w:val="00C96CC8"/>
    <w:rsid w:val="00C972CC"/>
    <w:rsid w:val="00C97789"/>
    <w:rsid w:val="00C97C91"/>
    <w:rsid w:val="00CA04FD"/>
    <w:rsid w:val="00CA0690"/>
    <w:rsid w:val="00CA06B8"/>
    <w:rsid w:val="00CA0CA6"/>
    <w:rsid w:val="00CA0D01"/>
    <w:rsid w:val="00CA0DBD"/>
    <w:rsid w:val="00CA1176"/>
    <w:rsid w:val="00CA147C"/>
    <w:rsid w:val="00CA1EF1"/>
    <w:rsid w:val="00CA24C8"/>
    <w:rsid w:val="00CA2A46"/>
    <w:rsid w:val="00CA2DC0"/>
    <w:rsid w:val="00CA3DBD"/>
    <w:rsid w:val="00CA416F"/>
    <w:rsid w:val="00CA4303"/>
    <w:rsid w:val="00CA4466"/>
    <w:rsid w:val="00CA4663"/>
    <w:rsid w:val="00CA49F0"/>
    <w:rsid w:val="00CA4F46"/>
    <w:rsid w:val="00CA59B6"/>
    <w:rsid w:val="00CA5CD8"/>
    <w:rsid w:val="00CA5D63"/>
    <w:rsid w:val="00CA7129"/>
    <w:rsid w:val="00CA749B"/>
    <w:rsid w:val="00CB00D8"/>
    <w:rsid w:val="00CB0242"/>
    <w:rsid w:val="00CB0BAF"/>
    <w:rsid w:val="00CB0EA3"/>
    <w:rsid w:val="00CB1697"/>
    <w:rsid w:val="00CB1A0D"/>
    <w:rsid w:val="00CB2564"/>
    <w:rsid w:val="00CB2C0F"/>
    <w:rsid w:val="00CB2DD4"/>
    <w:rsid w:val="00CB2DEA"/>
    <w:rsid w:val="00CB358C"/>
    <w:rsid w:val="00CB35B2"/>
    <w:rsid w:val="00CB382C"/>
    <w:rsid w:val="00CB435F"/>
    <w:rsid w:val="00CB45AB"/>
    <w:rsid w:val="00CB4973"/>
    <w:rsid w:val="00CB514F"/>
    <w:rsid w:val="00CB517E"/>
    <w:rsid w:val="00CB547B"/>
    <w:rsid w:val="00CB57CF"/>
    <w:rsid w:val="00CB6582"/>
    <w:rsid w:val="00CB65AF"/>
    <w:rsid w:val="00CB6727"/>
    <w:rsid w:val="00CB68EA"/>
    <w:rsid w:val="00CB6FE2"/>
    <w:rsid w:val="00CB74D9"/>
    <w:rsid w:val="00CB7FFC"/>
    <w:rsid w:val="00CC037F"/>
    <w:rsid w:val="00CC0796"/>
    <w:rsid w:val="00CC11DB"/>
    <w:rsid w:val="00CC11FA"/>
    <w:rsid w:val="00CC120F"/>
    <w:rsid w:val="00CC125A"/>
    <w:rsid w:val="00CC1514"/>
    <w:rsid w:val="00CC1697"/>
    <w:rsid w:val="00CC1AE9"/>
    <w:rsid w:val="00CC221E"/>
    <w:rsid w:val="00CC23DB"/>
    <w:rsid w:val="00CC2694"/>
    <w:rsid w:val="00CC2BEA"/>
    <w:rsid w:val="00CC3459"/>
    <w:rsid w:val="00CC373D"/>
    <w:rsid w:val="00CC3970"/>
    <w:rsid w:val="00CC3E1A"/>
    <w:rsid w:val="00CC3FF7"/>
    <w:rsid w:val="00CC415C"/>
    <w:rsid w:val="00CC440A"/>
    <w:rsid w:val="00CC58B4"/>
    <w:rsid w:val="00CC65F6"/>
    <w:rsid w:val="00CC686B"/>
    <w:rsid w:val="00CC6886"/>
    <w:rsid w:val="00CC6894"/>
    <w:rsid w:val="00CC6964"/>
    <w:rsid w:val="00CC69D3"/>
    <w:rsid w:val="00CC6B81"/>
    <w:rsid w:val="00CC6D31"/>
    <w:rsid w:val="00CC6FBD"/>
    <w:rsid w:val="00CC74C9"/>
    <w:rsid w:val="00CD0312"/>
    <w:rsid w:val="00CD040F"/>
    <w:rsid w:val="00CD05D7"/>
    <w:rsid w:val="00CD098F"/>
    <w:rsid w:val="00CD0EF9"/>
    <w:rsid w:val="00CD129C"/>
    <w:rsid w:val="00CD1629"/>
    <w:rsid w:val="00CD17FC"/>
    <w:rsid w:val="00CD1850"/>
    <w:rsid w:val="00CD1DE9"/>
    <w:rsid w:val="00CD1E80"/>
    <w:rsid w:val="00CD1F85"/>
    <w:rsid w:val="00CD22C6"/>
    <w:rsid w:val="00CD24DA"/>
    <w:rsid w:val="00CD2594"/>
    <w:rsid w:val="00CD25B2"/>
    <w:rsid w:val="00CD286F"/>
    <w:rsid w:val="00CD292B"/>
    <w:rsid w:val="00CD29FD"/>
    <w:rsid w:val="00CD3010"/>
    <w:rsid w:val="00CD3E50"/>
    <w:rsid w:val="00CD4092"/>
    <w:rsid w:val="00CD41E7"/>
    <w:rsid w:val="00CD435F"/>
    <w:rsid w:val="00CD4630"/>
    <w:rsid w:val="00CD54E0"/>
    <w:rsid w:val="00CD5DD2"/>
    <w:rsid w:val="00CD67F7"/>
    <w:rsid w:val="00CD69CF"/>
    <w:rsid w:val="00CD6A7D"/>
    <w:rsid w:val="00CD7343"/>
    <w:rsid w:val="00CD743F"/>
    <w:rsid w:val="00CD74AB"/>
    <w:rsid w:val="00CD7AE3"/>
    <w:rsid w:val="00CD7D87"/>
    <w:rsid w:val="00CE03AE"/>
    <w:rsid w:val="00CE0565"/>
    <w:rsid w:val="00CE0831"/>
    <w:rsid w:val="00CE0ECC"/>
    <w:rsid w:val="00CE116D"/>
    <w:rsid w:val="00CE19FF"/>
    <w:rsid w:val="00CE1A0C"/>
    <w:rsid w:val="00CE1BF7"/>
    <w:rsid w:val="00CE21BA"/>
    <w:rsid w:val="00CE24A7"/>
    <w:rsid w:val="00CE2C5A"/>
    <w:rsid w:val="00CE312B"/>
    <w:rsid w:val="00CE33C4"/>
    <w:rsid w:val="00CE348D"/>
    <w:rsid w:val="00CE34E5"/>
    <w:rsid w:val="00CE36D1"/>
    <w:rsid w:val="00CE383E"/>
    <w:rsid w:val="00CE38A5"/>
    <w:rsid w:val="00CE3B42"/>
    <w:rsid w:val="00CE3BDC"/>
    <w:rsid w:val="00CE40F5"/>
    <w:rsid w:val="00CE489C"/>
    <w:rsid w:val="00CE4A0B"/>
    <w:rsid w:val="00CE4B76"/>
    <w:rsid w:val="00CE4C55"/>
    <w:rsid w:val="00CE4E66"/>
    <w:rsid w:val="00CE5119"/>
    <w:rsid w:val="00CE55DC"/>
    <w:rsid w:val="00CE61D3"/>
    <w:rsid w:val="00CE6369"/>
    <w:rsid w:val="00CE64CE"/>
    <w:rsid w:val="00CE6B4A"/>
    <w:rsid w:val="00CE7014"/>
    <w:rsid w:val="00CE744E"/>
    <w:rsid w:val="00CE7C60"/>
    <w:rsid w:val="00CE7F18"/>
    <w:rsid w:val="00CF01A7"/>
    <w:rsid w:val="00CF02E3"/>
    <w:rsid w:val="00CF0329"/>
    <w:rsid w:val="00CF0A4E"/>
    <w:rsid w:val="00CF0A7C"/>
    <w:rsid w:val="00CF1309"/>
    <w:rsid w:val="00CF15CC"/>
    <w:rsid w:val="00CF17FA"/>
    <w:rsid w:val="00CF1BD1"/>
    <w:rsid w:val="00CF207A"/>
    <w:rsid w:val="00CF220D"/>
    <w:rsid w:val="00CF2464"/>
    <w:rsid w:val="00CF2775"/>
    <w:rsid w:val="00CF2AA4"/>
    <w:rsid w:val="00CF2ECD"/>
    <w:rsid w:val="00CF2F62"/>
    <w:rsid w:val="00CF33B4"/>
    <w:rsid w:val="00CF44F4"/>
    <w:rsid w:val="00CF4513"/>
    <w:rsid w:val="00CF4C3E"/>
    <w:rsid w:val="00CF4DD4"/>
    <w:rsid w:val="00CF4E27"/>
    <w:rsid w:val="00CF51B6"/>
    <w:rsid w:val="00CF52F1"/>
    <w:rsid w:val="00CF5541"/>
    <w:rsid w:val="00CF6381"/>
    <w:rsid w:val="00CF769F"/>
    <w:rsid w:val="00CF7A51"/>
    <w:rsid w:val="00CF7F68"/>
    <w:rsid w:val="00D00658"/>
    <w:rsid w:val="00D00A50"/>
    <w:rsid w:val="00D00AEE"/>
    <w:rsid w:val="00D00D38"/>
    <w:rsid w:val="00D00D50"/>
    <w:rsid w:val="00D00E12"/>
    <w:rsid w:val="00D01395"/>
    <w:rsid w:val="00D01472"/>
    <w:rsid w:val="00D01548"/>
    <w:rsid w:val="00D02116"/>
    <w:rsid w:val="00D023CF"/>
    <w:rsid w:val="00D02642"/>
    <w:rsid w:val="00D02772"/>
    <w:rsid w:val="00D02A85"/>
    <w:rsid w:val="00D02C51"/>
    <w:rsid w:val="00D02CF2"/>
    <w:rsid w:val="00D02FFA"/>
    <w:rsid w:val="00D03221"/>
    <w:rsid w:val="00D03354"/>
    <w:rsid w:val="00D03525"/>
    <w:rsid w:val="00D0368B"/>
    <w:rsid w:val="00D037F5"/>
    <w:rsid w:val="00D038B1"/>
    <w:rsid w:val="00D03E3A"/>
    <w:rsid w:val="00D03F86"/>
    <w:rsid w:val="00D04B90"/>
    <w:rsid w:val="00D04E49"/>
    <w:rsid w:val="00D0501F"/>
    <w:rsid w:val="00D051B2"/>
    <w:rsid w:val="00D05220"/>
    <w:rsid w:val="00D053AA"/>
    <w:rsid w:val="00D0598F"/>
    <w:rsid w:val="00D05DE0"/>
    <w:rsid w:val="00D064BF"/>
    <w:rsid w:val="00D064F8"/>
    <w:rsid w:val="00D069BF"/>
    <w:rsid w:val="00D06ED7"/>
    <w:rsid w:val="00D074BE"/>
    <w:rsid w:val="00D075E4"/>
    <w:rsid w:val="00D07A7C"/>
    <w:rsid w:val="00D07D9C"/>
    <w:rsid w:val="00D10003"/>
    <w:rsid w:val="00D101BB"/>
    <w:rsid w:val="00D10618"/>
    <w:rsid w:val="00D1085B"/>
    <w:rsid w:val="00D108EE"/>
    <w:rsid w:val="00D10989"/>
    <w:rsid w:val="00D111C0"/>
    <w:rsid w:val="00D12066"/>
    <w:rsid w:val="00D123B4"/>
    <w:rsid w:val="00D13191"/>
    <w:rsid w:val="00D13429"/>
    <w:rsid w:val="00D13A39"/>
    <w:rsid w:val="00D14C61"/>
    <w:rsid w:val="00D152F0"/>
    <w:rsid w:val="00D15934"/>
    <w:rsid w:val="00D1596E"/>
    <w:rsid w:val="00D15BD2"/>
    <w:rsid w:val="00D1616A"/>
    <w:rsid w:val="00D163E6"/>
    <w:rsid w:val="00D1716B"/>
    <w:rsid w:val="00D17294"/>
    <w:rsid w:val="00D179E4"/>
    <w:rsid w:val="00D17CA7"/>
    <w:rsid w:val="00D17F4D"/>
    <w:rsid w:val="00D17FCA"/>
    <w:rsid w:val="00D20025"/>
    <w:rsid w:val="00D20778"/>
    <w:rsid w:val="00D20D23"/>
    <w:rsid w:val="00D213FC"/>
    <w:rsid w:val="00D214C4"/>
    <w:rsid w:val="00D215FA"/>
    <w:rsid w:val="00D2252B"/>
    <w:rsid w:val="00D23844"/>
    <w:rsid w:val="00D238E2"/>
    <w:rsid w:val="00D24217"/>
    <w:rsid w:val="00D24B09"/>
    <w:rsid w:val="00D24BF1"/>
    <w:rsid w:val="00D24CC4"/>
    <w:rsid w:val="00D24E7D"/>
    <w:rsid w:val="00D25A96"/>
    <w:rsid w:val="00D25FA8"/>
    <w:rsid w:val="00D26266"/>
    <w:rsid w:val="00D262D8"/>
    <w:rsid w:val="00D26395"/>
    <w:rsid w:val="00D26402"/>
    <w:rsid w:val="00D269AE"/>
    <w:rsid w:val="00D2720E"/>
    <w:rsid w:val="00D275B7"/>
    <w:rsid w:val="00D27999"/>
    <w:rsid w:val="00D27C09"/>
    <w:rsid w:val="00D27CC4"/>
    <w:rsid w:val="00D3100B"/>
    <w:rsid w:val="00D31427"/>
    <w:rsid w:val="00D314C5"/>
    <w:rsid w:val="00D316AE"/>
    <w:rsid w:val="00D31BA1"/>
    <w:rsid w:val="00D31C55"/>
    <w:rsid w:val="00D325F9"/>
    <w:rsid w:val="00D3273F"/>
    <w:rsid w:val="00D32926"/>
    <w:rsid w:val="00D33536"/>
    <w:rsid w:val="00D337D1"/>
    <w:rsid w:val="00D33BF9"/>
    <w:rsid w:val="00D343AC"/>
    <w:rsid w:val="00D34563"/>
    <w:rsid w:val="00D34627"/>
    <w:rsid w:val="00D35AFD"/>
    <w:rsid w:val="00D35D34"/>
    <w:rsid w:val="00D35E3C"/>
    <w:rsid w:val="00D3646D"/>
    <w:rsid w:val="00D36D11"/>
    <w:rsid w:val="00D373B5"/>
    <w:rsid w:val="00D40626"/>
    <w:rsid w:val="00D40EB4"/>
    <w:rsid w:val="00D414A4"/>
    <w:rsid w:val="00D417E4"/>
    <w:rsid w:val="00D41E53"/>
    <w:rsid w:val="00D42210"/>
    <w:rsid w:val="00D4275B"/>
    <w:rsid w:val="00D42793"/>
    <w:rsid w:val="00D42884"/>
    <w:rsid w:val="00D428CA"/>
    <w:rsid w:val="00D43365"/>
    <w:rsid w:val="00D4345B"/>
    <w:rsid w:val="00D43D7D"/>
    <w:rsid w:val="00D44294"/>
    <w:rsid w:val="00D44402"/>
    <w:rsid w:val="00D4453A"/>
    <w:rsid w:val="00D457EC"/>
    <w:rsid w:val="00D45CC0"/>
    <w:rsid w:val="00D46285"/>
    <w:rsid w:val="00D46A5E"/>
    <w:rsid w:val="00D46C6B"/>
    <w:rsid w:val="00D473A1"/>
    <w:rsid w:val="00D47806"/>
    <w:rsid w:val="00D5014F"/>
    <w:rsid w:val="00D50305"/>
    <w:rsid w:val="00D504B7"/>
    <w:rsid w:val="00D50663"/>
    <w:rsid w:val="00D50750"/>
    <w:rsid w:val="00D50E02"/>
    <w:rsid w:val="00D51375"/>
    <w:rsid w:val="00D516E3"/>
    <w:rsid w:val="00D51775"/>
    <w:rsid w:val="00D519CC"/>
    <w:rsid w:val="00D51A34"/>
    <w:rsid w:val="00D51E11"/>
    <w:rsid w:val="00D5200F"/>
    <w:rsid w:val="00D52337"/>
    <w:rsid w:val="00D52984"/>
    <w:rsid w:val="00D52A21"/>
    <w:rsid w:val="00D52E03"/>
    <w:rsid w:val="00D53C4F"/>
    <w:rsid w:val="00D53E3F"/>
    <w:rsid w:val="00D545DA"/>
    <w:rsid w:val="00D54C63"/>
    <w:rsid w:val="00D54E70"/>
    <w:rsid w:val="00D553BE"/>
    <w:rsid w:val="00D55DEF"/>
    <w:rsid w:val="00D55F2D"/>
    <w:rsid w:val="00D56518"/>
    <w:rsid w:val="00D568E9"/>
    <w:rsid w:val="00D56AB6"/>
    <w:rsid w:val="00D56B32"/>
    <w:rsid w:val="00D57102"/>
    <w:rsid w:val="00D5751B"/>
    <w:rsid w:val="00D60398"/>
    <w:rsid w:val="00D608A1"/>
    <w:rsid w:val="00D60A97"/>
    <w:rsid w:val="00D60EF3"/>
    <w:rsid w:val="00D60FE1"/>
    <w:rsid w:val="00D616D0"/>
    <w:rsid w:val="00D61949"/>
    <w:rsid w:val="00D61F91"/>
    <w:rsid w:val="00D62335"/>
    <w:rsid w:val="00D62855"/>
    <w:rsid w:val="00D62E0F"/>
    <w:rsid w:val="00D62F01"/>
    <w:rsid w:val="00D639C1"/>
    <w:rsid w:val="00D63AE9"/>
    <w:rsid w:val="00D6417B"/>
    <w:rsid w:val="00D64309"/>
    <w:rsid w:val="00D6443A"/>
    <w:rsid w:val="00D64C47"/>
    <w:rsid w:val="00D650F2"/>
    <w:rsid w:val="00D655FC"/>
    <w:rsid w:val="00D65B52"/>
    <w:rsid w:val="00D65FD3"/>
    <w:rsid w:val="00D66148"/>
    <w:rsid w:val="00D66421"/>
    <w:rsid w:val="00D66ED5"/>
    <w:rsid w:val="00D67543"/>
    <w:rsid w:val="00D67861"/>
    <w:rsid w:val="00D67A20"/>
    <w:rsid w:val="00D67D49"/>
    <w:rsid w:val="00D67D74"/>
    <w:rsid w:val="00D70160"/>
    <w:rsid w:val="00D70310"/>
    <w:rsid w:val="00D70A38"/>
    <w:rsid w:val="00D70D7B"/>
    <w:rsid w:val="00D7102F"/>
    <w:rsid w:val="00D71249"/>
    <w:rsid w:val="00D713B5"/>
    <w:rsid w:val="00D71623"/>
    <w:rsid w:val="00D717CA"/>
    <w:rsid w:val="00D718A8"/>
    <w:rsid w:val="00D71B4E"/>
    <w:rsid w:val="00D72318"/>
    <w:rsid w:val="00D7278A"/>
    <w:rsid w:val="00D72C71"/>
    <w:rsid w:val="00D7316A"/>
    <w:rsid w:val="00D73614"/>
    <w:rsid w:val="00D73626"/>
    <w:rsid w:val="00D738DD"/>
    <w:rsid w:val="00D73AAB"/>
    <w:rsid w:val="00D73C1A"/>
    <w:rsid w:val="00D73EF6"/>
    <w:rsid w:val="00D74DD6"/>
    <w:rsid w:val="00D7529E"/>
    <w:rsid w:val="00D753D0"/>
    <w:rsid w:val="00D75C42"/>
    <w:rsid w:val="00D762D8"/>
    <w:rsid w:val="00D76DCD"/>
    <w:rsid w:val="00D76EE7"/>
    <w:rsid w:val="00D777B1"/>
    <w:rsid w:val="00D80124"/>
    <w:rsid w:val="00D801C9"/>
    <w:rsid w:val="00D801ED"/>
    <w:rsid w:val="00D8034F"/>
    <w:rsid w:val="00D8047C"/>
    <w:rsid w:val="00D805FC"/>
    <w:rsid w:val="00D8062B"/>
    <w:rsid w:val="00D80AA4"/>
    <w:rsid w:val="00D81D51"/>
    <w:rsid w:val="00D820D4"/>
    <w:rsid w:val="00D82610"/>
    <w:rsid w:val="00D82D3D"/>
    <w:rsid w:val="00D845FB"/>
    <w:rsid w:val="00D846BF"/>
    <w:rsid w:val="00D850FF"/>
    <w:rsid w:val="00D8545D"/>
    <w:rsid w:val="00D85764"/>
    <w:rsid w:val="00D85944"/>
    <w:rsid w:val="00D85AE6"/>
    <w:rsid w:val="00D85F2E"/>
    <w:rsid w:val="00D85F52"/>
    <w:rsid w:val="00D864BD"/>
    <w:rsid w:val="00D8697A"/>
    <w:rsid w:val="00D86B90"/>
    <w:rsid w:val="00D870B6"/>
    <w:rsid w:val="00D8714D"/>
    <w:rsid w:val="00D878FF"/>
    <w:rsid w:val="00D8796D"/>
    <w:rsid w:val="00D87EB0"/>
    <w:rsid w:val="00D9035C"/>
    <w:rsid w:val="00D90E8E"/>
    <w:rsid w:val="00D90FF0"/>
    <w:rsid w:val="00D914A4"/>
    <w:rsid w:val="00D92A50"/>
    <w:rsid w:val="00D92C14"/>
    <w:rsid w:val="00D9300D"/>
    <w:rsid w:val="00D93231"/>
    <w:rsid w:val="00D9333A"/>
    <w:rsid w:val="00D9336E"/>
    <w:rsid w:val="00D93830"/>
    <w:rsid w:val="00D938B5"/>
    <w:rsid w:val="00D93985"/>
    <w:rsid w:val="00D93DD1"/>
    <w:rsid w:val="00D94201"/>
    <w:rsid w:val="00D94222"/>
    <w:rsid w:val="00D942D0"/>
    <w:rsid w:val="00D94702"/>
    <w:rsid w:val="00D94983"/>
    <w:rsid w:val="00D949AD"/>
    <w:rsid w:val="00D94BE7"/>
    <w:rsid w:val="00D94C09"/>
    <w:rsid w:val="00D9602C"/>
    <w:rsid w:val="00D96C96"/>
    <w:rsid w:val="00D96D3C"/>
    <w:rsid w:val="00D97061"/>
    <w:rsid w:val="00D97183"/>
    <w:rsid w:val="00D97B92"/>
    <w:rsid w:val="00D97EFE"/>
    <w:rsid w:val="00DA013D"/>
    <w:rsid w:val="00DA01EC"/>
    <w:rsid w:val="00DA039F"/>
    <w:rsid w:val="00DA045C"/>
    <w:rsid w:val="00DA0C76"/>
    <w:rsid w:val="00DA0E64"/>
    <w:rsid w:val="00DA102D"/>
    <w:rsid w:val="00DA19AF"/>
    <w:rsid w:val="00DA1A9F"/>
    <w:rsid w:val="00DA2595"/>
    <w:rsid w:val="00DA2B24"/>
    <w:rsid w:val="00DA3648"/>
    <w:rsid w:val="00DA3768"/>
    <w:rsid w:val="00DA3862"/>
    <w:rsid w:val="00DA4A83"/>
    <w:rsid w:val="00DA4AC7"/>
    <w:rsid w:val="00DA4D59"/>
    <w:rsid w:val="00DA5689"/>
    <w:rsid w:val="00DA6613"/>
    <w:rsid w:val="00DA6994"/>
    <w:rsid w:val="00DA6F4B"/>
    <w:rsid w:val="00DA7031"/>
    <w:rsid w:val="00DA73A4"/>
    <w:rsid w:val="00DA753C"/>
    <w:rsid w:val="00DA7CD2"/>
    <w:rsid w:val="00DA7EB0"/>
    <w:rsid w:val="00DA7F86"/>
    <w:rsid w:val="00DB14C7"/>
    <w:rsid w:val="00DB1721"/>
    <w:rsid w:val="00DB22A9"/>
    <w:rsid w:val="00DB2ABF"/>
    <w:rsid w:val="00DB2CA1"/>
    <w:rsid w:val="00DB2CB1"/>
    <w:rsid w:val="00DB2DA5"/>
    <w:rsid w:val="00DB3787"/>
    <w:rsid w:val="00DB3C35"/>
    <w:rsid w:val="00DB3CF8"/>
    <w:rsid w:val="00DB3E72"/>
    <w:rsid w:val="00DB400E"/>
    <w:rsid w:val="00DB40C2"/>
    <w:rsid w:val="00DB4A8C"/>
    <w:rsid w:val="00DB5460"/>
    <w:rsid w:val="00DB5690"/>
    <w:rsid w:val="00DB5897"/>
    <w:rsid w:val="00DB5A19"/>
    <w:rsid w:val="00DB5A65"/>
    <w:rsid w:val="00DB5B1E"/>
    <w:rsid w:val="00DB5FE3"/>
    <w:rsid w:val="00DB6382"/>
    <w:rsid w:val="00DB651D"/>
    <w:rsid w:val="00DB65D6"/>
    <w:rsid w:val="00DB70C5"/>
    <w:rsid w:val="00DB7560"/>
    <w:rsid w:val="00DB7BF1"/>
    <w:rsid w:val="00DB7EB6"/>
    <w:rsid w:val="00DC0CAA"/>
    <w:rsid w:val="00DC11DA"/>
    <w:rsid w:val="00DC1602"/>
    <w:rsid w:val="00DC2335"/>
    <w:rsid w:val="00DC2380"/>
    <w:rsid w:val="00DC312D"/>
    <w:rsid w:val="00DC374B"/>
    <w:rsid w:val="00DC374D"/>
    <w:rsid w:val="00DC3B4C"/>
    <w:rsid w:val="00DC4199"/>
    <w:rsid w:val="00DC4287"/>
    <w:rsid w:val="00DC4601"/>
    <w:rsid w:val="00DC4A89"/>
    <w:rsid w:val="00DC4F5B"/>
    <w:rsid w:val="00DC533A"/>
    <w:rsid w:val="00DC57D4"/>
    <w:rsid w:val="00DC5888"/>
    <w:rsid w:val="00DC64F3"/>
    <w:rsid w:val="00DC6A2D"/>
    <w:rsid w:val="00DC6B1D"/>
    <w:rsid w:val="00DC6D0A"/>
    <w:rsid w:val="00DC7391"/>
    <w:rsid w:val="00DC73D3"/>
    <w:rsid w:val="00DC756D"/>
    <w:rsid w:val="00DC7DB1"/>
    <w:rsid w:val="00DD0662"/>
    <w:rsid w:val="00DD08B0"/>
    <w:rsid w:val="00DD0ACC"/>
    <w:rsid w:val="00DD0ED4"/>
    <w:rsid w:val="00DD1B6E"/>
    <w:rsid w:val="00DD1C14"/>
    <w:rsid w:val="00DD1C73"/>
    <w:rsid w:val="00DD296A"/>
    <w:rsid w:val="00DD2BFE"/>
    <w:rsid w:val="00DD3078"/>
    <w:rsid w:val="00DD31A0"/>
    <w:rsid w:val="00DD31E4"/>
    <w:rsid w:val="00DD3496"/>
    <w:rsid w:val="00DD3E97"/>
    <w:rsid w:val="00DD44CB"/>
    <w:rsid w:val="00DD49AD"/>
    <w:rsid w:val="00DD51F9"/>
    <w:rsid w:val="00DD55E9"/>
    <w:rsid w:val="00DD5731"/>
    <w:rsid w:val="00DD5C3D"/>
    <w:rsid w:val="00DD626B"/>
    <w:rsid w:val="00DD65A7"/>
    <w:rsid w:val="00DD662D"/>
    <w:rsid w:val="00DE00E4"/>
    <w:rsid w:val="00DE03AF"/>
    <w:rsid w:val="00DE0550"/>
    <w:rsid w:val="00DE0984"/>
    <w:rsid w:val="00DE0B69"/>
    <w:rsid w:val="00DE0DB0"/>
    <w:rsid w:val="00DE1232"/>
    <w:rsid w:val="00DE12A1"/>
    <w:rsid w:val="00DE1AD9"/>
    <w:rsid w:val="00DE25F9"/>
    <w:rsid w:val="00DE2926"/>
    <w:rsid w:val="00DE31D9"/>
    <w:rsid w:val="00DE3217"/>
    <w:rsid w:val="00DE3515"/>
    <w:rsid w:val="00DE3C62"/>
    <w:rsid w:val="00DE3EE3"/>
    <w:rsid w:val="00DE43CD"/>
    <w:rsid w:val="00DE4826"/>
    <w:rsid w:val="00DE4979"/>
    <w:rsid w:val="00DE4D8F"/>
    <w:rsid w:val="00DE4F9F"/>
    <w:rsid w:val="00DE50BA"/>
    <w:rsid w:val="00DE5350"/>
    <w:rsid w:val="00DE620D"/>
    <w:rsid w:val="00DE6283"/>
    <w:rsid w:val="00DE6401"/>
    <w:rsid w:val="00DE6906"/>
    <w:rsid w:val="00DE69A8"/>
    <w:rsid w:val="00DE6F20"/>
    <w:rsid w:val="00DE70BB"/>
    <w:rsid w:val="00DE71CB"/>
    <w:rsid w:val="00DE7515"/>
    <w:rsid w:val="00DE7B08"/>
    <w:rsid w:val="00DE7E0E"/>
    <w:rsid w:val="00DE7F34"/>
    <w:rsid w:val="00DF013C"/>
    <w:rsid w:val="00DF078E"/>
    <w:rsid w:val="00DF0C42"/>
    <w:rsid w:val="00DF0E75"/>
    <w:rsid w:val="00DF19AC"/>
    <w:rsid w:val="00DF1CD2"/>
    <w:rsid w:val="00DF1FAD"/>
    <w:rsid w:val="00DF2600"/>
    <w:rsid w:val="00DF275D"/>
    <w:rsid w:val="00DF2B24"/>
    <w:rsid w:val="00DF305E"/>
    <w:rsid w:val="00DF30D7"/>
    <w:rsid w:val="00DF34FA"/>
    <w:rsid w:val="00DF3643"/>
    <w:rsid w:val="00DF3652"/>
    <w:rsid w:val="00DF3775"/>
    <w:rsid w:val="00DF3B9A"/>
    <w:rsid w:val="00DF3C5A"/>
    <w:rsid w:val="00DF4371"/>
    <w:rsid w:val="00DF43E8"/>
    <w:rsid w:val="00DF447E"/>
    <w:rsid w:val="00DF45AC"/>
    <w:rsid w:val="00DF4B2D"/>
    <w:rsid w:val="00DF4DFE"/>
    <w:rsid w:val="00DF516A"/>
    <w:rsid w:val="00DF5941"/>
    <w:rsid w:val="00DF5CEC"/>
    <w:rsid w:val="00DF5D94"/>
    <w:rsid w:val="00DF5F01"/>
    <w:rsid w:val="00DF65C3"/>
    <w:rsid w:val="00DF65F0"/>
    <w:rsid w:val="00DF6A76"/>
    <w:rsid w:val="00DF6C06"/>
    <w:rsid w:val="00DF6C85"/>
    <w:rsid w:val="00DF6E1D"/>
    <w:rsid w:val="00DF73BB"/>
    <w:rsid w:val="00DF78BE"/>
    <w:rsid w:val="00E0015F"/>
    <w:rsid w:val="00E003C1"/>
    <w:rsid w:val="00E0140E"/>
    <w:rsid w:val="00E0184D"/>
    <w:rsid w:val="00E01B51"/>
    <w:rsid w:val="00E01DC2"/>
    <w:rsid w:val="00E01E4C"/>
    <w:rsid w:val="00E023F8"/>
    <w:rsid w:val="00E028EB"/>
    <w:rsid w:val="00E02D36"/>
    <w:rsid w:val="00E03165"/>
    <w:rsid w:val="00E03544"/>
    <w:rsid w:val="00E047A8"/>
    <w:rsid w:val="00E05095"/>
    <w:rsid w:val="00E053A4"/>
    <w:rsid w:val="00E05694"/>
    <w:rsid w:val="00E05B5F"/>
    <w:rsid w:val="00E05FC2"/>
    <w:rsid w:val="00E063A9"/>
    <w:rsid w:val="00E064B5"/>
    <w:rsid w:val="00E06665"/>
    <w:rsid w:val="00E0670A"/>
    <w:rsid w:val="00E0696F"/>
    <w:rsid w:val="00E06BF7"/>
    <w:rsid w:val="00E06C5A"/>
    <w:rsid w:val="00E1024A"/>
    <w:rsid w:val="00E10308"/>
    <w:rsid w:val="00E114E7"/>
    <w:rsid w:val="00E115D9"/>
    <w:rsid w:val="00E11A64"/>
    <w:rsid w:val="00E11B60"/>
    <w:rsid w:val="00E1235B"/>
    <w:rsid w:val="00E125C6"/>
    <w:rsid w:val="00E12D0D"/>
    <w:rsid w:val="00E12D40"/>
    <w:rsid w:val="00E1304B"/>
    <w:rsid w:val="00E133BA"/>
    <w:rsid w:val="00E13960"/>
    <w:rsid w:val="00E13F51"/>
    <w:rsid w:val="00E145F1"/>
    <w:rsid w:val="00E146AF"/>
    <w:rsid w:val="00E148F6"/>
    <w:rsid w:val="00E14A35"/>
    <w:rsid w:val="00E14CAB"/>
    <w:rsid w:val="00E14E97"/>
    <w:rsid w:val="00E1572C"/>
    <w:rsid w:val="00E15C35"/>
    <w:rsid w:val="00E15CD3"/>
    <w:rsid w:val="00E161E0"/>
    <w:rsid w:val="00E1620E"/>
    <w:rsid w:val="00E168C7"/>
    <w:rsid w:val="00E172DB"/>
    <w:rsid w:val="00E17703"/>
    <w:rsid w:val="00E178D1"/>
    <w:rsid w:val="00E17C73"/>
    <w:rsid w:val="00E17CC3"/>
    <w:rsid w:val="00E17DE2"/>
    <w:rsid w:val="00E20307"/>
    <w:rsid w:val="00E20965"/>
    <w:rsid w:val="00E20FDE"/>
    <w:rsid w:val="00E21733"/>
    <w:rsid w:val="00E21DAA"/>
    <w:rsid w:val="00E221E6"/>
    <w:rsid w:val="00E22C74"/>
    <w:rsid w:val="00E22F3C"/>
    <w:rsid w:val="00E23790"/>
    <w:rsid w:val="00E23A83"/>
    <w:rsid w:val="00E23CE6"/>
    <w:rsid w:val="00E240C6"/>
    <w:rsid w:val="00E242F2"/>
    <w:rsid w:val="00E24828"/>
    <w:rsid w:val="00E24D7C"/>
    <w:rsid w:val="00E24E28"/>
    <w:rsid w:val="00E25266"/>
    <w:rsid w:val="00E25678"/>
    <w:rsid w:val="00E25823"/>
    <w:rsid w:val="00E25A4C"/>
    <w:rsid w:val="00E25A4D"/>
    <w:rsid w:val="00E26762"/>
    <w:rsid w:val="00E26837"/>
    <w:rsid w:val="00E269C4"/>
    <w:rsid w:val="00E26D0E"/>
    <w:rsid w:val="00E275E6"/>
    <w:rsid w:val="00E27776"/>
    <w:rsid w:val="00E27890"/>
    <w:rsid w:val="00E2793A"/>
    <w:rsid w:val="00E27AB1"/>
    <w:rsid w:val="00E27CAE"/>
    <w:rsid w:val="00E27D61"/>
    <w:rsid w:val="00E27E4A"/>
    <w:rsid w:val="00E27E71"/>
    <w:rsid w:val="00E31067"/>
    <w:rsid w:val="00E31B9D"/>
    <w:rsid w:val="00E31EA0"/>
    <w:rsid w:val="00E320EC"/>
    <w:rsid w:val="00E323FD"/>
    <w:rsid w:val="00E32475"/>
    <w:rsid w:val="00E32B5E"/>
    <w:rsid w:val="00E32CA2"/>
    <w:rsid w:val="00E32E9C"/>
    <w:rsid w:val="00E33859"/>
    <w:rsid w:val="00E33FC3"/>
    <w:rsid w:val="00E34136"/>
    <w:rsid w:val="00E34E16"/>
    <w:rsid w:val="00E35230"/>
    <w:rsid w:val="00E3567B"/>
    <w:rsid w:val="00E359E8"/>
    <w:rsid w:val="00E36112"/>
    <w:rsid w:val="00E368A7"/>
    <w:rsid w:val="00E368FB"/>
    <w:rsid w:val="00E369CC"/>
    <w:rsid w:val="00E36F3F"/>
    <w:rsid w:val="00E36FF7"/>
    <w:rsid w:val="00E375EC"/>
    <w:rsid w:val="00E3786F"/>
    <w:rsid w:val="00E402F6"/>
    <w:rsid w:val="00E40445"/>
    <w:rsid w:val="00E4098A"/>
    <w:rsid w:val="00E41468"/>
    <w:rsid w:val="00E41826"/>
    <w:rsid w:val="00E41C6F"/>
    <w:rsid w:val="00E41C76"/>
    <w:rsid w:val="00E42C84"/>
    <w:rsid w:val="00E42F8B"/>
    <w:rsid w:val="00E439F7"/>
    <w:rsid w:val="00E43A3F"/>
    <w:rsid w:val="00E43F27"/>
    <w:rsid w:val="00E43F71"/>
    <w:rsid w:val="00E44289"/>
    <w:rsid w:val="00E442D9"/>
    <w:rsid w:val="00E4499E"/>
    <w:rsid w:val="00E450A7"/>
    <w:rsid w:val="00E4558E"/>
    <w:rsid w:val="00E45B23"/>
    <w:rsid w:val="00E45F8A"/>
    <w:rsid w:val="00E46175"/>
    <w:rsid w:val="00E4662A"/>
    <w:rsid w:val="00E47207"/>
    <w:rsid w:val="00E47B0E"/>
    <w:rsid w:val="00E5000C"/>
    <w:rsid w:val="00E50BF4"/>
    <w:rsid w:val="00E50EB1"/>
    <w:rsid w:val="00E51BC2"/>
    <w:rsid w:val="00E52E22"/>
    <w:rsid w:val="00E53A8A"/>
    <w:rsid w:val="00E53D01"/>
    <w:rsid w:val="00E5403E"/>
    <w:rsid w:val="00E5417B"/>
    <w:rsid w:val="00E5426F"/>
    <w:rsid w:val="00E544CD"/>
    <w:rsid w:val="00E544FF"/>
    <w:rsid w:val="00E546F9"/>
    <w:rsid w:val="00E548D8"/>
    <w:rsid w:val="00E55411"/>
    <w:rsid w:val="00E5562C"/>
    <w:rsid w:val="00E56FCB"/>
    <w:rsid w:val="00E57099"/>
    <w:rsid w:val="00E57296"/>
    <w:rsid w:val="00E57333"/>
    <w:rsid w:val="00E575DD"/>
    <w:rsid w:val="00E6005B"/>
    <w:rsid w:val="00E60762"/>
    <w:rsid w:val="00E60F56"/>
    <w:rsid w:val="00E61B0A"/>
    <w:rsid w:val="00E6230E"/>
    <w:rsid w:val="00E6340A"/>
    <w:rsid w:val="00E63D0B"/>
    <w:rsid w:val="00E64327"/>
    <w:rsid w:val="00E64AB3"/>
    <w:rsid w:val="00E64B2A"/>
    <w:rsid w:val="00E64E6C"/>
    <w:rsid w:val="00E64E8E"/>
    <w:rsid w:val="00E65079"/>
    <w:rsid w:val="00E65171"/>
    <w:rsid w:val="00E65327"/>
    <w:rsid w:val="00E658C2"/>
    <w:rsid w:val="00E65AD1"/>
    <w:rsid w:val="00E65E43"/>
    <w:rsid w:val="00E65EDA"/>
    <w:rsid w:val="00E6638B"/>
    <w:rsid w:val="00E668CE"/>
    <w:rsid w:val="00E668D1"/>
    <w:rsid w:val="00E6692E"/>
    <w:rsid w:val="00E66C60"/>
    <w:rsid w:val="00E66D0C"/>
    <w:rsid w:val="00E67037"/>
    <w:rsid w:val="00E67045"/>
    <w:rsid w:val="00E670F5"/>
    <w:rsid w:val="00E673B7"/>
    <w:rsid w:val="00E677AD"/>
    <w:rsid w:val="00E67846"/>
    <w:rsid w:val="00E6799C"/>
    <w:rsid w:val="00E70686"/>
    <w:rsid w:val="00E71075"/>
    <w:rsid w:val="00E7192B"/>
    <w:rsid w:val="00E7240D"/>
    <w:rsid w:val="00E72428"/>
    <w:rsid w:val="00E724A9"/>
    <w:rsid w:val="00E72607"/>
    <w:rsid w:val="00E72A6A"/>
    <w:rsid w:val="00E72D43"/>
    <w:rsid w:val="00E7418C"/>
    <w:rsid w:val="00E74852"/>
    <w:rsid w:val="00E74C21"/>
    <w:rsid w:val="00E74D37"/>
    <w:rsid w:val="00E74DAC"/>
    <w:rsid w:val="00E74ED5"/>
    <w:rsid w:val="00E751BC"/>
    <w:rsid w:val="00E758DF"/>
    <w:rsid w:val="00E75B9B"/>
    <w:rsid w:val="00E75CA5"/>
    <w:rsid w:val="00E7689E"/>
    <w:rsid w:val="00E76E3E"/>
    <w:rsid w:val="00E76F85"/>
    <w:rsid w:val="00E7719D"/>
    <w:rsid w:val="00E7725C"/>
    <w:rsid w:val="00E77E34"/>
    <w:rsid w:val="00E80C1C"/>
    <w:rsid w:val="00E80E3F"/>
    <w:rsid w:val="00E812DA"/>
    <w:rsid w:val="00E82018"/>
    <w:rsid w:val="00E8206B"/>
    <w:rsid w:val="00E82C3C"/>
    <w:rsid w:val="00E82C93"/>
    <w:rsid w:val="00E82E44"/>
    <w:rsid w:val="00E831C9"/>
    <w:rsid w:val="00E83387"/>
    <w:rsid w:val="00E844E6"/>
    <w:rsid w:val="00E84506"/>
    <w:rsid w:val="00E845A5"/>
    <w:rsid w:val="00E848C3"/>
    <w:rsid w:val="00E861E7"/>
    <w:rsid w:val="00E86379"/>
    <w:rsid w:val="00E864C8"/>
    <w:rsid w:val="00E86AAA"/>
    <w:rsid w:val="00E86F2D"/>
    <w:rsid w:val="00E873AC"/>
    <w:rsid w:val="00E87AC7"/>
    <w:rsid w:val="00E87F70"/>
    <w:rsid w:val="00E87FD2"/>
    <w:rsid w:val="00E9007B"/>
    <w:rsid w:val="00E905B7"/>
    <w:rsid w:val="00E90AF8"/>
    <w:rsid w:val="00E912AA"/>
    <w:rsid w:val="00E915CA"/>
    <w:rsid w:val="00E9254B"/>
    <w:rsid w:val="00E925FE"/>
    <w:rsid w:val="00E92FAB"/>
    <w:rsid w:val="00E94573"/>
    <w:rsid w:val="00E952D4"/>
    <w:rsid w:val="00E95574"/>
    <w:rsid w:val="00E95B15"/>
    <w:rsid w:val="00E95CF9"/>
    <w:rsid w:val="00E962D1"/>
    <w:rsid w:val="00E966A7"/>
    <w:rsid w:val="00E967FE"/>
    <w:rsid w:val="00E96850"/>
    <w:rsid w:val="00E97451"/>
    <w:rsid w:val="00E97701"/>
    <w:rsid w:val="00E979DE"/>
    <w:rsid w:val="00EA0851"/>
    <w:rsid w:val="00EA08F0"/>
    <w:rsid w:val="00EA0AED"/>
    <w:rsid w:val="00EA0E64"/>
    <w:rsid w:val="00EA1176"/>
    <w:rsid w:val="00EA15CB"/>
    <w:rsid w:val="00EA1C08"/>
    <w:rsid w:val="00EA1E88"/>
    <w:rsid w:val="00EA2563"/>
    <w:rsid w:val="00EA421A"/>
    <w:rsid w:val="00EA43C6"/>
    <w:rsid w:val="00EA4733"/>
    <w:rsid w:val="00EA52A5"/>
    <w:rsid w:val="00EA5477"/>
    <w:rsid w:val="00EA65C6"/>
    <w:rsid w:val="00EA6622"/>
    <w:rsid w:val="00EA7106"/>
    <w:rsid w:val="00EA7389"/>
    <w:rsid w:val="00EA7515"/>
    <w:rsid w:val="00EA769E"/>
    <w:rsid w:val="00EA788E"/>
    <w:rsid w:val="00EB00DE"/>
    <w:rsid w:val="00EB0164"/>
    <w:rsid w:val="00EB03BD"/>
    <w:rsid w:val="00EB050F"/>
    <w:rsid w:val="00EB0705"/>
    <w:rsid w:val="00EB16DF"/>
    <w:rsid w:val="00EB16E9"/>
    <w:rsid w:val="00EB1BBE"/>
    <w:rsid w:val="00EB1F3B"/>
    <w:rsid w:val="00EB229E"/>
    <w:rsid w:val="00EB2F9C"/>
    <w:rsid w:val="00EB37AE"/>
    <w:rsid w:val="00EB3A07"/>
    <w:rsid w:val="00EB43FB"/>
    <w:rsid w:val="00EB472B"/>
    <w:rsid w:val="00EB4744"/>
    <w:rsid w:val="00EB4839"/>
    <w:rsid w:val="00EB5064"/>
    <w:rsid w:val="00EB512A"/>
    <w:rsid w:val="00EB588D"/>
    <w:rsid w:val="00EB71C8"/>
    <w:rsid w:val="00EB7852"/>
    <w:rsid w:val="00EB7BC3"/>
    <w:rsid w:val="00EC0BBA"/>
    <w:rsid w:val="00EC1219"/>
    <w:rsid w:val="00EC159C"/>
    <w:rsid w:val="00EC1D15"/>
    <w:rsid w:val="00EC1FE1"/>
    <w:rsid w:val="00EC219B"/>
    <w:rsid w:val="00EC2E1B"/>
    <w:rsid w:val="00EC3123"/>
    <w:rsid w:val="00EC32D5"/>
    <w:rsid w:val="00EC3C7E"/>
    <w:rsid w:val="00EC4349"/>
    <w:rsid w:val="00EC455A"/>
    <w:rsid w:val="00EC455E"/>
    <w:rsid w:val="00EC460C"/>
    <w:rsid w:val="00EC4649"/>
    <w:rsid w:val="00EC54B6"/>
    <w:rsid w:val="00EC550E"/>
    <w:rsid w:val="00EC5D9F"/>
    <w:rsid w:val="00EC6141"/>
    <w:rsid w:val="00EC62C7"/>
    <w:rsid w:val="00EC63E7"/>
    <w:rsid w:val="00EC65C3"/>
    <w:rsid w:val="00EC6C46"/>
    <w:rsid w:val="00EC772C"/>
    <w:rsid w:val="00EC790C"/>
    <w:rsid w:val="00EC7D70"/>
    <w:rsid w:val="00ED0301"/>
    <w:rsid w:val="00ED0598"/>
    <w:rsid w:val="00ED0821"/>
    <w:rsid w:val="00ED0B63"/>
    <w:rsid w:val="00ED0C76"/>
    <w:rsid w:val="00ED0E87"/>
    <w:rsid w:val="00ED14E7"/>
    <w:rsid w:val="00ED161F"/>
    <w:rsid w:val="00ED1808"/>
    <w:rsid w:val="00ED1CFA"/>
    <w:rsid w:val="00ED2838"/>
    <w:rsid w:val="00ED2B0B"/>
    <w:rsid w:val="00ED33A6"/>
    <w:rsid w:val="00ED3AF1"/>
    <w:rsid w:val="00ED3E2A"/>
    <w:rsid w:val="00ED44AE"/>
    <w:rsid w:val="00ED4626"/>
    <w:rsid w:val="00ED467F"/>
    <w:rsid w:val="00ED50CA"/>
    <w:rsid w:val="00ED53B7"/>
    <w:rsid w:val="00ED540A"/>
    <w:rsid w:val="00ED5A69"/>
    <w:rsid w:val="00ED5ECA"/>
    <w:rsid w:val="00ED631A"/>
    <w:rsid w:val="00ED6BC6"/>
    <w:rsid w:val="00ED76F6"/>
    <w:rsid w:val="00ED7CBB"/>
    <w:rsid w:val="00EE014E"/>
    <w:rsid w:val="00EE03E2"/>
    <w:rsid w:val="00EE0ACC"/>
    <w:rsid w:val="00EE0C12"/>
    <w:rsid w:val="00EE0E95"/>
    <w:rsid w:val="00EE10BE"/>
    <w:rsid w:val="00EE10F4"/>
    <w:rsid w:val="00EE12A8"/>
    <w:rsid w:val="00EE1CD9"/>
    <w:rsid w:val="00EE2062"/>
    <w:rsid w:val="00EE20C7"/>
    <w:rsid w:val="00EE2F90"/>
    <w:rsid w:val="00EE35FA"/>
    <w:rsid w:val="00EE3D33"/>
    <w:rsid w:val="00EE438B"/>
    <w:rsid w:val="00EE43D8"/>
    <w:rsid w:val="00EE43FF"/>
    <w:rsid w:val="00EE443A"/>
    <w:rsid w:val="00EE497D"/>
    <w:rsid w:val="00EE4F4A"/>
    <w:rsid w:val="00EE5288"/>
    <w:rsid w:val="00EE542A"/>
    <w:rsid w:val="00EE56EE"/>
    <w:rsid w:val="00EE6901"/>
    <w:rsid w:val="00EE6A58"/>
    <w:rsid w:val="00EE71A8"/>
    <w:rsid w:val="00EE77DD"/>
    <w:rsid w:val="00EE783B"/>
    <w:rsid w:val="00EF00EA"/>
    <w:rsid w:val="00EF0195"/>
    <w:rsid w:val="00EF0353"/>
    <w:rsid w:val="00EF0C0D"/>
    <w:rsid w:val="00EF14CA"/>
    <w:rsid w:val="00EF1792"/>
    <w:rsid w:val="00EF19FC"/>
    <w:rsid w:val="00EF1DD1"/>
    <w:rsid w:val="00EF25BE"/>
    <w:rsid w:val="00EF25BF"/>
    <w:rsid w:val="00EF2786"/>
    <w:rsid w:val="00EF2D12"/>
    <w:rsid w:val="00EF2E0B"/>
    <w:rsid w:val="00EF305D"/>
    <w:rsid w:val="00EF3399"/>
    <w:rsid w:val="00EF4680"/>
    <w:rsid w:val="00EF4DE3"/>
    <w:rsid w:val="00EF5081"/>
    <w:rsid w:val="00EF540D"/>
    <w:rsid w:val="00EF54B7"/>
    <w:rsid w:val="00EF5588"/>
    <w:rsid w:val="00EF5A48"/>
    <w:rsid w:val="00EF5C30"/>
    <w:rsid w:val="00EF5F25"/>
    <w:rsid w:val="00EF679E"/>
    <w:rsid w:val="00EF6A1D"/>
    <w:rsid w:val="00EF74CE"/>
    <w:rsid w:val="00F00351"/>
    <w:rsid w:val="00F004A8"/>
    <w:rsid w:val="00F00B1D"/>
    <w:rsid w:val="00F0150D"/>
    <w:rsid w:val="00F01CBE"/>
    <w:rsid w:val="00F01CDF"/>
    <w:rsid w:val="00F01F42"/>
    <w:rsid w:val="00F02344"/>
    <w:rsid w:val="00F028B7"/>
    <w:rsid w:val="00F03F98"/>
    <w:rsid w:val="00F048CF"/>
    <w:rsid w:val="00F06332"/>
    <w:rsid w:val="00F0649B"/>
    <w:rsid w:val="00F068B9"/>
    <w:rsid w:val="00F069FC"/>
    <w:rsid w:val="00F071B0"/>
    <w:rsid w:val="00F07492"/>
    <w:rsid w:val="00F07691"/>
    <w:rsid w:val="00F07E29"/>
    <w:rsid w:val="00F07FDE"/>
    <w:rsid w:val="00F100E9"/>
    <w:rsid w:val="00F10311"/>
    <w:rsid w:val="00F106C7"/>
    <w:rsid w:val="00F112F8"/>
    <w:rsid w:val="00F1167B"/>
    <w:rsid w:val="00F11B99"/>
    <w:rsid w:val="00F11BF5"/>
    <w:rsid w:val="00F122CD"/>
    <w:rsid w:val="00F12E72"/>
    <w:rsid w:val="00F132AC"/>
    <w:rsid w:val="00F132CB"/>
    <w:rsid w:val="00F1347D"/>
    <w:rsid w:val="00F137F3"/>
    <w:rsid w:val="00F13ADE"/>
    <w:rsid w:val="00F13B2F"/>
    <w:rsid w:val="00F1467A"/>
    <w:rsid w:val="00F16816"/>
    <w:rsid w:val="00F1721E"/>
    <w:rsid w:val="00F1735B"/>
    <w:rsid w:val="00F17B66"/>
    <w:rsid w:val="00F17CFC"/>
    <w:rsid w:val="00F20182"/>
    <w:rsid w:val="00F201DC"/>
    <w:rsid w:val="00F209BF"/>
    <w:rsid w:val="00F20FA9"/>
    <w:rsid w:val="00F2189E"/>
    <w:rsid w:val="00F224A6"/>
    <w:rsid w:val="00F229BE"/>
    <w:rsid w:val="00F23580"/>
    <w:rsid w:val="00F238E8"/>
    <w:rsid w:val="00F23EDD"/>
    <w:rsid w:val="00F2445A"/>
    <w:rsid w:val="00F24940"/>
    <w:rsid w:val="00F250EE"/>
    <w:rsid w:val="00F25346"/>
    <w:rsid w:val="00F25442"/>
    <w:rsid w:val="00F25B6E"/>
    <w:rsid w:val="00F25B97"/>
    <w:rsid w:val="00F25D11"/>
    <w:rsid w:val="00F25DBD"/>
    <w:rsid w:val="00F25E33"/>
    <w:rsid w:val="00F26998"/>
    <w:rsid w:val="00F2757E"/>
    <w:rsid w:val="00F275CD"/>
    <w:rsid w:val="00F27A44"/>
    <w:rsid w:val="00F27EC1"/>
    <w:rsid w:val="00F27EFE"/>
    <w:rsid w:val="00F27F17"/>
    <w:rsid w:val="00F30AB0"/>
    <w:rsid w:val="00F30ADE"/>
    <w:rsid w:val="00F30D84"/>
    <w:rsid w:val="00F3345E"/>
    <w:rsid w:val="00F3360B"/>
    <w:rsid w:val="00F336B0"/>
    <w:rsid w:val="00F336CE"/>
    <w:rsid w:val="00F33AAD"/>
    <w:rsid w:val="00F33DAB"/>
    <w:rsid w:val="00F33FD9"/>
    <w:rsid w:val="00F340DB"/>
    <w:rsid w:val="00F345DE"/>
    <w:rsid w:val="00F34648"/>
    <w:rsid w:val="00F349F1"/>
    <w:rsid w:val="00F34FF8"/>
    <w:rsid w:val="00F35217"/>
    <w:rsid w:val="00F36168"/>
    <w:rsid w:val="00F3629F"/>
    <w:rsid w:val="00F364C4"/>
    <w:rsid w:val="00F36B02"/>
    <w:rsid w:val="00F36BAB"/>
    <w:rsid w:val="00F37024"/>
    <w:rsid w:val="00F3736F"/>
    <w:rsid w:val="00F3760C"/>
    <w:rsid w:val="00F37DE8"/>
    <w:rsid w:val="00F37DEE"/>
    <w:rsid w:val="00F4049C"/>
    <w:rsid w:val="00F4119B"/>
    <w:rsid w:val="00F41396"/>
    <w:rsid w:val="00F4180F"/>
    <w:rsid w:val="00F4219D"/>
    <w:rsid w:val="00F42AA4"/>
    <w:rsid w:val="00F4311D"/>
    <w:rsid w:val="00F43441"/>
    <w:rsid w:val="00F4362B"/>
    <w:rsid w:val="00F43A57"/>
    <w:rsid w:val="00F43E54"/>
    <w:rsid w:val="00F44299"/>
    <w:rsid w:val="00F443E2"/>
    <w:rsid w:val="00F446D5"/>
    <w:rsid w:val="00F44A1E"/>
    <w:rsid w:val="00F453E7"/>
    <w:rsid w:val="00F45567"/>
    <w:rsid w:val="00F45661"/>
    <w:rsid w:val="00F45A5D"/>
    <w:rsid w:val="00F46348"/>
    <w:rsid w:val="00F466B6"/>
    <w:rsid w:val="00F46BBE"/>
    <w:rsid w:val="00F47073"/>
    <w:rsid w:val="00F47528"/>
    <w:rsid w:val="00F4754A"/>
    <w:rsid w:val="00F47A92"/>
    <w:rsid w:val="00F50135"/>
    <w:rsid w:val="00F504C3"/>
    <w:rsid w:val="00F504DE"/>
    <w:rsid w:val="00F509E4"/>
    <w:rsid w:val="00F509F7"/>
    <w:rsid w:val="00F50AAB"/>
    <w:rsid w:val="00F50CC0"/>
    <w:rsid w:val="00F51470"/>
    <w:rsid w:val="00F51665"/>
    <w:rsid w:val="00F524E5"/>
    <w:rsid w:val="00F526DF"/>
    <w:rsid w:val="00F5289C"/>
    <w:rsid w:val="00F52A3C"/>
    <w:rsid w:val="00F52C52"/>
    <w:rsid w:val="00F5324F"/>
    <w:rsid w:val="00F534E7"/>
    <w:rsid w:val="00F537A5"/>
    <w:rsid w:val="00F540C6"/>
    <w:rsid w:val="00F5412B"/>
    <w:rsid w:val="00F543AF"/>
    <w:rsid w:val="00F543FC"/>
    <w:rsid w:val="00F54624"/>
    <w:rsid w:val="00F549BC"/>
    <w:rsid w:val="00F54C1B"/>
    <w:rsid w:val="00F54D33"/>
    <w:rsid w:val="00F551C9"/>
    <w:rsid w:val="00F555FF"/>
    <w:rsid w:val="00F55AB1"/>
    <w:rsid w:val="00F55F3C"/>
    <w:rsid w:val="00F56644"/>
    <w:rsid w:val="00F56EAF"/>
    <w:rsid w:val="00F56F9F"/>
    <w:rsid w:val="00F572B7"/>
    <w:rsid w:val="00F6000E"/>
    <w:rsid w:val="00F60166"/>
    <w:rsid w:val="00F6036A"/>
    <w:rsid w:val="00F60457"/>
    <w:rsid w:val="00F61276"/>
    <w:rsid w:val="00F618CC"/>
    <w:rsid w:val="00F61AC5"/>
    <w:rsid w:val="00F61BD5"/>
    <w:rsid w:val="00F62043"/>
    <w:rsid w:val="00F62324"/>
    <w:rsid w:val="00F6238C"/>
    <w:rsid w:val="00F62549"/>
    <w:rsid w:val="00F625C4"/>
    <w:rsid w:val="00F62BB6"/>
    <w:rsid w:val="00F62DF9"/>
    <w:rsid w:val="00F6388E"/>
    <w:rsid w:val="00F64BC2"/>
    <w:rsid w:val="00F64E47"/>
    <w:rsid w:val="00F6511B"/>
    <w:rsid w:val="00F6530A"/>
    <w:rsid w:val="00F65590"/>
    <w:rsid w:val="00F65621"/>
    <w:rsid w:val="00F668BB"/>
    <w:rsid w:val="00F66970"/>
    <w:rsid w:val="00F66C90"/>
    <w:rsid w:val="00F66FF7"/>
    <w:rsid w:val="00F67479"/>
    <w:rsid w:val="00F70510"/>
    <w:rsid w:val="00F70A41"/>
    <w:rsid w:val="00F70E06"/>
    <w:rsid w:val="00F70F88"/>
    <w:rsid w:val="00F7126A"/>
    <w:rsid w:val="00F71DFF"/>
    <w:rsid w:val="00F72456"/>
    <w:rsid w:val="00F72AD3"/>
    <w:rsid w:val="00F72D9F"/>
    <w:rsid w:val="00F72DAD"/>
    <w:rsid w:val="00F735E5"/>
    <w:rsid w:val="00F73817"/>
    <w:rsid w:val="00F73939"/>
    <w:rsid w:val="00F73ADA"/>
    <w:rsid w:val="00F73DC6"/>
    <w:rsid w:val="00F75ECB"/>
    <w:rsid w:val="00F75F7F"/>
    <w:rsid w:val="00F7611D"/>
    <w:rsid w:val="00F768A5"/>
    <w:rsid w:val="00F76F24"/>
    <w:rsid w:val="00F76F89"/>
    <w:rsid w:val="00F770A0"/>
    <w:rsid w:val="00F7718A"/>
    <w:rsid w:val="00F77FD0"/>
    <w:rsid w:val="00F800B4"/>
    <w:rsid w:val="00F80536"/>
    <w:rsid w:val="00F80893"/>
    <w:rsid w:val="00F80B0F"/>
    <w:rsid w:val="00F80E11"/>
    <w:rsid w:val="00F80ED7"/>
    <w:rsid w:val="00F80F19"/>
    <w:rsid w:val="00F81529"/>
    <w:rsid w:val="00F81DA8"/>
    <w:rsid w:val="00F82430"/>
    <w:rsid w:val="00F8278C"/>
    <w:rsid w:val="00F8284C"/>
    <w:rsid w:val="00F82FD2"/>
    <w:rsid w:val="00F83126"/>
    <w:rsid w:val="00F83206"/>
    <w:rsid w:val="00F8356D"/>
    <w:rsid w:val="00F8405F"/>
    <w:rsid w:val="00F84217"/>
    <w:rsid w:val="00F844EC"/>
    <w:rsid w:val="00F850DD"/>
    <w:rsid w:val="00F8529C"/>
    <w:rsid w:val="00F852A6"/>
    <w:rsid w:val="00F8565F"/>
    <w:rsid w:val="00F85749"/>
    <w:rsid w:val="00F85A9D"/>
    <w:rsid w:val="00F85AC6"/>
    <w:rsid w:val="00F85C58"/>
    <w:rsid w:val="00F85F87"/>
    <w:rsid w:val="00F86AA7"/>
    <w:rsid w:val="00F86E50"/>
    <w:rsid w:val="00F8746E"/>
    <w:rsid w:val="00F874D1"/>
    <w:rsid w:val="00F8757E"/>
    <w:rsid w:val="00F877DA"/>
    <w:rsid w:val="00F87FF4"/>
    <w:rsid w:val="00F90240"/>
    <w:rsid w:val="00F9038C"/>
    <w:rsid w:val="00F90DE1"/>
    <w:rsid w:val="00F9104E"/>
    <w:rsid w:val="00F916BC"/>
    <w:rsid w:val="00F91B9E"/>
    <w:rsid w:val="00F92213"/>
    <w:rsid w:val="00F92340"/>
    <w:rsid w:val="00F92F3A"/>
    <w:rsid w:val="00F93857"/>
    <w:rsid w:val="00F93F57"/>
    <w:rsid w:val="00F94416"/>
    <w:rsid w:val="00F949EB"/>
    <w:rsid w:val="00F9543F"/>
    <w:rsid w:val="00F958D1"/>
    <w:rsid w:val="00F95EFE"/>
    <w:rsid w:val="00F95F1B"/>
    <w:rsid w:val="00F96510"/>
    <w:rsid w:val="00F97060"/>
    <w:rsid w:val="00FA00CE"/>
    <w:rsid w:val="00FA06EB"/>
    <w:rsid w:val="00FA0703"/>
    <w:rsid w:val="00FA07EE"/>
    <w:rsid w:val="00FA0889"/>
    <w:rsid w:val="00FA0FFE"/>
    <w:rsid w:val="00FA12BE"/>
    <w:rsid w:val="00FA1406"/>
    <w:rsid w:val="00FA1BE9"/>
    <w:rsid w:val="00FA1FFF"/>
    <w:rsid w:val="00FA21E7"/>
    <w:rsid w:val="00FA298B"/>
    <w:rsid w:val="00FA29E5"/>
    <w:rsid w:val="00FA2AD0"/>
    <w:rsid w:val="00FA2D22"/>
    <w:rsid w:val="00FA3078"/>
    <w:rsid w:val="00FA32E1"/>
    <w:rsid w:val="00FA391B"/>
    <w:rsid w:val="00FA48BA"/>
    <w:rsid w:val="00FA496E"/>
    <w:rsid w:val="00FA49D3"/>
    <w:rsid w:val="00FA4E75"/>
    <w:rsid w:val="00FA4FEF"/>
    <w:rsid w:val="00FA5084"/>
    <w:rsid w:val="00FA5933"/>
    <w:rsid w:val="00FA6B26"/>
    <w:rsid w:val="00FA6BFD"/>
    <w:rsid w:val="00FA7346"/>
    <w:rsid w:val="00FA7573"/>
    <w:rsid w:val="00FA79BB"/>
    <w:rsid w:val="00FB008E"/>
    <w:rsid w:val="00FB0A47"/>
    <w:rsid w:val="00FB0B2D"/>
    <w:rsid w:val="00FB124D"/>
    <w:rsid w:val="00FB1916"/>
    <w:rsid w:val="00FB206E"/>
    <w:rsid w:val="00FB2133"/>
    <w:rsid w:val="00FB22C2"/>
    <w:rsid w:val="00FB3882"/>
    <w:rsid w:val="00FB3B09"/>
    <w:rsid w:val="00FB4057"/>
    <w:rsid w:val="00FB410B"/>
    <w:rsid w:val="00FB419F"/>
    <w:rsid w:val="00FB46C3"/>
    <w:rsid w:val="00FB4DE8"/>
    <w:rsid w:val="00FB4EB9"/>
    <w:rsid w:val="00FB4F9F"/>
    <w:rsid w:val="00FB538A"/>
    <w:rsid w:val="00FB54A1"/>
    <w:rsid w:val="00FB581C"/>
    <w:rsid w:val="00FB6541"/>
    <w:rsid w:val="00FB6C02"/>
    <w:rsid w:val="00FB6C0A"/>
    <w:rsid w:val="00FB7090"/>
    <w:rsid w:val="00FB71DF"/>
    <w:rsid w:val="00FB7607"/>
    <w:rsid w:val="00FB77E6"/>
    <w:rsid w:val="00FB782B"/>
    <w:rsid w:val="00FC0066"/>
    <w:rsid w:val="00FC01DF"/>
    <w:rsid w:val="00FC0677"/>
    <w:rsid w:val="00FC0AC2"/>
    <w:rsid w:val="00FC0C78"/>
    <w:rsid w:val="00FC1DBA"/>
    <w:rsid w:val="00FC245B"/>
    <w:rsid w:val="00FC2770"/>
    <w:rsid w:val="00FC2F09"/>
    <w:rsid w:val="00FC3028"/>
    <w:rsid w:val="00FC31D7"/>
    <w:rsid w:val="00FC3358"/>
    <w:rsid w:val="00FC3CF0"/>
    <w:rsid w:val="00FC4283"/>
    <w:rsid w:val="00FC46BF"/>
    <w:rsid w:val="00FC4A08"/>
    <w:rsid w:val="00FC5429"/>
    <w:rsid w:val="00FC5450"/>
    <w:rsid w:val="00FC549A"/>
    <w:rsid w:val="00FC5F81"/>
    <w:rsid w:val="00FC652E"/>
    <w:rsid w:val="00FC6545"/>
    <w:rsid w:val="00FC6647"/>
    <w:rsid w:val="00FC676C"/>
    <w:rsid w:val="00FC6EEC"/>
    <w:rsid w:val="00FC70D7"/>
    <w:rsid w:val="00FC726E"/>
    <w:rsid w:val="00FC74B4"/>
    <w:rsid w:val="00FC7839"/>
    <w:rsid w:val="00FC7873"/>
    <w:rsid w:val="00FC79C3"/>
    <w:rsid w:val="00FC7F90"/>
    <w:rsid w:val="00FD0F4E"/>
    <w:rsid w:val="00FD1022"/>
    <w:rsid w:val="00FD10BF"/>
    <w:rsid w:val="00FD1258"/>
    <w:rsid w:val="00FD13CE"/>
    <w:rsid w:val="00FD29C0"/>
    <w:rsid w:val="00FD2E6D"/>
    <w:rsid w:val="00FD32A6"/>
    <w:rsid w:val="00FD344F"/>
    <w:rsid w:val="00FD38F0"/>
    <w:rsid w:val="00FD415E"/>
    <w:rsid w:val="00FD4349"/>
    <w:rsid w:val="00FD49CF"/>
    <w:rsid w:val="00FD4B65"/>
    <w:rsid w:val="00FD4E7C"/>
    <w:rsid w:val="00FD573B"/>
    <w:rsid w:val="00FD5A2D"/>
    <w:rsid w:val="00FD602E"/>
    <w:rsid w:val="00FD69E9"/>
    <w:rsid w:val="00FD6A1D"/>
    <w:rsid w:val="00FD6F9C"/>
    <w:rsid w:val="00FD79D3"/>
    <w:rsid w:val="00FE004C"/>
    <w:rsid w:val="00FE0585"/>
    <w:rsid w:val="00FE15B2"/>
    <w:rsid w:val="00FE17AE"/>
    <w:rsid w:val="00FE1806"/>
    <w:rsid w:val="00FE2D5B"/>
    <w:rsid w:val="00FE31D0"/>
    <w:rsid w:val="00FE331E"/>
    <w:rsid w:val="00FE3466"/>
    <w:rsid w:val="00FE4086"/>
    <w:rsid w:val="00FE4219"/>
    <w:rsid w:val="00FE4930"/>
    <w:rsid w:val="00FE4960"/>
    <w:rsid w:val="00FE4A4C"/>
    <w:rsid w:val="00FE5A6F"/>
    <w:rsid w:val="00FE6144"/>
    <w:rsid w:val="00FE67DD"/>
    <w:rsid w:val="00FE6D87"/>
    <w:rsid w:val="00FE724C"/>
    <w:rsid w:val="00FE743A"/>
    <w:rsid w:val="00FF01A2"/>
    <w:rsid w:val="00FF0296"/>
    <w:rsid w:val="00FF05C2"/>
    <w:rsid w:val="00FF087B"/>
    <w:rsid w:val="00FF0DFA"/>
    <w:rsid w:val="00FF1237"/>
    <w:rsid w:val="00FF12F3"/>
    <w:rsid w:val="00FF1A79"/>
    <w:rsid w:val="00FF1ABD"/>
    <w:rsid w:val="00FF1C50"/>
    <w:rsid w:val="00FF2488"/>
    <w:rsid w:val="00FF26B3"/>
    <w:rsid w:val="00FF2FC0"/>
    <w:rsid w:val="00FF3653"/>
    <w:rsid w:val="00FF3834"/>
    <w:rsid w:val="00FF3EE0"/>
    <w:rsid w:val="00FF4383"/>
    <w:rsid w:val="00FF475C"/>
    <w:rsid w:val="00FF49D9"/>
    <w:rsid w:val="00FF4EA3"/>
    <w:rsid w:val="00FF4EEE"/>
    <w:rsid w:val="00FF4FBA"/>
    <w:rsid w:val="00FF59B2"/>
    <w:rsid w:val="00FF5E61"/>
    <w:rsid w:val="00FF5FD2"/>
    <w:rsid w:val="00FF681B"/>
    <w:rsid w:val="00FF6B72"/>
    <w:rsid w:val="00FF6C4E"/>
    <w:rsid w:val="00FF6E4A"/>
    <w:rsid w:val="00FF77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DEB29D"/>
  <w15:docId w15:val="{644A055A-2958-47BE-9261-11415A2E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1"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AFD"/>
    <w:pPr>
      <w:tabs>
        <w:tab w:val="left" w:pos="3825"/>
      </w:tabs>
      <w:overflowPunct w:val="0"/>
      <w:autoSpaceDE w:val="0"/>
      <w:autoSpaceDN w:val="0"/>
      <w:adjustRightInd w:val="0"/>
      <w:spacing w:before="120" w:after="120"/>
      <w:jc w:val="both"/>
      <w:textAlignment w:val="baseline"/>
    </w:pPr>
    <w:rPr>
      <w:rFonts w:ascii="Arial" w:hAnsi="Arial"/>
      <w:sz w:val="22"/>
      <w:lang w:val="sr-Latn-RS"/>
    </w:rPr>
  </w:style>
  <w:style w:type="paragraph" w:styleId="Heading1">
    <w:name w:val="heading 1"/>
    <w:aliases w:val="SZRptH1,h1,FIAS,Heading 1 - InfoEnerg,Chapitre,Main Heading,1"/>
    <w:basedOn w:val="Normal"/>
    <w:next w:val="Normal"/>
    <w:link w:val="Heading1Char"/>
    <w:qFormat/>
    <w:rsid w:val="008F31A7"/>
    <w:pPr>
      <w:numPr>
        <w:numId w:val="2"/>
      </w:numPr>
      <w:spacing w:after="360"/>
      <w:jc w:val="left"/>
      <w:outlineLvl w:val="0"/>
    </w:pPr>
    <w:rPr>
      <w:rFonts w:cs="Arial"/>
      <w:b/>
      <w:caps/>
      <w:spacing w:val="36"/>
      <w:sz w:val="28"/>
    </w:rPr>
  </w:style>
  <w:style w:type="paragraph" w:styleId="Heading2">
    <w:name w:val="heading 2"/>
    <w:aliases w:val="Sub,Outline2,Heading 2.2,Zweite Ebene,Section,paragraaf,Paranum,Text,h2,BHI_Überschrift 2,Heading 2 Char2 Char,sous-chapitre"/>
    <w:basedOn w:val="Heading1"/>
    <w:next w:val="Normal"/>
    <w:link w:val="Heading2Char1"/>
    <w:qFormat/>
    <w:rsid w:val="00AC403D"/>
    <w:pPr>
      <w:keepNext/>
      <w:keepLines/>
      <w:numPr>
        <w:ilvl w:val="1"/>
      </w:numPr>
      <w:spacing w:before="360" w:after="240"/>
      <w:outlineLvl w:val="1"/>
    </w:pPr>
    <w:rPr>
      <w:caps w:val="0"/>
      <w:sz w:val="24"/>
      <w:lang w:val="en-GB"/>
    </w:rPr>
  </w:style>
  <w:style w:type="paragraph" w:styleId="Heading3">
    <w:name w:val="heading 3"/>
    <w:aliases w:val="Sub Section,subparagraaf,Heading 3 Char Char Char,Centered,normal,h3,sl3,heading 3, Centered"/>
    <w:basedOn w:val="Heading2"/>
    <w:next w:val="Normal"/>
    <w:link w:val="Heading3Char"/>
    <w:qFormat/>
    <w:rsid w:val="00AC403D"/>
    <w:pPr>
      <w:numPr>
        <w:ilvl w:val="2"/>
      </w:numPr>
      <w:tabs>
        <w:tab w:val="clear" w:pos="1276"/>
        <w:tab w:val="num" w:pos="1134"/>
      </w:tabs>
      <w:ind w:left="1134"/>
      <w:outlineLvl w:val="2"/>
    </w:pPr>
    <w:rPr>
      <w:sz w:val="22"/>
    </w:rPr>
  </w:style>
  <w:style w:type="paragraph" w:styleId="Heading4">
    <w:name w:val="heading 4"/>
    <w:aliases w:val="Centred,h4,Cen."/>
    <w:basedOn w:val="Heading3"/>
    <w:next w:val="Normal"/>
    <w:link w:val="Heading4Char"/>
    <w:qFormat/>
    <w:rsid w:val="00E21DAA"/>
    <w:pPr>
      <w:numPr>
        <w:ilvl w:val="3"/>
      </w:numPr>
      <w:spacing w:before="240"/>
      <w:outlineLvl w:val="3"/>
    </w:pPr>
    <w:rPr>
      <w:spacing w:val="0"/>
    </w:rPr>
  </w:style>
  <w:style w:type="paragraph" w:styleId="Heading5">
    <w:name w:val="heading 5"/>
    <w:aliases w:val=" Side,Side,h5,Heading 5+1"/>
    <w:basedOn w:val="Heading4"/>
    <w:next w:val="Normal"/>
    <w:link w:val="Heading5Char"/>
    <w:qFormat/>
    <w:rsid w:val="00E21DAA"/>
    <w:pPr>
      <w:numPr>
        <w:ilvl w:val="4"/>
      </w:numPr>
      <w:outlineLvl w:val="4"/>
    </w:pPr>
    <w:rPr>
      <w:b w:val="0"/>
    </w:rPr>
  </w:style>
  <w:style w:type="paragraph" w:styleId="Heading6">
    <w:name w:val="heading 6"/>
    <w:basedOn w:val="Heading5"/>
    <w:next w:val="Normal"/>
    <w:link w:val="Heading6Char"/>
    <w:qFormat/>
    <w:rsid w:val="00E21DAA"/>
    <w:pPr>
      <w:numPr>
        <w:ilvl w:val="5"/>
        <w:numId w:val="1"/>
      </w:numPr>
      <w:outlineLvl w:val="5"/>
    </w:pPr>
  </w:style>
  <w:style w:type="paragraph" w:styleId="Heading7">
    <w:name w:val="heading 7"/>
    <w:basedOn w:val="Heading6"/>
    <w:next w:val="Normal"/>
    <w:link w:val="Heading7Char"/>
    <w:uiPriority w:val="1"/>
    <w:qFormat/>
    <w:rsid w:val="00E21DAA"/>
    <w:pPr>
      <w:numPr>
        <w:ilvl w:val="0"/>
        <w:numId w:val="0"/>
      </w:numPr>
      <w:tabs>
        <w:tab w:val="left" w:pos="1701"/>
      </w:tabs>
      <w:outlineLvl w:val="6"/>
    </w:pPr>
  </w:style>
  <w:style w:type="paragraph" w:styleId="Heading8">
    <w:name w:val="heading 8"/>
    <w:basedOn w:val="Heading7"/>
    <w:next w:val="Normal"/>
    <w:link w:val="Heading8Char"/>
    <w:qFormat/>
    <w:rsid w:val="00E21DAA"/>
    <w:pPr>
      <w:numPr>
        <w:ilvl w:val="7"/>
      </w:numPr>
      <w:spacing w:after="120"/>
      <w:outlineLvl w:val="7"/>
    </w:pPr>
  </w:style>
  <w:style w:type="paragraph" w:styleId="Heading9">
    <w:name w:val="heading 9"/>
    <w:basedOn w:val="Heading8"/>
    <w:next w:val="Normal"/>
    <w:link w:val="Heading9Char"/>
    <w:qFormat/>
    <w:rsid w:val="00E21DAA"/>
    <w:pPr>
      <w:numPr>
        <w:ilvl w:val="8"/>
      </w:num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Heading4"/>
    <w:next w:val="Normal"/>
    <w:rsid w:val="00E21DAA"/>
    <w:pPr>
      <w:numPr>
        <w:ilvl w:val="0"/>
        <w:numId w:val="0"/>
      </w:numPr>
      <w:tabs>
        <w:tab w:val="right" w:pos="7371"/>
      </w:tabs>
      <w:spacing w:before="0" w:after="0"/>
      <w:ind w:left="1134" w:right="567" w:hanging="1134"/>
    </w:pPr>
    <w:rPr>
      <w:b w:val="0"/>
    </w:rPr>
  </w:style>
  <w:style w:type="paragraph" w:styleId="TOC3">
    <w:name w:val="toc 3"/>
    <w:basedOn w:val="Heading3"/>
    <w:uiPriority w:val="39"/>
    <w:rsid w:val="00E21DAA"/>
    <w:pPr>
      <w:keepNext w:val="0"/>
      <w:keepLines w:val="0"/>
      <w:widowControl w:val="0"/>
      <w:numPr>
        <w:ilvl w:val="0"/>
        <w:numId w:val="0"/>
      </w:numPr>
      <w:tabs>
        <w:tab w:val="right" w:pos="7371"/>
      </w:tabs>
      <w:spacing w:before="0" w:after="0"/>
      <w:ind w:left="1134" w:right="567" w:hanging="1134"/>
      <w:outlineLvl w:val="9"/>
    </w:pPr>
    <w:rPr>
      <w:b w:val="0"/>
      <w:spacing w:val="0"/>
    </w:rPr>
  </w:style>
  <w:style w:type="paragraph" w:styleId="TOC2">
    <w:name w:val="toc 2"/>
    <w:basedOn w:val="Heading2"/>
    <w:uiPriority w:val="39"/>
    <w:rsid w:val="00E21DAA"/>
    <w:pPr>
      <w:keepNext w:val="0"/>
      <w:keepLines w:val="0"/>
      <w:widowControl w:val="0"/>
      <w:numPr>
        <w:ilvl w:val="0"/>
        <w:numId w:val="0"/>
      </w:numPr>
      <w:tabs>
        <w:tab w:val="left" w:pos="1134"/>
        <w:tab w:val="right" w:pos="7371"/>
      </w:tabs>
      <w:spacing w:before="120" w:after="0"/>
      <w:ind w:left="1134" w:right="567" w:hanging="1134"/>
      <w:outlineLvl w:val="9"/>
    </w:pPr>
    <w:rPr>
      <w:b w:val="0"/>
      <w:spacing w:val="0"/>
      <w:sz w:val="22"/>
    </w:rPr>
  </w:style>
  <w:style w:type="paragraph" w:styleId="TOC1">
    <w:name w:val="toc 1"/>
    <w:basedOn w:val="Heading1"/>
    <w:next w:val="TOC2"/>
    <w:uiPriority w:val="39"/>
    <w:rsid w:val="00E21DAA"/>
    <w:pPr>
      <w:numPr>
        <w:numId w:val="0"/>
      </w:numPr>
      <w:tabs>
        <w:tab w:val="left" w:pos="1134"/>
        <w:tab w:val="right" w:pos="7371"/>
      </w:tabs>
      <w:spacing w:after="120"/>
      <w:ind w:left="1134" w:right="567" w:hanging="1134"/>
      <w:outlineLvl w:val="9"/>
    </w:pPr>
    <w:rPr>
      <w:spacing w:val="0"/>
      <w:sz w:val="22"/>
    </w:rPr>
  </w:style>
  <w:style w:type="paragraph" w:styleId="Index3">
    <w:name w:val="index 3"/>
    <w:basedOn w:val="Normal"/>
    <w:next w:val="Normal"/>
    <w:semiHidden/>
    <w:rsid w:val="00E21DAA"/>
    <w:pPr>
      <w:ind w:left="567"/>
    </w:pPr>
    <w:rPr>
      <w:sz w:val="20"/>
    </w:rPr>
  </w:style>
  <w:style w:type="paragraph" w:styleId="Index2">
    <w:name w:val="index 2"/>
    <w:basedOn w:val="Normal"/>
    <w:next w:val="Normal"/>
    <w:semiHidden/>
    <w:rsid w:val="00E21DAA"/>
    <w:pPr>
      <w:ind w:left="283"/>
    </w:pPr>
  </w:style>
  <w:style w:type="paragraph" w:styleId="Index1">
    <w:name w:val="index 1"/>
    <w:basedOn w:val="Normal"/>
    <w:next w:val="Normal"/>
    <w:semiHidden/>
    <w:rsid w:val="00E21DAA"/>
  </w:style>
  <w:style w:type="character" w:styleId="LineNumber">
    <w:name w:val="line number"/>
    <w:basedOn w:val="DefaultParagraphFont"/>
    <w:rsid w:val="00E21DAA"/>
  </w:style>
  <w:style w:type="paragraph" w:styleId="IndexHeading">
    <w:name w:val="index heading"/>
    <w:basedOn w:val="Normal"/>
    <w:next w:val="Normal"/>
    <w:semiHidden/>
    <w:rsid w:val="00E21DAA"/>
  </w:style>
  <w:style w:type="paragraph" w:styleId="Footer">
    <w:name w:val="footer"/>
    <w:aliases w:val="eersteregel"/>
    <w:basedOn w:val="Normal"/>
    <w:link w:val="FooterChar"/>
    <w:rsid w:val="00E21DAA"/>
    <w:pPr>
      <w:tabs>
        <w:tab w:val="right" w:pos="7371"/>
      </w:tabs>
      <w:jc w:val="right"/>
    </w:pPr>
  </w:style>
  <w:style w:type="paragraph" w:styleId="Header">
    <w:name w:val="header"/>
    <w:aliases w:val="EY Header"/>
    <w:basedOn w:val="Normal"/>
    <w:link w:val="HeaderChar"/>
    <w:uiPriority w:val="99"/>
    <w:rsid w:val="00E21DAA"/>
    <w:pPr>
      <w:jc w:val="right"/>
    </w:pPr>
  </w:style>
  <w:style w:type="character" w:styleId="FootnoteReference">
    <w:name w:val="footnote reference"/>
    <w:aliases w:val="Fußnotenzeichen DISS,BVI fnr,fr,SUPERS,-E Fußnotenzeichen,Footnote symbol,Times 10 Point,Exposant 3 Point,number,Footnote reference number,note TESI,EN Footnote Reference,Footnote Reference/,Footnote Reference Number"/>
    <w:basedOn w:val="DefaultParagraphFont"/>
    <w:link w:val="16Point"/>
    <w:uiPriority w:val="99"/>
    <w:qFormat/>
    <w:rsid w:val="00E21DAA"/>
    <w:rPr>
      <w:rFonts w:ascii="Arial" w:hAnsi="Arial"/>
      <w:position w:val="6"/>
      <w:sz w:val="16"/>
    </w:rPr>
  </w:style>
  <w:style w:type="paragraph" w:styleId="FootnoteText">
    <w:name w:val="footnote text"/>
    <w:aliases w:val="ADB,Fußnotentextf,Footnote Text Char Char Char,Footnote Text Char Char,Fußnote,single space,footnote text,ft,FOOTNOTES,fn,FT,SD Footnote Text,Footnote Text AG,Footnote,Fotnotstext1,Footnote Text Char1 Char,9 pt,PRI Footnote Text"/>
    <w:basedOn w:val="Normal"/>
    <w:link w:val="FootnoteTextChar2"/>
    <w:uiPriority w:val="99"/>
    <w:qFormat/>
    <w:rsid w:val="00E21DAA"/>
    <w:pPr>
      <w:tabs>
        <w:tab w:val="left" w:pos="284"/>
      </w:tabs>
      <w:ind w:left="284" w:hanging="284"/>
      <w:jc w:val="left"/>
    </w:pPr>
    <w:rPr>
      <w:sz w:val="18"/>
    </w:rPr>
  </w:style>
  <w:style w:type="paragraph" w:styleId="BodyText">
    <w:name w:val="Body Text"/>
    <w:aliases w:val="uvlaka 2"/>
    <w:basedOn w:val="Normal"/>
    <w:link w:val="BodyTextChar"/>
    <w:rsid w:val="00E21DAA"/>
    <w:pPr>
      <w:widowControl w:val="0"/>
      <w:tabs>
        <w:tab w:val="left" w:pos="-720"/>
      </w:tabs>
      <w:suppressAutoHyphens/>
      <w:overflowPunct/>
      <w:autoSpaceDE/>
      <w:autoSpaceDN/>
      <w:adjustRightInd/>
      <w:spacing w:line="240" w:lineRule="atLeast"/>
      <w:textAlignment w:val="auto"/>
    </w:pPr>
    <w:rPr>
      <w:spacing w:val="-2"/>
      <w:lang w:val="en-GB" w:eastAsia="en-US"/>
    </w:rPr>
  </w:style>
  <w:style w:type="paragraph" w:styleId="Caption">
    <w:name w:val="caption"/>
    <w:aliases w:val="Caption-tables,tabfaption Char,Caption1 Char,Caption1,Caption Char Char... + 11 pt,Not...,Caption Char,Caption-tables Char"/>
    <w:basedOn w:val="Normal"/>
    <w:next w:val="Normal"/>
    <w:link w:val="CaptionChar1"/>
    <w:uiPriority w:val="35"/>
    <w:qFormat/>
    <w:rsid w:val="00E21DAA"/>
    <w:pPr>
      <w:tabs>
        <w:tab w:val="left" w:pos="1701"/>
      </w:tabs>
      <w:spacing w:after="220"/>
      <w:ind w:left="1701" w:hanging="1701"/>
      <w:jc w:val="left"/>
    </w:pPr>
    <w:rPr>
      <w:b/>
      <w:bCs/>
    </w:rPr>
  </w:style>
  <w:style w:type="paragraph" w:styleId="TableofFigures">
    <w:name w:val="table of figures"/>
    <w:basedOn w:val="Normal"/>
    <w:next w:val="Normal"/>
    <w:uiPriority w:val="99"/>
    <w:rsid w:val="00E21DAA"/>
    <w:pPr>
      <w:tabs>
        <w:tab w:val="left" w:pos="1134"/>
        <w:tab w:val="right" w:pos="7371"/>
      </w:tabs>
      <w:ind w:left="1134" w:right="567" w:hanging="1134"/>
      <w:jc w:val="left"/>
    </w:pPr>
  </w:style>
  <w:style w:type="character" w:styleId="Hyperlink">
    <w:name w:val="Hyperlink"/>
    <w:basedOn w:val="DefaultParagraphFont"/>
    <w:uiPriority w:val="99"/>
    <w:rsid w:val="00E21DAA"/>
    <w:rPr>
      <w:color w:val="0000FF"/>
      <w:u w:val="single"/>
    </w:rPr>
  </w:style>
  <w:style w:type="paragraph" w:customStyle="1" w:styleId="Quellenangabe">
    <w:name w:val="Quellenangabe"/>
    <w:basedOn w:val="Normal"/>
    <w:next w:val="Normal"/>
    <w:rsid w:val="00E21DAA"/>
    <w:pPr>
      <w:tabs>
        <w:tab w:val="left" w:pos="851"/>
      </w:tabs>
      <w:spacing w:before="60" w:after="220"/>
      <w:ind w:left="851" w:hanging="851"/>
      <w:jc w:val="left"/>
    </w:pPr>
    <w:rPr>
      <w:sz w:val="18"/>
    </w:rPr>
  </w:style>
  <w:style w:type="paragraph" w:styleId="TOC5">
    <w:name w:val="toc 5"/>
    <w:basedOn w:val="Heading5"/>
    <w:next w:val="Normal"/>
    <w:semiHidden/>
    <w:rsid w:val="00E21DAA"/>
    <w:pPr>
      <w:numPr>
        <w:ilvl w:val="0"/>
        <w:numId w:val="0"/>
      </w:numPr>
      <w:ind w:right="567"/>
    </w:pPr>
  </w:style>
  <w:style w:type="paragraph" w:customStyle="1" w:styleId="Tabellenstandard">
    <w:name w:val="Tabellenstandard"/>
    <w:basedOn w:val="Normal"/>
    <w:uiPriority w:val="99"/>
    <w:rsid w:val="00E21DAA"/>
    <w:pPr>
      <w:spacing w:before="48" w:after="48"/>
      <w:jc w:val="left"/>
    </w:pPr>
  </w:style>
  <w:style w:type="paragraph" w:customStyle="1" w:styleId="Tabellenaufzhlung">
    <w:name w:val="Tabellenaufzählung"/>
    <w:basedOn w:val="Tabellenstandard"/>
    <w:uiPriority w:val="99"/>
    <w:rsid w:val="00E21DAA"/>
    <w:pPr>
      <w:keepLines/>
      <w:numPr>
        <w:numId w:val="31"/>
      </w:numPr>
      <w:tabs>
        <w:tab w:val="left" w:pos="170"/>
      </w:tabs>
      <w:spacing w:before="0" w:after="0"/>
    </w:pPr>
    <w:rPr>
      <w:sz w:val="20"/>
    </w:rPr>
  </w:style>
  <w:style w:type="paragraph" w:customStyle="1" w:styleId="Tabellenaufzhlung2">
    <w:name w:val="Tabellenaufzählung 2"/>
    <w:basedOn w:val="Normal"/>
    <w:rsid w:val="00E21DAA"/>
    <w:pPr>
      <w:keepLines/>
      <w:tabs>
        <w:tab w:val="left" w:pos="170"/>
        <w:tab w:val="left" w:pos="426"/>
      </w:tabs>
      <w:ind w:left="425" w:hanging="255"/>
      <w:jc w:val="left"/>
    </w:pPr>
    <w:rPr>
      <w:sz w:val="20"/>
      <w:lang w:val="en-GB"/>
    </w:rPr>
  </w:style>
  <w:style w:type="paragraph" w:styleId="ListBullet">
    <w:name w:val="List Bullet"/>
    <w:basedOn w:val="Normal"/>
    <w:semiHidden/>
    <w:rsid w:val="00E21DAA"/>
    <w:pPr>
      <w:tabs>
        <w:tab w:val="num" w:pos="360"/>
      </w:tabs>
      <w:ind w:left="360" w:hanging="360"/>
      <w:jc w:val="left"/>
    </w:pPr>
  </w:style>
  <w:style w:type="paragraph" w:styleId="ListBullet2">
    <w:name w:val="List Bullet 2"/>
    <w:basedOn w:val="ListBullet"/>
    <w:semiHidden/>
    <w:rsid w:val="00E21DAA"/>
    <w:pPr>
      <w:tabs>
        <w:tab w:val="clear" w:pos="360"/>
        <w:tab w:val="num" w:pos="643"/>
      </w:tabs>
      <w:ind w:left="643"/>
    </w:pPr>
  </w:style>
  <w:style w:type="paragraph" w:styleId="ListBullet3">
    <w:name w:val="List Bullet 3"/>
    <w:basedOn w:val="ListBullet2"/>
    <w:semiHidden/>
    <w:rsid w:val="00E21DAA"/>
    <w:pPr>
      <w:tabs>
        <w:tab w:val="clear" w:pos="643"/>
        <w:tab w:val="num" w:pos="926"/>
      </w:tabs>
      <w:ind w:left="926"/>
    </w:pPr>
  </w:style>
  <w:style w:type="paragraph" w:styleId="BodyText2">
    <w:name w:val="Body Text 2"/>
    <w:basedOn w:val="Normal"/>
    <w:link w:val="BodyText2Char"/>
    <w:rsid w:val="00E21DAA"/>
    <w:pPr>
      <w:framePr w:w="7885" w:h="2943" w:wrap="notBeside" w:vAnchor="page" w:hAnchor="page" w:x="2518" w:y="4681"/>
      <w:ind w:right="237"/>
      <w:jc w:val="right"/>
    </w:pPr>
    <w:rPr>
      <w:bCs/>
      <w:sz w:val="28"/>
      <w:lang w:val="en-GB"/>
    </w:rPr>
  </w:style>
  <w:style w:type="character" w:styleId="PageNumber">
    <w:name w:val="page number"/>
    <w:basedOn w:val="DefaultParagraphFont"/>
    <w:rsid w:val="00E21DAA"/>
  </w:style>
  <w:style w:type="paragraph" w:customStyle="1" w:styleId="Kolumne">
    <w:name w:val="Kolumne"/>
    <w:basedOn w:val="Normal"/>
    <w:rsid w:val="00E21DAA"/>
    <w:pPr>
      <w:framePr w:w="1985" w:vSpace="142" w:wrap="around" w:vAnchor="text" w:hAnchor="page" w:x="1135" w:y="1"/>
      <w:jc w:val="left"/>
    </w:pPr>
    <w:rPr>
      <w:b/>
    </w:rPr>
  </w:style>
  <w:style w:type="paragraph" w:styleId="BodyTextIndent">
    <w:name w:val="Body Text Indent"/>
    <w:basedOn w:val="Normal"/>
    <w:link w:val="BodyTextIndentChar"/>
    <w:rsid w:val="00E21DAA"/>
    <w:pPr>
      <w:pBdr>
        <w:top w:val="double" w:sz="6" w:space="5" w:color="auto"/>
        <w:left w:val="double" w:sz="6" w:space="1" w:color="auto"/>
        <w:bottom w:val="double" w:sz="6" w:space="13" w:color="auto"/>
        <w:right w:val="double" w:sz="6" w:space="27" w:color="auto"/>
      </w:pBdr>
      <w:tabs>
        <w:tab w:val="left" w:pos="1843"/>
        <w:tab w:val="left" w:pos="4820"/>
      </w:tabs>
      <w:ind w:left="4820" w:hanging="4820"/>
    </w:pPr>
  </w:style>
  <w:style w:type="paragraph" w:styleId="BodyText3">
    <w:name w:val="Body Text 3"/>
    <w:basedOn w:val="Normal"/>
    <w:link w:val="BodyText3Char"/>
    <w:rsid w:val="00E21DAA"/>
    <w:pPr>
      <w:jc w:val="left"/>
    </w:pPr>
    <w:rPr>
      <w:color w:val="FFFFFF"/>
      <w:sz w:val="48"/>
    </w:rPr>
  </w:style>
  <w:style w:type="paragraph" w:styleId="Subtitle">
    <w:name w:val="Subtitle"/>
    <w:basedOn w:val="Normal"/>
    <w:link w:val="SubtitleChar"/>
    <w:qFormat/>
    <w:rsid w:val="00E21DAA"/>
    <w:pPr>
      <w:ind w:left="1843" w:hanging="1843"/>
    </w:pPr>
    <w:rPr>
      <w:b/>
      <w:bCs/>
      <w:spacing w:val="32"/>
      <w:sz w:val="28"/>
    </w:rPr>
  </w:style>
  <w:style w:type="character" w:styleId="Strong">
    <w:name w:val="Strong"/>
    <w:basedOn w:val="DefaultParagraphFont"/>
    <w:uiPriority w:val="22"/>
    <w:qFormat/>
    <w:rsid w:val="00E21DAA"/>
    <w:rPr>
      <w:b/>
    </w:rPr>
  </w:style>
  <w:style w:type="paragraph" w:styleId="NormalIndent">
    <w:name w:val="Normal Indent"/>
    <w:basedOn w:val="Normal"/>
    <w:rsid w:val="00E21DAA"/>
    <w:pPr>
      <w:ind w:left="284" w:hanging="284"/>
    </w:pPr>
    <w:rPr>
      <w:lang w:val="en-GB"/>
    </w:rPr>
  </w:style>
  <w:style w:type="paragraph" w:customStyle="1" w:styleId="StandardEndAbsatz">
    <w:name w:val="StandardEndAbsatz"/>
    <w:basedOn w:val="Normal"/>
    <w:rsid w:val="00E21DAA"/>
    <w:pPr>
      <w:spacing w:after="360"/>
    </w:pPr>
    <w:rPr>
      <w:lang w:val="en-GB"/>
    </w:rPr>
  </w:style>
  <w:style w:type="paragraph" w:styleId="TOC6">
    <w:name w:val="toc 6"/>
    <w:basedOn w:val="Normal"/>
    <w:next w:val="Normal"/>
    <w:autoRedefine/>
    <w:semiHidden/>
    <w:rsid w:val="00E21DAA"/>
    <w:pPr>
      <w:ind w:left="1100"/>
    </w:pPr>
  </w:style>
  <w:style w:type="paragraph" w:styleId="TOC7">
    <w:name w:val="toc 7"/>
    <w:basedOn w:val="Normal"/>
    <w:next w:val="Normal"/>
    <w:autoRedefine/>
    <w:uiPriority w:val="39"/>
    <w:rsid w:val="00E21DAA"/>
    <w:pPr>
      <w:ind w:left="1320"/>
    </w:pPr>
  </w:style>
  <w:style w:type="paragraph" w:styleId="TOC8">
    <w:name w:val="toc 8"/>
    <w:basedOn w:val="Normal"/>
    <w:next w:val="Normal"/>
    <w:autoRedefine/>
    <w:semiHidden/>
    <w:rsid w:val="00E21DAA"/>
    <w:pPr>
      <w:ind w:left="1540"/>
    </w:pPr>
  </w:style>
  <w:style w:type="paragraph" w:styleId="TOC9">
    <w:name w:val="toc 9"/>
    <w:basedOn w:val="Normal"/>
    <w:next w:val="Normal"/>
    <w:autoRedefine/>
    <w:semiHidden/>
    <w:rsid w:val="00E21DAA"/>
    <w:pPr>
      <w:ind w:left="1760"/>
    </w:pPr>
  </w:style>
  <w:style w:type="paragraph" w:styleId="BalloonText">
    <w:name w:val="Balloon Text"/>
    <w:basedOn w:val="Normal"/>
    <w:link w:val="BalloonTextChar"/>
    <w:uiPriority w:val="99"/>
    <w:semiHidden/>
    <w:unhideWhenUsed/>
    <w:rsid w:val="001D1A9D"/>
    <w:rPr>
      <w:rFonts w:ascii="Tahoma" w:hAnsi="Tahoma" w:cs="Tahoma"/>
      <w:sz w:val="16"/>
      <w:szCs w:val="16"/>
    </w:rPr>
  </w:style>
  <w:style w:type="character" w:customStyle="1" w:styleId="BalloonTextChar">
    <w:name w:val="Balloon Text Char"/>
    <w:basedOn w:val="DefaultParagraphFont"/>
    <w:link w:val="BalloonText"/>
    <w:uiPriority w:val="99"/>
    <w:semiHidden/>
    <w:rsid w:val="001D1A9D"/>
    <w:rPr>
      <w:rFonts w:ascii="Tahoma" w:hAnsi="Tahoma" w:cs="Tahoma"/>
      <w:sz w:val="16"/>
      <w:szCs w:val="16"/>
    </w:rPr>
  </w:style>
  <w:style w:type="character" w:customStyle="1" w:styleId="BodyTextIndentChar">
    <w:name w:val="Body Text Indent Char"/>
    <w:basedOn w:val="DefaultParagraphFont"/>
    <w:link w:val="BodyTextIndent"/>
    <w:rsid w:val="00DB14C7"/>
    <w:rPr>
      <w:rFonts w:ascii="Arial" w:hAnsi="Arial"/>
      <w:sz w:val="22"/>
    </w:rPr>
  </w:style>
  <w:style w:type="paragraph" w:customStyle="1" w:styleId="Heding2">
    <w:name w:val="Heding 2"/>
    <w:basedOn w:val="Heading2"/>
    <w:rsid w:val="00CB382C"/>
    <w:pPr>
      <w:numPr>
        <w:ilvl w:val="0"/>
        <w:numId w:val="3"/>
      </w:numPr>
      <w:tabs>
        <w:tab w:val="clear" w:pos="360"/>
        <w:tab w:val="left" w:pos="1134"/>
      </w:tabs>
      <w:ind w:left="1134" w:hanging="1134"/>
    </w:pPr>
  </w:style>
  <w:style w:type="paragraph" w:styleId="EndnoteText">
    <w:name w:val="endnote text"/>
    <w:basedOn w:val="Normal"/>
    <w:link w:val="EndnoteTextChar"/>
    <w:uiPriority w:val="99"/>
    <w:rsid w:val="00124E81"/>
    <w:pPr>
      <w:overflowPunct/>
      <w:autoSpaceDE/>
      <w:autoSpaceDN/>
      <w:adjustRightInd/>
      <w:jc w:val="left"/>
      <w:textAlignment w:val="auto"/>
    </w:pPr>
    <w:rPr>
      <w:sz w:val="20"/>
      <w:lang w:val="en-GB" w:eastAsia="en-US"/>
    </w:rPr>
  </w:style>
  <w:style w:type="character" w:customStyle="1" w:styleId="EndnoteTextChar">
    <w:name w:val="Endnote Text Char"/>
    <w:basedOn w:val="DefaultParagraphFont"/>
    <w:link w:val="EndnoteText"/>
    <w:uiPriority w:val="99"/>
    <w:rsid w:val="00124E81"/>
    <w:rPr>
      <w:rFonts w:ascii="Arial" w:hAnsi="Arial"/>
      <w:lang w:val="en-GB" w:eastAsia="en-US"/>
    </w:rPr>
  </w:style>
  <w:style w:type="paragraph" w:customStyle="1" w:styleId="Acronyms">
    <w:name w:val="Acronyms"/>
    <w:basedOn w:val="Normal"/>
    <w:link w:val="AcronymsZchn"/>
    <w:uiPriority w:val="99"/>
    <w:rsid w:val="00124E81"/>
    <w:pPr>
      <w:spacing w:before="20" w:after="20"/>
      <w:jc w:val="right"/>
    </w:pPr>
    <w:rPr>
      <w:rFonts w:cs="Arial"/>
      <w:b/>
      <w:bCs/>
      <w:color w:val="148DCD"/>
      <w:spacing w:val="20"/>
      <w:sz w:val="20"/>
      <w:lang w:val="en-GB"/>
    </w:rPr>
  </w:style>
  <w:style w:type="character" w:customStyle="1" w:styleId="AcronymsZchn">
    <w:name w:val="Acronyms Zchn"/>
    <w:basedOn w:val="DefaultParagraphFont"/>
    <w:link w:val="Acronyms"/>
    <w:uiPriority w:val="99"/>
    <w:locked/>
    <w:rsid w:val="00124E81"/>
    <w:rPr>
      <w:rFonts w:ascii="Arial" w:hAnsi="Arial" w:cs="Arial"/>
      <w:b/>
      <w:bCs/>
      <w:color w:val="148DCD"/>
      <w:spacing w:val="20"/>
      <w:lang w:val="en-GB"/>
    </w:rPr>
  </w:style>
  <w:style w:type="character" w:customStyle="1" w:styleId="st1">
    <w:name w:val="st1"/>
    <w:basedOn w:val="DefaultParagraphFont"/>
    <w:rsid w:val="001C00AF"/>
  </w:style>
  <w:style w:type="table" w:styleId="TableGrid">
    <w:name w:val="Table Grid"/>
    <w:basedOn w:val="TableNormal"/>
    <w:uiPriority w:val="39"/>
    <w:rsid w:val="007A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ZRptH1 Char,h1 Char,FIAS Char,Heading 1 - InfoEnerg Char,Chapitre Char,Main Heading Char,1 Char"/>
    <w:basedOn w:val="DefaultParagraphFont"/>
    <w:link w:val="Heading1"/>
    <w:rsid w:val="008F31A7"/>
    <w:rPr>
      <w:rFonts w:ascii="Arial" w:hAnsi="Arial" w:cs="Arial"/>
      <w:b/>
      <w:caps/>
      <w:spacing w:val="36"/>
      <w:sz w:val="28"/>
      <w:lang w:val="sr-Latn-RS"/>
    </w:rPr>
  </w:style>
  <w:style w:type="paragraph" w:styleId="ListParagraph">
    <w:name w:val="List Paragraph"/>
    <w:aliases w:val="члан,List (Mannvit),Left Bullet L1,Table/Figure Heading,Paragraph,Bullet EY,Normal bullet 2,Bullet list,List Paragraph Red,Resume Title,Citation List,List L1,List Paragraph1"/>
    <w:basedOn w:val="Normal"/>
    <w:link w:val="ListParagraphChar1"/>
    <w:uiPriority w:val="34"/>
    <w:qFormat/>
    <w:rsid w:val="00A30F9B"/>
    <w:rPr>
      <w:rFonts w:cs="Arial"/>
      <w:sz w:val="20"/>
      <w:lang w:val="en-GB"/>
    </w:rPr>
  </w:style>
  <w:style w:type="paragraph" w:customStyle="1" w:styleId="Standard6">
    <w:name w:val="Standard+6"/>
    <w:basedOn w:val="Normal"/>
    <w:link w:val="Standard6Zchn"/>
    <w:qFormat/>
    <w:rsid w:val="00876B84"/>
    <w:rPr>
      <w:lang w:val="en-GB"/>
    </w:rPr>
  </w:style>
  <w:style w:type="paragraph" w:styleId="Index6">
    <w:name w:val="index 6"/>
    <w:basedOn w:val="Normal"/>
    <w:next w:val="Normal"/>
    <w:autoRedefine/>
    <w:semiHidden/>
    <w:unhideWhenUsed/>
    <w:rsid w:val="00EC1FE1"/>
    <w:pPr>
      <w:ind w:left="1320" w:hanging="220"/>
    </w:pPr>
  </w:style>
  <w:style w:type="character" w:customStyle="1" w:styleId="Standard6Zchn">
    <w:name w:val="Standard+6 Zchn"/>
    <w:basedOn w:val="DefaultParagraphFont"/>
    <w:link w:val="Standard6"/>
    <w:rsid w:val="00876B84"/>
    <w:rPr>
      <w:rFonts w:ascii="Arial" w:hAnsi="Arial"/>
      <w:sz w:val="22"/>
      <w:lang w:val="en-GB"/>
    </w:rPr>
  </w:style>
  <w:style w:type="character" w:styleId="CommentReference">
    <w:name w:val="annotation reference"/>
    <w:basedOn w:val="DefaultParagraphFont"/>
    <w:unhideWhenUsed/>
    <w:rsid w:val="00B3467C"/>
    <w:rPr>
      <w:sz w:val="16"/>
      <w:szCs w:val="16"/>
    </w:rPr>
  </w:style>
  <w:style w:type="paragraph" w:styleId="CommentText">
    <w:name w:val="annotation text"/>
    <w:basedOn w:val="Normal"/>
    <w:link w:val="CommentTextChar"/>
    <w:unhideWhenUsed/>
    <w:rsid w:val="00B3467C"/>
    <w:rPr>
      <w:sz w:val="20"/>
    </w:rPr>
  </w:style>
  <w:style w:type="character" w:customStyle="1" w:styleId="CommentTextChar">
    <w:name w:val="Comment Text Char"/>
    <w:basedOn w:val="DefaultParagraphFont"/>
    <w:link w:val="CommentText"/>
    <w:rsid w:val="00B3467C"/>
    <w:rPr>
      <w:rFonts w:ascii="Arial" w:hAnsi="Arial"/>
    </w:rPr>
  </w:style>
  <w:style w:type="paragraph" w:styleId="CommentSubject">
    <w:name w:val="annotation subject"/>
    <w:basedOn w:val="CommentText"/>
    <w:next w:val="CommentText"/>
    <w:link w:val="CommentSubjectChar"/>
    <w:unhideWhenUsed/>
    <w:rsid w:val="00B3467C"/>
    <w:rPr>
      <w:b/>
      <w:bCs/>
    </w:rPr>
  </w:style>
  <w:style w:type="character" w:customStyle="1" w:styleId="CommentSubjectChar">
    <w:name w:val="Comment Subject Char"/>
    <w:basedOn w:val="CommentTextChar"/>
    <w:link w:val="CommentSubject"/>
    <w:rsid w:val="00B3467C"/>
    <w:rPr>
      <w:rFonts w:ascii="Arial" w:hAnsi="Arial"/>
      <w:b/>
      <w:bCs/>
    </w:rPr>
  </w:style>
  <w:style w:type="paragraph" w:styleId="Index7">
    <w:name w:val="index 7"/>
    <w:basedOn w:val="Normal"/>
    <w:next w:val="Normal"/>
    <w:semiHidden/>
    <w:rsid w:val="00980855"/>
    <w:pPr>
      <w:ind w:left="1698"/>
      <w:jc w:val="left"/>
    </w:pPr>
    <w:rPr>
      <w:rFonts w:ascii="Avalon" w:hAnsi="Avalon"/>
      <w:sz w:val="20"/>
      <w:lang w:val="en-GB"/>
    </w:rPr>
  </w:style>
  <w:style w:type="paragraph" w:styleId="Index5">
    <w:name w:val="index 5"/>
    <w:basedOn w:val="Normal"/>
    <w:next w:val="Normal"/>
    <w:semiHidden/>
    <w:rsid w:val="00980855"/>
    <w:pPr>
      <w:ind w:left="1132"/>
      <w:jc w:val="left"/>
    </w:pPr>
    <w:rPr>
      <w:rFonts w:ascii="Avalon" w:hAnsi="Avalon"/>
      <w:sz w:val="20"/>
      <w:lang w:val="en-GB"/>
    </w:rPr>
  </w:style>
  <w:style w:type="paragraph" w:styleId="Index4">
    <w:name w:val="index 4"/>
    <w:basedOn w:val="Normal"/>
    <w:next w:val="Normal"/>
    <w:semiHidden/>
    <w:rsid w:val="00980855"/>
    <w:pPr>
      <w:ind w:left="849"/>
      <w:jc w:val="left"/>
    </w:pPr>
    <w:rPr>
      <w:rFonts w:ascii="Avalon" w:hAnsi="Avalon"/>
      <w:sz w:val="20"/>
      <w:lang w:val="en-GB"/>
    </w:rPr>
  </w:style>
  <w:style w:type="paragraph" w:customStyle="1" w:styleId="GraphikTrennstrich">
    <w:name w:val="Graphik (Trennstrich)"/>
    <w:basedOn w:val="Normal"/>
    <w:rsid w:val="00980855"/>
    <w:pPr>
      <w:pBdr>
        <w:bottom w:val="single" w:sz="6" w:space="0" w:color="auto"/>
      </w:pBdr>
      <w:jc w:val="left"/>
    </w:pPr>
    <w:rPr>
      <w:rFonts w:ascii="Avalon" w:hAnsi="Avalon"/>
      <w:sz w:val="20"/>
      <w:lang w:val="en-GB"/>
    </w:rPr>
  </w:style>
  <w:style w:type="paragraph" w:customStyle="1" w:styleId="GraphikPosRahmen">
    <w:name w:val="Graphik (PosRahmen)"/>
    <w:basedOn w:val="Normal"/>
    <w:next w:val="Normal"/>
    <w:rsid w:val="00980855"/>
    <w:pPr>
      <w:keepNext/>
      <w:keepLines/>
      <w:framePr w:w="5670" w:h="3402" w:hSpace="284" w:vSpace="284" w:wrap="around" w:vAnchor="text" w:hAnchor="page" w:x="1134" w:y="1"/>
      <w:pBdr>
        <w:bottom w:val="single" w:sz="6" w:space="1" w:color="auto"/>
      </w:pBdr>
      <w:ind w:right="567"/>
    </w:pPr>
    <w:rPr>
      <w:sz w:val="16"/>
      <w:lang w:val="en-GB"/>
    </w:rPr>
  </w:style>
  <w:style w:type="paragraph" w:customStyle="1" w:styleId="Formatvorlage1">
    <w:name w:val="Formatvorlage1"/>
    <w:basedOn w:val="Header"/>
    <w:rsid w:val="00980855"/>
    <w:pPr>
      <w:tabs>
        <w:tab w:val="center" w:pos="4320"/>
        <w:tab w:val="right" w:pos="8640"/>
      </w:tabs>
      <w:overflowPunct/>
      <w:autoSpaceDE/>
      <w:autoSpaceDN/>
      <w:adjustRightInd/>
      <w:spacing w:before="240"/>
      <w:jc w:val="left"/>
      <w:textAlignment w:val="auto"/>
    </w:pPr>
    <w:rPr>
      <w:b/>
      <w:i/>
      <w:sz w:val="24"/>
      <w:szCs w:val="24"/>
      <w:lang w:val="en-GB" w:eastAsia="en-US"/>
    </w:rPr>
  </w:style>
  <w:style w:type="paragraph" w:customStyle="1" w:styleId="kopfzeil">
    <w:name w:val="kopfzeil"/>
    <w:basedOn w:val="Heading1"/>
    <w:rsid w:val="00980855"/>
    <w:pPr>
      <w:keepNext/>
      <w:numPr>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0" w:after="120"/>
      <w:jc w:val="both"/>
      <w:textAlignment w:val="auto"/>
    </w:pPr>
    <w:rPr>
      <w:rFonts w:cs="Times New Roman"/>
      <w:caps w:val="0"/>
      <w:spacing w:val="0"/>
      <w:sz w:val="20"/>
      <w:lang w:eastAsia="en-US"/>
    </w:rPr>
  </w:style>
  <w:style w:type="paragraph" w:customStyle="1" w:styleId="TOC">
    <w:name w:val="TOC"/>
    <w:basedOn w:val="Normal"/>
    <w:rsid w:val="009808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center"/>
      <w:textAlignment w:val="auto"/>
    </w:pPr>
    <w:rPr>
      <w:b/>
      <w:sz w:val="24"/>
      <w:lang w:val="en-GB" w:eastAsia="en-US"/>
    </w:rPr>
  </w:style>
  <w:style w:type="paragraph" w:styleId="BodyTextIndent2">
    <w:name w:val="Body Text Indent 2"/>
    <w:basedOn w:val="Normal"/>
    <w:link w:val="BodyTextIndent2Char"/>
    <w:rsid w:val="0098085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134" w:hanging="1134"/>
      <w:textAlignment w:val="auto"/>
    </w:pPr>
    <w:rPr>
      <w:b/>
      <w:lang w:val="en-GB" w:eastAsia="en-US"/>
    </w:rPr>
  </w:style>
  <w:style w:type="character" w:customStyle="1" w:styleId="BodyTextIndent2Char">
    <w:name w:val="Body Text Indent 2 Char"/>
    <w:basedOn w:val="DefaultParagraphFont"/>
    <w:link w:val="BodyTextIndent2"/>
    <w:rsid w:val="00980855"/>
    <w:rPr>
      <w:rFonts w:ascii="Arial" w:hAnsi="Arial"/>
      <w:b/>
      <w:sz w:val="22"/>
      <w:lang w:val="en-GB" w:eastAsia="en-US"/>
    </w:rPr>
  </w:style>
  <w:style w:type="paragraph" w:styleId="BodyTextIndent3">
    <w:name w:val="Body Text Indent 3"/>
    <w:basedOn w:val="Normal"/>
    <w:link w:val="BodyTextIndent3Char"/>
    <w:rsid w:val="00980855"/>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21"/>
      <w:textAlignment w:val="auto"/>
    </w:pPr>
    <w:rPr>
      <w:rFonts w:cs="Arial"/>
      <w:szCs w:val="22"/>
      <w:lang w:val="en-GB" w:eastAsia="en-US"/>
    </w:rPr>
  </w:style>
  <w:style w:type="character" w:customStyle="1" w:styleId="BodyTextIndent3Char">
    <w:name w:val="Body Text Indent 3 Char"/>
    <w:basedOn w:val="DefaultParagraphFont"/>
    <w:link w:val="BodyTextIndent3"/>
    <w:rsid w:val="00980855"/>
    <w:rPr>
      <w:rFonts w:ascii="Arial" w:hAnsi="Arial" w:cs="Arial"/>
      <w:sz w:val="22"/>
      <w:szCs w:val="22"/>
      <w:lang w:val="en-GB" w:eastAsia="en-US"/>
    </w:rPr>
  </w:style>
  <w:style w:type="paragraph" w:customStyle="1" w:styleId="inhaltsverzeichnis1">
    <w:name w:val="inhaltsverzeichnis_1"/>
    <w:basedOn w:val="Heading1"/>
    <w:rsid w:val="00980855"/>
    <w:pPr>
      <w:keepNext/>
      <w:numPr>
        <w:numId w:val="0"/>
      </w:numPr>
      <w:tabs>
        <w:tab w:val="num" w:pos="39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0" w:after="240"/>
      <w:ind w:left="390" w:hanging="390"/>
      <w:jc w:val="both"/>
      <w:textAlignment w:val="auto"/>
    </w:pPr>
    <w:rPr>
      <w:rFonts w:cs="Times New Roman"/>
      <w:caps w:val="0"/>
      <w:spacing w:val="0"/>
      <w:sz w:val="26"/>
      <w:lang w:eastAsia="en-US"/>
    </w:rPr>
  </w:style>
  <w:style w:type="paragraph" w:customStyle="1" w:styleId="inhaltsverzeichnis2">
    <w:name w:val="inhaltsverzeichnis_2"/>
    <w:basedOn w:val="Normal"/>
    <w:rsid w:val="009808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851"/>
      <w:textAlignment w:val="auto"/>
    </w:pPr>
    <w:rPr>
      <w:sz w:val="24"/>
      <w:lang w:val="en-GB" w:eastAsia="en-US"/>
    </w:rPr>
  </w:style>
  <w:style w:type="paragraph" w:customStyle="1" w:styleId="Textberschrift1">
    <w:name w:val="Text_Überschrift 1"/>
    <w:basedOn w:val="Heading1"/>
    <w:rsid w:val="00980855"/>
    <w:pPr>
      <w:keepNext/>
      <w:numPr>
        <w:numId w:val="0"/>
      </w:numPr>
      <w:tabs>
        <w:tab w:val="num"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0" w:after="240"/>
      <w:ind w:left="431" w:hanging="431"/>
      <w:textAlignment w:val="auto"/>
    </w:pPr>
    <w:rPr>
      <w:rFonts w:cs="Times New Roman"/>
      <w:caps w:val="0"/>
      <w:spacing w:val="30"/>
    </w:rPr>
  </w:style>
  <w:style w:type="paragraph" w:customStyle="1" w:styleId="Textberschrift2">
    <w:name w:val="Text_Überschrift 2"/>
    <w:basedOn w:val="BodyText"/>
    <w:rsid w:val="00980855"/>
    <w:pPr>
      <w:widowControl/>
      <w:tabs>
        <w:tab w:val="clear" w:pos="-720"/>
      </w:tabs>
      <w:suppressAutoHyphens w:val="0"/>
      <w:spacing w:before="240" w:line="240" w:lineRule="auto"/>
    </w:pPr>
    <w:rPr>
      <w:b/>
      <w:spacing w:val="0"/>
      <w:sz w:val="24"/>
      <w:u w:val="single"/>
    </w:rPr>
  </w:style>
  <w:style w:type="paragraph" w:customStyle="1" w:styleId="Textberschrift3">
    <w:name w:val="Text_Überschrift 3"/>
    <w:basedOn w:val="Normal"/>
    <w:rsid w:val="00980855"/>
    <w:pPr>
      <w:overflowPunct/>
      <w:autoSpaceDE/>
      <w:autoSpaceDN/>
      <w:adjustRightInd/>
      <w:ind w:left="851" w:hanging="851"/>
      <w:textAlignment w:val="auto"/>
    </w:pPr>
    <w:rPr>
      <w:b/>
      <w:lang w:val="en-GB" w:eastAsia="en-US"/>
    </w:rPr>
  </w:style>
  <w:style w:type="paragraph" w:customStyle="1" w:styleId="Textberschrift4">
    <w:name w:val="Text_Überschrift 4"/>
    <w:basedOn w:val="Heading4"/>
    <w:rsid w:val="00980855"/>
    <w:pPr>
      <w:keepLines w:val="0"/>
      <w:numPr>
        <w:ilvl w:val="0"/>
        <w:numId w:val="0"/>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0" w:after="120"/>
      <w:jc w:val="both"/>
      <w:textAlignment w:val="auto"/>
    </w:pPr>
    <w:rPr>
      <w:b w:val="0"/>
      <w:bCs/>
      <w:szCs w:val="22"/>
      <w:u w:val="single"/>
      <w:lang w:eastAsia="en-US"/>
    </w:rPr>
  </w:style>
  <w:style w:type="character" w:customStyle="1" w:styleId="FootnoteTextChar">
    <w:name w:val="Footnote Text Char"/>
    <w:aliases w:val="ADB Char,Fußnotentextf Char,Footnote Text Char Char Char Char,Footnote Text Char Char Char1,Fußnote Char,Footnote Text Char1,Footnote Text Char Char1,PRI Footnote Text Char,Char Char,Carattere Char,Footnotes Char,8 pt Char,ft Char1"/>
    <w:basedOn w:val="DefaultParagraphFont"/>
    <w:uiPriority w:val="99"/>
    <w:rsid w:val="00980855"/>
    <w:rPr>
      <w:rFonts w:ascii="Courier" w:hAnsi="Courier"/>
      <w:noProof w:val="0"/>
      <w:lang w:val="en-GB" w:eastAsia="en-US" w:bidi="ar-SA"/>
    </w:rPr>
  </w:style>
  <w:style w:type="paragraph" w:styleId="List">
    <w:name w:val="List"/>
    <w:basedOn w:val="Normal"/>
    <w:rsid w:val="00980855"/>
    <w:pPr>
      <w:ind w:left="283" w:hanging="283"/>
    </w:pPr>
    <w:rPr>
      <w:lang w:val="en-GB"/>
    </w:rPr>
  </w:style>
  <w:style w:type="paragraph" w:styleId="List2">
    <w:name w:val="List 2"/>
    <w:basedOn w:val="Normal"/>
    <w:uiPriority w:val="99"/>
    <w:rsid w:val="00980855"/>
    <w:pPr>
      <w:ind w:left="566" w:hanging="283"/>
    </w:pPr>
    <w:rPr>
      <w:lang w:val="en-GB"/>
    </w:rPr>
  </w:style>
  <w:style w:type="paragraph" w:styleId="List3">
    <w:name w:val="List 3"/>
    <w:basedOn w:val="Normal"/>
    <w:uiPriority w:val="99"/>
    <w:rsid w:val="00980855"/>
    <w:pPr>
      <w:ind w:left="849" w:hanging="283"/>
    </w:pPr>
    <w:rPr>
      <w:lang w:val="en-GB"/>
    </w:rPr>
  </w:style>
  <w:style w:type="paragraph" w:styleId="BlockText">
    <w:name w:val="Block Text"/>
    <w:basedOn w:val="Normal"/>
    <w:rsid w:val="00980855"/>
    <w:pPr>
      <w:tabs>
        <w:tab w:val="left" w:pos="851"/>
        <w:tab w:val="right" w:pos="7371"/>
      </w:tabs>
      <w:ind w:left="851" w:right="567" w:hanging="851"/>
      <w:jc w:val="left"/>
    </w:pPr>
    <w:rPr>
      <w:lang w:val="en-GB"/>
    </w:rPr>
  </w:style>
  <w:style w:type="paragraph" w:customStyle="1" w:styleId="wfxTime">
    <w:name w:val="wfxTime"/>
    <w:basedOn w:val="Normal"/>
    <w:rsid w:val="00980855"/>
    <w:pPr>
      <w:overflowPunct/>
      <w:autoSpaceDE/>
      <w:autoSpaceDN/>
      <w:adjustRightInd/>
      <w:jc w:val="left"/>
      <w:textAlignment w:val="auto"/>
    </w:pPr>
    <w:rPr>
      <w:lang w:val="en-GB" w:eastAsia="en-US"/>
    </w:rPr>
  </w:style>
  <w:style w:type="paragraph" w:styleId="NormalWeb">
    <w:name w:val="Normal (Web)"/>
    <w:basedOn w:val="Normal"/>
    <w:uiPriority w:val="99"/>
    <w:rsid w:val="00980855"/>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lang w:val="en-GB" w:eastAsia="en-US"/>
    </w:rPr>
  </w:style>
  <w:style w:type="paragraph" w:styleId="Title">
    <w:name w:val="Title"/>
    <w:basedOn w:val="Normal"/>
    <w:link w:val="TitleChar"/>
    <w:uiPriority w:val="10"/>
    <w:qFormat/>
    <w:rsid w:val="009808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center"/>
      <w:textAlignment w:val="auto"/>
    </w:pPr>
    <w:rPr>
      <w:b/>
      <w:sz w:val="20"/>
      <w:lang w:val="en-GB" w:eastAsia="en-US"/>
    </w:rPr>
  </w:style>
  <w:style w:type="character" w:customStyle="1" w:styleId="TitleChar">
    <w:name w:val="Title Char"/>
    <w:basedOn w:val="DefaultParagraphFont"/>
    <w:link w:val="Title"/>
    <w:uiPriority w:val="10"/>
    <w:rsid w:val="00980855"/>
    <w:rPr>
      <w:rFonts w:ascii="Arial" w:hAnsi="Arial"/>
      <w:b/>
      <w:lang w:val="en-GB" w:eastAsia="en-US"/>
    </w:rPr>
  </w:style>
  <w:style w:type="paragraph" w:customStyle="1" w:styleId="Normal14pt">
    <w:name w:val="Normal + 14 pt"/>
    <w:basedOn w:val="Title"/>
    <w:rsid w:val="00980855"/>
    <w:pPr>
      <w:jc w:val="left"/>
    </w:pPr>
    <w:rPr>
      <w:bCs/>
      <w:sz w:val="28"/>
      <w:szCs w:val="28"/>
    </w:rPr>
  </w:style>
  <w:style w:type="paragraph" w:styleId="HTMLPreformatted">
    <w:name w:val="HTML Preformatted"/>
    <w:basedOn w:val="Normal"/>
    <w:link w:val="HTMLPreformattedChar"/>
    <w:uiPriority w:val="99"/>
    <w:rsid w:val="0098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sz w:val="20"/>
      <w:lang w:eastAsia="en-US"/>
    </w:rPr>
  </w:style>
  <w:style w:type="character" w:customStyle="1" w:styleId="HTMLPreformattedChar">
    <w:name w:val="HTML Preformatted Char"/>
    <w:basedOn w:val="DefaultParagraphFont"/>
    <w:link w:val="HTMLPreformatted"/>
    <w:uiPriority w:val="99"/>
    <w:rsid w:val="00980855"/>
    <w:rPr>
      <w:rFonts w:ascii="Courier New" w:hAnsi="Courier New" w:cs="Courier New"/>
      <w:lang w:val="en-US" w:eastAsia="en-US"/>
    </w:rPr>
  </w:style>
  <w:style w:type="paragraph" w:customStyle="1" w:styleId="StyleBodyText2After0pt">
    <w:name w:val="Style Body Text 2 + After:  0 pt"/>
    <w:basedOn w:val="BodyText2"/>
    <w:rsid w:val="00980855"/>
    <w:pPr>
      <w:framePr w:w="0" w:hRule="auto" w:wrap="auto" w:vAnchor="margin" w:hAnchor="text" w:xAlign="left" w:yAlign="inline"/>
      <w:overflowPunct/>
      <w:autoSpaceDE/>
      <w:autoSpaceDN/>
      <w:adjustRightInd/>
      <w:spacing w:before="0"/>
      <w:ind w:right="0"/>
      <w:jc w:val="both"/>
      <w:textAlignment w:val="auto"/>
    </w:pPr>
    <w:rPr>
      <w:bCs w:val="0"/>
      <w:sz w:val="20"/>
      <w:lang w:eastAsia="en-US"/>
    </w:rPr>
  </w:style>
  <w:style w:type="paragraph" w:customStyle="1" w:styleId="graphheader">
    <w:name w:val="graph header"/>
    <w:basedOn w:val="Normal"/>
    <w:next w:val="BodyText"/>
    <w:rsid w:val="00980855"/>
    <w:pPr>
      <w:keepNext/>
      <w:overflowPunct/>
      <w:autoSpaceDE/>
      <w:autoSpaceDN/>
      <w:adjustRightInd/>
      <w:spacing w:line="312" w:lineRule="auto"/>
      <w:ind w:left="1800" w:hanging="1261"/>
      <w:textAlignment w:val="auto"/>
    </w:pPr>
    <w:rPr>
      <w:rFonts w:cs="Arial"/>
      <w:i/>
      <w:szCs w:val="22"/>
      <w:lang w:eastAsia="ru-RU"/>
    </w:rPr>
  </w:style>
  <w:style w:type="paragraph" w:customStyle="1" w:styleId="Source">
    <w:name w:val="Source"/>
    <w:basedOn w:val="Normal"/>
    <w:next w:val="BodyText"/>
    <w:link w:val="Source0"/>
    <w:rsid w:val="00980855"/>
    <w:pPr>
      <w:overflowPunct/>
      <w:autoSpaceDE/>
      <w:autoSpaceDN/>
      <w:adjustRightInd/>
      <w:spacing w:after="240"/>
      <w:jc w:val="right"/>
      <w:textAlignment w:val="auto"/>
    </w:pPr>
    <w:rPr>
      <w:i/>
      <w:sz w:val="20"/>
      <w:lang w:eastAsia="en-US"/>
    </w:rPr>
  </w:style>
  <w:style w:type="character" w:customStyle="1" w:styleId="Source0">
    <w:name w:val="Source Знак"/>
    <w:basedOn w:val="DefaultParagraphFont"/>
    <w:link w:val="Source"/>
    <w:rsid w:val="00980855"/>
    <w:rPr>
      <w:rFonts w:ascii="Arial" w:hAnsi="Arial"/>
      <w:i/>
      <w:lang w:val="en-US" w:eastAsia="en-US"/>
    </w:rPr>
  </w:style>
  <w:style w:type="character" w:styleId="FollowedHyperlink">
    <w:name w:val="FollowedHyperlink"/>
    <w:basedOn w:val="DefaultParagraphFont"/>
    <w:uiPriority w:val="99"/>
    <w:rsid w:val="00980855"/>
    <w:rPr>
      <w:color w:val="800080"/>
      <w:u w:val="single"/>
    </w:rPr>
  </w:style>
  <w:style w:type="paragraph" w:styleId="TOAHeading">
    <w:name w:val="toa heading"/>
    <w:basedOn w:val="Normal"/>
    <w:next w:val="Normal"/>
    <w:rsid w:val="00980855"/>
    <w:pPr>
      <w:overflowPunct/>
      <w:autoSpaceDE/>
      <w:autoSpaceDN/>
      <w:adjustRightInd/>
      <w:jc w:val="left"/>
      <w:textAlignment w:val="auto"/>
    </w:pPr>
    <w:rPr>
      <w:rFonts w:cs="Arial"/>
      <w:b/>
      <w:bCs/>
      <w:sz w:val="24"/>
      <w:szCs w:val="24"/>
      <w:lang w:val="en-GB" w:eastAsia="en-US"/>
    </w:rPr>
  </w:style>
  <w:style w:type="character" w:styleId="EndnoteReference">
    <w:name w:val="endnote reference"/>
    <w:basedOn w:val="DefaultParagraphFont"/>
    <w:rsid w:val="00980855"/>
    <w:rPr>
      <w:vertAlign w:val="superscript"/>
    </w:rPr>
  </w:style>
  <w:style w:type="paragraph" w:styleId="DocumentMap">
    <w:name w:val="Document Map"/>
    <w:basedOn w:val="Normal"/>
    <w:link w:val="DocumentMapChar"/>
    <w:uiPriority w:val="99"/>
    <w:rsid w:val="00980855"/>
    <w:pPr>
      <w:shd w:val="clear" w:color="auto" w:fill="000080"/>
      <w:overflowPunct/>
      <w:autoSpaceDE/>
      <w:autoSpaceDN/>
      <w:adjustRightInd/>
      <w:jc w:val="left"/>
      <w:textAlignment w:val="auto"/>
    </w:pPr>
    <w:rPr>
      <w:rFonts w:ascii="Tahoma" w:hAnsi="Tahoma" w:cs="Tahoma"/>
      <w:sz w:val="20"/>
      <w:lang w:val="en-GB" w:eastAsia="en-US"/>
    </w:rPr>
  </w:style>
  <w:style w:type="character" w:customStyle="1" w:styleId="DocumentMapChar">
    <w:name w:val="Document Map Char"/>
    <w:basedOn w:val="DefaultParagraphFont"/>
    <w:link w:val="DocumentMap"/>
    <w:uiPriority w:val="99"/>
    <w:rsid w:val="00980855"/>
    <w:rPr>
      <w:rFonts w:ascii="Tahoma" w:hAnsi="Tahoma" w:cs="Tahoma"/>
      <w:shd w:val="clear" w:color="auto" w:fill="000080"/>
      <w:lang w:val="en-GB" w:eastAsia="en-US"/>
    </w:rPr>
  </w:style>
  <w:style w:type="paragraph" w:styleId="TableofAuthorities">
    <w:name w:val="table of authorities"/>
    <w:basedOn w:val="Normal"/>
    <w:next w:val="Normal"/>
    <w:rsid w:val="00980855"/>
    <w:pPr>
      <w:overflowPunct/>
      <w:autoSpaceDE/>
      <w:autoSpaceDN/>
      <w:adjustRightInd/>
      <w:ind w:left="220" w:hanging="220"/>
      <w:jc w:val="left"/>
      <w:textAlignment w:val="auto"/>
    </w:pPr>
    <w:rPr>
      <w:lang w:val="en-GB" w:eastAsia="en-US"/>
    </w:rPr>
  </w:style>
  <w:style w:type="paragraph" w:styleId="MacroText">
    <w:name w:val="macro"/>
    <w:link w:val="MacroTextChar"/>
    <w:rsid w:val="009808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basedOn w:val="DefaultParagraphFont"/>
    <w:link w:val="MacroText"/>
    <w:rsid w:val="00980855"/>
    <w:rPr>
      <w:rFonts w:ascii="Courier New" w:hAnsi="Courier New" w:cs="Courier New"/>
      <w:lang w:val="en-GB" w:eastAsia="en-US"/>
    </w:rPr>
  </w:style>
  <w:style w:type="paragraph" w:styleId="Index8">
    <w:name w:val="index 8"/>
    <w:basedOn w:val="Normal"/>
    <w:next w:val="Normal"/>
    <w:autoRedefine/>
    <w:rsid w:val="00980855"/>
    <w:pPr>
      <w:overflowPunct/>
      <w:autoSpaceDE/>
      <w:autoSpaceDN/>
      <w:adjustRightInd/>
      <w:ind w:left="1760" w:hanging="220"/>
      <w:jc w:val="left"/>
      <w:textAlignment w:val="auto"/>
    </w:pPr>
    <w:rPr>
      <w:lang w:val="en-GB" w:eastAsia="en-US"/>
    </w:rPr>
  </w:style>
  <w:style w:type="paragraph" w:styleId="Index9">
    <w:name w:val="index 9"/>
    <w:basedOn w:val="Normal"/>
    <w:next w:val="Normal"/>
    <w:autoRedefine/>
    <w:uiPriority w:val="99"/>
    <w:rsid w:val="00980855"/>
    <w:pPr>
      <w:overflowPunct/>
      <w:autoSpaceDE/>
      <w:autoSpaceDN/>
      <w:adjustRightInd/>
      <w:ind w:left="1980" w:hanging="220"/>
      <w:jc w:val="left"/>
      <w:textAlignment w:val="auto"/>
    </w:pPr>
    <w:rPr>
      <w:lang w:val="en-GB" w:eastAsia="en-US"/>
    </w:rPr>
  </w:style>
  <w:style w:type="paragraph" w:customStyle="1" w:styleId="text0">
    <w:name w:val="text0"/>
    <w:basedOn w:val="Normal"/>
    <w:rsid w:val="00980855"/>
    <w:pPr>
      <w:suppressAutoHyphens/>
      <w:overflowPunct/>
      <w:autoSpaceDE/>
      <w:autoSpaceDN/>
      <w:adjustRightInd/>
      <w:spacing w:line="300" w:lineRule="atLeast"/>
      <w:jc w:val="left"/>
      <w:textAlignment w:val="auto"/>
    </w:pPr>
    <w:rPr>
      <w:rFonts w:cs="Arial"/>
      <w:sz w:val="24"/>
      <w:szCs w:val="24"/>
      <w:lang w:val="en-GB" w:eastAsia="ar-SA"/>
    </w:rPr>
  </w:style>
  <w:style w:type="paragraph" w:styleId="BodyTextFirstIndent">
    <w:name w:val="Body Text First Indent"/>
    <w:basedOn w:val="BodyText"/>
    <w:link w:val="BodyTextFirstIndentChar"/>
    <w:rsid w:val="00980855"/>
    <w:pPr>
      <w:widowControl/>
      <w:tabs>
        <w:tab w:val="clear" w:pos="-720"/>
      </w:tabs>
      <w:suppressAutoHyphens w:val="0"/>
      <w:spacing w:before="0" w:after="80" w:line="240" w:lineRule="auto"/>
      <w:ind w:firstLine="210"/>
      <w:jc w:val="left"/>
    </w:pPr>
    <w:rPr>
      <w:spacing w:val="0"/>
      <w:szCs w:val="22"/>
    </w:rPr>
  </w:style>
  <w:style w:type="character" w:customStyle="1" w:styleId="BodyTextChar">
    <w:name w:val="Body Text Char"/>
    <w:aliases w:val="uvlaka 2 Char"/>
    <w:basedOn w:val="DefaultParagraphFont"/>
    <w:link w:val="BodyText"/>
    <w:rsid w:val="00980855"/>
    <w:rPr>
      <w:rFonts w:ascii="Arial" w:hAnsi="Arial"/>
      <w:spacing w:val="-2"/>
      <w:sz w:val="22"/>
      <w:lang w:val="en-GB" w:eastAsia="en-US"/>
    </w:rPr>
  </w:style>
  <w:style w:type="character" w:customStyle="1" w:styleId="BodyTextFirstIndentChar">
    <w:name w:val="Body Text First Indent Char"/>
    <w:basedOn w:val="BodyTextChar"/>
    <w:link w:val="BodyTextFirstIndent"/>
    <w:rsid w:val="00980855"/>
    <w:rPr>
      <w:rFonts w:ascii="Arial" w:hAnsi="Arial"/>
      <w:spacing w:val="-2"/>
      <w:sz w:val="22"/>
      <w:lang w:val="en-GB" w:eastAsia="en-US"/>
    </w:rPr>
  </w:style>
  <w:style w:type="paragraph" w:styleId="Salutation">
    <w:name w:val="Salutation"/>
    <w:basedOn w:val="TableofFigures"/>
    <w:next w:val="Normal"/>
    <w:link w:val="SalutationChar"/>
    <w:rsid w:val="00980855"/>
    <w:pPr>
      <w:tabs>
        <w:tab w:val="clear" w:pos="1134"/>
        <w:tab w:val="clear" w:pos="7371"/>
        <w:tab w:val="left" w:pos="540"/>
        <w:tab w:val="left" w:pos="880"/>
        <w:tab w:val="right" w:leader="dot" w:pos="9540"/>
        <w:tab w:val="right" w:leader="dot" w:pos="9628"/>
      </w:tabs>
      <w:overflowPunct/>
      <w:autoSpaceDE/>
      <w:autoSpaceDN/>
      <w:adjustRightInd/>
      <w:ind w:left="900" w:right="998" w:hanging="900"/>
      <w:textAlignment w:val="auto"/>
    </w:pPr>
    <w:rPr>
      <w:noProof/>
      <w:sz w:val="18"/>
      <w:szCs w:val="18"/>
      <w:lang w:val="en-GB" w:eastAsia="en-US"/>
    </w:rPr>
  </w:style>
  <w:style w:type="character" w:customStyle="1" w:styleId="SalutationChar">
    <w:name w:val="Salutation Char"/>
    <w:basedOn w:val="DefaultParagraphFont"/>
    <w:link w:val="Salutation"/>
    <w:rsid w:val="00980855"/>
    <w:rPr>
      <w:rFonts w:ascii="Arial" w:hAnsi="Arial"/>
      <w:noProof/>
      <w:sz w:val="18"/>
      <w:szCs w:val="18"/>
      <w:lang w:val="en-GB" w:eastAsia="en-US"/>
    </w:rPr>
  </w:style>
  <w:style w:type="paragraph" w:customStyle="1" w:styleId="Default">
    <w:name w:val="Default"/>
    <w:rsid w:val="00980855"/>
    <w:pPr>
      <w:widowControl w:val="0"/>
      <w:autoSpaceDE w:val="0"/>
      <w:autoSpaceDN w:val="0"/>
      <w:adjustRightInd w:val="0"/>
    </w:pPr>
    <w:rPr>
      <w:rFonts w:ascii="Free Set C" w:hAnsi="Free Set C" w:cs="Free Set C"/>
      <w:color w:val="000000"/>
      <w:sz w:val="24"/>
      <w:szCs w:val="24"/>
      <w:lang w:val="en-US" w:eastAsia="en-US"/>
    </w:rPr>
  </w:style>
  <w:style w:type="paragraph" w:customStyle="1" w:styleId="CM1">
    <w:name w:val="CM1"/>
    <w:basedOn w:val="Default"/>
    <w:next w:val="Default"/>
    <w:rsid w:val="00980855"/>
    <w:pPr>
      <w:spacing w:line="263" w:lineRule="atLeast"/>
    </w:pPr>
    <w:rPr>
      <w:rFonts w:cs="Times New Roman"/>
      <w:color w:val="auto"/>
    </w:rPr>
  </w:style>
  <w:style w:type="paragraph" w:customStyle="1" w:styleId="CM100">
    <w:name w:val="CM100"/>
    <w:basedOn w:val="Default"/>
    <w:next w:val="Default"/>
    <w:rsid w:val="00980855"/>
    <w:pPr>
      <w:spacing w:after="288"/>
    </w:pPr>
    <w:rPr>
      <w:rFonts w:cs="Times New Roman"/>
      <w:color w:val="auto"/>
    </w:rPr>
  </w:style>
  <w:style w:type="paragraph" w:customStyle="1" w:styleId="CM5">
    <w:name w:val="CM5"/>
    <w:basedOn w:val="Default"/>
    <w:next w:val="Default"/>
    <w:rsid w:val="00980855"/>
    <w:pPr>
      <w:spacing w:line="260" w:lineRule="atLeast"/>
    </w:pPr>
    <w:rPr>
      <w:rFonts w:cs="Times New Roman"/>
      <w:color w:val="auto"/>
    </w:rPr>
  </w:style>
  <w:style w:type="paragraph" w:customStyle="1" w:styleId="CM8">
    <w:name w:val="CM8"/>
    <w:basedOn w:val="Default"/>
    <w:next w:val="Default"/>
    <w:rsid w:val="00980855"/>
    <w:pPr>
      <w:spacing w:line="156" w:lineRule="atLeast"/>
    </w:pPr>
    <w:rPr>
      <w:rFonts w:cs="Times New Roman"/>
      <w:color w:val="auto"/>
    </w:rPr>
  </w:style>
  <w:style w:type="paragraph" w:customStyle="1" w:styleId="CM103">
    <w:name w:val="CM103"/>
    <w:basedOn w:val="Default"/>
    <w:next w:val="Default"/>
    <w:rsid w:val="00980855"/>
    <w:pPr>
      <w:spacing w:after="610"/>
    </w:pPr>
    <w:rPr>
      <w:rFonts w:cs="Times New Roman"/>
      <w:color w:val="auto"/>
    </w:rPr>
  </w:style>
  <w:style w:type="paragraph" w:customStyle="1" w:styleId="CM112">
    <w:name w:val="CM112"/>
    <w:basedOn w:val="Default"/>
    <w:next w:val="Default"/>
    <w:rsid w:val="00980855"/>
    <w:pPr>
      <w:spacing w:after="240"/>
    </w:pPr>
    <w:rPr>
      <w:rFonts w:cs="Times New Roman"/>
      <w:color w:val="auto"/>
    </w:rPr>
  </w:style>
  <w:style w:type="paragraph" w:customStyle="1" w:styleId="CM17">
    <w:name w:val="CM17"/>
    <w:basedOn w:val="Default"/>
    <w:next w:val="Default"/>
    <w:rsid w:val="00980855"/>
    <w:pPr>
      <w:spacing w:line="313" w:lineRule="atLeast"/>
    </w:pPr>
    <w:rPr>
      <w:rFonts w:cs="Times New Roman"/>
      <w:color w:val="auto"/>
    </w:rPr>
  </w:style>
  <w:style w:type="paragraph" w:customStyle="1" w:styleId="CM18">
    <w:name w:val="CM18"/>
    <w:basedOn w:val="Default"/>
    <w:next w:val="Default"/>
    <w:rsid w:val="00980855"/>
    <w:pPr>
      <w:spacing w:line="260" w:lineRule="atLeast"/>
    </w:pPr>
    <w:rPr>
      <w:rFonts w:cs="Times New Roman"/>
      <w:color w:val="auto"/>
    </w:rPr>
  </w:style>
  <w:style w:type="paragraph" w:customStyle="1" w:styleId="CM113">
    <w:name w:val="CM113"/>
    <w:basedOn w:val="Default"/>
    <w:next w:val="Default"/>
    <w:rsid w:val="00980855"/>
    <w:pPr>
      <w:spacing w:after="690"/>
    </w:pPr>
    <w:rPr>
      <w:rFonts w:cs="Times New Roman"/>
      <w:color w:val="auto"/>
    </w:rPr>
  </w:style>
  <w:style w:type="paragraph" w:customStyle="1" w:styleId="shead">
    <w:name w:val="shead"/>
    <w:basedOn w:val="Normal"/>
    <w:rsid w:val="00980855"/>
    <w:pPr>
      <w:overflowPunct/>
      <w:autoSpaceDE/>
      <w:autoSpaceDN/>
      <w:adjustRightInd/>
      <w:spacing w:before="240"/>
      <w:textAlignment w:val="auto"/>
    </w:pPr>
    <w:rPr>
      <w:rFonts w:ascii="Verdana" w:hAnsi="Verdana"/>
      <w:sz w:val="18"/>
      <w:szCs w:val="18"/>
      <w:lang w:eastAsia="en-US"/>
    </w:rPr>
  </w:style>
  <w:style w:type="paragraph" w:customStyle="1" w:styleId="Arialnormal">
    <w:name w:val="Arial normal"/>
    <w:basedOn w:val="Normal"/>
    <w:rsid w:val="00980855"/>
    <w:rPr>
      <w:szCs w:val="22"/>
      <w:lang w:val="en-GB"/>
    </w:rPr>
  </w:style>
  <w:style w:type="character" w:customStyle="1" w:styleId="HeaderChar">
    <w:name w:val="Header Char"/>
    <w:aliases w:val="EY Header Char"/>
    <w:basedOn w:val="DefaultParagraphFont"/>
    <w:link w:val="Header"/>
    <w:uiPriority w:val="99"/>
    <w:locked/>
    <w:rsid w:val="00980855"/>
    <w:rPr>
      <w:rFonts w:ascii="Arial" w:hAnsi="Arial"/>
      <w:sz w:val="22"/>
    </w:rPr>
  </w:style>
  <w:style w:type="paragraph" w:customStyle="1" w:styleId="Style10pt">
    <w:name w:val="Style 10 pt"/>
    <w:basedOn w:val="Normal"/>
    <w:rsid w:val="00980855"/>
    <w:rPr>
      <w:rFonts w:cs="Arial"/>
      <w:sz w:val="18"/>
    </w:rPr>
  </w:style>
  <w:style w:type="paragraph" w:customStyle="1" w:styleId="CharCharCharCarCarChar">
    <w:name w:val="Char Char Char Car Car Char"/>
    <w:basedOn w:val="Normal"/>
    <w:rsid w:val="00980855"/>
    <w:pPr>
      <w:overflowPunct/>
      <w:autoSpaceDE/>
      <w:autoSpaceDN/>
      <w:adjustRightInd/>
      <w:spacing w:after="160" w:line="240" w:lineRule="exact"/>
      <w:jc w:val="left"/>
      <w:textAlignment w:val="auto"/>
    </w:pPr>
    <w:rPr>
      <w:rFonts w:cs="Arial"/>
      <w:sz w:val="20"/>
      <w:lang w:eastAsia="en-US"/>
    </w:rPr>
  </w:style>
  <w:style w:type="paragraph" w:customStyle="1" w:styleId="Listanumerotata">
    <w:name w:val="Lista numerotata"/>
    <w:basedOn w:val="Normal"/>
    <w:rsid w:val="00980855"/>
    <w:pPr>
      <w:numPr>
        <w:numId w:val="4"/>
      </w:numPr>
      <w:tabs>
        <w:tab w:val="center" w:pos="567"/>
      </w:tabs>
      <w:overflowPunct/>
      <w:autoSpaceDE/>
      <w:autoSpaceDN/>
      <w:adjustRightInd/>
      <w:spacing w:after="40"/>
      <w:jc w:val="left"/>
      <w:textAlignment w:val="auto"/>
    </w:pPr>
    <w:rPr>
      <w:rFonts w:ascii="Times New Roman" w:eastAsia="MS Mincho" w:hAnsi="Times New Roman" w:cs="Arial"/>
      <w:bCs/>
      <w:color w:val="000000"/>
      <w:sz w:val="24"/>
      <w:lang w:eastAsia="ru-RU"/>
    </w:rPr>
  </w:style>
  <w:style w:type="paragraph" w:styleId="TOCHeading">
    <w:name w:val="TOC Heading"/>
    <w:basedOn w:val="Heading1"/>
    <w:next w:val="Normal"/>
    <w:uiPriority w:val="39"/>
    <w:unhideWhenUsed/>
    <w:qFormat/>
    <w:rsid w:val="006053B0"/>
    <w:pPr>
      <w:keepNext/>
      <w:numPr>
        <w:numId w:val="0"/>
      </w:numPr>
      <w:spacing w:before="240" w:after="60"/>
      <w:jc w:val="both"/>
      <w:outlineLvl w:val="9"/>
    </w:pPr>
    <w:rPr>
      <w:rFonts w:asciiTheme="minorHAnsi" w:hAnsiTheme="minorHAnsi" w:cstheme="minorHAnsi"/>
      <w:bCs/>
      <w:spacing w:val="0"/>
      <w:kern w:val="32"/>
      <w:sz w:val="32"/>
      <w:szCs w:val="32"/>
    </w:rPr>
  </w:style>
  <w:style w:type="paragraph" w:customStyle="1" w:styleId="KolumneungeradeSeite">
    <w:name w:val="Kolumne (ungerade Seite)"/>
    <w:basedOn w:val="Normal"/>
    <w:link w:val="KolumneungeradeSeiteZchn"/>
    <w:qFormat/>
    <w:rsid w:val="00980855"/>
    <w:pPr>
      <w:framePr w:w="1928" w:hSpace="227" w:vSpace="142" w:wrap="notBeside" w:vAnchor="text" w:hAnchor="page" w:xAlign="outside" w:y="7"/>
      <w:jc w:val="left"/>
    </w:pPr>
    <w:rPr>
      <w:rFonts w:ascii="Arial Narrow" w:hAnsi="Arial Narrow" w:cs="Arial Narrow"/>
      <w:b/>
      <w:bCs/>
      <w:color w:val="034EA2"/>
      <w:sz w:val="20"/>
      <w:lang w:val="en-GB"/>
    </w:rPr>
  </w:style>
  <w:style w:type="paragraph" w:customStyle="1" w:styleId="KolumnegeradeSeite">
    <w:name w:val="Kolumne (gerade Seite)"/>
    <w:basedOn w:val="KolumneungeradeSeite"/>
    <w:link w:val="KolumnegeradeSeiteZchn"/>
    <w:qFormat/>
    <w:rsid w:val="00980855"/>
    <w:pPr>
      <w:framePr w:wrap="notBeside"/>
      <w:jc w:val="right"/>
    </w:pPr>
  </w:style>
  <w:style w:type="character" w:customStyle="1" w:styleId="KolumneungeradeSeiteZchn">
    <w:name w:val="Kolumne (ungerade Seite) Zchn"/>
    <w:basedOn w:val="DefaultParagraphFont"/>
    <w:link w:val="KolumneungeradeSeite"/>
    <w:locked/>
    <w:rsid w:val="00980855"/>
    <w:rPr>
      <w:rFonts w:ascii="Arial Narrow" w:hAnsi="Arial Narrow" w:cs="Arial Narrow"/>
      <w:b/>
      <w:bCs/>
      <w:color w:val="034EA2"/>
      <w:lang w:val="en-GB"/>
    </w:rPr>
  </w:style>
  <w:style w:type="character" w:customStyle="1" w:styleId="KolumnegeradeSeiteZchn">
    <w:name w:val="Kolumne (gerade Seite) Zchn"/>
    <w:basedOn w:val="KolumneungeradeSeiteZchn"/>
    <w:link w:val="KolumnegeradeSeite"/>
    <w:locked/>
    <w:rsid w:val="00980855"/>
    <w:rPr>
      <w:rFonts w:ascii="Arial Narrow" w:hAnsi="Arial Narrow" w:cs="Arial Narrow"/>
      <w:b/>
      <w:bCs/>
      <w:color w:val="034EA2"/>
      <w:lang w:val="en-GB"/>
    </w:rPr>
  </w:style>
  <w:style w:type="character" w:styleId="Emphasis">
    <w:name w:val="Emphasis"/>
    <w:basedOn w:val="DefaultParagraphFont"/>
    <w:uiPriority w:val="20"/>
    <w:qFormat/>
    <w:rsid w:val="00980855"/>
    <w:rPr>
      <w:b/>
      <w:bCs/>
      <w:i w:val="0"/>
      <w:iCs w:val="0"/>
    </w:rPr>
  </w:style>
  <w:style w:type="paragraph" w:customStyle="1" w:styleId="PEFABullet">
    <w:name w:val="PEFA Bullet"/>
    <w:basedOn w:val="Normal"/>
    <w:link w:val="PEFABulletChar"/>
    <w:uiPriority w:val="99"/>
    <w:qFormat/>
    <w:rsid w:val="00980855"/>
    <w:pPr>
      <w:numPr>
        <w:numId w:val="5"/>
      </w:numPr>
      <w:overflowPunct/>
      <w:autoSpaceDE/>
      <w:autoSpaceDN/>
      <w:adjustRightInd/>
      <w:ind w:left="714" w:hanging="357"/>
      <w:jc w:val="left"/>
      <w:textAlignment w:val="auto"/>
    </w:pPr>
    <w:rPr>
      <w:rFonts w:eastAsia="Calibri"/>
      <w:sz w:val="20"/>
      <w:szCs w:val="22"/>
      <w:lang w:val="en-GB"/>
    </w:rPr>
  </w:style>
  <w:style w:type="character" w:customStyle="1" w:styleId="PEFABulletChar">
    <w:name w:val="PEFA Bullet Char"/>
    <w:link w:val="PEFABullet"/>
    <w:uiPriority w:val="99"/>
    <w:rsid w:val="00980855"/>
    <w:rPr>
      <w:rFonts w:ascii="Arial" w:eastAsia="Calibri" w:hAnsi="Arial"/>
      <w:szCs w:val="22"/>
      <w:lang w:val="en-GB"/>
    </w:rPr>
  </w:style>
  <w:style w:type="paragraph" w:customStyle="1" w:styleId="PEFA">
    <w:name w:val="PEFA"/>
    <w:basedOn w:val="Normal"/>
    <w:link w:val="PEFAChar"/>
    <w:uiPriority w:val="99"/>
    <w:rsid w:val="00980855"/>
    <w:pPr>
      <w:keepNext/>
      <w:keepLines/>
      <w:overflowPunct/>
      <w:ind w:left="15"/>
      <w:jc w:val="left"/>
      <w:textAlignment w:val="auto"/>
    </w:pPr>
    <w:rPr>
      <w:rFonts w:ascii="Garamond" w:eastAsia="Calibri" w:hAnsi="Garamond"/>
      <w:color w:val="000000"/>
      <w:sz w:val="24"/>
      <w:lang w:eastAsia="en-US"/>
    </w:rPr>
  </w:style>
  <w:style w:type="character" w:customStyle="1" w:styleId="PEFAChar">
    <w:name w:val="PEFA Char"/>
    <w:link w:val="PEFA"/>
    <w:uiPriority w:val="99"/>
    <w:locked/>
    <w:rsid w:val="00980855"/>
    <w:rPr>
      <w:rFonts w:ascii="Garamond" w:eastAsia="Calibri" w:hAnsi="Garamond"/>
      <w:color w:val="000000"/>
      <w:sz w:val="24"/>
      <w:lang w:val="en-US" w:eastAsia="en-US"/>
    </w:rPr>
  </w:style>
  <w:style w:type="character" w:customStyle="1" w:styleId="Heading2Char1">
    <w:name w:val="Heading 2 Char1"/>
    <w:aliases w:val="Sub Char1,Outline2 Char,Heading 2.2 Char,Zweite Ebene Char,Section Char,paragraaf Char,Paranum Char1,Text Char1,h2 Char1,BHI_Überschrift 2 Char1,Heading 2 Char2 Char Char,sous-chapitre Char"/>
    <w:basedOn w:val="DefaultParagraphFont"/>
    <w:link w:val="Heading2"/>
    <w:rsid w:val="00CA4303"/>
    <w:rPr>
      <w:rFonts w:ascii="Arial" w:hAnsi="Arial" w:cs="Arial"/>
      <w:b/>
      <w:spacing w:val="36"/>
      <w:sz w:val="24"/>
      <w:lang w:val="en-GB"/>
    </w:rPr>
  </w:style>
  <w:style w:type="character" w:customStyle="1" w:styleId="IntensiveHervorhebung1">
    <w:name w:val="Intensive Hervorhebung1"/>
    <w:basedOn w:val="DefaultParagraphFont"/>
    <w:uiPriority w:val="99"/>
    <w:rsid w:val="00980855"/>
    <w:rPr>
      <w:rFonts w:cs="Times New Roman"/>
      <w:color w:val="auto"/>
    </w:rPr>
  </w:style>
  <w:style w:type="paragraph" w:customStyle="1" w:styleId="Kreisoberflche">
    <w:name w:val="Kreisoberfläche"/>
    <w:rsid w:val="006053B0"/>
    <w:pPr>
      <w:spacing w:after="200" w:line="276" w:lineRule="auto"/>
    </w:pPr>
    <w:rPr>
      <w:rFonts w:asciiTheme="minorHAnsi" w:eastAsiaTheme="minorEastAsia" w:hAnsiTheme="minorHAnsi" w:cstheme="minorBidi"/>
      <w:sz w:val="22"/>
      <w:szCs w:val="22"/>
      <w:lang w:eastAsia="en-US"/>
    </w:rPr>
  </w:style>
  <w:style w:type="paragraph" w:customStyle="1" w:styleId="Char">
    <w:name w:val="Char"/>
    <w:basedOn w:val="Normal"/>
    <w:rsid w:val="002450EE"/>
    <w:pPr>
      <w:overflowPunct/>
      <w:autoSpaceDE/>
      <w:autoSpaceDN/>
      <w:adjustRightInd/>
      <w:spacing w:after="160" w:line="240" w:lineRule="exact"/>
      <w:jc w:val="left"/>
      <w:textAlignment w:val="auto"/>
    </w:pPr>
    <w:rPr>
      <w:rFonts w:ascii="Tahoma" w:hAnsi="Tahoma"/>
      <w:sz w:val="20"/>
      <w:lang w:eastAsia="en-US"/>
    </w:rPr>
  </w:style>
  <w:style w:type="paragraph" w:customStyle="1" w:styleId="Einzug1">
    <w:name w:val="Einzug 1"/>
    <w:basedOn w:val="Heading2"/>
    <w:qFormat/>
    <w:rsid w:val="00682F18"/>
    <w:pPr>
      <w:numPr>
        <w:ilvl w:val="0"/>
        <w:numId w:val="45"/>
      </w:numPr>
      <w:tabs>
        <w:tab w:val="clear" w:pos="3825"/>
        <w:tab w:val="left" w:pos="1134"/>
      </w:tabs>
    </w:pPr>
    <w:rPr>
      <w:sz w:val="28"/>
      <w:szCs w:val="22"/>
    </w:rPr>
  </w:style>
  <w:style w:type="character" w:customStyle="1" w:styleId="FootnoteTextChar2">
    <w:name w:val="Footnote Text Char2"/>
    <w:aliases w:val="ADB Char1,Fußnotentextf Char1,Footnote Text Char Char Char Char1,Footnote Text Char Char Char2,Fußnote Char1,single space Char,footnote text Char,ft Char,FOOTNOTES Char,fn Char,FT Char,SD Footnote Text Char,Footnote Text AG Char"/>
    <w:basedOn w:val="DefaultParagraphFont"/>
    <w:link w:val="FootnoteText"/>
    <w:uiPriority w:val="99"/>
    <w:rsid w:val="00651F90"/>
    <w:rPr>
      <w:rFonts w:ascii="Arial" w:hAnsi="Arial"/>
      <w:sz w:val="18"/>
    </w:rPr>
  </w:style>
  <w:style w:type="paragraph" w:styleId="NoSpacing">
    <w:name w:val="No Spacing"/>
    <w:uiPriority w:val="1"/>
    <w:qFormat/>
    <w:rsid w:val="00651F90"/>
    <w:pPr>
      <w:jc w:val="both"/>
    </w:pPr>
    <w:rPr>
      <w:sz w:val="24"/>
      <w:szCs w:val="24"/>
      <w:lang w:val="en-GB"/>
    </w:rPr>
  </w:style>
  <w:style w:type="character" w:customStyle="1" w:styleId="link1">
    <w:name w:val="link1"/>
    <w:basedOn w:val="DefaultParagraphFont"/>
    <w:rsid w:val="00651F90"/>
    <w:rPr>
      <w:vanish w:val="0"/>
      <w:webHidden w:val="0"/>
      <w:color w:val="0E774A"/>
      <w:specVanish w:val="0"/>
    </w:rPr>
  </w:style>
  <w:style w:type="paragraph" w:customStyle="1" w:styleId="Zwischen">
    <w:name w:val="Zwischen"/>
    <w:basedOn w:val="Normal"/>
    <w:qFormat/>
    <w:rsid w:val="00BC7EA8"/>
    <w:pPr>
      <w:spacing w:before="240"/>
    </w:pPr>
    <w:rPr>
      <w:u w:val="single"/>
      <w:lang w:val="en-GB"/>
    </w:rPr>
  </w:style>
  <w:style w:type="character" w:customStyle="1" w:styleId="GFAleichteHervorhebung">
    <w:name w:val="GFA leichte Hervorhebung"/>
    <w:basedOn w:val="DefaultParagraphFont"/>
    <w:qFormat/>
    <w:rsid w:val="00DB5897"/>
    <w:rPr>
      <w:color w:val="148DCD" w:themeColor="accent1"/>
      <w:lang w:val="en-GB"/>
    </w:rPr>
  </w:style>
  <w:style w:type="character" w:customStyle="1" w:styleId="FooterChar">
    <w:name w:val="Footer Char"/>
    <w:aliases w:val="eersteregel Char"/>
    <w:basedOn w:val="DefaultParagraphFont"/>
    <w:link w:val="Footer"/>
    <w:rsid w:val="00DB5897"/>
    <w:rPr>
      <w:rFonts w:ascii="Arial" w:hAnsi="Arial"/>
      <w:sz w:val="22"/>
    </w:rPr>
  </w:style>
  <w:style w:type="table" w:styleId="MediumList1-Accent3">
    <w:name w:val="Medium List 1 Accent 3"/>
    <w:basedOn w:val="TableNormal"/>
    <w:uiPriority w:val="65"/>
    <w:rsid w:val="00DB5897"/>
    <w:rPr>
      <w:rFonts w:asciiTheme="minorHAnsi" w:hAnsiTheme="minorHAnsi"/>
      <w:color w:val="000000" w:themeColor="text1"/>
    </w:rPr>
    <w:tblPr>
      <w:tblStyleRowBandSize w:val="1"/>
      <w:tblStyleColBandSize w:val="1"/>
      <w:tblBorders>
        <w:top w:val="single" w:sz="8" w:space="0" w:color="00AE8E" w:themeColor="accent3"/>
        <w:bottom w:val="single" w:sz="8" w:space="0" w:color="00AE8E" w:themeColor="accent3"/>
      </w:tblBorders>
    </w:tblPr>
    <w:tblStylePr w:type="firstRow">
      <w:rPr>
        <w:rFonts w:asciiTheme="majorHAnsi" w:eastAsiaTheme="majorEastAsia" w:hAnsiTheme="majorHAnsi" w:cstheme="majorBidi"/>
      </w:rPr>
      <w:tblPr/>
      <w:tcPr>
        <w:tcBorders>
          <w:top w:val="nil"/>
          <w:bottom w:val="single" w:sz="8" w:space="0" w:color="00AE8E" w:themeColor="accent3"/>
        </w:tcBorders>
      </w:tcPr>
    </w:tblStylePr>
    <w:tblStylePr w:type="lastRow">
      <w:rPr>
        <w:b/>
        <w:bCs/>
        <w:color w:val="1F497D" w:themeColor="text2"/>
      </w:rPr>
      <w:tblPr/>
      <w:tcPr>
        <w:tcBorders>
          <w:top w:val="single" w:sz="8" w:space="0" w:color="00AE8E" w:themeColor="accent3"/>
          <w:bottom w:val="single" w:sz="8" w:space="0" w:color="00AE8E" w:themeColor="accent3"/>
        </w:tcBorders>
      </w:tcPr>
    </w:tblStylePr>
    <w:tblStylePr w:type="firstCol">
      <w:rPr>
        <w:b/>
        <w:bCs/>
      </w:rPr>
    </w:tblStylePr>
    <w:tblStylePr w:type="lastCol">
      <w:rPr>
        <w:b/>
        <w:bCs/>
      </w:rPr>
      <w:tblPr/>
      <w:tcPr>
        <w:tcBorders>
          <w:top w:val="single" w:sz="8" w:space="0" w:color="00AE8E" w:themeColor="accent3"/>
          <w:bottom w:val="single" w:sz="8" w:space="0" w:color="00AE8E" w:themeColor="accent3"/>
        </w:tcBorders>
      </w:tcPr>
    </w:tblStylePr>
    <w:tblStylePr w:type="band1Vert">
      <w:tblPr/>
      <w:tcPr>
        <w:shd w:val="clear" w:color="auto" w:fill="ABFFEF" w:themeFill="accent3" w:themeFillTint="3F"/>
      </w:tcPr>
    </w:tblStylePr>
    <w:tblStylePr w:type="band1Horz">
      <w:tblPr/>
      <w:tcPr>
        <w:shd w:val="clear" w:color="auto" w:fill="ABFFEF" w:themeFill="accent3" w:themeFillTint="3F"/>
      </w:tcPr>
    </w:tblStylePr>
  </w:style>
  <w:style w:type="table" w:styleId="MediumList2-Accent1">
    <w:name w:val="Medium List 2 Accent 1"/>
    <w:basedOn w:val="TableNormal"/>
    <w:uiPriority w:val="66"/>
    <w:rsid w:val="00DB5897"/>
    <w:rPr>
      <w:rFonts w:asciiTheme="majorHAnsi" w:eastAsiaTheme="majorEastAsia" w:hAnsiTheme="majorHAnsi" w:cstheme="majorBidi"/>
      <w:color w:val="000000" w:themeColor="text1"/>
    </w:rPr>
    <w:tblPr>
      <w:tblStyleRowBandSize w:val="1"/>
      <w:tblStyleColBandSize w:val="1"/>
      <w:tblBorders>
        <w:top w:val="single" w:sz="8" w:space="0" w:color="148DCD" w:themeColor="accent1"/>
        <w:left w:val="single" w:sz="8" w:space="0" w:color="148DCD" w:themeColor="accent1"/>
        <w:bottom w:val="single" w:sz="8" w:space="0" w:color="148DCD" w:themeColor="accent1"/>
        <w:right w:val="single" w:sz="8" w:space="0" w:color="148DCD" w:themeColor="accent1"/>
      </w:tblBorders>
    </w:tblPr>
    <w:tblStylePr w:type="firstRow">
      <w:rPr>
        <w:sz w:val="24"/>
        <w:szCs w:val="24"/>
      </w:rPr>
      <w:tblPr/>
      <w:tcPr>
        <w:tcBorders>
          <w:top w:val="nil"/>
          <w:left w:val="nil"/>
          <w:bottom w:val="single" w:sz="24" w:space="0" w:color="148DCD" w:themeColor="accent1"/>
          <w:right w:val="nil"/>
          <w:insideH w:val="nil"/>
          <w:insideV w:val="nil"/>
        </w:tcBorders>
        <w:shd w:val="clear" w:color="auto" w:fill="FFFFFF" w:themeFill="background1"/>
      </w:tcPr>
    </w:tblStylePr>
    <w:tblStylePr w:type="lastRow">
      <w:tblPr/>
      <w:tcPr>
        <w:tcBorders>
          <w:top w:val="single" w:sz="8" w:space="0" w:color="148DC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8DCD" w:themeColor="accent1"/>
          <w:insideH w:val="nil"/>
          <w:insideV w:val="nil"/>
        </w:tcBorders>
        <w:shd w:val="clear" w:color="auto" w:fill="FFFFFF" w:themeFill="background1"/>
      </w:tcPr>
    </w:tblStylePr>
    <w:tblStylePr w:type="lastCol">
      <w:tblPr/>
      <w:tcPr>
        <w:tcBorders>
          <w:top w:val="nil"/>
          <w:left w:val="single" w:sz="8" w:space="0" w:color="148D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4F8" w:themeFill="accent1" w:themeFillTint="3F"/>
      </w:tcPr>
    </w:tblStylePr>
    <w:tblStylePr w:type="band1Horz">
      <w:tblPr/>
      <w:tcPr>
        <w:tcBorders>
          <w:top w:val="nil"/>
          <w:bottom w:val="nil"/>
          <w:insideH w:val="nil"/>
          <w:insideV w:val="nil"/>
        </w:tcBorders>
        <w:shd w:val="clear" w:color="auto" w:fill="BEE4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1">
    <w:name w:val="Medium Grid 3 Accent 1"/>
    <w:basedOn w:val="TableNormal"/>
    <w:uiPriority w:val="69"/>
    <w:rsid w:val="00DB5897"/>
    <w:rPr>
      <w:rFonts w:asciiTheme="minorHAnsi" w:hAnsi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4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8D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8D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8D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8D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C9F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C9F2" w:themeFill="accent1" w:themeFillTint="7F"/>
      </w:tcPr>
    </w:tblStylePr>
  </w:style>
  <w:style w:type="paragraph" w:styleId="IntenseQuote">
    <w:name w:val="Intense Quote"/>
    <w:basedOn w:val="Normal"/>
    <w:next w:val="Normal"/>
    <w:link w:val="IntenseQuoteChar"/>
    <w:uiPriority w:val="30"/>
    <w:qFormat/>
    <w:rsid w:val="00DB5897"/>
    <w:pPr>
      <w:pBdr>
        <w:bottom w:val="single" w:sz="4" w:space="4" w:color="148DCD" w:themeColor="accent1"/>
      </w:pBdr>
      <w:spacing w:before="200" w:after="280" w:line="240" w:lineRule="atLeast"/>
      <w:ind w:left="936" w:right="936"/>
    </w:pPr>
    <w:rPr>
      <w:rFonts w:asciiTheme="minorHAnsi" w:hAnsiTheme="minorHAnsi"/>
      <w:b/>
      <w:bCs/>
      <w:i/>
      <w:iCs/>
      <w:color w:val="148DCD" w:themeColor="accent1"/>
      <w:sz w:val="20"/>
      <w:lang w:val="en-GB"/>
    </w:rPr>
  </w:style>
  <w:style w:type="character" w:customStyle="1" w:styleId="IntenseQuoteChar">
    <w:name w:val="Intense Quote Char"/>
    <w:basedOn w:val="DefaultParagraphFont"/>
    <w:link w:val="IntenseQuote"/>
    <w:uiPriority w:val="30"/>
    <w:rsid w:val="00DB5897"/>
    <w:rPr>
      <w:rFonts w:asciiTheme="minorHAnsi" w:hAnsiTheme="minorHAnsi"/>
      <w:b/>
      <w:bCs/>
      <w:i/>
      <w:iCs/>
      <w:color w:val="148DCD" w:themeColor="accent1"/>
      <w:lang w:val="en-GB"/>
    </w:rPr>
  </w:style>
  <w:style w:type="character" w:styleId="IntenseEmphasis">
    <w:name w:val="Intense Emphasis"/>
    <w:aliases w:val="GFA Intensive Hervorhebung"/>
    <w:basedOn w:val="DefaultParagraphFont"/>
    <w:uiPriority w:val="21"/>
    <w:qFormat/>
    <w:rsid w:val="00DB5897"/>
    <w:rPr>
      <w:b/>
      <w:bCs/>
      <w:i/>
      <w:iCs/>
      <w:color w:val="148DCD" w:themeColor="accent1"/>
      <w:lang w:val="en-GB"/>
    </w:rPr>
  </w:style>
  <w:style w:type="character" w:styleId="PlaceholderText">
    <w:name w:val="Placeholder Text"/>
    <w:basedOn w:val="DefaultParagraphFont"/>
    <w:uiPriority w:val="99"/>
    <w:semiHidden/>
    <w:rsid w:val="00DB5897"/>
    <w:rPr>
      <w:color w:val="808080"/>
    </w:rPr>
  </w:style>
  <w:style w:type="table" w:styleId="ColorfulList-Accent1">
    <w:name w:val="Colorful List Accent 1"/>
    <w:basedOn w:val="TableNormal"/>
    <w:uiPriority w:val="72"/>
    <w:rsid w:val="00DB5897"/>
    <w:rPr>
      <w:rFonts w:asciiTheme="minorHAnsi" w:hAnsiTheme="minorHAnsi"/>
      <w:color w:val="000000" w:themeColor="text1"/>
    </w:rPr>
    <w:tblPr>
      <w:tblStyleRowBandSize w:val="1"/>
      <w:tblStyleColBandSize w:val="1"/>
    </w:tblPr>
    <w:tcPr>
      <w:shd w:val="clear" w:color="auto" w:fill="E5F4FC" w:themeFill="accent1" w:themeFillTint="19"/>
    </w:tcPr>
    <w:tblStylePr w:type="firstRow">
      <w:rPr>
        <w:b/>
        <w:bCs/>
        <w:color w:val="FFFFFF" w:themeColor="background1"/>
      </w:rPr>
      <w:tblPr/>
      <w:tcPr>
        <w:tcBorders>
          <w:bottom w:val="single" w:sz="12" w:space="0" w:color="FFFFFF" w:themeColor="background1"/>
        </w:tcBorders>
        <w:shd w:val="clear" w:color="auto" w:fill="5893D3" w:themeFill="accent2" w:themeFillShade="CC"/>
      </w:tcPr>
    </w:tblStylePr>
    <w:tblStylePr w:type="lastRow">
      <w:rPr>
        <w:b/>
        <w:bCs/>
        <w:color w:val="5893D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4F8" w:themeFill="accent1" w:themeFillTint="3F"/>
      </w:tcPr>
    </w:tblStylePr>
    <w:tblStylePr w:type="band1Horz">
      <w:tblPr/>
      <w:tcPr>
        <w:shd w:val="clear" w:color="auto" w:fill="CBE9FA" w:themeFill="accent1" w:themeFillTint="33"/>
      </w:tcPr>
    </w:tblStylePr>
  </w:style>
  <w:style w:type="table" w:styleId="ColorfulList-Accent2">
    <w:name w:val="Colorful List Accent 2"/>
    <w:basedOn w:val="TableNormal"/>
    <w:uiPriority w:val="72"/>
    <w:rsid w:val="00DB5897"/>
    <w:rPr>
      <w:rFonts w:asciiTheme="minorHAnsi" w:hAnsiTheme="minorHAnsi"/>
      <w:color w:val="000000" w:themeColor="text1"/>
    </w:rPr>
    <w:tblPr>
      <w:tblStyleRowBandSize w:val="1"/>
      <w:tblStyleColBandSize w:val="1"/>
    </w:tblPr>
    <w:tcPr>
      <w:shd w:val="clear" w:color="auto" w:fill="F4F8FC" w:themeFill="accent2" w:themeFillTint="19"/>
    </w:tcPr>
    <w:tblStylePr w:type="firstRow">
      <w:rPr>
        <w:b/>
        <w:bCs/>
        <w:color w:val="FFFFFF" w:themeColor="background1"/>
      </w:rPr>
      <w:tblPr/>
      <w:tcPr>
        <w:tcBorders>
          <w:bottom w:val="single" w:sz="12" w:space="0" w:color="FFFFFF" w:themeColor="background1"/>
        </w:tcBorders>
        <w:shd w:val="clear" w:color="auto" w:fill="5893D3" w:themeFill="accent2" w:themeFillShade="CC"/>
      </w:tcPr>
    </w:tblStylePr>
    <w:tblStylePr w:type="lastRow">
      <w:rPr>
        <w:b/>
        <w:bCs/>
        <w:color w:val="5893D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DF8" w:themeFill="accent2" w:themeFillTint="3F"/>
      </w:tcPr>
    </w:tblStylePr>
    <w:tblStylePr w:type="band1Horz">
      <w:tblPr/>
      <w:tcPr>
        <w:shd w:val="clear" w:color="auto" w:fill="E9F1F9" w:themeFill="accent2" w:themeFillTint="33"/>
      </w:tcPr>
    </w:tblStylePr>
  </w:style>
  <w:style w:type="table" w:styleId="LightList-Accent6">
    <w:name w:val="Light List Accent 6"/>
    <w:basedOn w:val="TableNormal"/>
    <w:uiPriority w:val="61"/>
    <w:rsid w:val="00DB5897"/>
    <w:rPr>
      <w:rFonts w:asciiTheme="minorHAnsi" w:hAnsiTheme="minorHAnsi"/>
    </w:rPr>
    <w:tblPr>
      <w:tblStyleRowBandSize w:val="1"/>
      <w:tblStyleColBandSize w:val="1"/>
      <w:tblBorders>
        <w:top w:val="single" w:sz="8" w:space="0" w:color="034EA2" w:themeColor="accent6"/>
        <w:left w:val="single" w:sz="8" w:space="0" w:color="034EA2" w:themeColor="accent6"/>
        <w:bottom w:val="single" w:sz="8" w:space="0" w:color="034EA2" w:themeColor="accent6"/>
        <w:right w:val="single" w:sz="8" w:space="0" w:color="034EA2" w:themeColor="accent6"/>
      </w:tblBorders>
    </w:tblPr>
    <w:tblStylePr w:type="firstRow">
      <w:pPr>
        <w:spacing w:before="0" w:after="0" w:line="240" w:lineRule="auto"/>
      </w:pPr>
      <w:rPr>
        <w:b/>
        <w:bCs/>
        <w:color w:val="FFFFFF" w:themeColor="background1"/>
      </w:rPr>
      <w:tblPr/>
      <w:tcPr>
        <w:shd w:val="clear" w:color="auto" w:fill="034EA2" w:themeFill="accent6"/>
      </w:tcPr>
    </w:tblStylePr>
    <w:tblStylePr w:type="lastRow">
      <w:pPr>
        <w:spacing w:before="0" w:after="0" w:line="240" w:lineRule="auto"/>
      </w:pPr>
      <w:rPr>
        <w:b/>
        <w:bCs/>
      </w:rPr>
      <w:tblPr/>
      <w:tcPr>
        <w:tcBorders>
          <w:top w:val="double" w:sz="6" w:space="0" w:color="034EA2" w:themeColor="accent6"/>
          <w:left w:val="single" w:sz="8" w:space="0" w:color="034EA2" w:themeColor="accent6"/>
          <w:bottom w:val="single" w:sz="8" w:space="0" w:color="034EA2" w:themeColor="accent6"/>
          <w:right w:val="single" w:sz="8" w:space="0" w:color="034EA2" w:themeColor="accent6"/>
        </w:tcBorders>
      </w:tcPr>
    </w:tblStylePr>
    <w:tblStylePr w:type="firstCol">
      <w:rPr>
        <w:b/>
        <w:bCs/>
      </w:rPr>
    </w:tblStylePr>
    <w:tblStylePr w:type="lastCol">
      <w:rPr>
        <w:b/>
        <w:bCs/>
      </w:rPr>
    </w:tblStylePr>
    <w:tblStylePr w:type="band1Vert">
      <w:tblPr/>
      <w:tcPr>
        <w:tcBorders>
          <w:top w:val="single" w:sz="8" w:space="0" w:color="034EA2" w:themeColor="accent6"/>
          <w:left w:val="single" w:sz="8" w:space="0" w:color="034EA2" w:themeColor="accent6"/>
          <w:bottom w:val="single" w:sz="8" w:space="0" w:color="034EA2" w:themeColor="accent6"/>
          <w:right w:val="single" w:sz="8" w:space="0" w:color="034EA2" w:themeColor="accent6"/>
        </w:tcBorders>
      </w:tcPr>
    </w:tblStylePr>
    <w:tblStylePr w:type="band1Horz">
      <w:tblPr/>
      <w:tcPr>
        <w:tcBorders>
          <w:top w:val="single" w:sz="8" w:space="0" w:color="034EA2" w:themeColor="accent6"/>
          <w:left w:val="single" w:sz="8" w:space="0" w:color="034EA2" w:themeColor="accent6"/>
          <w:bottom w:val="single" w:sz="8" w:space="0" w:color="034EA2" w:themeColor="accent6"/>
          <w:right w:val="single" w:sz="8" w:space="0" w:color="034EA2" w:themeColor="accent6"/>
        </w:tcBorders>
      </w:tcPr>
    </w:tblStylePr>
  </w:style>
  <w:style w:type="paragraph" w:customStyle="1" w:styleId="FusszeileungeradeSeite">
    <w:name w:val="Fusszeile ungerade Seite"/>
    <w:basedOn w:val="Footer"/>
    <w:link w:val="FusszeileungeradeSeiteZchn"/>
    <w:rsid w:val="00DB5897"/>
    <w:pPr>
      <w:tabs>
        <w:tab w:val="clear" w:pos="7371"/>
        <w:tab w:val="left" w:pos="-170"/>
      </w:tabs>
      <w:spacing w:line="240" w:lineRule="atLeast"/>
      <w:ind w:right="-2155"/>
    </w:pPr>
    <w:rPr>
      <w:rFonts w:ascii="Arial Narrow" w:hAnsi="Arial Narrow"/>
      <w:b/>
      <w:caps/>
      <w:color w:val="1D1655" w:themeColor="accent5"/>
      <w:spacing w:val="12"/>
      <w:sz w:val="17"/>
      <w:lang w:val="en-GB"/>
    </w:rPr>
  </w:style>
  <w:style w:type="paragraph" w:customStyle="1" w:styleId="Fusszeilequer">
    <w:name w:val="Fusszeile quer"/>
    <w:basedOn w:val="FusszeileungeradeSeite"/>
    <w:link w:val="FusszeilequerZchn"/>
    <w:rsid w:val="00DB5897"/>
    <w:pPr>
      <w:ind w:right="0"/>
    </w:pPr>
  </w:style>
  <w:style w:type="character" w:customStyle="1" w:styleId="FusszeileungeradeSeiteZchn">
    <w:name w:val="Fusszeile ungerade Seite Zchn"/>
    <w:basedOn w:val="FooterChar"/>
    <w:link w:val="FusszeileungeradeSeite"/>
    <w:rsid w:val="00DB5897"/>
    <w:rPr>
      <w:rFonts w:ascii="Arial Narrow" w:hAnsi="Arial Narrow"/>
      <w:b/>
      <w:caps/>
      <w:color w:val="1D1655" w:themeColor="accent5"/>
      <w:spacing w:val="12"/>
      <w:sz w:val="17"/>
      <w:lang w:val="en-GB"/>
    </w:rPr>
  </w:style>
  <w:style w:type="character" w:customStyle="1" w:styleId="FusszeilequerZchn">
    <w:name w:val="Fusszeile quer Zchn"/>
    <w:basedOn w:val="FusszeileungeradeSeiteZchn"/>
    <w:link w:val="Fusszeilequer"/>
    <w:rsid w:val="00DB5897"/>
    <w:rPr>
      <w:rFonts w:ascii="Arial Narrow" w:hAnsi="Arial Narrow"/>
      <w:b/>
      <w:caps/>
      <w:color w:val="1D1655" w:themeColor="accent5"/>
      <w:spacing w:val="12"/>
      <w:sz w:val="17"/>
      <w:lang w:val="en-GB"/>
    </w:rPr>
  </w:style>
  <w:style w:type="numbering" w:styleId="1ai">
    <w:name w:val="Outline List 1"/>
    <w:basedOn w:val="NoList"/>
    <w:uiPriority w:val="99"/>
    <w:semiHidden/>
    <w:unhideWhenUsed/>
    <w:rsid w:val="00DB5897"/>
    <w:pPr>
      <w:numPr>
        <w:numId w:val="6"/>
      </w:numPr>
    </w:pPr>
  </w:style>
  <w:style w:type="paragraph" w:styleId="ListNumber">
    <w:name w:val="List Number"/>
    <w:basedOn w:val="Normal"/>
    <w:uiPriority w:val="99"/>
    <w:semiHidden/>
    <w:unhideWhenUsed/>
    <w:rsid w:val="00DB5897"/>
    <w:pPr>
      <w:numPr>
        <w:numId w:val="9"/>
      </w:numPr>
      <w:tabs>
        <w:tab w:val="clear" w:pos="360"/>
      </w:tabs>
      <w:spacing w:line="240" w:lineRule="atLeast"/>
      <w:ind w:left="284" w:hanging="284"/>
      <w:contextualSpacing/>
    </w:pPr>
    <w:rPr>
      <w:rFonts w:asciiTheme="minorHAnsi" w:hAnsiTheme="minorHAnsi"/>
      <w:sz w:val="20"/>
      <w:lang w:val="en-GB"/>
    </w:rPr>
  </w:style>
  <w:style w:type="paragraph" w:styleId="List4">
    <w:name w:val="List 4"/>
    <w:basedOn w:val="Normal"/>
    <w:uiPriority w:val="99"/>
    <w:semiHidden/>
    <w:unhideWhenUsed/>
    <w:rsid w:val="00DB5897"/>
    <w:pPr>
      <w:numPr>
        <w:ilvl w:val="3"/>
        <w:numId w:val="10"/>
      </w:numPr>
      <w:spacing w:before="60" w:line="240" w:lineRule="atLeast"/>
      <w:contextualSpacing/>
    </w:pPr>
    <w:rPr>
      <w:rFonts w:asciiTheme="minorHAnsi" w:hAnsiTheme="minorHAnsi"/>
      <w:sz w:val="20"/>
      <w:lang w:val="en-GB"/>
    </w:rPr>
  </w:style>
  <w:style w:type="paragraph" w:styleId="ListContinue2">
    <w:name w:val="List Continue 2"/>
    <w:basedOn w:val="Normal"/>
    <w:uiPriority w:val="99"/>
    <w:semiHidden/>
    <w:unhideWhenUsed/>
    <w:rsid w:val="00DB5897"/>
    <w:pPr>
      <w:spacing w:line="240" w:lineRule="atLeast"/>
      <w:ind w:left="566"/>
      <w:contextualSpacing/>
    </w:pPr>
    <w:rPr>
      <w:rFonts w:asciiTheme="minorHAnsi" w:hAnsiTheme="minorHAnsi"/>
      <w:sz w:val="20"/>
      <w:lang w:val="en-GB"/>
    </w:rPr>
  </w:style>
  <w:style w:type="paragraph" w:styleId="ListNumber2">
    <w:name w:val="List Number 2"/>
    <w:basedOn w:val="Normal"/>
    <w:uiPriority w:val="99"/>
    <w:semiHidden/>
    <w:unhideWhenUsed/>
    <w:rsid w:val="00DB5897"/>
    <w:pPr>
      <w:numPr>
        <w:numId w:val="7"/>
      </w:numPr>
      <w:tabs>
        <w:tab w:val="clear" w:pos="643"/>
      </w:tabs>
      <w:spacing w:line="240" w:lineRule="atLeast"/>
      <w:ind w:left="568" w:hanging="284"/>
      <w:contextualSpacing/>
    </w:pPr>
    <w:rPr>
      <w:rFonts w:asciiTheme="minorHAnsi" w:hAnsiTheme="minorHAnsi"/>
      <w:sz w:val="20"/>
      <w:lang w:val="en-GB"/>
    </w:rPr>
  </w:style>
  <w:style w:type="paragraph" w:styleId="ListNumber3">
    <w:name w:val="List Number 3"/>
    <w:basedOn w:val="Normal"/>
    <w:uiPriority w:val="99"/>
    <w:semiHidden/>
    <w:unhideWhenUsed/>
    <w:rsid w:val="00DB5897"/>
    <w:pPr>
      <w:numPr>
        <w:numId w:val="8"/>
      </w:numPr>
      <w:tabs>
        <w:tab w:val="clear" w:pos="926"/>
      </w:tabs>
      <w:spacing w:line="240" w:lineRule="atLeast"/>
      <w:ind w:left="851" w:hanging="284"/>
      <w:contextualSpacing/>
    </w:pPr>
    <w:rPr>
      <w:rFonts w:asciiTheme="minorHAnsi" w:hAnsiTheme="minorHAnsi"/>
      <w:sz w:val="20"/>
      <w:lang w:val="en-GB"/>
    </w:rPr>
  </w:style>
  <w:style w:type="paragraph" w:customStyle="1" w:styleId="Titel2">
    <w:name w:val="Titel 2"/>
    <w:basedOn w:val="Normal"/>
    <w:next w:val="Normal"/>
    <w:link w:val="Titel2Zchn"/>
    <w:qFormat/>
    <w:rsid w:val="00DB5897"/>
    <w:pPr>
      <w:keepNext/>
      <w:keepLines/>
      <w:spacing w:before="240" w:line="240" w:lineRule="atLeast"/>
      <w:jc w:val="left"/>
    </w:pPr>
    <w:rPr>
      <w:rFonts w:ascii="Arial Narrow" w:hAnsi="Arial Narrow"/>
      <w:b/>
      <w:color w:val="034EA2" w:themeColor="accent6"/>
      <w:spacing w:val="38"/>
      <w:sz w:val="34"/>
      <w:szCs w:val="34"/>
      <w:lang w:val="en-GB"/>
    </w:rPr>
  </w:style>
  <w:style w:type="paragraph" w:customStyle="1" w:styleId="Titel3">
    <w:name w:val="Titel 3"/>
    <w:basedOn w:val="Normal"/>
    <w:next w:val="Normal"/>
    <w:link w:val="Titel3Zchn"/>
    <w:qFormat/>
    <w:rsid w:val="00DB5897"/>
    <w:pPr>
      <w:keepNext/>
      <w:keepLines/>
      <w:spacing w:before="240" w:line="240" w:lineRule="atLeast"/>
      <w:jc w:val="left"/>
    </w:pPr>
    <w:rPr>
      <w:rFonts w:ascii="Arial Narrow" w:hAnsi="Arial Narrow"/>
      <w:b/>
      <w:color w:val="034EA2" w:themeColor="accent6"/>
      <w:spacing w:val="17"/>
      <w:sz w:val="24"/>
      <w:lang w:val="en-GB"/>
    </w:rPr>
  </w:style>
  <w:style w:type="character" w:customStyle="1" w:styleId="Titel2Zchn">
    <w:name w:val="Titel 2 Zchn"/>
    <w:basedOn w:val="DefaultParagraphFont"/>
    <w:link w:val="Titel2"/>
    <w:rsid w:val="00DB5897"/>
    <w:rPr>
      <w:rFonts w:ascii="Arial Narrow" w:hAnsi="Arial Narrow"/>
      <w:b/>
      <w:color w:val="034EA2" w:themeColor="accent6"/>
      <w:spacing w:val="38"/>
      <w:sz w:val="34"/>
      <w:szCs w:val="34"/>
      <w:lang w:val="en-GB"/>
    </w:rPr>
  </w:style>
  <w:style w:type="character" w:customStyle="1" w:styleId="Titel3Zchn">
    <w:name w:val="Titel 3 Zchn"/>
    <w:basedOn w:val="DefaultParagraphFont"/>
    <w:link w:val="Titel3"/>
    <w:rsid w:val="00DB5897"/>
    <w:rPr>
      <w:rFonts w:ascii="Arial Narrow" w:hAnsi="Arial Narrow"/>
      <w:b/>
      <w:color w:val="034EA2" w:themeColor="accent6"/>
      <w:spacing w:val="17"/>
      <w:sz w:val="24"/>
      <w:lang w:val="en-GB"/>
    </w:rPr>
  </w:style>
  <w:style w:type="table" w:styleId="MediumGrid3-Accent2">
    <w:name w:val="Medium Grid 3 Accent 2"/>
    <w:basedOn w:val="TableNormal"/>
    <w:uiPriority w:val="69"/>
    <w:rsid w:val="00DB5897"/>
    <w:rPr>
      <w:rFonts w:asciiTheme="minorHAnsi" w:hAnsi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D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A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A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A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A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C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CF1" w:themeFill="accent2" w:themeFillTint="7F"/>
      </w:tcPr>
    </w:tblStylePr>
  </w:style>
  <w:style w:type="table" w:customStyle="1" w:styleId="GFA1">
    <w:name w:val="GFA 1"/>
    <w:basedOn w:val="MediumGrid3-Accent2"/>
    <w:uiPriority w:val="99"/>
    <w:qFormat/>
    <w:rsid w:val="00DB5897"/>
    <w:rPr>
      <w:rFonts w:ascii="Arial Narrow" w:hAnsi="Arial Narrow"/>
      <w:b/>
      <w:color w:val="1F497D" w:themeColor="text2"/>
      <w:sz w:val="18"/>
    </w:rPr>
    <w:tblPr>
      <w:tblCellMar>
        <w:top w:w="28" w:type="dxa"/>
        <w:bottom w:w="28" w:type="dxa"/>
      </w:tblCellMar>
    </w:tblPr>
    <w:tcPr>
      <w:shd w:val="clear" w:color="auto" w:fill="E4EDF8" w:themeFill="accent2" w:themeFillTint="3F"/>
      <w:vAlign w:val="center"/>
    </w:tcPr>
    <w:tblStylePr w:type="firstRow">
      <w:pPr>
        <w:jc w:val="left"/>
      </w:pPr>
      <w:rPr>
        <w:rFonts w:ascii="Segoe UI Symbol" w:hAnsi="Segoe UI Symbol"/>
        <w:b/>
        <w:bCs/>
        <w:i w:val="0"/>
        <w:iCs w:val="0"/>
        <w:caps/>
        <w:smallCaps w:val="0"/>
        <w:color w:val="FFFFFF" w:themeColor="background1"/>
        <w:sz w:val="18"/>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8DCD" w:themeFill="accent1"/>
        <w:vAlign w:val="center"/>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AE3" w:themeFill="accent2"/>
      </w:tcPr>
    </w:tblStylePr>
    <w:tblStylePr w:type="firstCol">
      <w:pPr>
        <w:wordWrap/>
        <w:jc w:val="left"/>
      </w:pPr>
      <w:rPr>
        <w:rFonts w:ascii="Segoe UI Symbol" w:hAnsi="Segoe UI Symbol"/>
        <w:b/>
        <w:bCs/>
        <w:i w:val="0"/>
        <w:iCs w:val="0"/>
        <w:caps/>
        <w:smallCaps w:val="0"/>
        <w:color w:val="1F497D" w:themeColor="text2"/>
        <w:sz w:val="18"/>
      </w:rPr>
      <w:tblPr/>
      <w:tcPr>
        <w:tcBorders>
          <w:left w:val="single" w:sz="8" w:space="0" w:color="FFFFFF" w:themeColor="background1"/>
          <w:right w:val="single" w:sz="24" w:space="0" w:color="FFFFFF" w:themeColor="background1"/>
          <w:insideH w:val="nil"/>
          <w:insideV w:val="nil"/>
        </w:tcBorders>
        <w:shd w:val="clear" w:color="auto" w:fill="D4E3F3" w:themeFill="accent2" w:themeFillTint="6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AE3" w:themeFill="accent2"/>
      </w:tcPr>
    </w:tblStylePr>
    <w:tblStylePr w:type="band1Vert">
      <w:pPr>
        <w:jc w:val="left"/>
      </w:p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F1F9" w:themeFill="accent2" w:themeFillTint="33"/>
        <w:vAlign w:val="top"/>
      </w:tcPr>
    </w:tblStylePr>
    <w:tblStylePr w:type="band2Vert">
      <w:tblPr/>
      <w:tcPr>
        <w:shd w:val="clear" w:color="auto" w:fill="D4E3F3" w:themeFill="accent2" w:themeFillTint="66"/>
      </w:tcPr>
    </w:tblStylePr>
    <w:tblStylePr w:type="band1Horz">
      <w:pPr>
        <w:wordWrap/>
        <w:jc w:val="left"/>
      </w:pPr>
      <w:rPr>
        <w:rFonts w:ascii="Segoe UI Symbol" w:hAnsi="Segoe UI Symbol"/>
        <w:b/>
        <w:sz w:val="18"/>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3F3" w:themeFill="accent2" w:themeFillTint="66"/>
      </w:tcPr>
    </w:tblStylePr>
    <w:tblStylePr w:type="band2Horz">
      <w:pPr>
        <w:wordWrap/>
        <w:jc w:val="left"/>
      </w:pPr>
      <w:rPr>
        <w:rFonts w:ascii="Segoe UI Symbol" w:hAnsi="Segoe UI Symbol"/>
        <w:b/>
        <w:sz w:val="18"/>
      </w:rPr>
      <w:tblPr/>
      <w:tcPr>
        <w:shd w:val="clear" w:color="auto" w:fill="E9F1F9" w:themeFill="accent2" w:themeFillTint="33"/>
      </w:tcPr>
    </w:tblStylePr>
  </w:style>
  <w:style w:type="paragraph" w:customStyle="1" w:styleId="Tabellentitelhoch">
    <w:name w:val="Tabellentitel hoch"/>
    <w:basedOn w:val="Normal"/>
    <w:uiPriority w:val="99"/>
    <w:rsid w:val="00DB5897"/>
    <w:pPr>
      <w:spacing w:line="240" w:lineRule="atLeast"/>
      <w:jc w:val="center"/>
    </w:pPr>
    <w:rPr>
      <w:rFonts w:ascii="Arial Narrow" w:hAnsi="Arial Narrow"/>
      <w:bCs/>
      <w:caps/>
      <w:color w:val="FFFFFF" w:themeColor="background1"/>
      <w:sz w:val="18"/>
      <w:lang w:val="en-GB"/>
    </w:rPr>
  </w:style>
  <w:style w:type="paragraph" w:customStyle="1" w:styleId="TabellenersteSpalte">
    <w:name w:val="Tabellen erste Spalte"/>
    <w:basedOn w:val="Normal"/>
    <w:rsid w:val="00DB5897"/>
    <w:pPr>
      <w:spacing w:line="240" w:lineRule="atLeast"/>
      <w:jc w:val="left"/>
    </w:pPr>
    <w:rPr>
      <w:rFonts w:ascii="Arial Narrow" w:hAnsi="Arial Narrow"/>
      <w:b/>
      <w:bCs/>
      <w:caps/>
      <w:color w:val="1F497D" w:themeColor="text2"/>
      <w:sz w:val="18"/>
      <w:lang w:val="en-GB"/>
    </w:rPr>
  </w:style>
  <w:style w:type="numbering" w:customStyle="1" w:styleId="GFABullit1">
    <w:name w:val="GFA Bullit1"/>
    <w:uiPriority w:val="99"/>
    <w:rsid w:val="00DB5897"/>
    <w:pPr>
      <w:numPr>
        <w:numId w:val="11"/>
      </w:numPr>
    </w:pPr>
  </w:style>
  <w:style w:type="character" w:customStyle="1" w:styleId="Heading3Char">
    <w:name w:val="Heading 3 Char"/>
    <w:aliases w:val="Sub Section Char,subparagraaf Char,Heading 3 Char Char Char Char,Centered Char,normal Char,h3 Char,sl3 Char,heading 3 Char, Centered Char"/>
    <w:basedOn w:val="DefaultParagraphFont"/>
    <w:link w:val="Heading3"/>
    <w:rsid w:val="00DB5897"/>
    <w:rPr>
      <w:rFonts w:ascii="Arial" w:hAnsi="Arial" w:cs="Arial"/>
      <w:b/>
      <w:spacing w:val="36"/>
      <w:sz w:val="22"/>
      <w:lang w:val="en-GB"/>
    </w:rPr>
  </w:style>
  <w:style w:type="table" w:customStyle="1" w:styleId="GFAMittelblau">
    <w:name w:val="GFA Mittelblau"/>
    <w:basedOn w:val="MediumGrid3-Accent2"/>
    <w:uiPriority w:val="99"/>
    <w:qFormat/>
    <w:rsid w:val="00DB5897"/>
    <w:pPr>
      <w:jc w:val="center"/>
    </w:pPr>
    <w:rPr>
      <w:rFonts w:ascii="Arial Narrow" w:hAnsi="Arial Narrow"/>
      <w:b/>
      <w:color w:val="1F497D" w:themeColor="text2"/>
      <w:sz w:val="18"/>
      <w:szCs w:val="19"/>
    </w:rPr>
    <w:tblPr>
      <w:tblCellMar>
        <w:top w:w="28" w:type="dxa"/>
        <w:bottom w:w="28" w:type="dxa"/>
      </w:tblCellMar>
    </w:tblPr>
    <w:tcPr>
      <w:shd w:val="clear" w:color="auto" w:fill="E4EDF8" w:themeFill="accent2" w:themeFillTint="3F"/>
      <w:vAlign w:val="center"/>
    </w:tcPr>
    <w:tblStylePr w:type="firstRow">
      <w:pPr>
        <w:wordWrap/>
        <w:jc w:val="left"/>
        <w:outlineLvl w:val="9"/>
      </w:pPr>
      <w:rPr>
        <w:rFonts w:ascii="Segoe UI Symbol" w:hAnsi="Segoe UI Symbol"/>
        <w:b/>
        <w:bCs/>
        <w:i w:val="0"/>
        <w:iCs w:val="0"/>
        <w:color w:val="FFFFFF" w:themeColor="background1"/>
        <w:sz w:val="18"/>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8D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AE3" w:themeFill="accent2"/>
      </w:tcPr>
    </w:tblStylePr>
    <w:tblStylePr w:type="firstCol">
      <w:rPr>
        <w:rFonts w:ascii="Segoe UI Symbol" w:hAnsi="Segoe UI Symbol"/>
        <w:b/>
        <w:bCs/>
        <w:i w:val="0"/>
        <w:iCs w:val="0"/>
        <w:caps/>
        <w:smallCaps w:val="0"/>
        <w:color w:val="1F497D" w:themeColor="text2"/>
        <w:sz w:val="18"/>
      </w:rPr>
      <w:tblPr/>
      <w:tcPr>
        <w:tcBorders>
          <w:left w:val="single" w:sz="8" w:space="0" w:color="FFFFFF" w:themeColor="background1"/>
          <w:right w:val="single" w:sz="24" w:space="0" w:color="FFFFFF" w:themeColor="background1"/>
          <w:insideH w:val="nil"/>
          <w:insideV w:val="nil"/>
        </w:tcBorders>
        <w:shd w:val="clear" w:color="auto" w:fill="D4E3F3" w:themeFill="accent2" w:themeFillTint="6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A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F1F9" w:themeFill="accent2" w:themeFillTint="33"/>
      </w:tcPr>
    </w:tblStylePr>
    <w:tblStylePr w:type="band2Vert">
      <w:tblPr/>
      <w:tcPr>
        <w:shd w:val="clear" w:color="auto" w:fill="D4E3F3" w:themeFill="accent2" w:themeFillTint="66"/>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3F3" w:themeFill="accent2" w:themeFillTint="66"/>
      </w:tcPr>
    </w:tblStylePr>
    <w:tblStylePr w:type="band2Horz">
      <w:tblPr/>
      <w:tcPr>
        <w:shd w:val="clear" w:color="auto" w:fill="E9F1F9" w:themeFill="accent2" w:themeFillTint="33"/>
      </w:tcPr>
    </w:tblStylePr>
  </w:style>
  <w:style w:type="paragraph" w:customStyle="1" w:styleId="Text2">
    <w:name w:val="Text 2"/>
    <w:basedOn w:val="Normal"/>
    <w:uiPriority w:val="99"/>
    <w:rsid w:val="00DB5897"/>
    <w:pPr>
      <w:tabs>
        <w:tab w:val="left" w:pos="2161"/>
      </w:tabs>
      <w:overflowPunct/>
      <w:autoSpaceDE/>
      <w:autoSpaceDN/>
      <w:adjustRightInd/>
      <w:spacing w:after="240"/>
      <w:ind w:left="1202"/>
      <w:textAlignment w:val="auto"/>
    </w:pPr>
    <w:rPr>
      <w:sz w:val="20"/>
      <w:lang w:val="en-GB" w:eastAsia="en-GB"/>
    </w:rPr>
  </w:style>
  <w:style w:type="table" w:customStyle="1" w:styleId="HelleListe-Akzent11">
    <w:name w:val="Helle Liste - Akzent 11"/>
    <w:basedOn w:val="TableNormal"/>
    <w:uiPriority w:val="61"/>
    <w:rsid w:val="00DB5897"/>
    <w:rPr>
      <w:rFonts w:asciiTheme="minorHAnsi" w:hAnsiTheme="minorHAnsi"/>
      <w:sz w:val="22"/>
      <w:szCs w:val="22"/>
    </w:rPr>
    <w:tblPr>
      <w:tblStyleRowBandSize w:val="1"/>
      <w:tblStyleColBandSize w:val="1"/>
      <w:tblBorders>
        <w:top w:val="single" w:sz="8" w:space="0" w:color="148DCD" w:themeColor="accent1"/>
        <w:left w:val="single" w:sz="8" w:space="0" w:color="148DCD" w:themeColor="accent1"/>
        <w:bottom w:val="single" w:sz="8" w:space="0" w:color="148DCD" w:themeColor="accent1"/>
        <w:right w:val="single" w:sz="8" w:space="0" w:color="148DCD" w:themeColor="accent1"/>
      </w:tblBorders>
    </w:tblPr>
    <w:tblStylePr w:type="firstRow">
      <w:pPr>
        <w:spacing w:before="0" w:after="0" w:line="240" w:lineRule="auto"/>
      </w:pPr>
      <w:rPr>
        <w:b/>
        <w:bCs/>
        <w:color w:val="FFFFFF" w:themeColor="background1"/>
      </w:rPr>
      <w:tblPr/>
      <w:tcPr>
        <w:shd w:val="clear" w:color="auto" w:fill="148DCD" w:themeFill="accent1"/>
      </w:tcPr>
    </w:tblStylePr>
    <w:tblStylePr w:type="lastRow">
      <w:pPr>
        <w:spacing w:before="0" w:after="0" w:line="240" w:lineRule="auto"/>
      </w:pPr>
      <w:rPr>
        <w:b/>
        <w:bCs/>
      </w:rPr>
      <w:tblPr/>
      <w:tcPr>
        <w:tcBorders>
          <w:top w:val="double" w:sz="6" w:space="0" w:color="148DCD" w:themeColor="accent1"/>
          <w:left w:val="single" w:sz="8" w:space="0" w:color="148DCD" w:themeColor="accent1"/>
          <w:bottom w:val="single" w:sz="8" w:space="0" w:color="148DCD" w:themeColor="accent1"/>
          <w:right w:val="single" w:sz="8" w:space="0" w:color="148DCD" w:themeColor="accent1"/>
        </w:tcBorders>
      </w:tcPr>
    </w:tblStylePr>
    <w:tblStylePr w:type="firstCol">
      <w:rPr>
        <w:b/>
        <w:bCs/>
      </w:rPr>
    </w:tblStylePr>
    <w:tblStylePr w:type="lastCol">
      <w:rPr>
        <w:b/>
        <w:bCs/>
      </w:rPr>
    </w:tblStylePr>
    <w:tblStylePr w:type="band1Vert">
      <w:tblPr/>
      <w:tcPr>
        <w:tcBorders>
          <w:top w:val="single" w:sz="8" w:space="0" w:color="148DCD" w:themeColor="accent1"/>
          <w:left w:val="single" w:sz="8" w:space="0" w:color="148DCD" w:themeColor="accent1"/>
          <w:bottom w:val="single" w:sz="8" w:space="0" w:color="148DCD" w:themeColor="accent1"/>
          <w:right w:val="single" w:sz="8" w:space="0" w:color="148DCD" w:themeColor="accent1"/>
        </w:tcBorders>
      </w:tcPr>
    </w:tblStylePr>
    <w:tblStylePr w:type="band1Horz">
      <w:tblPr/>
      <w:tcPr>
        <w:tcBorders>
          <w:top w:val="single" w:sz="8" w:space="0" w:color="148DCD" w:themeColor="accent1"/>
          <w:left w:val="single" w:sz="8" w:space="0" w:color="148DCD" w:themeColor="accent1"/>
          <w:bottom w:val="single" w:sz="8" w:space="0" w:color="148DCD" w:themeColor="accent1"/>
          <w:right w:val="single" w:sz="8" w:space="0" w:color="148DCD" w:themeColor="accent1"/>
        </w:tcBorders>
      </w:tcPr>
    </w:tblStylePr>
  </w:style>
  <w:style w:type="paragraph" w:customStyle="1" w:styleId="Aufzhlungszeichen1">
    <w:name w:val="Aufzählungszeichen1"/>
    <w:basedOn w:val="Normal"/>
    <w:link w:val="ListbulletChar"/>
    <w:uiPriority w:val="99"/>
    <w:rsid w:val="00DB5897"/>
    <w:pPr>
      <w:numPr>
        <w:numId w:val="12"/>
      </w:numPr>
      <w:overflowPunct/>
      <w:autoSpaceDE/>
      <w:autoSpaceDN/>
      <w:adjustRightInd/>
      <w:spacing w:before="240" w:after="60" w:line="240" w:lineRule="atLeast"/>
      <w:textAlignment w:val="auto"/>
    </w:pPr>
    <w:rPr>
      <w:sz w:val="20"/>
      <w:lang w:eastAsia="en-US"/>
    </w:rPr>
  </w:style>
  <w:style w:type="character" w:customStyle="1" w:styleId="ListbulletChar">
    <w:name w:val="List bullet Char"/>
    <w:basedOn w:val="DefaultParagraphFont"/>
    <w:link w:val="Aufzhlungszeichen1"/>
    <w:uiPriority w:val="99"/>
    <w:locked/>
    <w:rsid w:val="00DB5897"/>
    <w:rPr>
      <w:rFonts w:ascii="Arial" w:hAnsi="Arial"/>
      <w:lang w:val="sr-Latn-RS" w:eastAsia="en-US"/>
    </w:rPr>
  </w:style>
  <w:style w:type="paragraph" w:customStyle="1" w:styleId="Listenabsatz2">
    <w:name w:val="Listenabsatz2"/>
    <w:aliases w:val="Listenabsatz11"/>
    <w:basedOn w:val="Normal"/>
    <w:uiPriority w:val="99"/>
    <w:qFormat/>
    <w:rsid w:val="00DB5897"/>
    <w:pPr>
      <w:spacing w:line="240" w:lineRule="atLeast"/>
      <w:ind w:left="284" w:hanging="284"/>
    </w:pPr>
    <w:rPr>
      <w:rFonts w:cs="Arial"/>
      <w:sz w:val="20"/>
      <w:lang w:val="en-GB"/>
    </w:rPr>
  </w:style>
  <w:style w:type="paragraph" w:customStyle="1" w:styleId="Listenabsatz1">
    <w:name w:val="Listenabsatz1"/>
    <w:aliases w:val="Bullet Points,Liste Paragraf"/>
    <w:basedOn w:val="Normal"/>
    <w:link w:val="ListParagraphChar"/>
    <w:uiPriority w:val="99"/>
    <w:qFormat/>
    <w:rsid w:val="00DB5897"/>
    <w:rPr>
      <w:sz w:val="20"/>
      <w:lang w:val="en-GB"/>
    </w:rPr>
  </w:style>
  <w:style w:type="character" w:customStyle="1" w:styleId="Heading2Char">
    <w:name w:val="Heading 2 Char"/>
    <w:aliases w:val="Sub Char,Text Char,Paranum Char,h2 Char,BHI_Überschrift 2 Char,BHI_Überschrift 2 + 11 pt Char,Justified Char,Right:  0... Char,Outline2 Char1,Heading 2.2 Char1,Zweite Ebene Char1,Section Char1,paragraaf Char1,Heading 2 Char2 Char Char1"/>
    <w:basedOn w:val="DefaultParagraphFont"/>
    <w:rsid w:val="00DB5897"/>
    <w:rPr>
      <w:rFonts w:ascii="Arial" w:hAnsi="Arial" w:cs="Arial"/>
      <w:b/>
      <w:caps/>
      <w:spacing w:val="30"/>
      <w:sz w:val="24"/>
      <w:lang w:val="en-GB" w:eastAsia="de-DE" w:bidi="ar-SA"/>
    </w:rPr>
  </w:style>
  <w:style w:type="paragraph" w:customStyle="1" w:styleId="Arrowlist">
    <w:name w:val="Arrow list"/>
    <w:basedOn w:val="Normal"/>
    <w:rsid w:val="00DB5897"/>
    <w:pPr>
      <w:tabs>
        <w:tab w:val="num" w:pos="360"/>
      </w:tabs>
      <w:spacing w:before="60" w:after="60" w:line="240" w:lineRule="exact"/>
      <w:ind w:left="360" w:hanging="360"/>
    </w:pPr>
    <w:rPr>
      <w:rFonts w:cs="Arial"/>
      <w:sz w:val="20"/>
      <w:lang w:val="en-GB"/>
    </w:rPr>
  </w:style>
  <w:style w:type="character" w:customStyle="1" w:styleId="ListParagraphChar">
    <w:name w:val="List Paragraph Char"/>
    <w:aliases w:val="Bullet Points Char,Liste Paragraf Char,Table/Figure Heading Char,Paragraph Char,Bullet EY Char,Normal bullet 2 Char,Bullet list Char,List Paragraph Red Char,Resume Title Char,Citation List Char,List L1 Char"/>
    <w:basedOn w:val="DefaultParagraphFont"/>
    <w:link w:val="Listenabsatz1"/>
    <w:uiPriority w:val="99"/>
    <w:locked/>
    <w:rsid w:val="00DB5897"/>
    <w:rPr>
      <w:rFonts w:ascii="Arial" w:hAnsi="Arial"/>
      <w:lang w:val="en-GB"/>
    </w:rPr>
  </w:style>
  <w:style w:type="paragraph" w:customStyle="1" w:styleId="Lijstje">
    <w:name w:val="Lijstje"/>
    <w:basedOn w:val="Listenabsatz1"/>
    <w:uiPriority w:val="1"/>
    <w:qFormat/>
    <w:rsid w:val="00DB5897"/>
    <w:pPr>
      <w:keepLines/>
      <w:tabs>
        <w:tab w:val="left" w:pos="425"/>
        <w:tab w:val="left" w:pos="851"/>
      </w:tabs>
      <w:overflowPunct/>
      <w:autoSpaceDE/>
      <w:autoSpaceDN/>
      <w:adjustRightInd/>
      <w:spacing w:before="0" w:line="300" w:lineRule="exact"/>
      <w:textAlignment w:val="auto"/>
    </w:pPr>
    <w:rPr>
      <w:noProof/>
      <w:sz w:val="18"/>
      <w:szCs w:val="24"/>
      <w:lang w:val="en-US" w:eastAsia="en-GB"/>
    </w:rPr>
  </w:style>
  <w:style w:type="paragraph" w:customStyle="1" w:styleId="Tablecontents">
    <w:name w:val="Table contents"/>
    <w:basedOn w:val="Normal"/>
    <w:uiPriority w:val="99"/>
    <w:rsid w:val="00DB5897"/>
    <w:pPr>
      <w:suppressAutoHyphens/>
      <w:overflowPunct/>
      <w:autoSpaceDE/>
      <w:autoSpaceDN/>
      <w:adjustRightInd/>
      <w:spacing w:before="40" w:after="40"/>
      <w:jc w:val="center"/>
      <w:textAlignment w:val="auto"/>
    </w:pPr>
    <w:rPr>
      <w:rFonts w:eastAsia="Calibri" w:cs="Arial"/>
      <w:sz w:val="18"/>
      <w:szCs w:val="18"/>
      <w:lang w:eastAsia="ar-SA"/>
    </w:rPr>
  </w:style>
  <w:style w:type="paragraph" w:customStyle="1" w:styleId="Style10ptJustified">
    <w:name w:val="Style 10 pt Justified"/>
    <w:basedOn w:val="Normal"/>
    <w:uiPriority w:val="99"/>
    <w:rsid w:val="00DB5897"/>
    <w:pPr>
      <w:suppressAutoHyphens/>
      <w:overflowPunct/>
      <w:autoSpaceDE/>
      <w:autoSpaceDN/>
      <w:adjustRightInd/>
      <w:spacing w:line="240" w:lineRule="exact"/>
      <w:textAlignment w:val="auto"/>
    </w:pPr>
    <w:rPr>
      <w:rFonts w:ascii="Calibri" w:eastAsia="Calibri" w:hAnsi="Calibri" w:cs="Calibri"/>
      <w:sz w:val="20"/>
      <w:lang w:val="en-GB" w:eastAsia="ar-SA"/>
    </w:rPr>
  </w:style>
  <w:style w:type="paragraph" w:customStyle="1" w:styleId="Normale-UK">
    <w:name w:val="Normale-UK"/>
    <w:basedOn w:val="Normal"/>
    <w:uiPriority w:val="99"/>
    <w:rsid w:val="00DB5897"/>
    <w:pPr>
      <w:suppressAutoHyphens/>
      <w:overflowPunct/>
      <w:autoSpaceDE/>
      <w:autoSpaceDN/>
      <w:adjustRightInd/>
      <w:spacing w:before="20" w:after="20" w:line="240" w:lineRule="exact"/>
      <w:ind w:right="-45"/>
      <w:jc w:val="left"/>
      <w:textAlignment w:val="auto"/>
    </w:pPr>
    <w:rPr>
      <w:rFonts w:eastAsia="Calibri" w:cs="Arial"/>
      <w:sz w:val="18"/>
      <w:szCs w:val="18"/>
      <w:lang w:val="en-GB" w:eastAsia="ar-SA"/>
    </w:rPr>
  </w:style>
  <w:style w:type="paragraph" w:customStyle="1" w:styleId="berschrift3">
    <w:name w:val="Überschrift3"/>
    <w:basedOn w:val="Heading3"/>
    <w:link w:val="berschrift3Zchn"/>
    <w:qFormat/>
    <w:rsid w:val="00DB5897"/>
    <w:pPr>
      <w:numPr>
        <w:ilvl w:val="0"/>
        <w:numId w:val="0"/>
      </w:numPr>
      <w:spacing w:after="120" w:line="240" w:lineRule="atLeast"/>
      <w:ind w:left="1004" w:hanging="720"/>
    </w:pPr>
    <w:rPr>
      <w:rFonts w:ascii="Arial Narrow" w:hAnsi="Arial Narrow"/>
      <w:color w:val="034EA2" w:themeColor="accent6"/>
      <w:spacing w:val="17"/>
      <w:szCs w:val="34"/>
    </w:rPr>
  </w:style>
  <w:style w:type="character" w:customStyle="1" w:styleId="berschrift3Zchn">
    <w:name w:val="Überschrift3 Zchn"/>
    <w:basedOn w:val="Heading3Char"/>
    <w:link w:val="berschrift3"/>
    <w:rsid w:val="00DB5897"/>
    <w:rPr>
      <w:rFonts w:ascii="Arial Narrow" w:hAnsi="Arial Narrow" w:cs="Arial"/>
      <w:b/>
      <w:color w:val="034EA2" w:themeColor="accent6"/>
      <w:spacing w:val="17"/>
      <w:sz w:val="22"/>
      <w:szCs w:val="34"/>
      <w:lang w:val="en-GB"/>
    </w:rPr>
  </w:style>
  <w:style w:type="character" w:customStyle="1" w:styleId="ListParagraphChar1">
    <w:name w:val="List Paragraph Char1"/>
    <w:aliases w:val="члан Char,List (Mannvit) Char,Left Bullet L1 Char,Table/Figure Heading Char1,Paragraph Char1,Bullet EY Char1,Normal bullet 2 Char1,Bullet list Char1,List Paragraph Red Char1,Resume Title Char1,Citation List Char1,List L1 Char1"/>
    <w:basedOn w:val="DefaultParagraphFont"/>
    <w:link w:val="ListParagraph"/>
    <w:uiPriority w:val="34"/>
    <w:locked/>
    <w:rsid w:val="00DB5897"/>
    <w:rPr>
      <w:rFonts w:ascii="Arial" w:hAnsi="Arial" w:cs="Arial"/>
      <w:lang w:val="en-GB"/>
    </w:rPr>
  </w:style>
  <w:style w:type="paragraph" w:customStyle="1" w:styleId="StyleArialNarrowCenteredBefore5ptAfter0ptBottom">
    <w:name w:val="Style Arial Narrow Centered Before:  5 pt After:  0 pt Bottom: ..."/>
    <w:basedOn w:val="Normal"/>
    <w:rsid w:val="00DB5897"/>
    <w:pPr>
      <w:spacing w:before="100"/>
      <w:jc w:val="center"/>
    </w:pPr>
    <w:rPr>
      <w:rFonts w:ascii="Arial Narrow" w:hAnsi="Arial Narrow"/>
      <w:sz w:val="20"/>
      <w:lang w:val="en-GB"/>
    </w:rPr>
  </w:style>
  <w:style w:type="paragraph" w:customStyle="1" w:styleId="CorpsSol">
    <w:name w:val="CorpsSol"/>
    <w:basedOn w:val="BodyText"/>
    <w:next w:val="BodyText"/>
    <w:rsid w:val="00EF4680"/>
    <w:pPr>
      <w:keepNext/>
      <w:keepLines/>
      <w:widowControl/>
      <w:tabs>
        <w:tab w:val="clear" w:pos="-720"/>
      </w:tabs>
      <w:suppressAutoHyphens w:val="0"/>
      <w:spacing w:before="0" w:after="240" w:line="240" w:lineRule="auto"/>
    </w:pPr>
    <w:rPr>
      <w:spacing w:val="0"/>
      <w:lang w:val="fr-FR" w:eastAsia="fr-FR"/>
    </w:rPr>
  </w:style>
  <w:style w:type="paragraph" w:customStyle="1" w:styleId="En-tte1">
    <w:name w:val="En-tête1"/>
    <w:basedOn w:val="Header"/>
    <w:rsid w:val="00EF4680"/>
    <w:pPr>
      <w:keepLines/>
      <w:tabs>
        <w:tab w:val="right" w:pos="9072"/>
      </w:tabs>
      <w:overflowPunct/>
      <w:autoSpaceDE/>
      <w:autoSpaceDN/>
      <w:adjustRightInd/>
      <w:jc w:val="left"/>
      <w:textAlignment w:val="auto"/>
    </w:pPr>
    <w:rPr>
      <w:sz w:val="18"/>
      <w:lang w:val="fr-FR" w:eastAsia="fr-FR"/>
    </w:rPr>
  </w:style>
  <w:style w:type="paragraph" w:customStyle="1" w:styleId="Lettre-0pt">
    <w:name w:val="Lettre-0pt"/>
    <w:basedOn w:val="BodyText"/>
    <w:rsid w:val="00EF4680"/>
    <w:pPr>
      <w:keepLines/>
      <w:widowControl/>
      <w:numPr>
        <w:numId w:val="13"/>
      </w:numPr>
      <w:tabs>
        <w:tab w:val="clear" w:pos="-720"/>
        <w:tab w:val="clear" w:pos="360"/>
      </w:tabs>
      <w:suppressAutoHyphens w:val="0"/>
      <w:spacing w:before="0" w:after="0" w:line="240" w:lineRule="auto"/>
      <w:ind w:left="357" w:hanging="357"/>
    </w:pPr>
    <w:rPr>
      <w:spacing w:val="0"/>
      <w:lang w:val="fr-FR" w:eastAsia="fr-FR"/>
    </w:rPr>
  </w:style>
  <w:style w:type="paragraph" w:customStyle="1" w:styleId="Lettre-12pts">
    <w:name w:val="Lettre-12pts"/>
    <w:basedOn w:val="BodyText"/>
    <w:rsid w:val="00EF4680"/>
    <w:pPr>
      <w:keepLines/>
      <w:widowControl/>
      <w:numPr>
        <w:numId w:val="14"/>
      </w:numPr>
      <w:tabs>
        <w:tab w:val="clear" w:pos="-720"/>
        <w:tab w:val="clear" w:pos="360"/>
      </w:tabs>
      <w:suppressAutoHyphens w:val="0"/>
      <w:spacing w:before="0" w:after="240" w:line="240" w:lineRule="auto"/>
      <w:ind w:left="357" w:hanging="357"/>
    </w:pPr>
    <w:rPr>
      <w:spacing w:val="0"/>
      <w:lang w:val="fr-FR" w:eastAsia="fr-FR"/>
    </w:rPr>
  </w:style>
  <w:style w:type="paragraph" w:customStyle="1" w:styleId="Lettre-6pts">
    <w:name w:val="Lettre-6pts"/>
    <w:basedOn w:val="BodyText"/>
    <w:rsid w:val="00EF4680"/>
    <w:pPr>
      <w:keepLines/>
      <w:widowControl/>
      <w:numPr>
        <w:numId w:val="15"/>
      </w:numPr>
      <w:tabs>
        <w:tab w:val="clear" w:pos="-720"/>
        <w:tab w:val="clear" w:pos="360"/>
      </w:tabs>
      <w:suppressAutoHyphens w:val="0"/>
      <w:spacing w:before="0" w:line="240" w:lineRule="auto"/>
      <w:ind w:left="357" w:hanging="357"/>
    </w:pPr>
    <w:rPr>
      <w:spacing w:val="0"/>
      <w:lang w:val="fr-FR" w:eastAsia="fr-FR"/>
    </w:rPr>
  </w:style>
  <w:style w:type="paragraph" w:customStyle="1" w:styleId="Numro-0pt">
    <w:name w:val="Numéro-0pt"/>
    <w:basedOn w:val="BodyText"/>
    <w:rsid w:val="00EF4680"/>
    <w:pPr>
      <w:keepLines/>
      <w:widowControl/>
      <w:numPr>
        <w:numId w:val="16"/>
      </w:numPr>
      <w:tabs>
        <w:tab w:val="clear" w:pos="-720"/>
        <w:tab w:val="clear" w:pos="360"/>
      </w:tabs>
      <w:suppressAutoHyphens w:val="0"/>
      <w:spacing w:before="0" w:after="0" w:line="240" w:lineRule="auto"/>
      <w:ind w:left="357" w:hanging="357"/>
    </w:pPr>
    <w:rPr>
      <w:spacing w:val="0"/>
      <w:lang w:val="fr-FR" w:eastAsia="fr-FR"/>
    </w:rPr>
  </w:style>
  <w:style w:type="paragraph" w:customStyle="1" w:styleId="Numro-12pts">
    <w:name w:val="Numéro-12pts"/>
    <w:basedOn w:val="BodyText"/>
    <w:rsid w:val="00EF4680"/>
    <w:pPr>
      <w:keepLines/>
      <w:widowControl/>
      <w:numPr>
        <w:numId w:val="17"/>
      </w:numPr>
      <w:tabs>
        <w:tab w:val="clear" w:pos="-720"/>
        <w:tab w:val="clear" w:pos="360"/>
      </w:tabs>
      <w:suppressAutoHyphens w:val="0"/>
      <w:spacing w:before="0" w:after="240" w:line="240" w:lineRule="auto"/>
      <w:ind w:left="357" w:hanging="357"/>
    </w:pPr>
    <w:rPr>
      <w:spacing w:val="0"/>
      <w:lang w:val="fr-FR" w:eastAsia="fr-FR"/>
    </w:rPr>
  </w:style>
  <w:style w:type="paragraph" w:customStyle="1" w:styleId="Numro-6pts">
    <w:name w:val="Numéro-6pts"/>
    <w:basedOn w:val="BodyText"/>
    <w:rsid w:val="00EF4680"/>
    <w:pPr>
      <w:keepLines/>
      <w:widowControl/>
      <w:numPr>
        <w:numId w:val="18"/>
      </w:numPr>
      <w:tabs>
        <w:tab w:val="clear" w:pos="-720"/>
        <w:tab w:val="clear" w:pos="360"/>
      </w:tabs>
      <w:suppressAutoHyphens w:val="0"/>
      <w:spacing w:before="0" w:line="240" w:lineRule="auto"/>
      <w:ind w:left="357" w:hanging="357"/>
    </w:pPr>
    <w:rPr>
      <w:spacing w:val="0"/>
      <w:lang w:val="fr-FR" w:eastAsia="fr-FR"/>
    </w:rPr>
  </w:style>
  <w:style w:type="paragraph" w:customStyle="1" w:styleId="Pieddepage1">
    <w:name w:val="Pied de page1"/>
    <w:basedOn w:val="Normal"/>
    <w:rsid w:val="00EF4680"/>
    <w:pPr>
      <w:keepLines/>
      <w:pBdr>
        <w:top w:val="single" w:sz="4" w:space="1" w:color="auto"/>
      </w:pBdr>
      <w:overflowPunct/>
      <w:autoSpaceDE/>
      <w:autoSpaceDN/>
      <w:adjustRightInd/>
      <w:spacing w:line="280" w:lineRule="exact"/>
      <w:jc w:val="center"/>
      <w:textAlignment w:val="auto"/>
    </w:pPr>
    <w:rPr>
      <w:noProof/>
      <w:spacing w:val="-4"/>
      <w:sz w:val="14"/>
      <w:lang w:val="fr-FR" w:eastAsia="fr-FR"/>
    </w:rPr>
  </w:style>
  <w:style w:type="paragraph" w:customStyle="1" w:styleId="Puce1-0pt">
    <w:name w:val="Puce1-0pt"/>
    <w:basedOn w:val="BodyText"/>
    <w:rsid w:val="00EF4680"/>
    <w:pPr>
      <w:keepLines/>
      <w:widowControl/>
      <w:numPr>
        <w:numId w:val="19"/>
      </w:numPr>
      <w:tabs>
        <w:tab w:val="clear" w:pos="-720"/>
        <w:tab w:val="clear" w:pos="360"/>
      </w:tabs>
      <w:suppressAutoHyphens w:val="0"/>
      <w:spacing w:before="0" w:after="0" w:line="240" w:lineRule="auto"/>
      <w:ind w:left="357" w:hanging="357"/>
    </w:pPr>
    <w:rPr>
      <w:spacing w:val="0"/>
      <w:lang w:val="fr-FR" w:eastAsia="fr-FR"/>
    </w:rPr>
  </w:style>
  <w:style w:type="paragraph" w:customStyle="1" w:styleId="Puce1-12pts">
    <w:name w:val="Puce1-12pts"/>
    <w:basedOn w:val="BodyText"/>
    <w:rsid w:val="00EF4680"/>
    <w:pPr>
      <w:keepLines/>
      <w:widowControl/>
      <w:numPr>
        <w:numId w:val="20"/>
      </w:numPr>
      <w:tabs>
        <w:tab w:val="clear" w:pos="-720"/>
        <w:tab w:val="clear" w:pos="360"/>
      </w:tabs>
      <w:suppressAutoHyphens w:val="0"/>
      <w:spacing w:before="0" w:after="240" w:line="240" w:lineRule="auto"/>
      <w:ind w:left="357" w:hanging="357"/>
    </w:pPr>
    <w:rPr>
      <w:spacing w:val="0"/>
      <w:lang w:val="fr-FR" w:eastAsia="fr-FR"/>
    </w:rPr>
  </w:style>
  <w:style w:type="paragraph" w:customStyle="1" w:styleId="Puce1-6pts">
    <w:name w:val="Puce1-6pts"/>
    <w:basedOn w:val="BodyText"/>
    <w:rsid w:val="00EF4680"/>
    <w:pPr>
      <w:keepLines/>
      <w:widowControl/>
      <w:numPr>
        <w:numId w:val="21"/>
      </w:numPr>
      <w:tabs>
        <w:tab w:val="clear" w:pos="-720"/>
        <w:tab w:val="clear" w:pos="360"/>
      </w:tabs>
      <w:suppressAutoHyphens w:val="0"/>
      <w:spacing w:before="0" w:line="240" w:lineRule="auto"/>
      <w:ind w:left="357" w:hanging="357"/>
    </w:pPr>
    <w:rPr>
      <w:spacing w:val="0"/>
      <w:lang w:val="fr-FR" w:eastAsia="fr-FR"/>
    </w:rPr>
  </w:style>
  <w:style w:type="paragraph" w:customStyle="1" w:styleId="Puce2-0pt">
    <w:name w:val="Puce2-0pt"/>
    <w:basedOn w:val="BodyText"/>
    <w:rsid w:val="00EF4680"/>
    <w:pPr>
      <w:keepLines/>
      <w:widowControl/>
      <w:numPr>
        <w:numId w:val="22"/>
      </w:numPr>
      <w:tabs>
        <w:tab w:val="clear" w:pos="-720"/>
        <w:tab w:val="clear" w:pos="717"/>
      </w:tabs>
      <w:suppressAutoHyphens w:val="0"/>
      <w:spacing w:before="0" w:after="0" w:line="240" w:lineRule="auto"/>
    </w:pPr>
    <w:rPr>
      <w:spacing w:val="0"/>
      <w:lang w:val="fr-FR" w:eastAsia="fr-FR"/>
    </w:rPr>
  </w:style>
  <w:style w:type="paragraph" w:customStyle="1" w:styleId="Puce2-12pts">
    <w:name w:val="Puce2-12pts"/>
    <w:basedOn w:val="BodyText"/>
    <w:rsid w:val="00EF4680"/>
    <w:pPr>
      <w:keepLines/>
      <w:widowControl/>
      <w:numPr>
        <w:numId w:val="23"/>
      </w:numPr>
      <w:tabs>
        <w:tab w:val="clear" w:pos="-720"/>
        <w:tab w:val="clear" w:pos="717"/>
      </w:tabs>
      <w:suppressAutoHyphens w:val="0"/>
      <w:spacing w:before="0" w:after="240" w:line="240" w:lineRule="auto"/>
    </w:pPr>
    <w:rPr>
      <w:spacing w:val="0"/>
      <w:lang w:val="fr-FR" w:eastAsia="fr-FR"/>
    </w:rPr>
  </w:style>
  <w:style w:type="paragraph" w:customStyle="1" w:styleId="Puce2-6pts">
    <w:name w:val="Puce2-6pts"/>
    <w:basedOn w:val="BodyText"/>
    <w:rsid w:val="00EF4680"/>
    <w:pPr>
      <w:keepLines/>
      <w:widowControl/>
      <w:numPr>
        <w:numId w:val="24"/>
      </w:numPr>
      <w:tabs>
        <w:tab w:val="clear" w:pos="-720"/>
        <w:tab w:val="clear" w:pos="717"/>
      </w:tabs>
      <w:suppressAutoHyphens w:val="0"/>
      <w:spacing w:before="0" w:line="240" w:lineRule="auto"/>
    </w:pPr>
    <w:rPr>
      <w:spacing w:val="0"/>
      <w:lang w:val="fr-FR" w:eastAsia="fr-FR"/>
    </w:rPr>
  </w:style>
  <w:style w:type="paragraph" w:customStyle="1" w:styleId="Puce3-0pt">
    <w:name w:val="Puce3-0pt"/>
    <w:basedOn w:val="BodyText"/>
    <w:rsid w:val="00EF4680"/>
    <w:pPr>
      <w:keepLines/>
      <w:widowControl/>
      <w:numPr>
        <w:numId w:val="25"/>
      </w:numPr>
      <w:tabs>
        <w:tab w:val="clear" w:pos="-720"/>
        <w:tab w:val="clear" w:pos="1074"/>
      </w:tabs>
      <w:suppressAutoHyphens w:val="0"/>
      <w:spacing w:before="0" w:after="0" w:line="240" w:lineRule="auto"/>
      <w:ind w:left="1071" w:hanging="357"/>
    </w:pPr>
    <w:rPr>
      <w:spacing w:val="0"/>
      <w:lang w:val="fr-FR" w:eastAsia="fr-FR"/>
    </w:rPr>
  </w:style>
  <w:style w:type="paragraph" w:customStyle="1" w:styleId="Puce3-12pts">
    <w:name w:val="Puce3-12pts"/>
    <w:basedOn w:val="BodyText"/>
    <w:rsid w:val="00EF4680"/>
    <w:pPr>
      <w:keepLines/>
      <w:widowControl/>
      <w:numPr>
        <w:numId w:val="26"/>
      </w:numPr>
      <w:tabs>
        <w:tab w:val="clear" w:pos="-720"/>
        <w:tab w:val="clear" w:pos="1074"/>
      </w:tabs>
      <w:suppressAutoHyphens w:val="0"/>
      <w:spacing w:before="0" w:after="240" w:line="240" w:lineRule="auto"/>
      <w:ind w:left="1071" w:hanging="357"/>
    </w:pPr>
    <w:rPr>
      <w:spacing w:val="0"/>
      <w:lang w:val="fr-FR" w:eastAsia="fr-FR"/>
    </w:rPr>
  </w:style>
  <w:style w:type="paragraph" w:customStyle="1" w:styleId="Puce3-6pts">
    <w:name w:val="Puce3-6pts"/>
    <w:basedOn w:val="BodyText"/>
    <w:rsid w:val="00EF4680"/>
    <w:pPr>
      <w:keepLines/>
      <w:widowControl/>
      <w:numPr>
        <w:numId w:val="27"/>
      </w:numPr>
      <w:tabs>
        <w:tab w:val="clear" w:pos="-720"/>
        <w:tab w:val="clear" w:pos="1074"/>
      </w:tabs>
      <w:suppressAutoHyphens w:val="0"/>
      <w:spacing w:before="0" w:line="240" w:lineRule="auto"/>
      <w:ind w:left="1071" w:hanging="357"/>
    </w:pPr>
    <w:rPr>
      <w:spacing w:val="0"/>
      <w:lang w:val="fr-FR" w:eastAsia="fr-FR"/>
    </w:rPr>
  </w:style>
  <w:style w:type="paragraph" w:customStyle="1" w:styleId="Puce4-0pt">
    <w:name w:val="Puce4-0pt"/>
    <w:basedOn w:val="BodyText"/>
    <w:rsid w:val="00EF4680"/>
    <w:pPr>
      <w:keepLines/>
      <w:widowControl/>
      <w:numPr>
        <w:numId w:val="28"/>
      </w:numPr>
      <w:tabs>
        <w:tab w:val="clear" w:pos="-720"/>
        <w:tab w:val="clear" w:pos="1432"/>
      </w:tabs>
      <w:suppressAutoHyphens w:val="0"/>
      <w:spacing w:before="0" w:after="0" w:line="240" w:lineRule="auto"/>
    </w:pPr>
    <w:rPr>
      <w:spacing w:val="0"/>
      <w:lang w:val="fr-FR" w:eastAsia="fr-FR"/>
    </w:rPr>
  </w:style>
  <w:style w:type="paragraph" w:customStyle="1" w:styleId="Puce4-12pts">
    <w:name w:val="Puce4-12pts"/>
    <w:basedOn w:val="BodyText"/>
    <w:rsid w:val="00EF4680"/>
    <w:pPr>
      <w:keepLines/>
      <w:widowControl/>
      <w:numPr>
        <w:numId w:val="29"/>
      </w:numPr>
      <w:tabs>
        <w:tab w:val="clear" w:pos="-720"/>
        <w:tab w:val="clear" w:pos="1432"/>
      </w:tabs>
      <w:suppressAutoHyphens w:val="0"/>
      <w:spacing w:before="0" w:after="240" w:line="240" w:lineRule="auto"/>
    </w:pPr>
    <w:rPr>
      <w:spacing w:val="0"/>
      <w:lang w:val="fr-FR" w:eastAsia="fr-FR"/>
    </w:rPr>
  </w:style>
  <w:style w:type="paragraph" w:customStyle="1" w:styleId="Puce4-6pts">
    <w:name w:val="Puce4-6pts"/>
    <w:basedOn w:val="BodyText"/>
    <w:rsid w:val="00EF4680"/>
    <w:pPr>
      <w:keepLines/>
      <w:widowControl/>
      <w:numPr>
        <w:numId w:val="30"/>
      </w:numPr>
      <w:tabs>
        <w:tab w:val="clear" w:pos="-720"/>
        <w:tab w:val="clear" w:pos="1432"/>
      </w:tabs>
      <w:suppressAutoHyphens w:val="0"/>
      <w:spacing w:before="0" w:line="240" w:lineRule="auto"/>
    </w:pPr>
    <w:rPr>
      <w:spacing w:val="0"/>
      <w:lang w:val="fr-FR" w:eastAsia="fr-FR"/>
    </w:rPr>
  </w:style>
  <w:style w:type="character" w:customStyle="1" w:styleId="Rf1">
    <w:name w:val="Réf1"/>
    <w:rsid w:val="00EF4680"/>
    <w:rPr>
      <w:noProof/>
      <w:sz w:val="22"/>
    </w:rPr>
  </w:style>
  <w:style w:type="paragraph" w:customStyle="1" w:styleId="Rf2">
    <w:name w:val="Réf2"/>
    <w:basedOn w:val="Normal"/>
    <w:rsid w:val="00EF4680"/>
    <w:pPr>
      <w:keepLines/>
      <w:overflowPunct/>
      <w:autoSpaceDE/>
      <w:autoSpaceDN/>
      <w:adjustRightInd/>
      <w:jc w:val="left"/>
      <w:textAlignment w:val="auto"/>
    </w:pPr>
    <w:rPr>
      <w:noProof/>
      <w:lang w:val="fr-FR" w:eastAsia="fr-FR"/>
    </w:rPr>
  </w:style>
  <w:style w:type="paragraph" w:customStyle="1" w:styleId="Retrait1-12pts">
    <w:name w:val="Retrait1-12pts"/>
    <w:basedOn w:val="BodyText"/>
    <w:rsid w:val="00EF4680"/>
    <w:pPr>
      <w:keepLines/>
      <w:widowControl/>
      <w:tabs>
        <w:tab w:val="clear" w:pos="-720"/>
      </w:tabs>
      <w:suppressAutoHyphens w:val="0"/>
      <w:spacing w:before="0" w:after="240" w:line="240" w:lineRule="auto"/>
      <w:ind w:left="357"/>
    </w:pPr>
    <w:rPr>
      <w:spacing w:val="0"/>
      <w:lang w:val="fr-FR" w:eastAsia="fr-FR"/>
    </w:rPr>
  </w:style>
  <w:style w:type="paragraph" w:customStyle="1" w:styleId="Retrait1-6pts">
    <w:name w:val="Retrait1-6pts"/>
    <w:basedOn w:val="Retrait1-12pts"/>
    <w:rsid w:val="00EF4680"/>
    <w:pPr>
      <w:spacing w:after="120"/>
    </w:pPr>
  </w:style>
  <w:style w:type="paragraph" w:customStyle="1" w:styleId="Retrait1-0pt">
    <w:name w:val="Retrait1-0pt"/>
    <w:basedOn w:val="Retrait1-6pts"/>
    <w:rsid w:val="00EF4680"/>
    <w:pPr>
      <w:spacing w:after="0"/>
    </w:pPr>
  </w:style>
  <w:style w:type="paragraph" w:customStyle="1" w:styleId="Retrait2-12pts">
    <w:name w:val="Retrait2-12pts"/>
    <w:basedOn w:val="BodyText"/>
    <w:rsid w:val="00EF4680"/>
    <w:pPr>
      <w:keepLines/>
      <w:widowControl/>
      <w:tabs>
        <w:tab w:val="clear" w:pos="-720"/>
      </w:tabs>
      <w:suppressAutoHyphens w:val="0"/>
      <w:spacing w:before="0" w:after="240" w:line="240" w:lineRule="auto"/>
      <w:ind w:left="714"/>
    </w:pPr>
    <w:rPr>
      <w:spacing w:val="0"/>
      <w:lang w:val="fr-FR" w:eastAsia="fr-FR"/>
    </w:rPr>
  </w:style>
  <w:style w:type="paragraph" w:customStyle="1" w:styleId="Retrait2-6pts">
    <w:name w:val="Retrait2-6pts"/>
    <w:basedOn w:val="Retrait2-12pts"/>
    <w:rsid w:val="00EF4680"/>
    <w:pPr>
      <w:spacing w:after="120"/>
    </w:pPr>
  </w:style>
  <w:style w:type="paragraph" w:customStyle="1" w:styleId="Retrait2-0pt">
    <w:name w:val="Retrait2-0pt"/>
    <w:basedOn w:val="Retrait2-6pts"/>
    <w:rsid w:val="00EF4680"/>
    <w:pPr>
      <w:spacing w:after="0"/>
    </w:pPr>
  </w:style>
  <w:style w:type="paragraph" w:customStyle="1" w:styleId="Retrait3-12pts">
    <w:name w:val="Retrait3-12pts"/>
    <w:basedOn w:val="BodyText"/>
    <w:rsid w:val="00EF4680"/>
    <w:pPr>
      <w:keepLines/>
      <w:widowControl/>
      <w:tabs>
        <w:tab w:val="clear" w:pos="-720"/>
      </w:tabs>
      <w:suppressAutoHyphens w:val="0"/>
      <w:spacing w:before="0" w:after="240" w:line="240" w:lineRule="auto"/>
      <w:ind w:left="1072"/>
    </w:pPr>
    <w:rPr>
      <w:spacing w:val="0"/>
      <w:lang w:val="fr-FR" w:eastAsia="fr-FR"/>
    </w:rPr>
  </w:style>
  <w:style w:type="paragraph" w:customStyle="1" w:styleId="Retrait3-6pts">
    <w:name w:val="Retrait3-6pts"/>
    <w:basedOn w:val="Retrait3-12pts"/>
    <w:rsid w:val="00EF4680"/>
    <w:pPr>
      <w:spacing w:after="120"/>
    </w:pPr>
  </w:style>
  <w:style w:type="paragraph" w:customStyle="1" w:styleId="Retrait3-0pt">
    <w:name w:val="Retrait3-0pt"/>
    <w:basedOn w:val="Retrait3-6pts"/>
    <w:rsid w:val="00EF4680"/>
    <w:pPr>
      <w:spacing w:after="0"/>
    </w:pPr>
  </w:style>
  <w:style w:type="paragraph" w:customStyle="1" w:styleId="Retrait4-12pts">
    <w:name w:val="Retrait4-12pts"/>
    <w:basedOn w:val="BodyText"/>
    <w:rsid w:val="00EF4680"/>
    <w:pPr>
      <w:keepLines/>
      <w:widowControl/>
      <w:tabs>
        <w:tab w:val="clear" w:pos="-720"/>
      </w:tabs>
      <w:suppressAutoHyphens w:val="0"/>
      <w:spacing w:before="0" w:after="240" w:line="240" w:lineRule="auto"/>
      <w:ind w:left="1429"/>
    </w:pPr>
    <w:rPr>
      <w:spacing w:val="0"/>
      <w:lang w:val="fr-FR" w:eastAsia="fr-FR"/>
    </w:rPr>
  </w:style>
  <w:style w:type="paragraph" w:customStyle="1" w:styleId="Retrait4-6pts">
    <w:name w:val="Retrait4-6pts"/>
    <w:basedOn w:val="Retrait4-12pts"/>
    <w:rsid w:val="00EF4680"/>
    <w:pPr>
      <w:spacing w:after="120"/>
    </w:pPr>
  </w:style>
  <w:style w:type="paragraph" w:customStyle="1" w:styleId="Retrait4-0pt">
    <w:name w:val="Retrait4-0pt"/>
    <w:basedOn w:val="Retrait4-6pts"/>
    <w:rsid w:val="00EF4680"/>
    <w:pPr>
      <w:spacing w:after="0"/>
    </w:pPr>
  </w:style>
  <w:style w:type="paragraph" w:customStyle="1" w:styleId="TitreCadre">
    <w:name w:val="Titre Cadre"/>
    <w:basedOn w:val="Normal"/>
    <w:next w:val="BodyText"/>
    <w:rsid w:val="00EF4680"/>
    <w:pPr>
      <w:keepNext/>
      <w:keepLines/>
      <w:pBdr>
        <w:top w:val="thinThickSmallGap" w:sz="24" w:space="6" w:color="808080"/>
        <w:left w:val="thinThickSmallGap" w:sz="24" w:space="6" w:color="808080"/>
        <w:bottom w:val="thinThickSmallGap" w:sz="24" w:space="6" w:color="808080"/>
        <w:right w:val="thinThickSmallGap" w:sz="24" w:space="6" w:color="808080"/>
      </w:pBdr>
      <w:overflowPunct/>
      <w:autoSpaceDE/>
      <w:autoSpaceDN/>
      <w:adjustRightInd/>
      <w:spacing w:after="840"/>
      <w:jc w:val="center"/>
      <w:textAlignment w:val="auto"/>
    </w:pPr>
    <w:rPr>
      <w:rFonts w:ascii="Arial Black" w:hAnsi="Arial Black"/>
      <w:caps/>
      <w:sz w:val="28"/>
      <w:lang w:val="fr-FR" w:eastAsia="fr-FR"/>
    </w:rPr>
  </w:style>
  <w:style w:type="paragraph" w:customStyle="1" w:styleId="TitreCentre">
    <w:name w:val="Titre Centre"/>
    <w:basedOn w:val="Normal"/>
    <w:next w:val="BodyText"/>
    <w:rsid w:val="00EF4680"/>
    <w:pPr>
      <w:keepNext/>
      <w:keepLines/>
      <w:overflowPunct/>
      <w:autoSpaceDE/>
      <w:autoSpaceDN/>
      <w:adjustRightInd/>
      <w:spacing w:after="840"/>
      <w:jc w:val="center"/>
      <w:textAlignment w:val="auto"/>
    </w:pPr>
    <w:rPr>
      <w:rFonts w:ascii="Arial Black" w:hAnsi="Arial Black"/>
      <w:caps/>
      <w:sz w:val="28"/>
      <w:lang w:val="fr-FR" w:eastAsia="fr-FR"/>
    </w:rPr>
  </w:style>
  <w:style w:type="paragraph" w:customStyle="1" w:styleId="ProjectFramework">
    <w:name w:val="ProjectFramework"/>
    <w:basedOn w:val="Normal"/>
    <w:rsid w:val="00EF4680"/>
    <w:pPr>
      <w:jc w:val="left"/>
    </w:pPr>
    <w:rPr>
      <w:noProof/>
      <w:sz w:val="20"/>
      <w:lang w:eastAsia="en-US"/>
    </w:rPr>
  </w:style>
  <w:style w:type="paragraph" w:customStyle="1" w:styleId="ProjectFrameworkOutputs">
    <w:name w:val="ProjectFrameworkOutputs"/>
    <w:basedOn w:val="Normal"/>
    <w:rsid w:val="00EF4680"/>
    <w:pPr>
      <w:tabs>
        <w:tab w:val="left" w:pos="270"/>
      </w:tabs>
      <w:spacing w:after="60"/>
      <w:jc w:val="left"/>
    </w:pPr>
    <w:rPr>
      <w:sz w:val="20"/>
      <w:lang w:val="en-GB" w:eastAsia="en-US"/>
    </w:rPr>
  </w:style>
  <w:style w:type="paragraph" w:customStyle="1" w:styleId="MediumGrid1-Accent21">
    <w:name w:val="Medium Grid 1 - Accent 21"/>
    <w:basedOn w:val="Normal"/>
    <w:uiPriority w:val="34"/>
    <w:qFormat/>
    <w:rsid w:val="00046EB2"/>
    <w:pPr>
      <w:overflowPunct/>
      <w:autoSpaceDE/>
      <w:autoSpaceDN/>
      <w:adjustRightInd/>
      <w:spacing w:after="200" w:line="276" w:lineRule="auto"/>
      <w:ind w:left="720"/>
      <w:contextualSpacing/>
      <w:jc w:val="left"/>
      <w:textAlignment w:val="auto"/>
    </w:pPr>
    <w:rPr>
      <w:rFonts w:ascii="Calibri" w:eastAsia="Calibri" w:hAnsi="Calibri"/>
      <w:szCs w:val="22"/>
      <w:lang w:eastAsia="en-US"/>
    </w:rPr>
  </w:style>
  <w:style w:type="paragraph" w:customStyle="1" w:styleId="BodyText1">
    <w:name w:val="Body Text1"/>
    <w:link w:val="bodytextChar0"/>
    <w:rsid w:val="00C65F5A"/>
    <w:pPr>
      <w:spacing w:line="360" w:lineRule="auto"/>
    </w:pPr>
    <w:rPr>
      <w:sz w:val="22"/>
      <w:lang w:val="en-GB" w:eastAsia="en-US"/>
    </w:rPr>
  </w:style>
  <w:style w:type="character" w:customStyle="1" w:styleId="bodytextChar0">
    <w:name w:val="body text Char"/>
    <w:link w:val="BodyText1"/>
    <w:rsid w:val="00C65F5A"/>
    <w:rPr>
      <w:sz w:val="22"/>
      <w:lang w:val="en-GB" w:eastAsia="en-US"/>
    </w:rPr>
  </w:style>
  <w:style w:type="paragraph" w:styleId="PlainText">
    <w:name w:val="Plain Text"/>
    <w:basedOn w:val="Normal"/>
    <w:link w:val="PlainTextChar"/>
    <w:uiPriority w:val="99"/>
    <w:unhideWhenUsed/>
    <w:rsid w:val="007E438E"/>
    <w:pPr>
      <w:overflowPunct/>
      <w:autoSpaceDE/>
      <w:autoSpaceDN/>
      <w:adjustRightInd/>
      <w:jc w:val="left"/>
      <w:textAlignment w:val="auto"/>
    </w:pPr>
    <w:rPr>
      <w:rFonts w:ascii="Consolas" w:hAnsi="Consolas"/>
      <w:sz w:val="21"/>
      <w:szCs w:val="21"/>
      <w:lang w:eastAsia="en-US"/>
    </w:rPr>
  </w:style>
  <w:style w:type="character" w:customStyle="1" w:styleId="PlainTextChar">
    <w:name w:val="Plain Text Char"/>
    <w:basedOn w:val="DefaultParagraphFont"/>
    <w:link w:val="PlainText"/>
    <w:uiPriority w:val="99"/>
    <w:rsid w:val="007E438E"/>
    <w:rPr>
      <w:rFonts w:ascii="Consolas" w:hAnsi="Consolas"/>
      <w:sz w:val="21"/>
      <w:szCs w:val="21"/>
      <w:lang w:val="en-US" w:eastAsia="en-US"/>
    </w:rPr>
  </w:style>
  <w:style w:type="paragraph" w:styleId="Revision">
    <w:name w:val="Revision"/>
    <w:hidden/>
    <w:uiPriority w:val="99"/>
    <w:semiHidden/>
    <w:rsid w:val="009E0146"/>
    <w:rPr>
      <w:rFonts w:ascii="Arial" w:hAnsi="Arial"/>
      <w:sz w:val="22"/>
    </w:rPr>
  </w:style>
  <w:style w:type="character" w:styleId="HTMLCite">
    <w:name w:val="HTML Cite"/>
    <w:basedOn w:val="DefaultParagraphFont"/>
    <w:uiPriority w:val="99"/>
    <w:semiHidden/>
    <w:unhideWhenUsed/>
    <w:rsid w:val="00FF2FC0"/>
    <w:rPr>
      <w:i/>
      <w:iCs/>
    </w:rPr>
  </w:style>
  <w:style w:type="character" w:customStyle="1" w:styleId="UnresolvedMention1">
    <w:name w:val="Unresolved Mention1"/>
    <w:basedOn w:val="DefaultParagraphFont"/>
    <w:uiPriority w:val="99"/>
    <w:semiHidden/>
    <w:unhideWhenUsed/>
    <w:rsid w:val="0036355F"/>
    <w:rPr>
      <w:color w:val="605E5C"/>
      <w:shd w:val="clear" w:color="auto" w:fill="E1DFDD"/>
    </w:rPr>
  </w:style>
  <w:style w:type="character" w:customStyle="1" w:styleId="CaptionChar1">
    <w:name w:val="Caption Char1"/>
    <w:aliases w:val="Caption-tables Char1,tabfaption Char Char,Caption1 Char Char,Caption1 Char1,Caption Char Char... + 11 pt Char,Not... Char,Caption Char Char,Caption-tables Char Char"/>
    <w:link w:val="Caption"/>
    <w:uiPriority w:val="35"/>
    <w:rsid w:val="006E09B7"/>
    <w:rPr>
      <w:rFonts w:ascii="Arial" w:hAnsi="Arial"/>
      <w:b/>
      <w:bCs/>
      <w:sz w:val="22"/>
      <w:lang w:val="en-US"/>
    </w:rPr>
  </w:style>
  <w:style w:type="paragraph" w:customStyle="1" w:styleId="16Point">
    <w:name w:val="16 Point"/>
    <w:aliases w:val="Superscript 6 Point,Odwołanie przypisu,Ref,de nota al pie,footnote ref,2001+ Fußnotenzeichen,BVI fnr Знак Знак,BVI fnr Car Car Знак Знак,BVI fnr Car Знак Знак,R"/>
    <w:basedOn w:val="Normal"/>
    <w:link w:val="FootnoteReference"/>
    <w:uiPriority w:val="99"/>
    <w:rsid w:val="00472084"/>
    <w:pPr>
      <w:tabs>
        <w:tab w:val="clear" w:pos="3825"/>
      </w:tabs>
      <w:overflowPunct/>
      <w:autoSpaceDE/>
      <w:autoSpaceDN/>
      <w:adjustRightInd/>
      <w:spacing w:after="160" w:line="240" w:lineRule="exact"/>
      <w:jc w:val="left"/>
      <w:textAlignment w:val="auto"/>
    </w:pPr>
    <w:rPr>
      <w:position w:val="6"/>
      <w:sz w:val="16"/>
      <w:lang w:val="de-DE"/>
    </w:rPr>
  </w:style>
  <w:style w:type="character" w:customStyle="1" w:styleId="marker">
    <w:name w:val="marker"/>
    <w:basedOn w:val="DefaultParagraphFont"/>
    <w:rsid w:val="00176CD3"/>
  </w:style>
  <w:style w:type="paragraph" w:customStyle="1" w:styleId="intro">
    <w:name w:val="intro"/>
    <w:basedOn w:val="Normal"/>
    <w:rsid w:val="00C6658A"/>
    <w:pPr>
      <w:tabs>
        <w:tab w:val="clear" w:pos="3825"/>
      </w:tabs>
      <w:overflowPunct/>
      <w:autoSpaceDE/>
      <w:autoSpaceDN/>
      <w:adjustRightInd/>
      <w:spacing w:before="100" w:beforeAutospacing="1" w:after="100" w:afterAutospacing="1"/>
      <w:jc w:val="left"/>
      <w:textAlignment w:val="auto"/>
    </w:pPr>
    <w:rPr>
      <w:rFonts w:ascii="Times New Roman" w:hAnsi="Times New Roman"/>
      <w:sz w:val="24"/>
      <w:szCs w:val="24"/>
      <w:lang w:val="pt-PT" w:eastAsia="pt-PT"/>
    </w:rPr>
  </w:style>
  <w:style w:type="table" w:customStyle="1" w:styleId="Tableausimple31">
    <w:name w:val="Tableau simple 31"/>
    <w:basedOn w:val="TableNormal"/>
    <w:uiPriority w:val="43"/>
    <w:rsid w:val="0024683A"/>
    <w:rPr>
      <w:rFonts w:asciiTheme="minorHAnsi" w:eastAsiaTheme="minorHAnsi" w:hAnsiTheme="minorHAnsi" w:cstheme="minorBidi"/>
      <w:sz w:val="22"/>
      <w:szCs w:val="22"/>
      <w:lang w:val="el-GR"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lid-translation">
    <w:name w:val="tlid-translation"/>
    <w:basedOn w:val="DefaultParagraphFont"/>
    <w:rsid w:val="008262FA"/>
  </w:style>
  <w:style w:type="character" w:customStyle="1" w:styleId="highlight">
    <w:name w:val="highlight"/>
    <w:basedOn w:val="DefaultParagraphFont"/>
    <w:rsid w:val="003A2132"/>
  </w:style>
  <w:style w:type="character" w:customStyle="1" w:styleId="ilfuvd">
    <w:name w:val="ilfuvd"/>
    <w:basedOn w:val="DefaultParagraphFont"/>
    <w:rsid w:val="00F41396"/>
  </w:style>
  <w:style w:type="character" w:customStyle="1" w:styleId="st">
    <w:name w:val="st"/>
    <w:basedOn w:val="DefaultParagraphFont"/>
    <w:rsid w:val="00942D98"/>
  </w:style>
  <w:style w:type="character" w:customStyle="1" w:styleId="UnresolvedMention2">
    <w:name w:val="Unresolved Mention2"/>
    <w:basedOn w:val="DefaultParagraphFont"/>
    <w:uiPriority w:val="99"/>
    <w:semiHidden/>
    <w:unhideWhenUsed/>
    <w:rsid w:val="00AC403D"/>
    <w:rPr>
      <w:color w:val="605E5C"/>
      <w:shd w:val="clear" w:color="auto" w:fill="E1DFDD"/>
    </w:rPr>
  </w:style>
  <w:style w:type="character" w:customStyle="1" w:styleId="boldface">
    <w:name w:val="boldface"/>
    <w:basedOn w:val="DefaultParagraphFont"/>
    <w:rsid w:val="00F07691"/>
  </w:style>
  <w:style w:type="character" w:customStyle="1" w:styleId="Heading4Char">
    <w:name w:val="Heading 4 Char"/>
    <w:aliases w:val="Centred Char1,h4 Char1,Cen. Char1"/>
    <w:basedOn w:val="DefaultParagraphFont"/>
    <w:link w:val="Heading4"/>
    <w:rsid w:val="00BD116A"/>
    <w:rPr>
      <w:rFonts w:ascii="Arial" w:hAnsi="Arial" w:cs="Arial"/>
      <w:b/>
      <w:sz w:val="22"/>
      <w:lang w:val="en-GB"/>
    </w:rPr>
  </w:style>
  <w:style w:type="character" w:customStyle="1" w:styleId="Heading5Char">
    <w:name w:val="Heading 5 Char"/>
    <w:aliases w:val=" Side Char,Side Char1,h5 Char1,Heading 5+1 Char"/>
    <w:basedOn w:val="DefaultParagraphFont"/>
    <w:link w:val="Heading5"/>
    <w:rsid w:val="00BD116A"/>
    <w:rPr>
      <w:rFonts w:ascii="Arial" w:hAnsi="Arial" w:cs="Arial"/>
      <w:sz w:val="22"/>
      <w:lang w:val="en-GB"/>
    </w:rPr>
  </w:style>
  <w:style w:type="character" w:customStyle="1" w:styleId="Heading6Char">
    <w:name w:val="Heading 6 Char"/>
    <w:basedOn w:val="DefaultParagraphFont"/>
    <w:link w:val="Heading6"/>
    <w:rsid w:val="00BD116A"/>
    <w:rPr>
      <w:rFonts w:ascii="Arial" w:hAnsi="Arial" w:cs="Arial"/>
      <w:sz w:val="22"/>
      <w:lang w:val="en-GB"/>
    </w:rPr>
  </w:style>
  <w:style w:type="character" w:customStyle="1" w:styleId="Heading7Char">
    <w:name w:val="Heading 7 Char"/>
    <w:basedOn w:val="DefaultParagraphFont"/>
    <w:link w:val="Heading7"/>
    <w:uiPriority w:val="9"/>
    <w:rsid w:val="00BD116A"/>
    <w:rPr>
      <w:rFonts w:ascii="Arial" w:hAnsi="Arial" w:cs="Arial"/>
      <w:sz w:val="22"/>
      <w:lang w:val="en-GB"/>
    </w:rPr>
  </w:style>
  <w:style w:type="character" w:customStyle="1" w:styleId="Heading8Char">
    <w:name w:val="Heading 8 Char"/>
    <w:basedOn w:val="DefaultParagraphFont"/>
    <w:link w:val="Heading8"/>
    <w:uiPriority w:val="9"/>
    <w:rsid w:val="00BD116A"/>
    <w:rPr>
      <w:rFonts w:ascii="Arial" w:hAnsi="Arial" w:cs="Arial"/>
      <w:sz w:val="22"/>
      <w:lang w:val="en-GB"/>
    </w:rPr>
  </w:style>
  <w:style w:type="character" w:customStyle="1" w:styleId="Heading9Char">
    <w:name w:val="Heading 9 Char"/>
    <w:basedOn w:val="DefaultParagraphFont"/>
    <w:link w:val="Heading9"/>
    <w:uiPriority w:val="9"/>
    <w:rsid w:val="00BD116A"/>
    <w:rPr>
      <w:rFonts w:ascii="Arial" w:hAnsi="Arial" w:cs="Arial"/>
      <w:sz w:val="22"/>
      <w:lang w:val="en-GB"/>
    </w:rPr>
  </w:style>
  <w:style w:type="character" w:customStyle="1" w:styleId="Heading1Char1">
    <w:name w:val="Heading 1 Char1"/>
    <w:aliases w:val="SZRptH1 Char1,h1 Char1,FIAS Char1,Heading 1 - InfoEnerg Char1,Chapitre Char1,Main Heading Char1,1 Char1"/>
    <w:basedOn w:val="DefaultParagraphFont"/>
    <w:rsid w:val="00BD116A"/>
    <w:rPr>
      <w:rFonts w:asciiTheme="majorHAnsi" w:eastAsiaTheme="majorEastAsia" w:hAnsiTheme="majorHAnsi" w:cstheme="majorBidi"/>
      <w:b/>
      <w:bCs/>
      <w:color w:val="0F6999" w:themeColor="accent1" w:themeShade="BF"/>
      <w:sz w:val="28"/>
      <w:szCs w:val="28"/>
      <w:lang w:val="en-US"/>
    </w:rPr>
  </w:style>
  <w:style w:type="character" w:customStyle="1" w:styleId="Heading3Char1">
    <w:name w:val="Heading 3 Char1"/>
    <w:aliases w:val="Sub Section Char1,subparagraaf Char1,Heading 3 Char Char Char Char1,Centered Char1,normal Char1,h3 Char1,sl3 Char1,heading 3 Char1"/>
    <w:basedOn w:val="DefaultParagraphFont"/>
    <w:semiHidden/>
    <w:rsid w:val="00BD116A"/>
    <w:rPr>
      <w:rFonts w:asciiTheme="majorHAnsi" w:eastAsiaTheme="majorEastAsia" w:hAnsiTheme="majorHAnsi" w:cstheme="majorBidi"/>
      <w:b/>
      <w:bCs/>
      <w:color w:val="148DCD" w:themeColor="accent1"/>
      <w:sz w:val="22"/>
      <w:lang w:val="en-US"/>
    </w:rPr>
  </w:style>
  <w:style w:type="character" w:customStyle="1" w:styleId="Heading4Char1">
    <w:name w:val="Heading 4 Char1"/>
    <w:aliases w:val="Centred Char,h4 Char,Cen. Char"/>
    <w:basedOn w:val="DefaultParagraphFont"/>
    <w:semiHidden/>
    <w:rsid w:val="00BD116A"/>
    <w:rPr>
      <w:rFonts w:asciiTheme="majorHAnsi" w:eastAsiaTheme="majorEastAsia" w:hAnsiTheme="majorHAnsi" w:cstheme="majorBidi"/>
      <w:b/>
      <w:bCs/>
      <w:i/>
      <w:iCs/>
      <w:color w:val="148DCD" w:themeColor="accent1"/>
      <w:sz w:val="22"/>
      <w:lang w:val="en-US"/>
    </w:rPr>
  </w:style>
  <w:style w:type="character" w:customStyle="1" w:styleId="Heading5Char1">
    <w:name w:val="Heading 5 Char1"/>
    <w:aliases w:val="Side Char,h5 Char,Heading 5+1 Char1"/>
    <w:basedOn w:val="DefaultParagraphFont"/>
    <w:uiPriority w:val="9"/>
    <w:semiHidden/>
    <w:rsid w:val="00BD116A"/>
    <w:rPr>
      <w:rFonts w:asciiTheme="majorHAnsi" w:eastAsiaTheme="majorEastAsia" w:hAnsiTheme="majorHAnsi" w:cstheme="majorBidi"/>
      <w:color w:val="0A4566" w:themeColor="accent1" w:themeShade="7F"/>
      <w:sz w:val="22"/>
      <w:lang w:val="en-US"/>
    </w:rPr>
  </w:style>
  <w:style w:type="character" w:customStyle="1" w:styleId="HeaderChar1">
    <w:name w:val="Header Char1"/>
    <w:aliases w:val="EY Header Char1"/>
    <w:basedOn w:val="DefaultParagraphFont"/>
    <w:uiPriority w:val="99"/>
    <w:semiHidden/>
    <w:rsid w:val="00BD116A"/>
    <w:rPr>
      <w:rFonts w:ascii="Arial" w:hAnsi="Arial"/>
      <w:sz w:val="22"/>
      <w:lang w:val="en-US"/>
    </w:rPr>
  </w:style>
  <w:style w:type="character" w:customStyle="1" w:styleId="FooterChar1">
    <w:name w:val="Footer Char1"/>
    <w:aliases w:val="eersteregel Char1"/>
    <w:basedOn w:val="DefaultParagraphFont"/>
    <w:semiHidden/>
    <w:rsid w:val="00BD116A"/>
    <w:rPr>
      <w:rFonts w:ascii="Arial" w:hAnsi="Arial"/>
      <w:sz w:val="22"/>
      <w:lang w:val="en-US"/>
    </w:rPr>
  </w:style>
  <w:style w:type="character" w:customStyle="1" w:styleId="BodyTextChar1">
    <w:name w:val="Body Text Char1"/>
    <w:aliases w:val="uvlaka 2 Char1"/>
    <w:basedOn w:val="DefaultParagraphFont"/>
    <w:semiHidden/>
    <w:rsid w:val="00BD116A"/>
    <w:rPr>
      <w:rFonts w:ascii="Arial" w:hAnsi="Arial"/>
      <w:sz w:val="22"/>
      <w:lang w:val="en-US"/>
    </w:rPr>
  </w:style>
  <w:style w:type="character" w:customStyle="1" w:styleId="SubtitleChar">
    <w:name w:val="Subtitle Char"/>
    <w:basedOn w:val="DefaultParagraphFont"/>
    <w:link w:val="Subtitle"/>
    <w:rsid w:val="00BD116A"/>
    <w:rPr>
      <w:rFonts w:ascii="Arial" w:hAnsi="Arial"/>
      <w:b/>
      <w:bCs/>
      <w:spacing w:val="32"/>
      <w:sz w:val="28"/>
      <w:lang w:val="en-US"/>
    </w:rPr>
  </w:style>
  <w:style w:type="character" w:customStyle="1" w:styleId="BodyText2Char">
    <w:name w:val="Body Text 2 Char"/>
    <w:basedOn w:val="DefaultParagraphFont"/>
    <w:link w:val="BodyText2"/>
    <w:rsid w:val="00BD116A"/>
    <w:rPr>
      <w:rFonts w:ascii="Arial" w:hAnsi="Arial"/>
      <w:bCs/>
      <w:sz w:val="28"/>
      <w:lang w:val="en-GB"/>
    </w:rPr>
  </w:style>
  <w:style w:type="character" w:customStyle="1" w:styleId="BodyText3Char">
    <w:name w:val="Body Text 3 Char"/>
    <w:basedOn w:val="DefaultParagraphFont"/>
    <w:link w:val="BodyText3"/>
    <w:rsid w:val="00BD116A"/>
    <w:rPr>
      <w:rFonts w:ascii="Arial" w:hAnsi="Arial"/>
      <w:color w:val="FFFFFF"/>
      <w:sz w:val="48"/>
      <w:lang w:val="en-US"/>
    </w:rPr>
  </w:style>
  <w:style w:type="paragraph" w:customStyle="1" w:styleId="TEXTlist">
    <w:name w:val="TEXT_list"/>
    <w:basedOn w:val="Normal"/>
    <w:next w:val="Normal"/>
    <w:qFormat/>
    <w:rsid w:val="00BD116A"/>
    <w:pPr>
      <w:numPr>
        <w:numId w:val="46"/>
      </w:numPr>
      <w:tabs>
        <w:tab w:val="clear" w:pos="3825"/>
        <w:tab w:val="left" w:pos="708"/>
      </w:tabs>
      <w:spacing w:before="0"/>
      <w:jc w:val="left"/>
      <w:textAlignment w:val="auto"/>
    </w:pPr>
    <w:rPr>
      <w:rFonts w:cstheme="minorHAnsi"/>
      <w:szCs w:val="18"/>
      <w:lang w:val="en-GB"/>
    </w:rPr>
  </w:style>
  <w:style w:type="paragraph" w:customStyle="1" w:styleId="TEXT-PaMTable">
    <w:name w:val="TEXT-PaMTable"/>
    <w:basedOn w:val="Normal"/>
    <w:qFormat/>
    <w:rsid w:val="00BD116A"/>
    <w:pPr>
      <w:tabs>
        <w:tab w:val="clear" w:pos="3825"/>
        <w:tab w:val="left" w:pos="708"/>
      </w:tabs>
      <w:spacing w:before="0"/>
      <w:jc w:val="left"/>
      <w:textAlignment w:val="auto"/>
    </w:pPr>
    <w:rPr>
      <w:rFonts w:cstheme="minorHAnsi"/>
      <w:lang w:val="en-GB"/>
    </w:rPr>
  </w:style>
  <w:style w:type="paragraph" w:customStyle="1" w:styleId="TEST-SummaryPAMTable">
    <w:name w:val="TEST-SummaryPAMTable"/>
    <w:basedOn w:val="TEXT-PaMTable"/>
    <w:qFormat/>
    <w:rsid w:val="00BD116A"/>
    <w:rPr>
      <w:sz w:val="20"/>
    </w:rPr>
  </w:style>
  <w:style w:type="paragraph" w:customStyle="1" w:styleId="msonormal0">
    <w:name w:val="msonormal"/>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4"/>
      <w:szCs w:val="24"/>
      <w:lang w:val="en-GB" w:eastAsia="en-GB"/>
    </w:rPr>
  </w:style>
  <w:style w:type="paragraph" w:customStyle="1" w:styleId="font5">
    <w:name w:val="font5"/>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cs="Arial"/>
      <w:b/>
      <w:bCs/>
      <w:color w:val="000000"/>
      <w:sz w:val="20"/>
      <w:lang w:val="en-GB" w:eastAsia="en-GB"/>
    </w:rPr>
  </w:style>
  <w:style w:type="paragraph" w:customStyle="1" w:styleId="font6">
    <w:name w:val="font6"/>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cs="Arial"/>
      <w:b/>
      <w:bCs/>
      <w:color w:val="000000"/>
      <w:sz w:val="20"/>
      <w:lang w:val="en-GB" w:eastAsia="en-GB"/>
    </w:rPr>
  </w:style>
  <w:style w:type="paragraph" w:customStyle="1" w:styleId="font7">
    <w:name w:val="font7"/>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cs="Arial"/>
      <w:color w:val="000000"/>
      <w:szCs w:val="22"/>
      <w:lang w:val="en-GB" w:eastAsia="en-GB"/>
    </w:rPr>
  </w:style>
  <w:style w:type="paragraph" w:customStyle="1" w:styleId="font8">
    <w:name w:val="font8"/>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color w:val="000000"/>
      <w:sz w:val="14"/>
      <w:szCs w:val="14"/>
      <w:lang w:val="en-GB" w:eastAsia="en-GB"/>
    </w:rPr>
  </w:style>
  <w:style w:type="paragraph" w:customStyle="1" w:styleId="font9">
    <w:name w:val="font9"/>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color w:val="0070C0"/>
      <w:sz w:val="14"/>
      <w:szCs w:val="14"/>
      <w:lang w:val="en-GB" w:eastAsia="en-GB"/>
    </w:rPr>
  </w:style>
  <w:style w:type="paragraph" w:customStyle="1" w:styleId="font10">
    <w:name w:val="font10"/>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cs="Arial"/>
      <w:color w:val="0070C0"/>
      <w:szCs w:val="22"/>
      <w:lang w:val="en-GB" w:eastAsia="en-GB"/>
    </w:rPr>
  </w:style>
  <w:style w:type="paragraph" w:customStyle="1" w:styleId="font11">
    <w:name w:val="font11"/>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cs="Arial"/>
      <w:color w:val="0070C0"/>
      <w:szCs w:val="22"/>
      <w:lang w:val="en-GB" w:eastAsia="en-GB"/>
    </w:rPr>
  </w:style>
  <w:style w:type="paragraph" w:customStyle="1" w:styleId="font12">
    <w:name w:val="font12"/>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color w:val="4472C4"/>
      <w:sz w:val="14"/>
      <w:szCs w:val="14"/>
      <w:lang w:val="en-GB" w:eastAsia="en-GB"/>
    </w:rPr>
  </w:style>
  <w:style w:type="paragraph" w:customStyle="1" w:styleId="font13">
    <w:name w:val="font13"/>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cs="Arial"/>
      <w:color w:val="4472C4"/>
      <w:szCs w:val="22"/>
      <w:lang w:val="en-GB" w:eastAsia="en-GB"/>
    </w:rPr>
  </w:style>
  <w:style w:type="paragraph" w:customStyle="1" w:styleId="font14">
    <w:name w:val="font14"/>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cs="Arial"/>
      <w:color w:val="4472C4"/>
      <w:szCs w:val="22"/>
      <w:lang w:val="en-GB" w:eastAsia="en-GB"/>
    </w:rPr>
  </w:style>
  <w:style w:type="paragraph" w:customStyle="1" w:styleId="font15">
    <w:name w:val="font15"/>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cs="Arial"/>
      <w:color w:val="4472C4"/>
      <w:szCs w:val="22"/>
      <w:lang w:val="en-GB" w:eastAsia="en-GB"/>
    </w:rPr>
  </w:style>
  <w:style w:type="paragraph" w:customStyle="1" w:styleId="font16">
    <w:name w:val="font16"/>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cs="Arial"/>
      <w:sz w:val="20"/>
      <w:lang w:val="en-GB" w:eastAsia="en-GB"/>
    </w:rPr>
  </w:style>
  <w:style w:type="paragraph" w:customStyle="1" w:styleId="font17">
    <w:name w:val="font17"/>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ascii="Tahoma" w:hAnsi="Tahoma" w:cs="Tahoma"/>
      <w:color w:val="000000"/>
      <w:sz w:val="18"/>
      <w:szCs w:val="18"/>
      <w:lang w:val="en-GB" w:eastAsia="en-GB"/>
    </w:rPr>
  </w:style>
  <w:style w:type="paragraph" w:customStyle="1" w:styleId="font18">
    <w:name w:val="font18"/>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ascii="Tahoma" w:hAnsi="Tahoma" w:cs="Tahoma"/>
      <w:b/>
      <w:bCs/>
      <w:color w:val="000000"/>
      <w:sz w:val="18"/>
      <w:szCs w:val="18"/>
      <w:lang w:val="en-GB" w:eastAsia="en-GB"/>
    </w:rPr>
  </w:style>
  <w:style w:type="paragraph" w:customStyle="1" w:styleId="font19">
    <w:name w:val="font19"/>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cs="Arial"/>
      <w:color w:val="0070C0"/>
      <w:sz w:val="14"/>
      <w:szCs w:val="14"/>
      <w:lang w:val="en-GB" w:eastAsia="en-GB"/>
    </w:rPr>
  </w:style>
  <w:style w:type="paragraph" w:customStyle="1" w:styleId="font20">
    <w:name w:val="font20"/>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cs="Arial"/>
      <w:color w:val="0070C0"/>
      <w:szCs w:val="22"/>
      <w:lang w:val="en-GB" w:eastAsia="en-GB"/>
    </w:rPr>
  </w:style>
  <w:style w:type="paragraph" w:customStyle="1" w:styleId="font21">
    <w:name w:val="font21"/>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cs="Arial"/>
      <w:color w:val="0070C0"/>
      <w:szCs w:val="22"/>
      <w:lang w:val="en-GB" w:eastAsia="en-GB"/>
    </w:rPr>
  </w:style>
  <w:style w:type="paragraph" w:customStyle="1" w:styleId="font22">
    <w:name w:val="font22"/>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cs="Arial"/>
      <w:b/>
      <w:bCs/>
      <w:sz w:val="20"/>
      <w:u w:val="single"/>
      <w:lang w:val="en-GB" w:eastAsia="en-GB"/>
    </w:rPr>
  </w:style>
  <w:style w:type="paragraph" w:customStyle="1" w:styleId="font23">
    <w:name w:val="font23"/>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cs="Arial"/>
      <w:sz w:val="20"/>
      <w:lang w:val="en-GB" w:eastAsia="en-GB"/>
    </w:rPr>
  </w:style>
  <w:style w:type="paragraph" w:customStyle="1" w:styleId="font24">
    <w:name w:val="font24"/>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cs="Arial"/>
      <w:color w:val="0070C0"/>
      <w:sz w:val="20"/>
      <w:lang w:val="en-GB" w:eastAsia="en-GB"/>
    </w:rPr>
  </w:style>
  <w:style w:type="paragraph" w:customStyle="1" w:styleId="font25">
    <w:name w:val="font25"/>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ascii="Tahoma" w:hAnsi="Tahoma" w:cs="Tahoma"/>
      <w:color w:val="000000"/>
      <w:sz w:val="18"/>
      <w:szCs w:val="18"/>
      <w:lang w:val="en-GB" w:eastAsia="en-GB"/>
    </w:rPr>
  </w:style>
  <w:style w:type="paragraph" w:customStyle="1" w:styleId="font26">
    <w:name w:val="font26"/>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ascii="Tahoma" w:hAnsi="Tahoma" w:cs="Tahoma"/>
      <w:b/>
      <w:bCs/>
      <w:color w:val="000000"/>
      <w:sz w:val="18"/>
      <w:szCs w:val="18"/>
      <w:lang w:val="en-GB" w:eastAsia="en-GB"/>
    </w:rPr>
  </w:style>
  <w:style w:type="paragraph" w:customStyle="1" w:styleId="font27">
    <w:name w:val="font27"/>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color w:val="4472C4"/>
      <w:sz w:val="24"/>
      <w:szCs w:val="24"/>
      <w:lang w:val="en-GB" w:eastAsia="en-GB"/>
    </w:rPr>
  </w:style>
  <w:style w:type="paragraph" w:customStyle="1" w:styleId="font28">
    <w:name w:val="font28"/>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cs="Arial"/>
      <w:color w:val="4472C4"/>
      <w:sz w:val="24"/>
      <w:szCs w:val="24"/>
      <w:lang w:val="en-GB" w:eastAsia="en-GB"/>
    </w:rPr>
  </w:style>
  <w:style w:type="paragraph" w:customStyle="1" w:styleId="xl65">
    <w:name w:val="xl65"/>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cs="Arial"/>
      <w:sz w:val="24"/>
      <w:szCs w:val="24"/>
      <w:lang w:val="en-GB" w:eastAsia="en-GB"/>
    </w:rPr>
  </w:style>
  <w:style w:type="paragraph" w:customStyle="1" w:styleId="xl66">
    <w:name w:val="xl66"/>
    <w:basedOn w:val="Normal"/>
    <w:rsid w:val="00BD116A"/>
    <w:pPr>
      <w:pBdr>
        <w:bottom w:val="single" w:sz="4" w:space="0" w:color="auto"/>
      </w:pBdr>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4"/>
      <w:szCs w:val="24"/>
      <w:lang w:val="en-GB" w:eastAsia="en-GB"/>
    </w:rPr>
  </w:style>
  <w:style w:type="paragraph" w:customStyle="1" w:styleId="xl67">
    <w:name w:val="xl67"/>
    <w:basedOn w:val="Normal"/>
    <w:rsid w:val="00BD116A"/>
    <w:pPr>
      <w:pBdr>
        <w:left w:val="single" w:sz="4" w:space="0" w:color="auto"/>
        <w:right w:val="single" w:sz="4" w:space="0" w:color="auto"/>
      </w:pBdr>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4"/>
      <w:szCs w:val="24"/>
      <w:lang w:val="en-GB" w:eastAsia="en-GB"/>
    </w:rPr>
  </w:style>
  <w:style w:type="paragraph" w:customStyle="1" w:styleId="xl68">
    <w:name w:val="xl68"/>
    <w:basedOn w:val="Normal"/>
    <w:rsid w:val="00BD116A"/>
    <w:pPr>
      <w:pBdr>
        <w:left w:val="single" w:sz="4" w:space="0" w:color="auto"/>
        <w:bottom w:val="single" w:sz="4" w:space="0" w:color="auto"/>
        <w:right w:val="single" w:sz="4" w:space="0" w:color="auto"/>
      </w:pBdr>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4"/>
      <w:szCs w:val="24"/>
      <w:lang w:val="en-GB" w:eastAsia="en-GB"/>
    </w:rPr>
  </w:style>
  <w:style w:type="paragraph" w:customStyle="1" w:styleId="xl69">
    <w:name w:val="xl69"/>
    <w:basedOn w:val="Normal"/>
    <w:rsid w:val="00BD116A"/>
    <w:pPr>
      <w:pBdr>
        <w:left w:val="single" w:sz="4" w:space="0" w:color="auto"/>
      </w:pBdr>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4"/>
      <w:szCs w:val="24"/>
      <w:lang w:val="en-GB" w:eastAsia="en-GB"/>
    </w:rPr>
  </w:style>
  <w:style w:type="paragraph" w:customStyle="1" w:styleId="xl70">
    <w:name w:val="xl70"/>
    <w:basedOn w:val="Normal"/>
    <w:rsid w:val="00BD116A"/>
    <w:pPr>
      <w:pBdr>
        <w:left w:val="single" w:sz="4" w:space="0" w:color="auto"/>
        <w:bottom w:val="single" w:sz="4" w:space="0" w:color="auto"/>
      </w:pBdr>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4"/>
      <w:szCs w:val="24"/>
      <w:lang w:val="en-GB" w:eastAsia="en-GB"/>
    </w:rPr>
  </w:style>
  <w:style w:type="paragraph" w:customStyle="1" w:styleId="xl71">
    <w:name w:val="xl71"/>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cs="Arial"/>
      <w:color w:val="0070C0"/>
      <w:sz w:val="24"/>
      <w:szCs w:val="24"/>
      <w:lang w:val="en-GB" w:eastAsia="en-GB"/>
    </w:rPr>
  </w:style>
  <w:style w:type="paragraph" w:customStyle="1" w:styleId="xl72">
    <w:name w:val="xl72"/>
    <w:basedOn w:val="Normal"/>
    <w:rsid w:val="00BD116A"/>
    <w:pPr>
      <w:tabs>
        <w:tab w:val="clear" w:pos="3825"/>
        <w:tab w:val="left" w:pos="708"/>
      </w:tabs>
      <w:overflowPunct/>
      <w:autoSpaceDE/>
      <w:autoSpaceDN/>
      <w:adjustRightInd/>
      <w:spacing w:before="100" w:beforeAutospacing="1" w:after="100" w:afterAutospacing="1"/>
      <w:ind w:firstLineChars="500" w:firstLine="500"/>
      <w:jc w:val="left"/>
      <w:textAlignment w:val="auto"/>
    </w:pPr>
    <w:rPr>
      <w:rFonts w:ascii="Times New Roman" w:hAnsi="Times New Roman"/>
      <w:color w:val="4472C4"/>
      <w:sz w:val="24"/>
      <w:szCs w:val="24"/>
      <w:u w:val="single"/>
      <w:lang w:val="en-GB" w:eastAsia="en-GB"/>
    </w:rPr>
  </w:style>
  <w:style w:type="paragraph" w:customStyle="1" w:styleId="xl73">
    <w:name w:val="xl73"/>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color w:val="4472C4"/>
      <w:sz w:val="24"/>
      <w:szCs w:val="24"/>
      <w:lang w:val="en-GB" w:eastAsia="en-GB"/>
    </w:rPr>
  </w:style>
  <w:style w:type="paragraph" w:customStyle="1" w:styleId="xl74">
    <w:name w:val="xl74"/>
    <w:basedOn w:val="Normal"/>
    <w:rsid w:val="00BD116A"/>
    <w:pPr>
      <w:tabs>
        <w:tab w:val="clear" w:pos="3825"/>
        <w:tab w:val="left" w:pos="708"/>
      </w:tabs>
      <w:overflowPunct/>
      <w:autoSpaceDE/>
      <w:autoSpaceDN/>
      <w:adjustRightInd/>
      <w:spacing w:before="100" w:beforeAutospacing="1" w:after="100" w:afterAutospacing="1"/>
      <w:ind w:firstLineChars="500" w:firstLine="500"/>
      <w:jc w:val="left"/>
      <w:textAlignment w:val="auto"/>
    </w:pPr>
    <w:rPr>
      <w:rFonts w:ascii="Symbol" w:hAnsi="Symbol"/>
      <w:color w:val="0070C0"/>
      <w:sz w:val="24"/>
      <w:szCs w:val="24"/>
      <w:lang w:val="en-GB" w:eastAsia="en-GB"/>
    </w:rPr>
  </w:style>
  <w:style w:type="paragraph" w:customStyle="1" w:styleId="xl75">
    <w:name w:val="xl75"/>
    <w:basedOn w:val="Normal"/>
    <w:rsid w:val="00BD116A"/>
    <w:pPr>
      <w:pBdr>
        <w:left w:val="single" w:sz="4" w:space="31" w:color="auto"/>
        <w:right w:val="single" w:sz="4" w:space="0" w:color="auto"/>
      </w:pBdr>
      <w:tabs>
        <w:tab w:val="clear" w:pos="3825"/>
        <w:tab w:val="left" w:pos="708"/>
      </w:tabs>
      <w:overflowPunct/>
      <w:autoSpaceDE/>
      <w:autoSpaceDN/>
      <w:adjustRightInd/>
      <w:spacing w:before="100" w:beforeAutospacing="1" w:after="100" w:afterAutospacing="1"/>
      <w:ind w:firstLineChars="500" w:firstLine="500"/>
      <w:jc w:val="left"/>
      <w:textAlignment w:val="auto"/>
    </w:pPr>
    <w:rPr>
      <w:rFonts w:ascii="Symbol" w:hAnsi="Symbol"/>
      <w:color w:val="0070C0"/>
      <w:sz w:val="24"/>
      <w:szCs w:val="24"/>
      <w:lang w:val="en-GB" w:eastAsia="en-GB"/>
    </w:rPr>
  </w:style>
  <w:style w:type="paragraph" w:customStyle="1" w:styleId="xl76">
    <w:name w:val="xl76"/>
    <w:basedOn w:val="Normal"/>
    <w:rsid w:val="00BD116A"/>
    <w:pPr>
      <w:pBdr>
        <w:left w:val="single" w:sz="4" w:space="31" w:color="auto"/>
        <w:bottom w:val="single" w:sz="4" w:space="0" w:color="auto"/>
        <w:right w:val="single" w:sz="4" w:space="0" w:color="auto"/>
      </w:pBdr>
      <w:tabs>
        <w:tab w:val="clear" w:pos="3825"/>
        <w:tab w:val="left" w:pos="708"/>
      </w:tabs>
      <w:overflowPunct/>
      <w:autoSpaceDE/>
      <w:autoSpaceDN/>
      <w:adjustRightInd/>
      <w:spacing w:before="100" w:beforeAutospacing="1" w:after="100" w:afterAutospacing="1"/>
      <w:ind w:firstLineChars="500" w:firstLine="500"/>
      <w:jc w:val="left"/>
      <w:textAlignment w:val="auto"/>
    </w:pPr>
    <w:rPr>
      <w:rFonts w:ascii="Symbol" w:hAnsi="Symbol"/>
      <w:color w:val="0070C0"/>
      <w:sz w:val="24"/>
      <w:szCs w:val="24"/>
      <w:lang w:val="en-GB" w:eastAsia="en-GB"/>
    </w:rPr>
  </w:style>
  <w:style w:type="paragraph" w:customStyle="1" w:styleId="xl77">
    <w:name w:val="xl77"/>
    <w:basedOn w:val="Normal"/>
    <w:rsid w:val="00BD116A"/>
    <w:pPr>
      <w:pBdr>
        <w:top w:val="single" w:sz="4" w:space="0" w:color="auto"/>
        <w:bottom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cs="Arial"/>
      <w:sz w:val="20"/>
      <w:lang w:val="en-GB" w:eastAsia="en-GB"/>
    </w:rPr>
  </w:style>
  <w:style w:type="paragraph" w:customStyle="1" w:styleId="xl78">
    <w:name w:val="xl78"/>
    <w:basedOn w:val="Normal"/>
    <w:rsid w:val="00BD116A"/>
    <w:pPr>
      <w:tabs>
        <w:tab w:val="clear" w:pos="3825"/>
        <w:tab w:val="left" w:pos="708"/>
      </w:tabs>
      <w:overflowPunct/>
      <w:autoSpaceDE/>
      <w:autoSpaceDN/>
      <w:adjustRightInd/>
      <w:spacing w:before="100" w:beforeAutospacing="1" w:after="100" w:afterAutospacing="1"/>
      <w:jc w:val="center"/>
      <w:textAlignment w:val="auto"/>
    </w:pPr>
    <w:rPr>
      <w:rFonts w:cs="Arial"/>
      <w:color w:val="FF0000"/>
      <w:sz w:val="16"/>
      <w:szCs w:val="16"/>
      <w:lang w:val="en-GB" w:eastAsia="en-GB"/>
    </w:rPr>
  </w:style>
  <w:style w:type="paragraph" w:customStyle="1" w:styleId="xl79">
    <w:name w:val="xl79"/>
    <w:basedOn w:val="Normal"/>
    <w:rsid w:val="00BD116A"/>
    <w:pPr>
      <w:pBdr>
        <w:top w:val="single" w:sz="4" w:space="0" w:color="auto"/>
        <w:bottom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4"/>
      <w:szCs w:val="24"/>
      <w:lang w:val="en-GB" w:eastAsia="en-GB"/>
    </w:rPr>
  </w:style>
  <w:style w:type="paragraph" w:customStyle="1" w:styleId="xl80">
    <w:name w:val="xl80"/>
    <w:basedOn w:val="Normal"/>
    <w:rsid w:val="00BD116A"/>
    <w:pPr>
      <w:pBdr>
        <w:top w:val="single" w:sz="4" w:space="0" w:color="auto"/>
        <w:bottom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cs="Arial"/>
      <w:sz w:val="16"/>
      <w:szCs w:val="16"/>
      <w:lang w:val="en-GB" w:eastAsia="en-GB"/>
    </w:rPr>
  </w:style>
  <w:style w:type="paragraph" w:customStyle="1" w:styleId="xl81">
    <w:name w:val="xl81"/>
    <w:basedOn w:val="Normal"/>
    <w:rsid w:val="00BD116A"/>
    <w:pP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cs="Arial"/>
      <w:sz w:val="24"/>
      <w:szCs w:val="24"/>
      <w:lang w:val="en-GB" w:eastAsia="en-GB"/>
    </w:rPr>
  </w:style>
  <w:style w:type="paragraph" w:customStyle="1" w:styleId="xl82">
    <w:name w:val="xl82"/>
    <w:basedOn w:val="Normal"/>
    <w:rsid w:val="00BD116A"/>
    <w:pP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ascii="Symbol" w:hAnsi="Symbol"/>
      <w:sz w:val="24"/>
      <w:szCs w:val="24"/>
      <w:lang w:val="en-GB" w:eastAsia="en-GB"/>
    </w:rPr>
  </w:style>
  <w:style w:type="paragraph" w:customStyle="1" w:styleId="xl83">
    <w:name w:val="xl83"/>
    <w:basedOn w:val="Normal"/>
    <w:rsid w:val="00BD116A"/>
    <w:pPr>
      <w:pBdr>
        <w:bottom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cs="Arial"/>
      <w:sz w:val="24"/>
      <w:szCs w:val="24"/>
      <w:lang w:val="en-GB" w:eastAsia="en-GB"/>
    </w:rPr>
  </w:style>
  <w:style w:type="paragraph" w:customStyle="1" w:styleId="xl84">
    <w:name w:val="xl84"/>
    <w:basedOn w:val="Normal"/>
    <w:rsid w:val="00BD116A"/>
    <w:pPr>
      <w:pBdr>
        <w:top w:val="single" w:sz="4" w:space="0" w:color="auto"/>
        <w:bottom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ascii="Symbol" w:hAnsi="Symbol"/>
      <w:sz w:val="24"/>
      <w:szCs w:val="24"/>
      <w:lang w:val="en-GB" w:eastAsia="en-GB"/>
    </w:rPr>
  </w:style>
  <w:style w:type="paragraph" w:customStyle="1" w:styleId="xl85">
    <w:name w:val="xl85"/>
    <w:basedOn w:val="Normal"/>
    <w:rsid w:val="00BD116A"/>
    <w:pPr>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4"/>
      <w:szCs w:val="24"/>
      <w:lang w:val="en-GB" w:eastAsia="en-GB"/>
    </w:rPr>
  </w:style>
  <w:style w:type="paragraph" w:customStyle="1" w:styleId="xl86">
    <w:name w:val="xl86"/>
    <w:basedOn w:val="Normal"/>
    <w:rsid w:val="00BD116A"/>
    <w:pPr>
      <w:pBdr>
        <w:left w:val="single" w:sz="8" w:space="0" w:color="auto"/>
      </w:pBdr>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4"/>
      <w:szCs w:val="24"/>
      <w:lang w:val="en-GB" w:eastAsia="en-GB"/>
    </w:rPr>
  </w:style>
  <w:style w:type="paragraph" w:customStyle="1" w:styleId="xl87">
    <w:name w:val="xl87"/>
    <w:basedOn w:val="Normal"/>
    <w:rsid w:val="00BD116A"/>
    <w:pPr>
      <w:pBdr>
        <w:top w:val="single" w:sz="4" w:space="0" w:color="auto"/>
        <w:left w:val="single" w:sz="4" w:space="0" w:color="auto"/>
        <w:bottom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0"/>
      <w:lang w:val="en-GB" w:eastAsia="en-GB"/>
    </w:rPr>
  </w:style>
  <w:style w:type="paragraph" w:customStyle="1" w:styleId="xl88">
    <w:name w:val="xl88"/>
    <w:basedOn w:val="Normal"/>
    <w:rsid w:val="00BD116A"/>
    <w:pPr>
      <w:pBdr>
        <w:top w:val="single" w:sz="4" w:space="0" w:color="auto"/>
        <w:left w:val="single" w:sz="4" w:space="0" w:color="auto"/>
        <w:bottom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cs="Arial"/>
      <w:sz w:val="20"/>
      <w:lang w:val="en-GB" w:eastAsia="en-GB"/>
    </w:rPr>
  </w:style>
  <w:style w:type="paragraph" w:customStyle="1" w:styleId="xl89">
    <w:name w:val="xl89"/>
    <w:basedOn w:val="Normal"/>
    <w:rsid w:val="00BD116A"/>
    <w:pPr>
      <w:pBdr>
        <w:top w:val="single" w:sz="4" w:space="0" w:color="auto"/>
        <w:left w:val="single" w:sz="4" w:space="0" w:color="auto"/>
        <w:bottom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0"/>
      <w:lang w:val="en-GB" w:eastAsia="en-GB"/>
    </w:rPr>
  </w:style>
  <w:style w:type="paragraph" w:customStyle="1" w:styleId="xl90">
    <w:name w:val="xl90"/>
    <w:basedOn w:val="Normal"/>
    <w:rsid w:val="00BD116A"/>
    <w:pPr>
      <w:pBdr>
        <w:top w:val="single" w:sz="4" w:space="0" w:color="auto"/>
        <w:left w:val="single" w:sz="4" w:space="0" w:color="auto"/>
        <w:bottom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0"/>
      <w:lang w:val="en-GB" w:eastAsia="en-GB"/>
    </w:rPr>
  </w:style>
  <w:style w:type="paragraph" w:customStyle="1" w:styleId="xl91">
    <w:name w:val="xl91"/>
    <w:basedOn w:val="Normal"/>
    <w:rsid w:val="00BD116A"/>
    <w:pPr>
      <w:pBdr>
        <w:left w:val="single" w:sz="4" w:space="31" w:color="auto"/>
        <w:right w:val="single" w:sz="4" w:space="0" w:color="auto"/>
      </w:pBdr>
      <w:tabs>
        <w:tab w:val="clear" w:pos="3825"/>
        <w:tab w:val="left" w:pos="708"/>
      </w:tabs>
      <w:overflowPunct/>
      <w:autoSpaceDE/>
      <w:autoSpaceDN/>
      <w:adjustRightInd/>
      <w:spacing w:before="100" w:beforeAutospacing="1" w:after="100" w:afterAutospacing="1"/>
      <w:ind w:firstLineChars="500" w:firstLine="500"/>
      <w:jc w:val="left"/>
      <w:textAlignment w:val="auto"/>
    </w:pPr>
    <w:rPr>
      <w:rFonts w:ascii="Symbol" w:hAnsi="Symbol"/>
      <w:color w:val="4472C4"/>
      <w:sz w:val="24"/>
      <w:szCs w:val="24"/>
      <w:lang w:val="en-GB" w:eastAsia="en-GB"/>
    </w:rPr>
  </w:style>
  <w:style w:type="paragraph" w:customStyle="1" w:styleId="xl92">
    <w:name w:val="xl92"/>
    <w:basedOn w:val="Normal"/>
    <w:rsid w:val="00BD116A"/>
    <w:pPr>
      <w:tabs>
        <w:tab w:val="clear" w:pos="3825"/>
        <w:tab w:val="left" w:pos="708"/>
      </w:tabs>
      <w:overflowPunct/>
      <w:autoSpaceDE/>
      <w:autoSpaceDN/>
      <w:adjustRightInd/>
      <w:spacing w:before="100" w:beforeAutospacing="1" w:after="100" w:afterAutospacing="1"/>
      <w:jc w:val="right"/>
      <w:textAlignment w:val="auto"/>
    </w:pPr>
    <w:rPr>
      <w:rFonts w:cs="Arial"/>
      <w:sz w:val="20"/>
      <w:lang w:val="en-GB" w:eastAsia="en-GB"/>
    </w:rPr>
  </w:style>
  <w:style w:type="paragraph" w:customStyle="1" w:styleId="xl93">
    <w:name w:val="xl93"/>
    <w:basedOn w:val="Normal"/>
    <w:rsid w:val="00BD116A"/>
    <w:pPr>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0"/>
      <w:lang w:val="en-GB" w:eastAsia="en-GB"/>
    </w:rPr>
  </w:style>
  <w:style w:type="paragraph" w:customStyle="1" w:styleId="xl94">
    <w:name w:val="xl94"/>
    <w:basedOn w:val="Normal"/>
    <w:rsid w:val="00BD116A"/>
    <w:pPr>
      <w:pBdr>
        <w:top w:val="single" w:sz="4" w:space="0" w:color="auto"/>
        <w:left w:val="single" w:sz="4" w:space="0" w:color="auto"/>
        <w:bottom w:val="single" w:sz="4" w:space="0" w:color="auto"/>
        <w:right w:val="single" w:sz="4" w:space="0" w:color="auto"/>
      </w:pBdr>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4"/>
      <w:szCs w:val="24"/>
      <w:lang w:val="en-GB" w:eastAsia="en-GB"/>
    </w:rPr>
  </w:style>
  <w:style w:type="paragraph" w:customStyle="1" w:styleId="xl95">
    <w:name w:val="xl95"/>
    <w:basedOn w:val="Normal"/>
    <w:rsid w:val="00BD116A"/>
    <w:pPr>
      <w:pBdr>
        <w:top w:val="single" w:sz="4" w:space="0" w:color="auto"/>
        <w:left w:val="single" w:sz="4" w:space="0" w:color="auto"/>
        <w:bottom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right"/>
      <w:textAlignment w:val="auto"/>
    </w:pPr>
    <w:rPr>
      <w:rFonts w:cs="Arial"/>
      <w:b/>
      <w:bCs/>
      <w:sz w:val="20"/>
      <w:lang w:val="en-GB" w:eastAsia="en-GB"/>
    </w:rPr>
  </w:style>
  <w:style w:type="paragraph" w:customStyle="1" w:styleId="xl96">
    <w:name w:val="xl96"/>
    <w:basedOn w:val="Normal"/>
    <w:rsid w:val="00BD116A"/>
    <w:pPr>
      <w:pBdr>
        <w:top w:val="single" w:sz="4" w:space="0" w:color="auto"/>
        <w:left w:val="single" w:sz="4" w:space="0" w:color="auto"/>
        <w:bottom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right"/>
      <w:textAlignment w:val="auto"/>
    </w:pPr>
    <w:rPr>
      <w:rFonts w:cs="Arial"/>
      <w:sz w:val="20"/>
      <w:lang w:val="en-GB" w:eastAsia="en-GB"/>
    </w:rPr>
  </w:style>
  <w:style w:type="paragraph" w:customStyle="1" w:styleId="xl97">
    <w:name w:val="xl97"/>
    <w:basedOn w:val="Normal"/>
    <w:rsid w:val="00BD116A"/>
    <w:pPr>
      <w:pBdr>
        <w:bottom w:val="single" w:sz="4" w:space="0" w:color="auto"/>
      </w:pBdr>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4"/>
      <w:szCs w:val="24"/>
      <w:lang w:val="en-GB" w:eastAsia="en-GB"/>
    </w:rPr>
  </w:style>
  <w:style w:type="paragraph" w:customStyle="1" w:styleId="xl98">
    <w:name w:val="xl98"/>
    <w:basedOn w:val="Normal"/>
    <w:rsid w:val="00BD116A"/>
    <w:pPr>
      <w:tabs>
        <w:tab w:val="clear" w:pos="3825"/>
        <w:tab w:val="left" w:pos="708"/>
      </w:tabs>
      <w:overflowPunct/>
      <w:autoSpaceDE/>
      <w:autoSpaceDN/>
      <w:adjustRightInd/>
      <w:spacing w:before="100" w:beforeAutospacing="1" w:after="100" w:afterAutospacing="1"/>
      <w:jc w:val="right"/>
      <w:textAlignment w:val="auto"/>
    </w:pPr>
    <w:rPr>
      <w:rFonts w:cs="Arial"/>
      <w:color w:val="FF0000"/>
      <w:sz w:val="16"/>
      <w:szCs w:val="16"/>
      <w:lang w:val="en-GB" w:eastAsia="en-GB"/>
    </w:rPr>
  </w:style>
  <w:style w:type="paragraph" w:customStyle="1" w:styleId="xl99">
    <w:name w:val="xl99"/>
    <w:basedOn w:val="Normal"/>
    <w:rsid w:val="00BD116A"/>
    <w:pPr>
      <w:pBdr>
        <w:top w:val="single" w:sz="4" w:space="0" w:color="auto"/>
      </w:pBdr>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4"/>
      <w:szCs w:val="24"/>
      <w:lang w:val="en-GB" w:eastAsia="en-GB"/>
    </w:rPr>
  </w:style>
  <w:style w:type="paragraph" w:customStyle="1" w:styleId="xl100">
    <w:name w:val="xl100"/>
    <w:basedOn w:val="Normal"/>
    <w:rsid w:val="00BD116A"/>
    <w:pPr>
      <w:pBdr>
        <w:left w:val="single" w:sz="8" w:space="0" w:color="auto"/>
        <w:bottom w:val="single" w:sz="4" w:space="0" w:color="auto"/>
      </w:pBdr>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4"/>
      <w:szCs w:val="24"/>
      <w:lang w:val="en-GB" w:eastAsia="en-GB"/>
    </w:rPr>
  </w:style>
  <w:style w:type="paragraph" w:customStyle="1" w:styleId="xl101">
    <w:name w:val="xl101"/>
    <w:basedOn w:val="Normal"/>
    <w:rsid w:val="00BD116A"/>
    <w:pPr>
      <w:pBdr>
        <w:right w:val="single" w:sz="4" w:space="0" w:color="auto"/>
      </w:pBdr>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4"/>
      <w:szCs w:val="24"/>
      <w:lang w:val="en-GB" w:eastAsia="en-GB"/>
    </w:rPr>
  </w:style>
  <w:style w:type="paragraph" w:customStyle="1" w:styleId="xl102">
    <w:name w:val="xl102"/>
    <w:basedOn w:val="Normal"/>
    <w:rsid w:val="00BD116A"/>
    <w:pPr>
      <w:pBdr>
        <w:bottom w:val="single" w:sz="4" w:space="0" w:color="auto"/>
        <w:right w:val="single" w:sz="4" w:space="0" w:color="auto"/>
      </w:pBdr>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4"/>
      <w:szCs w:val="24"/>
      <w:lang w:val="en-GB" w:eastAsia="en-GB"/>
    </w:rPr>
  </w:style>
  <w:style w:type="paragraph" w:customStyle="1" w:styleId="xl103">
    <w:name w:val="xl103"/>
    <w:basedOn w:val="Normal"/>
    <w:rsid w:val="00BD116A"/>
    <w:pPr>
      <w:pBdr>
        <w:top w:val="single" w:sz="4" w:space="0" w:color="auto"/>
        <w:left w:val="single" w:sz="4" w:space="0" w:color="auto"/>
        <w:bottom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0"/>
      <w:lang w:val="en-GB" w:eastAsia="en-GB"/>
    </w:rPr>
  </w:style>
  <w:style w:type="paragraph" w:customStyle="1" w:styleId="xl104">
    <w:name w:val="xl104"/>
    <w:basedOn w:val="Normal"/>
    <w:rsid w:val="00BD116A"/>
    <w:pPr>
      <w:pBdr>
        <w:top w:val="single" w:sz="4" w:space="0" w:color="auto"/>
        <w:left w:val="single" w:sz="4" w:space="0" w:color="auto"/>
        <w:bottom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0"/>
      <w:lang w:val="en-GB" w:eastAsia="en-GB"/>
    </w:rPr>
  </w:style>
  <w:style w:type="paragraph" w:customStyle="1" w:styleId="xl105">
    <w:name w:val="xl105"/>
    <w:basedOn w:val="Normal"/>
    <w:rsid w:val="00BD116A"/>
    <w:pPr>
      <w:pBdr>
        <w:top w:val="single" w:sz="4" w:space="0" w:color="auto"/>
        <w:left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0"/>
      <w:lang w:val="en-GB" w:eastAsia="en-GB"/>
    </w:rPr>
  </w:style>
  <w:style w:type="paragraph" w:customStyle="1" w:styleId="xl106">
    <w:name w:val="xl106"/>
    <w:basedOn w:val="Normal"/>
    <w:rsid w:val="00BD116A"/>
    <w:pPr>
      <w:pBdr>
        <w:right w:val="single" w:sz="4" w:space="0" w:color="auto"/>
      </w:pBdr>
      <w:tabs>
        <w:tab w:val="clear" w:pos="3825"/>
        <w:tab w:val="left" w:pos="708"/>
      </w:tabs>
      <w:overflowPunct/>
      <w:autoSpaceDE/>
      <w:autoSpaceDN/>
      <w:adjustRightInd/>
      <w:spacing w:before="100" w:beforeAutospacing="1" w:after="100" w:afterAutospacing="1"/>
      <w:jc w:val="right"/>
      <w:textAlignment w:val="auto"/>
    </w:pPr>
    <w:rPr>
      <w:rFonts w:cs="Arial"/>
      <w:sz w:val="18"/>
      <w:szCs w:val="18"/>
      <w:lang w:val="en-GB" w:eastAsia="en-GB"/>
    </w:rPr>
  </w:style>
  <w:style w:type="paragraph" w:customStyle="1" w:styleId="xl107">
    <w:name w:val="xl107"/>
    <w:basedOn w:val="Normal"/>
    <w:rsid w:val="00BD116A"/>
    <w:pPr>
      <w:pBdr>
        <w:top w:val="single" w:sz="4" w:space="0" w:color="auto"/>
        <w:left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right"/>
      <w:textAlignment w:val="auto"/>
    </w:pPr>
    <w:rPr>
      <w:rFonts w:cs="Arial"/>
      <w:sz w:val="20"/>
      <w:lang w:val="en-GB" w:eastAsia="en-GB"/>
    </w:rPr>
  </w:style>
  <w:style w:type="paragraph" w:customStyle="1" w:styleId="xl108">
    <w:name w:val="xl108"/>
    <w:basedOn w:val="Normal"/>
    <w:rsid w:val="00BD116A"/>
    <w:pPr>
      <w:pBdr>
        <w:left w:val="single" w:sz="4" w:space="0" w:color="auto"/>
        <w:bottom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0"/>
      <w:lang w:val="en-GB" w:eastAsia="en-GB"/>
    </w:rPr>
  </w:style>
  <w:style w:type="paragraph" w:customStyle="1" w:styleId="xl109">
    <w:name w:val="xl109"/>
    <w:basedOn w:val="Normal"/>
    <w:rsid w:val="00BD116A"/>
    <w:pPr>
      <w:pBdr>
        <w:left w:val="single" w:sz="4" w:space="0" w:color="auto"/>
        <w:bottom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right"/>
      <w:textAlignment w:val="auto"/>
    </w:pPr>
    <w:rPr>
      <w:rFonts w:cs="Arial"/>
      <w:sz w:val="20"/>
      <w:lang w:val="en-GB" w:eastAsia="en-GB"/>
    </w:rPr>
  </w:style>
  <w:style w:type="paragraph" w:customStyle="1" w:styleId="xl110">
    <w:name w:val="xl110"/>
    <w:basedOn w:val="Normal"/>
    <w:rsid w:val="00BD116A"/>
    <w:pPr>
      <w:pBdr>
        <w:left w:val="single" w:sz="4" w:space="0" w:color="auto"/>
        <w:bottom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0"/>
      <w:lang w:val="en-GB" w:eastAsia="en-GB"/>
    </w:rPr>
  </w:style>
  <w:style w:type="paragraph" w:customStyle="1" w:styleId="xl111">
    <w:name w:val="xl111"/>
    <w:basedOn w:val="Normal"/>
    <w:rsid w:val="00BD116A"/>
    <w:pPr>
      <w:pBdr>
        <w:top w:val="single" w:sz="4" w:space="0" w:color="auto"/>
        <w:left w:val="single" w:sz="4" w:space="0" w:color="auto"/>
      </w:pBdr>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4"/>
      <w:szCs w:val="24"/>
      <w:lang w:val="en-GB" w:eastAsia="en-GB"/>
    </w:rPr>
  </w:style>
  <w:style w:type="paragraph" w:customStyle="1" w:styleId="xl112">
    <w:name w:val="xl112"/>
    <w:basedOn w:val="Normal"/>
    <w:rsid w:val="00BD116A"/>
    <w:pPr>
      <w:pBdr>
        <w:top w:val="single" w:sz="4" w:space="0" w:color="auto"/>
      </w:pBdr>
      <w:tabs>
        <w:tab w:val="clear" w:pos="3825"/>
        <w:tab w:val="left" w:pos="708"/>
      </w:tabs>
      <w:overflowPunct/>
      <w:autoSpaceDE/>
      <w:autoSpaceDN/>
      <w:adjustRightInd/>
      <w:spacing w:before="100" w:beforeAutospacing="1" w:after="100" w:afterAutospacing="1"/>
      <w:jc w:val="right"/>
      <w:textAlignment w:val="auto"/>
    </w:pPr>
    <w:rPr>
      <w:rFonts w:cs="Arial"/>
      <w:sz w:val="20"/>
      <w:lang w:val="en-GB" w:eastAsia="en-GB"/>
    </w:rPr>
  </w:style>
  <w:style w:type="paragraph" w:customStyle="1" w:styleId="xl113">
    <w:name w:val="xl113"/>
    <w:basedOn w:val="Normal"/>
    <w:rsid w:val="00BD116A"/>
    <w:pPr>
      <w:pBdr>
        <w:top w:val="single" w:sz="4" w:space="0" w:color="auto"/>
        <w:right w:val="single" w:sz="4" w:space="0" w:color="auto"/>
      </w:pBdr>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4"/>
      <w:szCs w:val="24"/>
      <w:lang w:val="en-GB" w:eastAsia="en-GB"/>
    </w:rPr>
  </w:style>
  <w:style w:type="paragraph" w:customStyle="1" w:styleId="xl114">
    <w:name w:val="xl114"/>
    <w:basedOn w:val="Normal"/>
    <w:rsid w:val="00BD116A"/>
    <w:pPr>
      <w:pBdr>
        <w:left w:val="single" w:sz="4" w:space="0" w:color="auto"/>
      </w:pBdr>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4"/>
      <w:szCs w:val="24"/>
      <w:lang w:val="en-GB" w:eastAsia="en-GB"/>
    </w:rPr>
  </w:style>
  <w:style w:type="paragraph" w:customStyle="1" w:styleId="xl115">
    <w:name w:val="xl115"/>
    <w:basedOn w:val="Normal"/>
    <w:rsid w:val="00BD116A"/>
    <w:pPr>
      <w:pBdr>
        <w:left w:val="single" w:sz="4" w:space="0" w:color="auto"/>
        <w:bottom w:val="single" w:sz="4" w:space="0" w:color="auto"/>
      </w:pBdr>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4"/>
      <w:szCs w:val="24"/>
      <w:lang w:val="en-GB" w:eastAsia="en-GB"/>
    </w:rPr>
  </w:style>
  <w:style w:type="paragraph" w:customStyle="1" w:styleId="xl116">
    <w:name w:val="xl116"/>
    <w:basedOn w:val="Normal"/>
    <w:rsid w:val="00BD116A"/>
    <w:pPr>
      <w:pBdr>
        <w:top w:val="single" w:sz="4" w:space="0" w:color="auto"/>
        <w:left w:val="single" w:sz="4" w:space="0" w:color="auto"/>
        <w:bottom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0"/>
      <w:lang w:val="en-GB" w:eastAsia="en-GB"/>
    </w:rPr>
  </w:style>
  <w:style w:type="paragraph" w:customStyle="1" w:styleId="xl117">
    <w:name w:val="xl117"/>
    <w:basedOn w:val="Normal"/>
    <w:rsid w:val="00BD116A"/>
    <w:pPr>
      <w:pBdr>
        <w:top w:val="single" w:sz="4" w:space="0" w:color="auto"/>
        <w:left w:val="single" w:sz="4" w:space="0" w:color="auto"/>
        <w:bottom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0"/>
      <w:lang w:val="en-GB" w:eastAsia="en-GB"/>
    </w:rPr>
  </w:style>
  <w:style w:type="paragraph" w:customStyle="1" w:styleId="xl118">
    <w:name w:val="xl118"/>
    <w:basedOn w:val="Normal"/>
    <w:rsid w:val="00BD116A"/>
    <w:pPr>
      <w:pBdr>
        <w:left w:val="single" w:sz="4" w:space="0" w:color="auto"/>
        <w:bottom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0"/>
      <w:lang w:val="en-GB" w:eastAsia="en-GB"/>
    </w:rPr>
  </w:style>
  <w:style w:type="paragraph" w:customStyle="1" w:styleId="xl119">
    <w:name w:val="xl119"/>
    <w:basedOn w:val="Normal"/>
    <w:rsid w:val="00BD116A"/>
    <w:pPr>
      <w:pBdr>
        <w:top w:val="single" w:sz="4" w:space="0" w:color="auto"/>
        <w:left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0"/>
      <w:lang w:val="en-GB" w:eastAsia="en-GB"/>
    </w:rPr>
  </w:style>
  <w:style w:type="paragraph" w:customStyle="1" w:styleId="xl120">
    <w:name w:val="xl120"/>
    <w:basedOn w:val="Normal"/>
    <w:rsid w:val="00BD116A"/>
    <w:pPr>
      <w:pBdr>
        <w:top w:val="single" w:sz="4" w:space="0" w:color="auto"/>
        <w:left w:val="single" w:sz="4" w:space="0" w:color="auto"/>
        <w:bottom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right"/>
      <w:textAlignment w:val="auto"/>
    </w:pPr>
    <w:rPr>
      <w:rFonts w:cs="Arial"/>
      <w:sz w:val="20"/>
      <w:lang w:val="en-GB" w:eastAsia="en-GB"/>
    </w:rPr>
  </w:style>
  <w:style w:type="paragraph" w:customStyle="1" w:styleId="xl121">
    <w:name w:val="xl121"/>
    <w:basedOn w:val="Normal"/>
    <w:rsid w:val="00BD116A"/>
    <w:pPr>
      <w:pBdr>
        <w:top w:val="single" w:sz="4" w:space="0" w:color="auto"/>
        <w:left w:val="single" w:sz="4" w:space="31" w:color="auto"/>
        <w:right w:val="single" w:sz="4" w:space="0" w:color="auto"/>
      </w:pBdr>
      <w:tabs>
        <w:tab w:val="clear" w:pos="3825"/>
        <w:tab w:val="left" w:pos="708"/>
      </w:tabs>
      <w:overflowPunct/>
      <w:autoSpaceDE/>
      <w:autoSpaceDN/>
      <w:adjustRightInd/>
      <w:spacing w:before="100" w:beforeAutospacing="1" w:after="100" w:afterAutospacing="1"/>
      <w:ind w:firstLineChars="500" w:firstLine="500"/>
      <w:jc w:val="left"/>
      <w:textAlignment w:val="auto"/>
    </w:pPr>
    <w:rPr>
      <w:rFonts w:ascii="Symbol" w:hAnsi="Symbol"/>
      <w:color w:val="0070C0"/>
      <w:sz w:val="24"/>
      <w:szCs w:val="24"/>
      <w:lang w:val="en-GB" w:eastAsia="en-GB"/>
    </w:rPr>
  </w:style>
  <w:style w:type="paragraph" w:customStyle="1" w:styleId="xl122">
    <w:name w:val="xl122"/>
    <w:basedOn w:val="Normal"/>
    <w:rsid w:val="00BD116A"/>
    <w:pPr>
      <w:pBdr>
        <w:top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4"/>
      <w:szCs w:val="24"/>
      <w:lang w:val="en-GB" w:eastAsia="en-GB"/>
    </w:rPr>
  </w:style>
  <w:style w:type="paragraph" w:customStyle="1" w:styleId="xl123">
    <w:name w:val="xl123"/>
    <w:basedOn w:val="Normal"/>
    <w:rsid w:val="00BD116A"/>
    <w:pPr>
      <w:tabs>
        <w:tab w:val="clear" w:pos="3825"/>
        <w:tab w:val="left" w:pos="708"/>
      </w:tabs>
      <w:overflowPunct/>
      <w:autoSpaceDE/>
      <w:autoSpaceDN/>
      <w:adjustRightInd/>
      <w:spacing w:before="100" w:beforeAutospacing="1" w:after="100" w:afterAutospacing="1"/>
      <w:ind w:firstLineChars="200" w:firstLine="200"/>
      <w:jc w:val="right"/>
      <w:textAlignment w:val="auto"/>
    </w:pPr>
    <w:rPr>
      <w:rFonts w:ascii="Times New Roman" w:hAnsi="Times New Roman"/>
      <w:color w:val="0563C1"/>
      <w:sz w:val="24"/>
      <w:szCs w:val="24"/>
      <w:u w:val="single"/>
      <w:lang w:val="en-GB" w:eastAsia="en-GB"/>
    </w:rPr>
  </w:style>
  <w:style w:type="paragraph" w:customStyle="1" w:styleId="xl124">
    <w:name w:val="xl124"/>
    <w:basedOn w:val="Normal"/>
    <w:rsid w:val="00BD116A"/>
    <w:pPr>
      <w:pBdr>
        <w:left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0"/>
      <w:lang w:val="en-GB" w:eastAsia="en-GB"/>
    </w:rPr>
  </w:style>
  <w:style w:type="paragraph" w:customStyle="1" w:styleId="xl125">
    <w:name w:val="xl125"/>
    <w:basedOn w:val="Normal"/>
    <w:rsid w:val="00BD116A"/>
    <w:pP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4"/>
      <w:szCs w:val="24"/>
      <w:lang w:val="en-GB" w:eastAsia="en-GB"/>
    </w:rPr>
  </w:style>
  <w:style w:type="paragraph" w:customStyle="1" w:styleId="xl126">
    <w:name w:val="xl126"/>
    <w:basedOn w:val="Normal"/>
    <w:rsid w:val="00BD116A"/>
    <w:pPr>
      <w:pBdr>
        <w:top w:val="single" w:sz="4" w:space="0" w:color="auto"/>
        <w:left w:val="single" w:sz="4" w:space="31" w:color="auto"/>
        <w:right w:val="single" w:sz="4" w:space="0" w:color="auto"/>
      </w:pBdr>
      <w:tabs>
        <w:tab w:val="clear" w:pos="3825"/>
        <w:tab w:val="left" w:pos="708"/>
      </w:tabs>
      <w:overflowPunct/>
      <w:autoSpaceDE/>
      <w:autoSpaceDN/>
      <w:adjustRightInd/>
      <w:spacing w:before="100" w:beforeAutospacing="1" w:after="100" w:afterAutospacing="1"/>
      <w:ind w:firstLineChars="500" w:firstLine="500"/>
      <w:jc w:val="left"/>
      <w:textAlignment w:val="auto"/>
    </w:pPr>
    <w:rPr>
      <w:rFonts w:cs="Arial"/>
      <w:color w:val="0070C0"/>
      <w:sz w:val="24"/>
      <w:szCs w:val="24"/>
      <w:lang w:val="en-GB" w:eastAsia="en-GB"/>
    </w:rPr>
  </w:style>
  <w:style w:type="paragraph" w:customStyle="1" w:styleId="xl127">
    <w:name w:val="xl127"/>
    <w:basedOn w:val="Normal"/>
    <w:rsid w:val="00BD116A"/>
    <w:pPr>
      <w:pBdr>
        <w:left w:val="single" w:sz="4" w:space="31" w:color="auto"/>
        <w:right w:val="single" w:sz="4" w:space="0" w:color="auto"/>
      </w:pBdr>
      <w:tabs>
        <w:tab w:val="clear" w:pos="3825"/>
        <w:tab w:val="left" w:pos="708"/>
      </w:tabs>
      <w:overflowPunct/>
      <w:autoSpaceDE/>
      <w:autoSpaceDN/>
      <w:adjustRightInd/>
      <w:spacing w:before="100" w:beforeAutospacing="1" w:after="100" w:afterAutospacing="1"/>
      <w:ind w:firstLineChars="500" w:firstLine="500"/>
      <w:jc w:val="left"/>
      <w:textAlignment w:val="auto"/>
    </w:pPr>
    <w:rPr>
      <w:rFonts w:cs="Arial"/>
      <w:color w:val="0070C0"/>
      <w:sz w:val="24"/>
      <w:szCs w:val="24"/>
      <w:lang w:val="en-GB" w:eastAsia="en-GB"/>
    </w:rPr>
  </w:style>
  <w:style w:type="paragraph" w:customStyle="1" w:styleId="xl128">
    <w:name w:val="xl128"/>
    <w:basedOn w:val="Normal"/>
    <w:rsid w:val="00BD116A"/>
    <w:pPr>
      <w:pBdr>
        <w:left w:val="single" w:sz="4" w:space="31" w:color="auto"/>
        <w:bottom w:val="single" w:sz="4" w:space="0" w:color="auto"/>
        <w:right w:val="single" w:sz="4" w:space="0" w:color="auto"/>
      </w:pBdr>
      <w:tabs>
        <w:tab w:val="clear" w:pos="3825"/>
        <w:tab w:val="left" w:pos="708"/>
      </w:tabs>
      <w:overflowPunct/>
      <w:autoSpaceDE/>
      <w:autoSpaceDN/>
      <w:adjustRightInd/>
      <w:spacing w:before="100" w:beforeAutospacing="1" w:after="100" w:afterAutospacing="1"/>
      <w:ind w:firstLineChars="500" w:firstLine="500"/>
      <w:jc w:val="left"/>
      <w:textAlignment w:val="auto"/>
    </w:pPr>
    <w:rPr>
      <w:rFonts w:cs="Arial"/>
      <w:color w:val="0070C0"/>
      <w:sz w:val="24"/>
      <w:szCs w:val="24"/>
      <w:lang w:val="en-GB" w:eastAsia="en-GB"/>
    </w:rPr>
  </w:style>
  <w:style w:type="paragraph" w:customStyle="1" w:styleId="xl129">
    <w:name w:val="xl129"/>
    <w:basedOn w:val="Normal"/>
    <w:rsid w:val="00BD116A"/>
    <w:pPr>
      <w:pBdr>
        <w:left w:val="single" w:sz="4" w:space="0" w:color="auto"/>
        <w:bottom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0"/>
      <w:lang w:val="en-GB" w:eastAsia="en-GB"/>
    </w:rPr>
  </w:style>
  <w:style w:type="paragraph" w:customStyle="1" w:styleId="xl130">
    <w:name w:val="xl130"/>
    <w:basedOn w:val="Normal"/>
    <w:rsid w:val="00BD116A"/>
    <w:pPr>
      <w:pBdr>
        <w:top w:val="single" w:sz="4" w:space="0" w:color="auto"/>
        <w:left w:val="single" w:sz="4" w:space="0" w:color="auto"/>
        <w:right w:val="single" w:sz="4" w:space="0" w:color="auto"/>
      </w:pBdr>
      <w:tabs>
        <w:tab w:val="clear" w:pos="3825"/>
        <w:tab w:val="left" w:pos="708"/>
      </w:tabs>
      <w:overflowPunct/>
      <w:autoSpaceDE/>
      <w:autoSpaceDN/>
      <w:adjustRightInd/>
      <w:spacing w:before="100" w:beforeAutospacing="1" w:after="100" w:afterAutospacing="1"/>
      <w:jc w:val="left"/>
      <w:textAlignment w:val="auto"/>
    </w:pPr>
    <w:rPr>
      <w:rFonts w:cs="Arial"/>
      <w:color w:val="0070C0"/>
      <w:sz w:val="24"/>
      <w:szCs w:val="24"/>
      <w:lang w:val="en-GB" w:eastAsia="en-GB"/>
    </w:rPr>
  </w:style>
  <w:style w:type="paragraph" w:customStyle="1" w:styleId="xl131">
    <w:name w:val="xl131"/>
    <w:basedOn w:val="Normal"/>
    <w:rsid w:val="00BD116A"/>
    <w:pPr>
      <w:pBdr>
        <w:left w:val="single" w:sz="4" w:space="0" w:color="auto"/>
        <w:right w:val="single" w:sz="4" w:space="0" w:color="auto"/>
      </w:pBdr>
      <w:tabs>
        <w:tab w:val="clear" w:pos="3825"/>
        <w:tab w:val="left" w:pos="708"/>
      </w:tabs>
      <w:overflowPunct/>
      <w:autoSpaceDE/>
      <w:autoSpaceDN/>
      <w:adjustRightInd/>
      <w:spacing w:before="100" w:beforeAutospacing="1" w:after="100" w:afterAutospacing="1"/>
      <w:jc w:val="left"/>
      <w:textAlignment w:val="auto"/>
    </w:pPr>
    <w:rPr>
      <w:rFonts w:cs="Arial"/>
      <w:color w:val="0070C0"/>
      <w:sz w:val="24"/>
      <w:szCs w:val="24"/>
      <w:lang w:val="en-GB" w:eastAsia="en-GB"/>
    </w:rPr>
  </w:style>
  <w:style w:type="paragraph" w:customStyle="1" w:styleId="xl132">
    <w:name w:val="xl132"/>
    <w:basedOn w:val="Normal"/>
    <w:rsid w:val="00BD116A"/>
    <w:pPr>
      <w:pBdr>
        <w:left w:val="single" w:sz="4" w:space="0" w:color="auto"/>
        <w:bottom w:val="single" w:sz="4" w:space="0" w:color="auto"/>
        <w:right w:val="single" w:sz="4" w:space="0" w:color="auto"/>
      </w:pBdr>
      <w:tabs>
        <w:tab w:val="clear" w:pos="3825"/>
        <w:tab w:val="left" w:pos="708"/>
      </w:tabs>
      <w:overflowPunct/>
      <w:autoSpaceDE/>
      <w:autoSpaceDN/>
      <w:adjustRightInd/>
      <w:spacing w:before="100" w:beforeAutospacing="1" w:after="100" w:afterAutospacing="1"/>
      <w:jc w:val="left"/>
      <w:textAlignment w:val="auto"/>
    </w:pPr>
    <w:rPr>
      <w:rFonts w:cs="Arial"/>
      <w:color w:val="0070C0"/>
      <w:sz w:val="24"/>
      <w:szCs w:val="24"/>
      <w:lang w:val="en-GB" w:eastAsia="en-GB"/>
    </w:rPr>
  </w:style>
  <w:style w:type="paragraph" w:customStyle="1" w:styleId="xl133">
    <w:name w:val="xl133"/>
    <w:basedOn w:val="Normal"/>
    <w:rsid w:val="00BD116A"/>
    <w:pPr>
      <w:pBdr>
        <w:top w:val="single" w:sz="4" w:space="0" w:color="auto"/>
        <w:left w:val="single" w:sz="4" w:space="0" w:color="auto"/>
        <w:right w:val="single" w:sz="4" w:space="0" w:color="auto"/>
      </w:pBdr>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4"/>
      <w:szCs w:val="24"/>
      <w:lang w:val="en-GB" w:eastAsia="en-GB"/>
    </w:rPr>
  </w:style>
  <w:style w:type="paragraph" w:customStyle="1" w:styleId="xl134">
    <w:name w:val="xl134"/>
    <w:basedOn w:val="Normal"/>
    <w:rsid w:val="00BD116A"/>
    <w:pPr>
      <w:pBdr>
        <w:left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0"/>
      <w:lang w:val="en-GB" w:eastAsia="en-GB"/>
    </w:rPr>
  </w:style>
  <w:style w:type="paragraph" w:customStyle="1" w:styleId="xl135">
    <w:name w:val="xl135"/>
    <w:basedOn w:val="Normal"/>
    <w:rsid w:val="00BD116A"/>
    <w:pPr>
      <w:pBdr>
        <w:top w:val="single" w:sz="4" w:space="0" w:color="auto"/>
        <w:left w:val="single" w:sz="4" w:space="31" w:color="auto"/>
        <w:right w:val="single" w:sz="4" w:space="0" w:color="auto"/>
      </w:pBdr>
      <w:tabs>
        <w:tab w:val="clear" w:pos="3825"/>
        <w:tab w:val="left" w:pos="708"/>
      </w:tabs>
      <w:overflowPunct/>
      <w:autoSpaceDE/>
      <w:autoSpaceDN/>
      <w:adjustRightInd/>
      <w:spacing w:before="100" w:beforeAutospacing="1" w:after="100" w:afterAutospacing="1"/>
      <w:ind w:firstLineChars="500" w:firstLine="500"/>
      <w:jc w:val="left"/>
      <w:textAlignment w:val="auto"/>
    </w:pPr>
    <w:rPr>
      <w:rFonts w:ascii="Symbol" w:hAnsi="Symbol"/>
      <w:color w:val="4472C4"/>
      <w:sz w:val="24"/>
      <w:szCs w:val="24"/>
      <w:lang w:val="en-GB" w:eastAsia="en-GB"/>
    </w:rPr>
  </w:style>
  <w:style w:type="paragraph" w:customStyle="1" w:styleId="xl136">
    <w:name w:val="xl136"/>
    <w:basedOn w:val="Normal"/>
    <w:rsid w:val="00BD116A"/>
    <w:pPr>
      <w:pBdr>
        <w:left w:val="single" w:sz="4" w:space="31" w:color="auto"/>
        <w:bottom w:val="single" w:sz="4" w:space="0" w:color="auto"/>
        <w:right w:val="single" w:sz="4" w:space="0" w:color="auto"/>
      </w:pBdr>
      <w:tabs>
        <w:tab w:val="clear" w:pos="3825"/>
        <w:tab w:val="left" w:pos="708"/>
      </w:tabs>
      <w:overflowPunct/>
      <w:autoSpaceDE/>
      <w:autoSpaceDN/>
      <w:adjustRightInd/>
      <w:spacing w:before="100" w:beforeAutospacing="1" w:after="100" w:afterAutospacing="1"/>
      <w:ind w:firstLineChars="500" w:firstLine="500"/>
      <w:jc w:val="left"/>
      <w:textAlignment w:val="auto"/>
    </w:pPr>
    <w:rPr>
      <w:rFonts w:ascii="Symbol" w:hAnsi="Symbol"/>
      <w:color w:val="4472C4"/>
      <w:sz w:val="24"/>
      <w:szCs w:val="24"/>
      <w:lang w:val="en-GB" w:eastAsia="en-GB"/>
    </w:rPr>
  </w:style>
  <w:style w:type="paragraph" w:customStyle="1" w:styleId="xl137">
    <w:name w:val="xl137"/>
    <w:basedOn w:val="Normal"/>
    <w:rsid w:val="00BD116A"/>
    <w:pPr>
      <w:pBdr>
        <w:top w:val="single" w:sz="4" w:space="0" w:color="auto"/>
        <w:left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center"/>
      <w:textAlignment w:val="auto"/>
    </w:pPr>
    <w:rPr>
      <w:rFonts w:ascii="Times New Roman" w:hAnsi="Times New Roman"/>
      <w:sz w:val="20"/>
      <w:lang w:val="en-GB" w:eastAsia="en-GB"/>
    </w:rPr>
  </w:style>
  <w:style w:type="paragraph" w:customStyle="1" w:styleId="xl138">
    <w:name w:val="xl138"/>
    <w:basedOn w:val="Normal"/>
    <w:rsid w:val="00BD116A"/>
    <w:pPr>
      <w:tabs>
        <w:tab w:val="clear" w:pos="3825"/>
        <w:tab w:val="left" w:pos="708"/>
      </w:tabs>
      <w:overflowPunct/>
      <w:autoSpaceDE/>
      <w:autoSpaceDN/>
      <w:adjustRightInd/>
      <w:spacing w:before="100" w:beforeAutospacing="1" w:after="100" w:afterAutospacing="1"/>
      <w:jc w:val="left"/>
      <w:textAlignment w:val="auto"/>
    </w:pPr>
    <w:rPr>
      <w:rFonts w:cs="Arial"/>
      <w:color w:val="4472C4"/>
      <w:sz w:val="24"/>
      <w:szCs w:val="24"/>
      <w:lang w:val="en-GB" w:eastAsia="en-GB"/>
    </w:rPr>
  </w:style>
  <w:style w:type="paragraph" w:customStyle="1" w:styleId="xl139">
    <w:name w:val="xl139"/>
    <w:basedOn w:val="Normal"/>
    <w:rsid w:val="00BD116A"/>
    <w:pPr>
      <w:pBdr>
        <w:top w:val="single" w:sz="4" w:space="0" w:color="auto"/>
        <w:left w:val="single" w:sz="4" w:space="31" w:color="auto"/>
        <w:right w:val="single" w:sz="4" w:space="0" w:color="auto"/>
      </w:pBdr>
      <w:tabs>
        <w:tab w:val="clear" w:pos="3825"/>
        <w:tab w:val="left" w:pos="708"/>
      </w:tabs>
      <w:overflowPunct/>
      <w:autoSpaceDE/>
      <w:autoSpaceDN/>
      <w:adjustRightInd/>
      <w:spacing w:before="100" w:beforeAutospacing="1" w:after="100" w:afterAutospacing="1"/>
      <w:ind w:firstLineChars="500" w:firstLine="500"/>
      <w:jc w:val="left"/>
      <w:textAlignment w:val="auto"/>
    </w:pPr>
    <w:rPr>
      <w:rFonts w:ascii="Symbol" w:hAnsi="Symbol"/>
      <w:color w:val="4472C4"/>
      <w:sz w:val="24"/>
      <w:szCs w:val="24"/>
      <w:lang w:val="en-GB" w:eastAsia="en-GB"/>
    </w:rPr>
  </w:style>
  <w:style w:type="paragraph" w:customStyle="1" w:styleId="xl140">
    <w:name w:val="xl140"/>
    <w:basedOn w:val="Normal"/>
    <w:rsid w:val="00BD116A"/>
    <w:pPr>
      <w:pBdr>
        <w:left w:val="single" w:sz="4" w:space="31" w:color="auto"/>
        <w:right w:val="single" w:sz="4" w:space="0" w:color="auto"/>
      </w:pBdr>
      <w:tabs>
        <w:tab w:val="clear" w:pos="3825"/>
        <w:tab w:val="left" w:pos="708"/>
      </w:tabs>
      <w:overflowPunct/>
      <w:autoSpaceDE/>
      <w:autoSpaceDN/>
      <w:adjustRightInd/>
      <w:spacing w:before="100" w:beforeAutospacing="1" w:after="100" w:afterAutospacing="1"/>
      <w:ind w:firstLineChars="500" w:firstLine="500"/>
      <w:jc w:val="left"/>
      <w:textAlignment w:val="auto"/>
    </w:pPr>
    <w:rPr>
      <w:rFonts w:ascii="Symbol" w:hAnsi="Symbol"/>
      <w:color w:val="4472C4"/>
      <w:sz w:val="24"/>
      <w:szCs w:val="24"/>
      <w:lang w:val="en-GB" w:eastAsia="en-GB"/>
    </w:rPr>
  </w:style>
  <w:style w:type="paragraph" w:customStyle="1" w:styleId="xl141">
    <w:name w:val="xl141"/>
    <w:basedOn w:val="Normal"/>
    <w:rsid w:val="00BD116A"/>
    <w:pPr>
      <w:pBdr>
        <w:left w:val="single" w:sz="4" w:space="31" w:color="auto"/>
        <w:bottom w:val="single" w:sz="4" w:space="0" w:color="auto"/>
        <w:right w:val="single" w:sz="4" w:space="0" w:color="auto"/>
      </w:pBdr>
      <w:tabs>
        <w:tab w:val="clear" w:pos="3825"/>
        <w:tab w:val="left" w:pos="708"/>
      </w:tabs>
      <w:overflowPunct/>
      <w:autoSpaceDE/>
      <w:autoSpaceDN/>
      <w:adjustRightInd/>
      <w:spacing w:before="100" w:beforeAutospacing="1" w:after="100" w:afterAutospacing="1"/>
      <w:ind w:firstLineChars="500" w:firstLine="500"/>
      <w:jc w:val="left"/>
      <w:textAlignment w:val="auto"/>
    </w:pPr>
    <w:rPr>
      <w:rFonts w:ascii="Symbol" w:hAnsi="Symbol"/>
      <w:color w:val="4472C4"/>
      <w:sz w:val="24"/>
      <w:szCs w:val="24"/>
      <w:lang w:val="en-GB" w:eastAsia="en-GB"/>
    </w:rPr>
  </w:style>
  <w:style w:type="paragraph" w:customStyle="1" w:styleId="xl142">
    <w:name w:val="xl142"/>
    <w:basedOn w:val="Normal"/>
    <w:rsid w:val="00BD116A"/>
    <w:pPr>
      <w:pBdr>
        <w:top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0"/>
      <w:lang w:val="en-GB" w:eastAsia="en-GB"/>
    </w:rPr>
  </w:style>
  <w:style w:type="paragraph" w:customStyle="1" w:styleId="xl143">
    <w:name w:val="xl143"/>
    <w:basedOn w:val="Normal"/>
    <w:rsid w:val="00BD116A"/>
    <w:pPr>
      <w:pBdr>
        <w:top w:val="single" w:sz="4" w:space="0" w:color="auto"/>
        <w:left w:val="single" w:sz="4" w:space="0" w:color="auto"/>
        <w:bottom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ascii="Calibri Light" w:hAnsi="Calibri Light" w:cs="Calibri Light"/>
      <w:sz w:val="20"/>
      <w:lang w:val="en-GB" w:eastAsia="en-GB"/>
    </w:rPr>
  </w:style>
  <w:style w:type="paragraph" w:customStyle="1" w:styleId="xl144">
    <w:name w:val="xl144"/>
    <w:basedOn w:val="Normal"/>
    <w:rsid w:val="00BD116A"/>
    <w:pPr>
      <w:pBdr>
        <w:top w:val="single" w:sz="4" w:space="0" w:color="auto"/>
        <w:left w:val="single" w:sz="4" w:space="0" w:color="auto"/>
        <w:bottom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ascii="Symbol" w:hAnsi="Symbol"/>
      <w:sz w:val="24"/>
      <w:szCs w:val="24"/>
      <w:lang w:val="en-GB" w:eastAsia="en-GB"/>
    </w:rPr>
  </w:style>
  <w:style w:type="paragraph" w:customStyle="1" w:styleId="xl145">
    <w:name w:val="xl145"/>
    <w:basedOn w:val="Normal"/>
    <w:rsid w:val="00BD116A"/>
    <w:pPr>
      <w:pBdr>
        <w:top w:val="single" w:sz="4" w:space="0" w:color="auto"/>
        <w:left w:val="single" w:sz="4" w:space="0" w:color="auto"/>
        <w:right w:val="single" w:sz="4" w:space="0" w:color="auto"/>
      </w:pBdr>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0"/>
      <w:lang w:val="en-GB" w:eastAsia="en-GB"/>
    </w:rPr>
  </w:style>
  <w:style w:type="paragraph" w:customStyle="1" w:styleId="xl146">
    <w:name w:val="xl146"/>
    <w:basedOn w:val="Normal"/>
    <w:rsid w:val="00BD116A"/>
    <w:pPr>
      <w:pBdr>
        <w:left w:val="single" w:sz="4" w:space="0" w:color="auto"/>
        <w:right w:val="single" w:sz="4" w:space="0" w:color="auto"/>
      </w:pBdr>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0"/>
      <w:lang w:val="en-GB" w:eastAsia="en-GB"/>
    </w:rPr>
  </w:style>
  <w:style w:type="paragraph" w:customStyle="1" w:styleId="xl147">
    <w:name w:val="xl147"/>
    <w:basedOn w:val="Normal"/>
    <w:rsid w:val="00BD116A"/>
    <w:pPr>
      <w:pBdr>
        <w:right w:val="single" w:sz="4" w:space="0" w:color="auto"/>
      </w:pBdr>
      <w:tabs>
        <w:tab w:val="clear" w:pos="3825"/>
        <w:tab w:val="left" w:pos="708"/>
      </w:tabs>
      <w:overflowPunct/>
      <w:autoSpaceDE/>
      <w:autoSpaceDN/>
      <w:adjustRightInd/>
      <w:spacing w:before="100" w:beforeAutospacing="1" w:after="100" w:afterAutospacing="1"/>
      <w:textAlignment w:val="auto"/>
    </w:pPr>
    <w:rPr>
      <w:rFonts w:ascii="Symbol" w:hAnsi="Symbol"/>
      <w:color w:val="4472C4"/>
      <w:sz w:val="24"/>
      <w:szCs w:val="24"/>
      <w:lang w:val="en-GB" w:eastAsia="en-GB"/>
    </w:rPr>
  </w:style>
  <w:style w:type="paragraph" w:customStyle="1" w:styleId="xl148">
    <w:name w:val="xl148"/>
    <w:basedOn w:val="Normal"/>
    <w:rsid w:val="00BD116A"/>
    <w:pPr>
      <w:pBdr>
        <w:top w:val="single" w:sz="4" w:space="0" w:color="auto"/>
        <w:right w:val="single" w:sz="4" w:space="0" w:color="auto"/>
      </w:pBdr>
      <w:tabs>
        <w:tab w:val="clear" w:pos="3825"/>
        <w:tab w:val="left" w:pos="708"/>
      </w:tabs>
      <w:overflowPunct/>
      <w:autoSpaceDE/>
      <w:autoSpaceDN/>
      <w:adjustRightInd/>
      <w:spacing w:before="100" w:beforeAutospacing="1" w:after="100" w:afterAutospacing="1"/>
      <w:textAlignment w:val="auto"/>
    </w:pPr>
    <w:rPr>
      <w:rFonts w:ascii="Symbol" w:hAnsi="Symbol"/>
      <w:color w:val="4472C4"/>
      <w:sz w:val="24"/>
      <w:szCs w:val="24"/>
      <w:lang w:val="en-GB" w:eastAsia="en-GB"/>
    </w:rPr>
  </w:style>
  <w:style w:type="paragraph" w:customStyle="1" w:styleId="xl149">
    <w:name w:val="xl149"/>
    <w:basedOn w:val="Normal"/>
    <w:rsid w:val="00BD116A"/>
    <w:pPr>
      <w:pBdr>
        <w:right w:val="single" w:sz="4" w:space="0" w:color="auto"/>
      </w:pBdr>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0"/>
      <w:lang w:val="en-GB" w:eastAsia="en-GB"/>
    </w:rPr>
  </w:style>
  <w:style w:type="paragraph" w:customStyle="1" w:styleId="xl150">
    <w:name w:val="xl150"/>
    <w:basedOn w:val="Normal"/>
    <w:rsid w:val="00BD116A"/>
    <w:pPr>
      <w:pBdr>
        <w:top w:val="single" w:sz="4" w:space="0" w:color="auto"/>
        <w:left w:val="single" w:sz="4" w:space="0" w:color="auto"/>
        <w:bottom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color w:val="9C0006"/>
      <w:sz w:val="24"/>
      <w:szCs w:val="24"/>
      <w:lang w:val="en-GB" w:eastAsia="en-GB"/>
    </w:rPr>
  </w:style>
  <w:style w:type="paragraph" w:customStyle="1" w:styleId="xl151">
    <w:name w:val="xl151"/>
    <w:basedOn w:val="Normal"/>
    <w:rsid w:val="00BD116A"/>
    <w:pPr>
      <w:pBdr>
        <w:top w:val="single" w:sz="4" w:space="0" w:color="auto"/>
        <w:bottom w:val="single" w:sz="4" w:space="0" w:color="auto"/>
      </w:pBdr>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4"/>
      <w:szCs w:val="24"/>
      <w:lang w:val="en-GB" w:eastAsia="en-GB"/>
    </w:rPr>
  </w:style>
  <w:style w:type="paragraph" w:customStyle="1" w:styleId="xl152">
    <w:name w:val="xl152"/>
    <w:basedOn w:val="Normal"/>
    <w:rsid w:val="00BD116A"/>
    <w:pPr>
      <w:pBdr>
        <w:top w:val="single" w:sz="4" w:space="0" w:color="auto"/>
        <w:bottom w:val="single" w:sz="4" w:space="0" w:color="auto"/>
      </w:pBdr>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4"/>
      <w:szCs w:val="24"/>
      <w:lang w:val="en-GB" w:eastAsia="en-GB"/>
    </w:rPr>
  </w:style>
  <w:style w:type="paragraph" w:customStyle="1" w:styleId="xl153">
    <w:name w:val="xl153"/>
    <w:basedOn w:val="Normal"/>
    <w:rsid w:val="00BD116A"/>
    <w:pPr>
      <w:pBdr>
        <w:top w:val="single" w:sz="4" w:space="0" w:color="auto"/>
        <w:bottom w:val="single" w:sz="4" w:space="0" w:color="auto"/>
        <w:right w:val="single" w:sz="4" w:space="0" w:color="auto"/>
      </w:pBdr>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4"/>
      <w:szCs w:val="24"/>
      <w:lang w:val="en-GB" w:eastAsia="en-GB"/>
    </w:rPr>
  </w:style>
  <w:style w:type="paragraph" w:customStyle="1" w:styleId="xl154">
    <w:name w:val="xl154"/>
    <w:basedOn w:val="Normal"/>
    <w:rsid w:val="00BD116A"/>
    <w:pPr>
      <w:pBdr>
        <w:left w:val="single" w:sz="4" w:space="0" w:color="auto"/>
        <w:bottom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4"/>
      <w:szCs w:val="24"/>
      <w:lang w:val="en-GB" w:eastAsia="en-GB"/>
    </w:rPr>
  </w:style>
  <w:style w:type="paragraph" w:customStyle="1" w:styleId="xl155">
    <w:name w:val="xl155"/>
    <w:basedOn w:val="Normal"/>
    <w:rsid w:val="00BD116A"/>
    <w:pPr>
      <w:pBdr>
        <w:top w:val="single" w:sz="4" w:space="0" w:color="auto"/>
        <w:bottom w:val="single" w:sz="4" w:space="0" w:color="auto"/>
      </w:pBdr>
      <w:shd w:val="clear" w:color="auto" w:fill="FFC000"/>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4"/>
      <w:szCs w:val="24"/>
      <w:lang w:val="en-GB" w:eastAsia="en-GB"/>
    </w:rPr>
  </w:style>
  <w:style w:type="paragraph" w:customStyle="1" w:styleId="xl156">
    <w:name w:val="xl156"/>
    <w:basedOn w:val="Normal"/>
    <w:rsid w:val="00BD116A"/>
    <w:pPr>
      <w:pBdr>
        <w:top w:val="single" w:sz="4" w:space="0" w:color="auto"/>
        <w:bottom w:val="single" w:sz="4" w:space="0" w:color="auto"/>
      </w:pBdr>
      <w:shd w:val="clear" w:color="auto" w:fill="FFC000"/>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4"/>
      <w:szCs w:val="24"/>
      <w:lang w:val="en-GB" w:eastAsia="en-GB"/>
    </w:rPr>
  </w:style>
  <w:style w:type="paragraph" w:customStyle="1" w:styleId="xl157">
    <w:name w:val="xl157"/>
    <w:basedOn w:val="Normal"/>
    <w:rsid w:val="00BD116A"/>
    <w:pPr>
      <w:pBdr>
        <w:top w:val="single" w:sz="4" w:space="0" w:color="auto"/>
        <w:bottom w:val="single" w:sz="4" w:space="0" w:color="auto"/>
      </w:pBdr>
      <w:shd w:val="clear" w:color="auto" w:fill="FFC000"/>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4"/>
      <w:szCs w:val="24"/>
      <w:lang w:val="en-GB" w:eastAsia="en-GB"/>
    </w:rPr>
  </w:style>
  <w:style w:type="paragraph" w:customStyle="1" w:styleId="xl158">
    <w:name w:val="xl158"/>
    <w:basedOn w:val="Normal"/>
    <w:rsid w:val="00BD116A"/>
    <w:pPr>
      <w:pBdr>
        <w:top w:val="single" w:sz="4" w:space="0" w:color="auto"/>
        <w:left w:val="single" w:sz="4" w:space="0" w:color="auto"/>
        <w:bottom w:val="single" w:sz="4" w:space="0" w:color="auto"/>
      </w:pBdr>
      <w:shd w:val="clear" w:color="auto" w:fill="FFC000"/>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4"/>
      <w:szCs w:val="24"/>
      <w:lang w:val="en-GB" w:eastAsia="en-GB"/>
    </w:rPr>
  </w:style>
  <w:style w:type="paragraph" w:customStyle="1" w:styleId="xl159">
    <w:name w:val="xl159"/>
    <w:basedOn w:val="Normal"/>
    <w:rsid w:val="00BD116A"/>
    <w:pPr>
      <w:pBdr>
        <w:top w:val="single" w:sz="4" w:space="0" w:color="auto"/>
        <w:left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right"/>
      <w:textAlignment w:val="auto"/>
    </w:pPr>
    <w:rPr>
      <w:rFonts w:ascii="Times New Roman" w:hAnsi="Times New Roman"/>
      <w:sz w:val="24"/>
      <w:szCs w:val="24"/>
      <w:lang w:val="en-GB" w:eastAsia="en-GB"/>
    </w:rPr>
  </w:style>
  <w:style w:type="paragraph" w:customStyle="1" w:styleId="xl160">
    <w:name w:val="xl160"/>
    <w:basedOn w:val="Normal"/>
    <w:rsid w:val="00BD116A"/>
    <w:pPr>
      <w:pBdr>
        <w:top w:val="single" w:sz="4" w:space="0" w:color="auto"/>
      </w:pBdr>
      <w:shd w:val="clear" w:color="auto" w:fill="D9D9D9"/>
      <w:tabs>
        <w:tab w:val="clear" w:pos="3825"/>
        <w:tab w:val="left" w:pos="708"/>
      </w:tabs>
      <w:overflowPunct/>
      <w:autoSpaceDE/>
      <w:autoSpaceDN/>
      <w:adjustRightInd/>
      <w:spacing w:before="100" w:beforeAutospacing="1" w:after="100" w:afterAutospacing="1"/>
      <w:jc w:val="center"/>
      <w:textAlignment w:val="auto"/>
    </w:pPr>
    <w:rPr>
      <w:rFonts w:cs="Arial"/>
      <w:b/>
      <w:bCs/>
      <w:sz w:val="20"/>
      <w:lang w:val="en-GB" w:eastAsia="en-GB"/>
    </w:rPr>
  </w:style>
  <w:style w:type="paragraph" w:customStyle="1" w:styleId="xl161">
    <w:name w:val="xl161"/>
    <w:basedOn w:val="Normal"/>
    <w:rsid w:val="00BD116A"/>
    <w:pPr>
      <w:pBdr>
        <w:bottom w:val="single" w:sz="4" w:space="0" w:color="auto"/>
      </w:pBdr>
      <w:shd w:val="clear" w:color="auto" w:fill="D9D9D9"/>
      <w:tabs>
        <w:tab w:val="clear" w:pos="3825"/>
        <w:tab w:val="left" w:pos="708"/>
      </w:tabs>
      <w:overflowPunct/>
      <w:autoSpaceDE/>
      <w:autoSpaceDN/>
      <w:adjustRightInd/>
      <w:spacing w:before="100" w:beforeAutospacing="1" w:after="100" w:afterAutospacing="1"/>
      <w:jc w:val="center"/>
      <w:textAlignment w:val="auto"/>
    </w:pPr>
    <w:rPr>
      <w:rFonts w:cs="Arial"/>
      <w:b/>
      <w:bCs/>
      <w:sz w:val="20"/>
      <w:lang w:val="en-GB" w:eastAsia="en-GB"/>
    </w:rPr>
  </w:style>
  <w:style w:type="paragraph" w:customStyle="1" w:styleId="xl162">
    <w:name w:val="xl162"/>
    <w:basedOn w:val="Normal"/>
    <w:rsid w:val="00BD116A"/>
    <w:pPr>
      <w:pBdr>
        <w:top w:val="single" w:sz="4" w:space="0" w:color="auto"/>
        <w:left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center"/>
      <w:textAlignment w:val="auto"/>
    </w:pPr>
    <w:rPr>
      <w:rFonts w:ascii="Times New Roman" w:hAnsi="Times New Roman"/>
      <w:sz w:val="24"/>
      <w:szCs w:val="24"/>
      <w:lang w:val="en-GB" w:eastAsia="en-GB"/>
    </w:rPr>
  </w:style>
  <w:style w:type="paragraph" w:customStyle="1" w:styleId="xl163">
    <w:name w:val="xl163"/>
    <w:basedOn w:val="Normal"/>
    <w:rsid w:val="00BD116A"/>
    <w:pPr>
      <w:pBdr>
        <w:left w:val="single" w:sz="4" w:space="0" w:color="auto"/>
        <w:bottom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center"/>
      <w:textAlignment w:val="auto"/>
    </w:pPr>
    <w:rPr>
      <w:rFonts w:ascii="Times New Roman" w:hAnsi="Times New Roman"/>
      <w:sz w:val="24"/>
      <w:szCs w:val="24"/>
      <w:lang w:val="en-GB" w:eastAsia="en-GB"/>
    </w:rPr>
  </w:style>
  <w:style w:type="paragraph" w:customStyle="1" w:styleId="xl164">
    <w:name w:val="xl164"/>
    <w:basedOn w:val="Normal"/>
    <w:rsid w:val="00BD116A"/>
    <w:pPr>
      <w:pBdr>
        <w:top w:val="single" w:sz="4" w:space="0" w:color="auto"/>
        <w:left w:val="single" w:sz="4" w:space="0" w:color="auto"/>
        <w:bottom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cs="Arial"/>
      <w:b/>
      <w:bCs/>
      <w:sz w:val="20"/>
      <w:lang w:val="en-GB" w:eastAsia="en-GB"/>
    </w:rPr>
  </w:style>
  <w:style w:type="paragraph" w:customStyle="1" w:styleId="xl165">
    <w:name w:val="xl165"/>
    <w:basedOn w:val="Normal"/>
    <w:rsid w:val="00BD116A"/>
    <w:pPr>
      <w:pBdr>
        <w:top w:val="single" w:sz="4" w:space="0" w:color="auto"/>
        <w:left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0"/>
      <w:lang w:val="en-GB" w:eastAsia="en-GB"/>
    </w:rPr>
  </w:style>
  <w:style w:type="paragraph" w:customStyle="1" w:styleId="xl166">
    <w:name w:val="xl166"/>
    <w:basedOn w:val="Normal"/>
    <w:rsid w:val="00BD116A"/>
    <w:pPr>
      <w:pBdr>
        <w:left w:val="single" w:sz="4" w:space="0" w:color="auto"/>
        <w:bottom w:val="single" w:sz="4" w:space="0" w:color="auto"/>
        <w:right w:val="single" w:sz="4" w:space="0" w:color="auto"/>
      </w:pBdr>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0"/>
      <w:lang w:val="en-GB" w:eastAsia="en-GB"/>
    </w:rPr>
  </w:style>
  <w:style w:type="paragraph" w:customStyle="1" w:styleId="xl167">
    <w:name w:val="xl167"/>
    <w:basedOn w:val="Normal"/>
    <w:rsid w:val="00BD116A"/>
    <w:pPr>
      <w:pBdr>
        <w:top w:val="single" w:sz="4" w:space="0" w:color="auto"/>
        <w:left w:val="single" w:sz="4" w:space="0" w:color="auto"/>
      </w:pBdr>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4"/>
      <w:szCs w:val="24"/>
      <w:lang w:val="en-GB" w:eastAsia="en-GB"/>
    </w:rPr>
  </w:style>
  <w:style w:type="paragraph" w:customStyle="1" w:styleId="xl168">
    <w:name w:val="xl168"/>
    <w:basedOn w:val="Normal"/>
    <w:rsid w:val="00BD116A"/>
    <w:pPr>
      <w:pBdr>
        <w:top w:val="single" w:sz="4" w:space="0" w:color="auto"/>
        <w:bottom w:val="single" w:sz="4" w:space="0" w:color="auto"/>
      </w:pBdr>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4"/>
      <w:szCs w:val="24"/>
      <w:lang w:val="en-GB" w:eastAsia="en-GB"/>
    </w:rPr>
  </w:style>
  <w:style w:type="paragraph" w:customStyle="1" w:styleId="xl169">
    <w:name w:val="xl169"/>
    <w:basedOn w:val="Normal"/>
    <w:rsid w:val="00BD116A"/>
    <w:pPr>
      <w:pBdr>
        <w:top w:val="single" w:sz="4" w:space="0" w:color="auto"/>
        <w:bottom w:val="single" w:sz="4" w:space="0" w:color="auto"/>
      </w:pBdr>
      <w:tabs>
        <w:tab w:val="clear" w:pos="3825"/>
        <w:tab w:val="left" w:pos="708"/>
      </w:tabs>
      <w:overflowPunct/>
      <w:autoSpaceDE/>
      <w:autoSpaceDN/>
      <w:adjustRightInd/>
      <w:spacing w:before="100" w:beforeAutospacing="1" w:after="100" w:afterAutospacing="1"/>
      <w:ind w:firstLineChars="500" w:firstLine="500"/>
      <w:jc w:val="left"/>
      <w:textAlignment w:val="auto"/>
    </w:pPr>
    <w:rPr>
      <w:rFonts w:cs="Arial"/>
      <w:color w:val="0070C0"/>
      <w:sz w:val="24"/>
      <w:szCs w:val="24"/>
      <w:lang w:val="en-GB" w:eastAsia="en-GB"/>
    </w:rPr>
  </w:style>
  <w:style w:type="paragraph" w:customStyle="1" w:styleId="xl170">
    <w:name w:val="xl170"/>
    <w:basedOn w:val="Normal"/>
    <w:rsid w:val="00BD116A"/>
    <w:pPr>
      <w:pBdr>
        <w:top w:val="single" w:sz="4" w:space="0" w:color="auto"/>
        <w:left w:val="single" w:sz="4" w:space="0" w:color="auto"/>
        <w:right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cs="Arial"/>
      <w:sz w:val="20"/>
      <w:lang w:val="en-GB" w:eastAsia="en-GB"/>
    </w:rPr>
  </w:style>
  <w:style w:type="paragraph" w:customStyle="1" w:styleId="xl171">
    <w:name w:val="xl171"/>
    <w:basedOn w:val="Normal"/>
    <w:rsid w:val="00BD116A"/>
    <w:pPr>
      <w:pBdr>
        <w:bottom w:val="single" w:sz="4" w:space="0" w:color="auto"/>
      </w:pBdr>
      <w:shd w:val="clear" w:color="auto" w:fill="D9D9D9"/>
      <w:tabs>
        <w:tab w:val="clear" w:pos="3825"/>
        <w:tab w:val="left" w:pos="708"/>
      </w:tabs>
      <w:overflowPunct/>
      <w:autoSpaceDE/>
      <w:autoSpaceDN/>
      <w:adjustRightInd/>
      <w:spacing w:before="100" w:beforeAutospacing="1" w:after="100" w:afterAutospacing="1"/>
      <w:jc w:val="left"/>
      <w:textAlignment w:val="auto"/>
    </w:pPr>
    <w:rPr>
      <w:rFonts w:ascii="Times New Roman" w:hAnsi="Times New Roman"/>
      <w:sz w:val="24"/>
      <w:szCs w:val="24"/>
      <w:lang w:val="en-GB" w:eastAsia="en-GB"/>
    </w:rPr>
  </w:style>
  <w:style w:type="paragraph" w:customStyle="1" w:styleId="xl172">
    <w:name w:val="xl172"/>
    <w:basedOn w:val="Normal"/>
    <w:rsid w:val="00BD116A"/>
    <w:pPr>
      <w:pBdr>
        <w:left w:val="single" w:sz="4" w:space="31" w:color="auto"/>
        <w:bottom w:val="single" w:sz="4" w:space="0" w:color="auto"/>
        <w:right w:val="single" w:sz="4" w:space="0" w:color="auto"/>
      </w:pBdr>
      <w:tabs>
        <w:tab w:val="clear" w:pos="3825"/>
        <w:tab w:val="left" w:pos="708"/>
      </w:tabs>
      <w:overflowPunct/>
      <w:autoSpaceDE/>
      <w:autoSpaceDN/>
      <w:adjustRightInd/>
      <w:spacing w:before="100" w:beforeAutospacing="1" w:after="100" w:afterAutospacing="1"/>
      <w:ind w:firstLineChars="500" w:firstLine="500"/>
      <w:jc w:val="left"/>
      <w:textAlignment w:val="auto"/>
    </w:pPr>
    <w:rPr>
      <w:rFonts w:ascii="Times New Roman" w:hAnsi="Times New Roman"/>
      <w:color w:val="4472C4"/>
      <w:sz w:val="24"/>
      <w:szCs w:val="24"/>
      <w:lang w:val="en-GB" w:eastAsia="en-GB"/>
    </w:rPr>
  </w:style>
  <w:style w:type="paragraph" w:customStyle="1" w:styleId="xl173">
    <w:name w:val="xl173"/>
    <w:basedOn w:val="Normal"/>
    <w:rsid w:val="00BD116A"/>
    <w:pPr>
      <w:shd w:val="clear" w:color="auto" w:fill="FFC000"/>
      <w:tabs>
        <w:tab w:val="clear" w:pos="3825"/>
        <w:tab w:val="left" w:pos="708"/>
      </w:tabs>
      <w:overflowPunct/>
      <w:autoSpaceDE/>
      <w:autoSpaceDN/>
      <w:adjustRightInd/>
      <w:spacing w:before="100" w:beforeAutospacing="1" w:after="100" w:afterAutospacing="1"/>
      <w:jc w:val="left"/>
      <w:textAlignment w:val="auto"/>
    </w:pPr>
    <w:rPr>
      <w:rFonts w:cs="Arial"/>
      <w:b/>
      <w:bCs/>
      <w:sz w:val="24"/>
      <w:szCs w:val="24"/>
      <w:lang w:val="en-GB" w:eastAsia="en-GB"/>
    </w:rPr>
  </w:style>
  <w:style w:type="paragraph" w:customStyle="1" w:styleId="xl174">
    <w:name w:val="xl174"/>
    <w:basedOn w:val="Normal"/>
    <w:rsid w:val="00BD116A"/>
    <w:pPr>
      <w:pBdr>
        <w:top w:val="single" w:sz="4" w:space="0" w:color="auto"/>
        <w:left w:val="single" w:sz="4" w:space="0" w:color="auto"/>
        <w:bottom w:val="single" w:sz="4" w:space="0" w:color="auto"/>
      </w:pBdr>
      <w:shd w:val="clear" w:color="auto" w:fill="FFC000"/>
      <w:tabs>
        <w:tab w:val="clear" w:pos="3825"/>
        <w:tab w:val="left" w:pos="708"/>
      </w:tabs>
      <w:overflowPunct/>
      <w:autoSpaceDE/>
      <w:autoSpaceDN/>
      <w:adjustRightInd/>
      <w:spacing w:before="100" w:beforeAutospacing="1" w:after="100" w:afterAutospacing="1"/>
      <w:jc w:val="left"/>
      <w:textAlignment w:val="auto"/>
    </w:pPr>
    <w:rPr>
      <w:rFonts w:ascii="Calibri" w:hAnsi="Calibri" w:cs="Calibri"/>
      <w:b/>
      <w:bCs/>
      <w:sz w:val="24"/>
      <w:szCs w:val="24"/>
      <w:lang w:val="en-GB" w:eastAsia="en-GB"/>
    </w:rPr>
  </w:style>
  <w:style w:type="paragraph" w:customStyle="1" w:styleId="xl175">
    <w:name w:val="xl175"/>
    <w:basedOn w:val="Normal"/>
    <w:rsid w:val="00BD116A"/>
    <w:pPr>
      <w:pBdr>
        <w:top w:val="single" w:sz="4" w:space="0" w:color="auto"/>
        <w:bottom w:val="single" w:sz="4" w:space="0" w:color="auto"/>
      </w:pBdr>
      <w:shd w:val="clear" w:color="auto" w:fill="FFC000"/>
      <w:tabs>
        <w:tab w:val="clear" w:pos="3825"/>
        <w:tab w:val="left" w:pos="708"/>
      </w:tabs>
      <w:overflowPunct/>
      <w:autoSpaceDE/>
      <w:autoSpaceDN/>
      <w:adjustRightInd/>
      <w:spacing w:before="100" w:beforeAutospacing="1" w:after="100" w:afterAutospacing="1"/>
      <w:jc w:val="left"/>
      <w:textAlignment w:val="auto"/>
    </w:pPr>
    <w:rPr>
      <w:rFonts w:cs="Arial"/>
      <w:b/>
      <w:bCs/>
      <w:sz w:val="24"/>
      <w:szCs w:val="24"/>
      <w:lang w:val="en-GB" w:eastAsia="en-GB"/>
    </w:rPr>
  </w:style>
  <w:style w:type="paragraph" w:customStyle="1" w:styleId="xl176">
    <w:name w:val="xl176"/>
    <w:basedOn w:val="Normal"/>
    <w:rsid w:val="00BD116A"/>
    <w:pPr>
      <w:pBdr>
        <w:top w:val="single" w:sz="4" w:space="0" w:color="auto"/>
        <w:bottom w:val="single" w:sz="4" w:space="0" w:color="auto"/>
      </w:pBdr>
      <w:shd w:val="clear" w:color="auto" w:fill="FFC000"/>
      <w:tabs>
        <w:tab w:val="clear" w:pos="3825"/>
        <w:tab w:val="left" w:pos="708"/>
      </w:tabs>
      <w:overflowPunct/>
      <w:autoSpaceDE/>
      <w:autoSpaceDN/>
      <w:adjustRightInd/>
      <w:spacing w:before="100" w:beforeAutospacing="1" w:after="100" w:afterAutospacing="1"/>
      <w:jc w:val="left"/>
      <w:textAlignment w:val="auto"/>
    </w:pPr>
    <w:rPr>
      <w:rFonts w:cs="Arial"/>
      <w:b/>
      <w:bCs/>
      <w:sz w:val="24"/>
      <w:szCs w:val="24"/>
      <w:lang w:val="en-GB" w:eastAsia="en-GB"/>
    </w:rPr>
  </w:style>
  <w:style w:type="paragraph" w:customStyle="1" w:styleId="xl177">
    <w:name w:val="xl177"/>
    <w:basedOn w:val="Normal"/>
    <w:rsid w:val="00BD116A"/>
    <w:pPr>
      <w:pBdr>
        <w:top w:val="single" w:sz="4" w:space="0" w:color="auto"/>
        <w:bottom w:val="single" w:sz="4" w:space="0" w:color="auto"/>
      </w:pBdr>
      <w:shd w:val="clear" w:color="auto" w:fill="FFC000"/>
      <w:tabs>
        <w:tab w:val="clear" w:pos="3825"/>
        <w:tab w:val="left" w:pos="708"/>
      </w:tabs>
      <w:overflowPunct/>
      <w:autoSpaceDE/>
      <w:autoSpaceDN/>
      <w:adjustRightInd/>
      <w:spacing w:before="100" w:beforeAutospacing="1" w:after="100" w:afterAutospacing="1"/>
      <w:jc w:val="left"/>
      <w:textAlignment w:val="auto"/>
    </w:pPr>
    <w:rPr>
      <w:rFonts w:cs="Arial"/>
      <w:b/>
      <w:bCs/>
      <w:sz w:val="24"/>
      <w:szCs w:val="24"/>
      <w:lang w:val="en-GB" w:eastAsia="en-GB"/>
    </w:rPr>
  </w:style>
  <w:style w:type="paragraph" w:customStyle="1" w:styleId="xl178">
    <w:name w:val="xl178"/>
    <w:basedOn w:val="Normal"/>
    <w:rsid w:val="00BD116A"/>
    <w:pPr>
      <w:pBdr>
        <w:top w:val="single" w:sz="4" w:space="0" w:color="auto"/>
        <w:bottom w:val="single" w:sz="4" w:space="0" w:color="auto"/>
        <w:right w:val="single" w:sz="4" w:space="0" w:color="auto"/>
      </w:pBdr>
      <w:tabs>
        <w:tab w:val="clear" w:pos="3825"/>
        <w:tab w:val="left" w:pos="708"/>
      </w:tabs>
      <w:overflowPunct/>
      <w:autoSpaceDE/>
      <w:autoSpaceDN/>
      <w:adjustRightInd/>
      <w:spacing w:before="100" w:beforeAutospacing="1" w:after="100" w:afterAutospacing="1"/>
      <w:textAlignment w:val="auto"/>
    </w:pPr>
    <w:rPr>
      <w:rFonts w:ascii="Symbol" w:hAnsi="Symbol"/>
      <w:color w:val="4472C4"/>
      <w:sz w:val="24"/>
      <w:szCs w:val="24"/>
      <w:lang w:val="en-GB" w:eastAsia="en-GB"/>
    </w:rPr>
  </w:style>
  <w:style w:type="paragraph" w:customStyle="1" w:styleId="xl179">
    <w:name w:val="xl179"/>
    <w:basedOn w:val="Normal"/>
    <w:rsid w:val="00BD116A"/>
    <w:pPr>
      <w:pBdr>
        <w:top w:val="single" w:sz="4" w:space="0" w:color="auto"/>
        <w:bottom w:val="single" w:sz="4" w:space="0" w:color="auto"/>
        <w:right w:val="single" w:sz="4" w:space="0" w:color="auto"/>
      </w:pBdr>
      <w:tabs>
        <w:tab w:val="clear" w:pos="3825"/>
        <w:tab w:val="left" w:pos="708"/>
      </w:tabs>
      <w:overflowPunct/>
      <w:autoSpaceDE/>
      <w:autoSpaceDN/>
      <w:adjustRightInd/>
      <w:spacing w:before="100" w:beforeAutospacing="1" w:after="100" w:afterAutospacing="1"/>
      <w:textAlignment w:val="auto"/>
    </w:pPr>
    <w:rPr>
      <w:rFonts w:cs="Arial"/>
      <w:color w:val="4472C4"/>
      <w:sz w:val="24"/>
      <w:szCs w:val="24"/>
      <w:lang w:val="en-GB" w:eastAsia="en-GB"/>
    </w:rPr>
  </w:style>
  <w:style w:type="character" w:customStyle="1" w:styleId="sub">
    <w:name w:val="sub"/>
    <w:basedOn w:val="DefaultParagraphFont"/>
    <w:rsid w:val="00BD116A"/>
  </w:style>
  <w:style w:type="table" w:customStyle="1" w:styleId="Tableausimple32">
    <w:name w:val="Tableau simple 32"/>
    <w:basedOn w:val="TableNormal"/>
    <w:uiPriority w:val="43"/>
    <w:rsid w:val="00BD116A"/>
    <w:rPr>
      <w:rFonts w:asciiTheme="minorHAnsi" w:eastAsiaTheme="minorHAnsi" w:hAnsiTheme="minorHAnsi" w:cstheme="minorBidi"/>
      <w:sz w:val="22"/>
      <w:szCs w:val="22"/>
      <w:lang w:val="el-GR"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3">
    <w:name w:val="Plain Table 3"/>
    <w:basedOn w:val="TableNormal"/>
    <w:uiPriority w:val="43"/>
    <w:rsid w:val="00E4098A"/>
    <w:rPr>
      <w:rFonts w:asciiTheme="minorHAnsi" w:eastAsiaTheme="minorHAnsi" w:hAnsiTheme="minorHAnsi" w:cstheme="minorBidi"/>
      <w:sz w:val="22"/>
      <w:szCs w:val="22"/>
      <w:lang w:val="el-GR"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3">
    <w:name w:val="Unresolved Mention3"/>
    <w:basedOn w:val="DefaultParagraphFont"/>
    <w:uiPriority w:val="99"/>
    <w:semiHidden/>
    <w:unhideWhenUsed/>
    <w:rsid w:val="00E40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38">
      <w:bodyDiv w:val="1"/>
      <w:marLeft w:val="0"/>
      <w:marRight w:val="0"/>
      <w:marTop w:val="0"/>
      <w:marBottom w:val="0"/>
      <w:divBdr>
        <w:top w:val="none" w:sz="0" w:space="0" w:color="auto"/>
        <w:left w:val="none" w:sz="0" w:space="0" w:color="auto"/>
        <w:bottom w:val="none" w:sz="0" w:space="0" w:color="auto"/>
        <w:right w:val="none" w:sz="0" w:space="0" w:color="auto"/>
      </w:divBdr>
    </w:div>
    <w:div w:id="1512804">
      <w:bodyDiv w:val="1"/>
      <w:marLeft w:val="0"/>
      <w:marRight w:val="0"/>
      <w:marTop w:val="0"/>
      <w:marBottom w:val="0"/>
      <w:divBdr>
        <w:top w:val="none" w:sz="0" w:space="0" w:color="auto"/>
        <w:left w:val="none" w:sz="0" w:space="0" w:color="auto"/>
        <w:bottom w:val="none" w:sz="0" w:space="0" w:color="auto"/>
        <w:right w:val="none" w:sz="0" w:space="0" w:color="auto"/>
      </w:divBdr>
    </w:div>
    <w:div w:id="21368013">
      <w:bodyDiv w:val="1"/>
      <w:marLeft w:val="0"/>
      <w:marRight w:val="0"/>
      <w:marTop w:val="0"/>
      <w:marBottom w:val="0"/>
      <w:divBdr>
        <w:top w:val="none" w:sz="0" w:space="0" w:color="auto"/>
        <w:left w:val="none" w:sz="0" w:space="0" w:color="auto"/>
        <w:bottom w:val="none" w:sz="0" w:space="0" w:color="auto"/>
        <w:right w:val="none" w:sz="0" w:space="0" w:color="auto"/>
      </w:divBdr>
      <w:divsChild>
        <w:div w:id="1837262175">
          <w:marLeft w:val="547"/>
          <w:marRight w:val="0"/>
          <w:marTop w:val="0"/>
          <w:marBottom w:val="0"/>
          <w:divBdr>
            <w:top w:val="none" w:sz="0" w:space="0" w:color="auto"/>
            <w:left w:val="none" w:sz="0" w:space="0" w:color="auto"/>
            <w:bottom w:val="none" w:sz="0" w:space="0" w:color="auto"/>
            <w:right w:val="none" w:sz="0" w:space="0" w:color="auto"/>
          </w:divBdr>
        </w:div>
      </w:divsChild>
    </w:div>
    <w:div w:id="27144676">
      <w:bodyDiv w:val="1"/>
      <w:marLeft w:val="0"/>
      <w:marRight w:val="0"/>
      <w:marTop w:val="0"/>
      <w:marBottom w:val="0"/>
      <w:divBdr>
        <w:top w:val="none" w:sz="0" w:space="0" w:color="auto"/>
        <w:left w:val="none" w:sz="0" w:space="0" w:color="auto"/>
        <w:bottom w:val="none" w:sz="0" w:space="0" w:color="auto"/>
        <w:right w:val="none" w:sz="0" w:space="0" w:color="auto"/>
      </w:divBdr>
    </w:div>
    <w:div w:id="29696072">
      <w:bodyDiv w:val="1"/>
      <w:marLeft w:val="0"/>
      <w:marRight w:val="0"/>
      <w:marTop w:val="0"/>
      <w:marBottom w:val="0"/>
      <w:divBdr>
        <w:top w:val="none" w:sz="0" w:space="0" w:color="auto"/>
        <w:left w:val="none" w:sz="0" w:space="0" w:color="auto"/>
        <w:bottom w:val="none" w:sz="0" w:space="0" w:color="auto"/>
        <w:right w:val="none" w:sz="0" w:space="0" w:color="auto"/>
      </w:divBdr>
      <w:divsChild>
        <w:div w:id="1072776026">
          <w:marLeft w:val="547"/>
          <w:marRight w:val="0"/>
          <w:marTop w:val="0"/>
          <w:marBottom w:val="0"/>
          <w:divBdr>
            <w:top w:val="none" w:sz="0" w:space="0" w:color="auto"/>
            <w:left w:val="none" w:sz="0" w:space="0" w:color="auto"/>
            <w:bottom w:val="none" w:sz="0" w:space="0" w:color="auto"/>
            <w:right w:val="none" w:sz="0" w:space="0" w:color="auto"/>
          </w:divBdr>
        </w:div>
      </w:divsChild>
    </w:div>
    <w:div w:id="43993112">
      <w:bodyDiv w:val="1"/>
      <w:marLeft w:val="0"/>
      <w:marRight w:val="0"/>
      <w:marTop w:val="0"/>
      <w:marBottom w:val="0"/>
      <w:divBdr>
        <w:top w:val="none" w:sz="0" w:space="0" w:color="auto"/>
        <w:left w:val="none" w:sz="0" w:space="0" w:color="auto"/>
        <w:bottom w:val="none" w:sz="0" w:space="0" w:color="auto"/>
        <w:right w:val="none" w:sz="0" w:space="0" w:color="auto"/>
      </w:divBdr>
    </w:div>
    <w:div w:id="55789037">
      <w:bodyDiv w:val="1"/>
      <w:marLeft w:val="0"/>
      <w:marRight w:val="0"/>
      <w:marTop w:val="0"/>
      <w:marBottom w:val="0"/>
      <w:divBdr>
        <w:top w:val="none" w:sz="0" w:space="0" w:color="auto"/>
        <w:left w:val="none" w:sz="0" w:space="0" w:color="auto"/>
        <w:bottom w:val="none" w:sz="0" w:space="0" w:color="auto"/>
        <w:right w:val="none" w:sz="0" w:space="0" w:color="auto"/>
      </w:divBdr>
    </w:div>
    <w:div w:id="95253991">
      <w:bodyDiv w:val="1"/>
      <w:marLeft w:val="0"/>
      <w:marRight w:val="0"/>
      <w:marTop w:val="0"/>
      <w:marBottom w:val="0"/>
      <w:divBdr>
        <w:top w:val="none" w:sz="0" w:space="0" w:color="auto"/>
        <w:left w:val="none" w:sz="0" w:space="0" w:color="auto"/>
        <w:bottom w:val="none" w:sz="0" w:space="0" w:color="auto"/>
        <w:right w:val="none" w:sz="0" w:space="0" w:color="auto"/>
      </w:divBdr>
    </w:div>
    <w:div w:id="100541434">
      <w:bodyDiv w:val="1"/>
      <w:marLeft w:val="0"/>
      <w:marRight w:val="0"/>
      <w:marTop w:val="0"/>
      <w:marBottom w:val="0"/>
      <w:divBdr>
        <w:top w:val="none" w:sz="0" w:space="0" w:color="auto"/>
        <w:left w:val="none" w:sz="0" w:space="0" w:color="auto"/>
        <w:bottom w:val="none" w:sz="0" w:space="0" w:color="auto"/>
        <w:right w:val="none" w:sz="0" w:space="0" w:color="auto"/>
      </w:divBdr>
    </w:div>
    <w:div w:id="103186000">
      <w:bodyDiv w:val="1"/>
      <w:marLeft w:val="0"/>
      <w:marRight w:val="0"/>
      <w:marTop w:val="0"/>
      <w:marBottom w:val="0"/>
      <w:divBdr>
        <w:top w:val="none" w:sz="0" w:space="0" w:color="auto"/>
        <w:left w:val="none" w:sz="0" w:space="0" w:color="auto"/>
        <w:bottom w:val="none" w:sz="0" w:space="0" w:color="auto"/>
        <w:right w:val="none" w:sz="0" w:space="0" w:color="auto"/>
      </w:divBdr>
    </w:div>
    <w:div w:id="110706266">
      <w:bodyDiv w:val="1"/>
      <w:marLeft w:val="0"/>
      <w:marRight w:val="0"/>
      <w:marTop w:val="0"/>
      <w:marBottom w:val="0"/>
      <w:divBdr>
        <w:top w:val="none" w:sz="0" w:space="0" w:color="auto"/>
        <w:left w:val="none" w:sz="0" w:space="0" w:color="auto"/>
        <w:bottom w:val="none" w:sz="0" w:space="0" w:color="auto"/>
        <w:right w:val="none" w:sz="0" w:space="0" w:color="auto"/>
      </w:divBdr>
    </w:div>
    <w:div w:id="123545895">
      <w:bodyDiv w:val="1"/>
      <w:marLeft w:val="0"/>
      <w:marRight w:val="0"/>
      <w:marTop w:val="0"/>
      <w:marBottom w:val="0"/>
      <w:divBdr>
        <w:top w:val="none" w:sz="0" w:space="0" w:color="auto"/>
        <w:left w:val="none" w:sz="0" w:space="0" w:color="auto"/>
        <w:bottom w:val="none" w:sz="0" w:space="0" w:color="auto"/>
        <w:right w:val="none" w:sz="0" w:space="0" w:color="auto"/>
      </w:divBdr>
    </w:div>
    <w:div w:id="130680312">
      <w:bodyDiv w:val="1"/>
      <w:marLeft w:val="0"/>
      <w:marRight w:val="0"/>
      <w:marTop w:val="0"/>
      <w:marBottom w:val="0"/>
      <w:divBdr>
        <w:top w:val="none" w:sz="0" w:space="0" w:color="auto"/>
        <w:left w:val="none" w:sz="0" w:space="0" w:color="auto"/>
        <w:bottom w:val="none" w:sz="0" w:space="0" w:color="auto"/>
        <w:right w:val="none" w:sz="0" w:space="0" w:color="auto"/>
      </w:divBdr>
    </w:div>
    <w:div w:id="131141881">
      <w:bodyDiv w:val="1"/>
      <w:marLeft w:val="0"/>
      <w:marRight w:val="0"/>
      <w:marTop w:val="0"/>
      <w:marBottom w:val="0"/>
      <w:divBdr>
        <w:top w:val="none" w:sz="0" w:space="0" w:color="auto"/>
        <w:left w:val="none" w:sz="0" w:space="0" w:color="auto"/>
        <w:bottom w:val="none" w:sz="0" w:space="0" w:color="auto"/>
        <w:right w:val="none" w:sz="0" w:space="0" w:color="auto"/>
      </w:divBdr>
    </w:div>
    <w:div w:id="157770922">
      <w:bodyDiv w:val="1"/>
      <w:marLeft w:val="0"/>
      <w:marRight w:val="0"/>
      <w:marTop w:val="0"/>
      <w:marBottom w:val="0"/>
      <w:divBdr>
        <w:top w:val="none" w:sz="0" w:space="0" w:color="auto"/>
        <w:left w:val="none" w:sz="0" w:space="0" w:color="auto"/>
        <w:bottom w:val="none" w:sz="0" w:space="0" w:color="auto"/>
        <w:right w:val="none" w:sz="0" w:space="0" w:color="auto"/>
      </w:divBdr>
    </w:div>
    <w:div w:id="219905970">
      <w:bodyDiv w:val="1"/>
      <w:marLeft w:val="0"/>
      <w:marRight w:val="0"/>
      <w:marTop w:val="0"/>
      <w:marBottom w:val="0"/>
      <w:divBdr>
        <w:top w:val="none" w:sz="0" w:space="0" w:color="auto"/>
        <w:left w:val="none" w:sz="0" w:space="0" w:color="auto"/>
        <w:bottom w:val="none" w:sz="0" w:space="0" w:color="auto"/>
        <w:right w:val="none" w:sz="0" w:space="0" w:color="auto"/>
      </w:divBdr>
    </w:div>
    <w:div w:id="221061613">
      <w:bodyDiv w:val="1"/>
      <w:marLeft w:val="0"/>
      <w:marRight w:val="0"/>
      <w:marTop w:val="0"/>
      <w:marBottom w:val="0"/>
      <w:divBdr>
        <w:top w:val="none" w:sz="0" w:space="0" w:color="auto"/>
        <w:left w:val="none" w:sz="0" w:space="0" w:color="auto"/>
        <w:bottom w:val="none" w:sz="0" w:space="0" w:color="auto"/>
        <w:right w:val="none" w:sz="0" w:space="0" w:color="auto"/>
      </w:divBdr>
    </w:div>
    <w:div w:id="284772498">
      <w:bodyDiv w:val="1"/>
      <w:marLeft w:val="0"/>
      <w:marRight w:val="0"/>
      <w:marTop w:val="0"/>
      <w:marBottom w:val="0"/>
      <w:divBdr>
        <w:top w:val="none" w:sz="0" w:space="0" w:color="auto"/>
        <w:left w:val="none" w:sz="0" w:space="0" w:color="auto"/>
        <w:bottom w:val="none" w:sz="0" w:space="0" w:color="auto"/>
        <w:right w:val="none" w:sz="0" w:space="0" w:color="auto"/>
      </w:divBdr>
    </w:div>
    <w:div w:id="295188228">
      <w:bodyDiv w:val="1"/>
      <w:marLeft w:val="0"/>
      <w:marRight w:val="0"/>
      <w:marTop w:val="0"/>
      <w:marBottom w:val="0"/>
      <w:divBdr>
        <w:top w:val="none" w:sz="0" w:space="0" w:color="auto"/>
        <w:left w:val="none" w:sz="0" w:space="0" w:color="auto"/>
        <w:bottom w:val="none" w:sz="0" w:space="0" w:color="auto"/>
        <w:right w:val="none" w:sz="0" w:space="0" w:color="auto"/>
      </w:divBdr>
    </w:div>
    <w:div w:id="298918789">
      <w:bodyDiv w:val="1"/>
      <w:marLeft w:val="0"/>
      <w:marRight w:val="0"/>
      <w:marTop w:val="0"/>
      <w:marBottom w:val="0"/>
      <w:divBdr>
        <w:top w:val="none" w:sz="0" w:space="0" w:color="auto"/>
        <w:left w:val="none" w:sz="0" w:space="0" w:color="auto"/>
        <w:bottom w:val="none" w:sz="0" w:space="0" w:color="auto"/>
        <w:right w:val="none" w:sz="0" w:space="0" w:color="auto"/>
      </w:divBdr>
    </w:div>
    <w:div w:id="300620574">
      <w:bodyDiv w:val="1"/>
      <w:marLeft w:val="0"/>
      <w:marRight w:val="0"/>
      <w:marTop w:val="0"/>
      <w:marBottom w:val="0"/>
      <w:divBdr>
        <w:top w:val="none" w:sz="0" w:space="0" w:color="auto"/>
        <w:left w:val="none" w:sz="0" w:space="0" w:color="auto"/>
        <w:bottom w:val="none" w:sz="0" w:space="0" w:color="auto"/>
        <w:right w:val="none" w:sz="0" w:space="0" w:color="auto"/>
      </w:divBdr>
    </w:div>
    <w:div w:id="328100020">
      <w:bodyDiv w:val="1"/>
      <w:marLeft w:val="0"/>
      <w:marRight w:val="0"/>
      <w:marTop w:val="0"/>
      <w:marBottom w:val="0"/>
      <w:divBdr>
        <w:top w:val="none" w:sz="0" w:space="0" w:color="auto"/>
        <w:left w:val="none" w:sz="0" w:space="0" w:color="auto"/>
        <w:bottom w:val="none" w:sz="0" w:space="0" w:color="auto"/>
        <w:right w:val="none" w:sz="0" w:space="0" w:color="auto"/>
      </w:divBdr>
    </w:div>
    <w:div w:id="334111549">
      <w:bodyDiv w:val="1"/>
      <w:marLeft w:val="0"/>
      <w:marRight w:val="0"/>
      <w:marTop w:val="0"/>
      <w:marBottom w:val="0"/>
      <w:divBdr>
        <w:top w:val="none" w:sz="0" w:space="0" w:color="auto"/>
        <w:left w:val="none" w:sz="0" w:space="0" w:color="auto"/>
        <w:bottom w:val="none" w:sz="0" w:space="0" w:color="auto"/>
        <w:right w:val="none" w:sz="0" w:space="0" w:color="auto"/>
      </w:divBdr>
    </w:div>
    <w:div w:id="348602546">
      <w:bodyDiv w:val="1"/>
      <w:marLeft w:val="0"/>
      <w:marRight w:val="0"/>
      <w:marTop w:val="0"/>
      <w:marBottom w:val="0"/>
      <w:divBdr>
        <w:top w:val="none" w:sz="0" w:space="0" w:color="auto"/>
        <w:left w:val="none" w:sz="0" w:space="0" w:color="auto"/>
        <w:bottom w:val="none" w:sz="0" w:space="0" w:color="auto"/>
        <w:right w:val="none" w:sz="0" w:space="0" w:color="auto"/>
      </w:divBdr>
    </w:div>
    <w:div w:id="363870629">
      <w:bodyDiv w:val="1"/>
      <w:marLeft w:val="0"/>
      <w:marRight w:val="0"/>
      <w:marTop w:val="0"/>
      <w:marBottom w:val="0"/>
      <w:divBdr>
        <w:top w:val="none" w:sz="0" w:space="0" w:color="auto"/>
        <w:left w:val="none" w:sz="0" w:space="0" w:color="auto"/>
        <w:bottom w:val="none" w:sz="0" w:space="0" w:color="auto"/>
        <w:right w:val="none" w:sz="0" w:space="0" w:color="auto"/>
      </w:divBdr>
    </w:div>
    <w:div w:id="368146764">
      <w:bodyDiv w:val="1"/>
      <w:marLeft w:val="0"/>
      <w:marRight w:val="0"/>
      <w:marTop w:val="0"/>
      <w:marBottom w:val="0"/>
      <w:divBdr>
        <w:top w:val="none" w:sz="0" w:space="0" w:color="auto"/>
        <w:left w:val="none" w:sz="0" w:space="0" w:color="auto"/>
        <w:bottom w:val="none" w:sz="0" w:space="0" w:color="auto"/>
        <w:right w:val="none" w:sz="0" w:space="0" w:color="auto"/>
      </w:divBdr>
    </w:div>
    <w:div w:id="399599043">
      <w:bodyDiv w:val="1"/>
      <w:marLeft w:val="0"/>
      <w:marRight w:val="0"/>
      <w:marTop w:val="0"/>
      <w:marBottom w:val="0"/>
      <w:divBdr>
        <w:top w:val="none" w:sz="0" w:space="0" w:color="auto"/>
        <w:left w:val="none" w:sz="0" w:space="0" w:color="auto"/>
        <w:bottom w:val="none" w:sz="0" w:space="0" w:color="auto"/>
        <w:right w:val="none" w:sz="0" w:space="0" w:color="auto"/>
      </w:divBdr>
    </w:div>
    <w:div w:id="401028839">
      <w:bodyDiv w:val="1"/>
      <w:marLeft w:val="0"/>
      <w:marRight w:val="0"/>
      <w:marTop w:val="0"/>
      <w:marBottom w:val="0"/>
      <w:divBdr>
        <w:top w:val="none" w:sz="0" w:space="0" w:color="auto"/>
        <w:left w:val="none" w:sz="0" w:space="0" w:color="auto"/>
        <w:bottom w:val="none" w:sz="0" w:space="0" w:color="auto"/>
        <w:right w:val="none" w:sz="0" w:space="0" w:color="auto"/>
      </w:divBdr>
      <w:divsChild>
        <w:div w:id="418982855">
          <w:marLeft w:val="547"/>
          <w:marRight w:val="0"/>
          <w:marTop w:val="0"/>
          <w:marBottom w:val="0"/>
          <w:divBdr>
            <w:top w:val="none" w:sz="0" w:space="0" w:color="auto"/>
            <w:left w:val="none" w:sz="0" w:space="0" w:color="auto"/>
            <w:bottom w:val="none" w:sz="0" w:space="0" w:color="auto"/>
            <w:right w:val="none" w:sz="0" w:space="0" w:color="auto"/>
          </w:divBdr>
        </w:div>
      </w:divsChild>
    </w:div>
    <w:div w:id="416286511">
      <w:bodyDiv w:val="1"/>
      <w:marLeft w:val="0"/>
      <w:marRight w:val="0"/>
      <w:marTop w:val="0"/>
      <w:marBottom w:val="0"/>
      <w:divBdr>
        <w:top w:val="none" w:sz="0" w:space="0" w:color="auto"/>
        <w:left w:val="none" w:sz="0" w:space="0" w:color="auto"/>
        <w:bottom w:val="none" w:sz="0" w:space="0" w:color="auto"/>
        <w:right w:val="none" w:sz="0" w:space="0" w:color="auto"/>
      </w:divBdr>
    </w:div>
    <w:div w:id="423066678">
      <w:bodyDiv w:val="1"/>
      <w:marLeft w:val="0"/>
      <w:marRight w:val="0"/>
      <w:marTop w:val="0"/>
      <w:marBottom w:val="0"/>
      <w:divBdr>
        <w:top w:val="none" w:sz="0" w:space="0" w:color="auto"/>
        <w:left w:val="none" w:sz="0" w:space="0" w:color="auto"/>
        <w:bottom w:val="none" w:sz="0" w:space="0" w:color="auto"/>
        <w:right w:val="none" w:sz="0" w:space="0" w:color="auto"/>
      </w:divBdr>
    </w:div>
    <w:div w:id="425269936">
      <w:bodyDiv w:val="1"/>
      <w:marLeft w:val="0"/>
      <w:marRight w:val="0"/>
      <w:marTop w:val="0"/>
      <w:marBottom w:val="0"/>
      <w:divBdr>
        <w:top w:val="none" w:sz="0" w:space="0" w:color="auto"/>
        <w:left w:val="none" w:sz="0" w:space="0" w:color="auto"/>
        <w:bottom w:val="none" w:sz="0" w:space="0" w:color="auto"/>
        <w:right w:val="none" w:sz="0" w:space="0" w:color="auto"/>
      </w:divBdr>
    </w:div>
    <w:div w:id="447816975">
      <w:bodyDiv w:val="1"/>
      <w:marLeft w:val="0"/>
      <w:marRight w:val="0"/>
      <w:marTop w:val="0"/>
      <w:marBottom w:val="0"/>
      <w:divBdr>
        <w:top w:val="none" w:sz="0" w:space="0" w:color="auto"/>
        <w:left w:val="none" w:sz="0" w:space="0" w:color="auto"/>
        <w:bottom w:val="none" w:sz="0" w:space="0" w:color="auto"/>
        <w:right w:val="none" w:sz="0" w:space="0" w:color="auto"/>
      </w:divBdr>
    </w:div>
    <w:div w:id="460804041">
      <w:bodyDiv w:val="1"/>
      <w:marLeft w:val="0"/>
      <w:marRight w:val="0"/>
      <w:marTop w:val="0"/>
      <w:marBottom w:val="0"/>
      <w:divBdr>
        <w:top w:val="none" w:sz="0" w:space="0" w:color="auto"/>
        <w:left w:val="none" w:sz="0" w:space="0" w:color="auto"/>
        <w:bottom w:val="none" w:sz="0" w:space="0" w:color="auto"/>
        <w:right w:val="none" w:sz="0" w:space="0" w:color="auto"/>
      </w:divBdr>
      <w:divsChild>
        <w:div w:id="1181777759">
          <w:marLeft w:val="547"/>
          <w:marRight w:val="0"/>
          <w:marTop w:val="0"/>
          <w:marBottom w:val="0"/>
          <w:divBdr>
            <w:top w:val="none" w:sz="0" w:space="0" w:color="auto"/>
            <w:left w:val="none" w:sz="0" w:space="0" w:color="auto"/>
            <w:bottom w:val="none" w:sz="0" w:space="0" w:color="auto"/>
            <w:right w:val="none" w:sz="0" w:space="0" w:color="auto"/>
          </w:divBdr>
        </w:div>
      </w:divsChild>
    </w:div>
    <w:div w:id="489373926">
      <w:bodyDiv w:val="1"/>
      <w:marLeft w:val="0"/>
      <w:marRight w:val="0"/>
      <w:marTop w:val="0"/>
      <w:marBottom w:val="0"/>
      <w:divBdr>
        <w:top w:val="none" w:sz="0" w:space="0" w:color="auto"/>
        <w:left w:val="none" w:sz="0" w:space="0" w:color="auto"/>
        <w:bottom w:val="none" w:sz="0" w:space="0" w:color="auto"/>
        <w:right w:val="none" w:sz="0" w:space="0" w:color="auto"/>
      </w:divBdr>
    </w:div>
    <w:div w:id="538665155">
      <w:bodyDiv w:val="1"/>
      <w:marLeft w:val="0"/>
      <w:marRight w:val="0"/>
      <w:marTop w:val="0"/>
      <w:marBottom w:val="0"/>
      <w:divBdr>
        <w:top w:val="none" w:sz="0" w:space="0" w:color="auto"/>
        <w:left w:val="none" w:sz="0" w:space="0" w:color="auto"/>
        <w:bottom w:val="none" w:sz="0" w:space="0" w:color="auto"/>
        <w:right w:val="none" w:sz="0" w:space="0" w:color="auto"/>
      </w:divBdr>
    </w:div>
    <w:div w:id="567765983">
      <w:bodyDiv w:val="1"/>
      <w:marLeft w:val="0"/>
      <w:marRight w:val="0"/>
      <w:marTop w:val="0"/>
      <w:marBottom w:val="0"/>
      <w:divBdr>
        <w:top w:val="none" w:sz="0" w:space="0" w:color="auto"/>
        <w:left w:val="none" w:sz="0" w:space="0" w:color="auto"/>
        <w:bottom w:val="none" w:sz="0" w:space="0" w:color="auto"/>
        <w:right w:val="none" w:sz="0" w:space="0" w:color="auto"/>
      </w:divBdr>
    </w:div>
    <w:div w:id="602539685">
      <w:bodyDiv w:val="1"/>
      <w:marLeft w:val="0"/>
      <w:marRight w:val="0"/>
      <w:marTop w:val="0"/>
      <w:marBottom w:val="0"/>
      <w:divBdr>
        <w:top w:val="none" w:sz="0" w:space="0" w:color="auto"/>
        <w:left w:val="none" w:sz="0" w:space="0" w:color="auto"/>
        <w:bottom w:val="none" w:sz="0" w:space="0" w:color="auto"/>
        <w:right w:val="none" w:sz="0" w:space="0" w:color="auto"/>
      </w:divBdr>
    </w:div>
    <w:div w:id="637220528">
      <w:bodyDiv w:val="1"/>
      <w:marLeft w:val="0"/>
      <w:marRight w:val="0"/>
      <w:marTop w:val="0"/>
      <w:marBottom w:val="0"/>
      <w:divBdr>
        <w:top w:val="none" w:sz="0" w:space="0" w:color="auto"/>
        <w:left w:val="none" w:sz="0" w:space="0" w:color="auto"/>
        <w:bottom w:val="none" w:sz="0" w:space="0" w:color="auto"/>
        <w:right w:val="none" w:sz="0" w:space="0" w:color="auto"/>
      </w:divBdr>
    </w:div>
    <w:div w:id="646128128">
      <w:bodyDiv w:val="1"/>
      <w:marLeft w:val="0"/>
      <w:marRight w:val="0"/>
      <w:marTop w:val="0"/>
      <w:marBottom w:val="0"/>
      <w:divBdr>
        <w:top w:val="none" w:sz="0" w:space="0" w:color="auto"/>
        <w:left w:val="none" w:sz="0" w:space="0" w:color="auto"/>
        <w:bottom w:val="none" w:sz="0" w:space="0" w:color="auto"/>
        <w:right w:val="none" w:sz="0" w:space="0" w:color="auto"/>
      </w:divBdr>
    </w:div>
    <w:div w:id="669531060">
      <w:bodyDiv w:val="1"/>
      <w:marLeft w:val="0"/>
      <w:marRight w:val="0"/>
      <w:marTop w:val="0"/>
      <w:marBottom w:val="0"/>
      <w:divBdr>
        <w:top w:val="none" w:sz="0" w:space="0" w:color="auto"/>
        <w:left w:val="none" w:sz="0" w:space="0" w:color="auto"/>
        <w:bottom w:val="none" w:sz="0" w:space="0" w:color="auto"/>
        <w:right w:val="none" w:sz="0" w:space="0" w:color="auto"/>
      </w:divBdr>
    </w:div>
    <w:div w:id="729154734">
      <w:bodyDiv w:val="1"/>
      <w:marLeft w:val="0"/>
      <w:marRight w:val="0"/>
      <w:marTop w:val="0"/>
      <w:marBottom w:val="0"/>
      <w:divBdr>
        <w:top w:val="none" w:sz="0" w:space="0" w:color="auto"/>
        <w:left w:val="none" w:sz="0" w:space="0" w:color="auto"/>
        <w:bottom w:val="none" w:sz="0" w:space="0" w:color="auto"/>
        <w:right w:val="none" w:sz="0" w:space="0" w:color="auto"/>
      </w:divBdr>
    </w:div>
    <w:div w:id="749809276">
      <w:bodyDiv w:val="1"/>
      <w:marLeft w:val="0"/>
      <w:marRight w:val="0"/>
      <w:marTop w:val="0"/>
      <w:marBottom w:val="0"/>
      <w:divBdr>
        <w:top w:val="none" w:sz="0" w:space="0" w:color="auto"/>
        <w:left w:val="none" w:sz="0" w:space="0" w:color="auto"/>
        <w:bottom w:val="none" w:sz="0" w:space="0" w:color="auto"/>
        <w:right w:val="none" w:sz="0" w:space="0" w:color="auto"/>
      </w:divBdr>
      <w:divsChild>
        <w:div w:id="362676916">
          <w:marLeft w:val="547"/>
          <w:marRight w:val="0"/>
          <w:marTop w:val="0"/>
          <w:marBottom w:val="0"/>
          <w:divBdr>
            <w:top w:val="none" w:sz="0" w:space="0" w:color="auto"/>
            <w:left w:val="none" w:sz="0" w:space="0" w:color="auto"/>
            <w:bottom w:val="none" w:sz="0" w:space="0" w:color="auto"/>
            <w:right w:val="none" w:sz="0" w:space="0" w:color="auto"/>
          </w:divBdr>
        </w:div>
      </w:divsChild>
    </w:div>
    <w:div w:id="771321374">
      <w:bodyDiv w:val="1"/>
      <w:marLeft w:val="0"/>
      <w:marRight w:val="0"/>
      <w:marTop w:val="0"/>
      <w:marBottom w:val="0"/>
      <w:divBdr>
        <w:top w:val="none" w:sz="0" w:space="0" w:color="auto"/>
        <w:left w:val="none" w:sz="0" w:space="0" w:color="auto"/>
        <w:bottom w:val="none" w:sz="0" w:space="0" w:color="auto"/>
        <w:right w:val="none" w:sz="0" w:space="0" w:color="auto"/>
      </w:divBdr>
    </w:div>
    <w:div w:id="774448565">
      <w:bodyDiv w:val="1"/>
      <w:marLeft w:val="0"/>
      <w:marRight w:val="0"/>
      <w:marTop w:val="0"/>
      <w:marBottom w:val="0"/>
      <w:divBdr>
        <w:top w:val="none" w:sz="0" w:space="0" w:color="auto"/>
        <w:left w:val="none" w:sz="0" w:space="0" w:color="auto"/>
        <w:bottom w:val="none" w:sz="0" w:space="0" w:color="auto"/>
        <w:right w:val="none" w:sz="0" w:space="0" w:color="auto"/>
      </w:divBdr>
      <w:divsChild>
        <w:div w:id="1707414434">
          <w:marLeft w:val="547"/>
          <w:marRight w:val="0"/>
          <w:marTop w:val="0"/>
          <w:marBottom w:val="0"/>
          <w:divBdr>
            <w:top w:val="none" w:sz="0" w:space="0" w:color="auto"/>
            <w:left w:val="none" w:sz="0" w:space="0" w:color="auto"/>
            <w:bottom w:val="none" w:sz="0" w:space="0" w:color="auto"/>
            <w:right w:val="none" w:sz="0" w:space="0" w:color="auto"/>
          </w:divBdr>
        </w:div>
      </w:divsChild>
    </w:div>
    <w:div w:id="808085280">
      <w:bodyDiv w:val="1"/>
      <w:marLeft w:val="0"/>
      <w:marRight w:val="0"/>
      <w:marTop w:val="0"/>
      <w:marBottom w:val="0"/>
      <w:divBdr>
        <w:top w:val="none" w:sz="0" w:space="0" w:color="auto"/>
        <w:left w:val="none" w:sz="0" w:space="0" w:color="auto"/>
        <w:bottom w:val="none" w:sz="0" w:space="0" w:color="auto"/>
        <w:right w:val="none" w:sz="0" w:space="0" w:color="auto"/>
      </w:divBdr>
    </w:div>
    <w:div w:id="809514000">
      <w:bodyDiv w:val="1"/>
      <w:marLeft w:val="0"/>
      <w:marRight w:val="0"/>
      <w:marTop w:val="0"/>
      <w:marBottom w:val="0"/>
      <w:divBdr>
        <w:top w:val="none" w:sz="0" w:space="0" w:color="auto"/>
        <w:left w:val="none" w:sz="0" w:space="0" w:color="auto"/>
        <w:bottom w:val="none" w:sz="0" w:space="0" w:color="auto"/>
        <w:right w:val="none" w:sz="0" w:space="0" w:color="auto"/>
      </w:divBdr>
      <w:divsChild>
        <w:div w:id="167259067">
          <w:marLeft w:val="547"/>
          <w:marRight w:val="0"/>
          <w:marTop w:val="0"/>
          <w:marBottom w:val="0"/>
          <w:divBdr>
            <w:top w:val="none" w:sz="0" w:space="0" w:color="auto"/>
            <w:left w:val="none" w:sz="0" w:space="0" w:color="auto"/>
            <w:bottom w:val="none" w:sz="0" w:space="0" w:color="auto"/>
            <w:right w:val="none" w:sz="0" w:space="0" w:color="auto"/>
          </w:divBdr>
        </w:div>
      </w:divsChild>
    </w:div>
    <w:div w:id="820581410">
      <w:bodyDiv w:val="1"/>
      <w:marLeft w:val="0"/>
      <w:marRight w:val="0"/>
      <w:marTop w:val="0"/>
      <w:marBottom w:val="0"/>
      <w:divBdr>
        <w:top w:val="none" w:sz="0" w:space="0" w:color="auto"/>
        <w:left w:val="none" w:sz="0" w:space="0" w:color="auto"/>
        <w:bottom w:val="none" w:sz="0" w:space="0" w:color="auto"/>
        <w:right w:val="none" w:sz="0" w:space="0" w:color="auto"/>
      </w:divBdr>
    </w:div>
    <w:div w:id="824319669">
      <w:bodyDiv w:val="1"/>
      <w:marLeft w:val="0"/>
      <w:marRight w:val="0"/>
      <w:marTop w:val="0"/>
      <w:marBottom w:val="0"/>
      <w:divBdr>
        <w:top w:val="none" w:sz="0" w:space="0" w:color="auto"/>
        <w:left w:val="none" w:sz="0" w:space="0" w:color="auto"/>
        <w:bottom w:val="none" w:sz="0" w:space="0" w:color="auto"/>
        <w:right w:val="none" w:sz="0" w:space="0" w:color="auto"/>
      </w:divBdr>
    </w:div>
    <w:div w:id="832068057">
      <w:bodyDiv w:val="1"/>
      <w:marLeft w:val="0"/>
      <w:marRight w:val="0"/>
      <w:marTop w:val="0"/>
      <w:marBottom w:val="0"/>
      <w:divBdr>
        <w:top w:val="none" w:sz="0" w:space="0" w:color="auto"/>
        <w:left w:val="none" w:sz="0" w:space="0" w:color="auto"/>
        <w:bottom w:val="none" w:sz="0" w:space="0" w:color="auto"/>
        <w:right w:val="none" w:sz="0" w:space="0" w:color="auto"/>
      </w:divBdr>
    </w:div>
    <w:div w:id="837159243">
      <w:bodyDiv w:val="1"/>
      <w:marLeft w:val="0"/>
      <w:marRight w:val="0"/>
      <w:marTop w:val="0"/>
      <w:marBottom w:val="0"/>
      <w:divBdr>
        <w:top w:val="none" w:sz="0" w:space="0" w:color="auto"/>
        <w:left w:val="none" w:sz="0" w:space="0" w:color="auto"/>
        <w:bottom w:val="none" w:sz="0" w:space="0" w:color="auto"/>
        <w:right w:val="none" w:sz="0" w:space="0" w:color="auto"/>
      </w:divBdr>
    </w:div>
    <w:div w:id="842476652">
      <w:bodyDiv w:val="1"/>
      <w:marLeft w:val="0"/>
      <w:marRight w:val="0"/>
      <w:marTop w:val="0"/>
      <w:marBottom w:val="0"/>
      <w:divBdr>
        <w:top w:val="none" w:sz="0" w:space="0" w:color="auto"/>
        <w:left w:val="none" w:sz="0" w:space="0" w:color="auto"/>
        <w:bottom w:val="none" w:sz="0" w:space="0" w:color="auto"/>
        <w:right w:val="none" w:sz="0" w:space="0" w:color="auto"/>
      </w:divBdr>
    </w:div>
    <w:div w:id="869105555">
      <w:bodyDiv w:val="1"/>
      <w:marLeft w:val="0"/>
      <w:marRight w:val="0"/>
      <w:marTop w:val="0"/>
      <w:marBottom w:val="0"/>
      <w:divBdr>
        <w:top w:val="none" w:sz="0" w:space="0" w:color="auto"/>
        <w:left w:val="none" w:sz="0" w:space="0" w:color="auto"/>
        <w:bottom w:val="none" w:sz="0" w:space="0" w:color="auto"/>
        <w:right w:val="none" w:sz="0" w:space="0" w:color="auto"/>
      </w:divBdr>
      <w:divsChild>
        <w:div w:id="1996688066">
          <w:marLeft w:val="547"/>
          <w:marRight w:val="0"/>
          <w:marTop w:val="0"/>
          <w:marBottom w:val="0"/>
          <w:divBdr>
            <w:top w:val="none" w:sz="0" w:space="0" w:color="auto"/>
            <w:left w:val="none" w:sz="0" w:space="0" w:color="auto"/>
            <w:bottom w:val="none" w:sz="0" w:space="0" w:color="auto"/>
            <w:right w:val="none" w:sz="0" w:space="0" w:color="auto"/>
          </w:divBdr>
        </w:div>
      </w:divsChild>
    </w:div>
    <w:div w:id="894388652">
      <w:bodyDiv w:val="1"/>
      <w:marLeft w:val="0"/>
      <w:marRight w:val="0"/>
      <w:marTop w:val="0"/>
      <w:marBottom w:val="0"/>
      <w:divBdr>
        <w:top w:val="none" w:sz="0" w:space="0" w:color="auto"/>
        <w:left w:val="none" w:sz="0" w:space="0" w:color="auto"/>
        <w:bottom w:val="none" w:sz="0" w:space="0" w:color="auto"/>
        <w:right w:val="none" w:sz="0" w:space="0" w:color="auto"/>
      </w:divBdr>
    </w:div>
    <w:div w:id="909002130">
      <w:bodyDiv w:val="1"/>
      <w:marLeft w:val="0"/>
      <w:marRight w:val="0"/>
      <w:marTop w:val="0"/>
      <w:marBottom w:val="0"/>
      <w:divBdr>
        <w:top w:val="none" w:sz="0" w:space="0" w:color="auto"/>
        <w:left w:val="none" w:sz="0" w:space="0" w:color="auto"/>
        <w:bottom w:val="none" w:sz="0" w:space="0" w:color="auto"/>
        <w:right w:val="none" w:sz="0" w:space="0" w:color="auto"/>
      </w:divBdr>
    </w:div>
    <w:div w:id="954823815">
      <w:bodyDiv w:val="1"/>
      <w:marLeft w:val="0"/>
      <w:marRight w:val="0"/>
      <w:marTop w:val="0"/>
      <w:marBottom w:val="0"/>
      <w:divBdr>
        <w:top w:val="none" w:sz="0" w:space="0" w:color="auto"/>
        <w:left w:val="none" w:sz="0" w:space="0" w:color="auto"/>
        <w:bottom w:val="none" w:sz="0" w:space="0" w:color="auto"/>
        <w:right w:val="none" w:sz="0" w:space="0" w:color="auto"/>
      </w:divBdr>
      <w:divsChild>
        <w:div w:id="161315456">
          <w:marLeft w:val="547"/>
          <w:marRight w:val="0"/>
          <w:marTop w:val="0"/>
          <w:marBottom w:val="0"/>
          <w:divBdr>
            <w:top w:val="none" w:sz="0" w:space="0" w:color="auto"/>
            <w:left w:val="none" w:sz="0" w:space="0" w:color="auto"/>
            <w:bottom w:val="none" w:sz="0" w:space="0" w:color="auto"/>
            <w:right w:val="none" w:sz="0" w:space="0" w:color="auto"/>
          </w:divBdr>
        </w:div>
      </w:divsChild>
    </w:div>
    <w:div w:id="972322637">
      <w:bodyDiv w:val="1"/>
      <w:marLeft w:val="0"/>
      <w:marRight w:val="0"/>
      <w:marTop w:val="0"/>
      <w:marBottom w:val="0"/>
      <w:divBdr>
        <w:top w:val="none" w:sz="0" w:space="0" w:color="auto"/>
        <w:left w:val="none" w:sz="0" w:space="0" w:color="auto"/>
        <w:bottom w:val="none" w:sz="0" w:space="0" w:color="auto"/>
        <w:right w:val="none" w:sz="0" w:space="0" w:color="auto"/>
      </w:divBdr>
    </w:div>
    <w:div w:id="974682102">
      <w:bodyDiv w:val="1"/>
      <w:marLeft w:val="0"/>
      <w:marRight w:val="0"/>
      <w:marTop w:val="0"/>
      <w:marBottom w:val="0"/>
      <w:divBdr>
        <w:top w:val="none" w:sz="0" w:space="0" w:color="auto"/>
        <w:left w:val="none" w:sz="0" w:space="0" w:color="auto"/>
        <w:bottom w:val="none" w:sz="0" w:space="0" w:color="auto"/>
        <w:right w:val="none" w:sz="0" w:space="0" w:color="auto"/>
      </w:divBdr>
    </w:div>
    <w:div w:id="990252353">
      <w:bodyDiv w:val="1"/>
      <w:marLeft w:val="0"/>
      <w:marRight w:val="0"/>
      <w:marTop w:val="0"/>
      <w:marBottom w:val="0"/>
      <w:divBdr>
        <w:top w:val="none" w:sz="0" w:space="0" w:color="auto"/>
        <w:left w:val="none" w:sz="0" w:space="0" w:color="auto"/>
        <w:bottom w:val="none" w:sz="0" w:space="0" w:color="auto"/>
        <w:right w:val="none" w:sz="0" w:space="0" w:color="auto"/>
      </w:divBdr>
      <w:divsChild>
        <w:div w:id="590235988">
          <w:marLeft w:val="547"/>
          <w:marRight w:val="0"/>
          <w:marTop w:val="0"/>
          <w:marBottom w:val="0"/>
          <w:divBdr>
            <w:top w:val="none" w:sz="0" w:space="0" w:color="auto"/>
            <w:left w:val="none" w:sz="0" w:space="0" w:color="auto"/>
            <w:bottom w:val="none" w:sz="0" w:space="0" w:color="auto"/>
            <w:right w:val="none" w:sz="0" w:space="0" w:color="auto"/>
          </w:divBdr>
        </w:div>
      </w:divsChild>
    </w:div>
    <w:div w:id="1004433297">
      <w:bodyDiv w:val="1"/>
      <w:marLeft w:val="0"/>
      <w:marRight w:val="0"/>
      <w:marTop w:val="0"/>
      <w:marBottom w:val="0"/>
      <w:divBdr>
        <w:top w:val="none" w:sz="0" w:space="0" w:color="auto"/>
        <w:left w:val="none" w:sz="0" w:space="0" w:color="auto"/>
        <w:bottom w:val="none" w:sz="0" w:space="0" w:color="auto"/>
        <w:right w:val="none" w:sz="0" w:space="0" w:color="auto"/>
      </w:divBdr>
    </w:div>
    <w:div w:id="1012220135">
      <w:bodyDiv w:val="1"/>
      <w:marLeft w:val="0"/>
      <w:marRight w:val="0"/>
      <w:marTop w:val="0"/>
      <w:marBottom w:val="0"/>
      <w:divBdr>
        <w:top w:val="none" w:sz="0" w:space="0" w:color="auto"/>
        <w:left w:val="none" w:sz="0" w:space="0" w:color="auto"/>
        <w:bottom w:val="none" w:sz="0" w:space="0" w:color="auto"/>
        <w:right w:val="none" w:sz="0" w:space="0" w:color="auto"/>
      </w:divBdr>
    </w:div>
    <w:div w:id="1055929278">
      <w:bodyDiv w:val="1"/>
      <w:marLeft w:val="0"/>
      <w:marRight w:val="0"/>
      <w:marTop w:val="0"/>
      <w:marBottom w:val="0"/>
      <w:divBdr>
        <w:top w:val="none" w:sz="0" w:space="0" w:color="auto"/>
        <w:left w:val="none" w:sz="0" w:space="0" w:color="auto"/>
        <w:bottom w:val="none" w:sz="0" w:space="0" w:color="auto"/>
        <w:right w:val="none" w:sz="0" w:space="0" w:color="auto"/>
      </w:divBdr>
    </w:div>
    <w:div w:id="1082488344">
      <w:bodyDiv w:val="1"/>
      <w:marLeft w:val="0"/>
      <w:marRight w:val="0"/>
      <w:marTop w:val="0"/>
      <w:marBottom w:val="0"/>
      <w:divBdr>
        <w:top w:val="none" w:sz="0" w:space="0" w:color="auto"/>
        <w:left w:val="none" w:sz="0" w:space="0" w:color="auto"/>
        <w:bottom w:val="none" w:sz="0" w:space="0" w:color="auto"/>
        <w:right w:val="none" w:sz="0" w:space="0" w:color="auto"/>
      </w:divBdr>
    </w:div>
    <w:div w:id="1118329003">
      <w:bodyDiv w:val="1"/>
      <w:marLeft w:val="0"/>
      <w:marRight w:val="0"/>
      <w:marTop w:val="0"/>
      <w:marBottom w:val="0"/>
      <w:divBdr>
        <w:top w:val="none" w:sz="0" w:space="0" w:color="auto"/>
        <w:left w:val="none" w:sz="0" w:space="0" w:color="auto"/>
        <w:bottom w:val="none" w:sz="0" w:space="0" w:color="auto"/>
        <w:right w:val="none" w:sz="0" w:space="0" w:color="auto"/>
      </w:divBdr>
    </w:div>
    <w:div w:id="1119488909">
      <w:bodyDiv w:val="1"/>
      <w:marLeft w:val="0"/>
      <w:marRight w:val="0"/>
      <w:marTop w:val="0"/>
      <w:marBottom w:val="0"/>
      <w:divBdr>
        <w:top w:val="none" w:sz="0" w:space="0" w:color="auto"/>
        <w:left w:val="none" w:sz="0" w:space="0" w:color="auto"/>
        <w:bottom w:val="none" w:sz="0" w:space="0" w:color="auto"/>
        <w:right w:val="none" w:sz="0" w:space="0" w:color="auto"/>
      </w:divBdr>
    </w:div>
    <w:div w:id="1145051768">
      <w:bodyDiv w:val="1"/>
      <w:marLeft w:val="0"/>
      <w:marRight w:val="0"/>
      <w:marTop w:val="0"/>
      <w:marBottom w:val="0"/>
      <w:divBdr>
        <w:top w:val="none" w:sz="0" w:space="0" w:color="auto"/>
        <w:left w:val="none" w:sz="0" w:space="0" w:color="auto"/>
        <w:bottom w:val="none" w:sz="0" w:space="0" w:color="auto"/>
        <w:right w:val="none" w:sz="0" w:space="0" w:color="auto"/>
      </w:divBdr>
      <w:divsChild>
        <w:div w:id="1558976472">
          <w:marLeft w:val="547"/>
          <w:marRight w:val="0"/>
          <w:marTop w:val="0"/>
          <w:marBottom w:val="0"/>
          <w:divBdr>
            <w:top w:val="none" w:sz="0" w:space="0" w:color="auto"/>
            <w:left w:val="none" w:sz="0" w:space="0" w:color="auto"/>
            <w:bottom w:val="none" w:sz="0" w:space="0" w:color="auto"/>
            <w:right w:val="none" w:sz="0" w:space="0" w:color="auto"/>
          </w:divBdr>
        </w:div>
      </w:divsChild>
    </w:div>
    <w:div w:id="1173952024">
      <w:bodyDiv w:val="1"/>
      <w:marLeft w:val="0"/>
      <w:marRight w:val="0"/>
      <w:marTop w:val="0"/>
      <w:marBottom w:val="0"/>
      <w:divBdr>
        <w:top w:val="none" w:sz="0" w:space="0" w:color="auto"/>
        <w:left w:val="none" w:sz="0" w:space="0" w:color="auto"/>
        <w:bottom w:val="none" w:sz="0" w:space="0" w:color="auto"/>
        <w:right w:val="none" w:sz="0" w:space="0" w:color="auto"/>
      </w:divBdr>
    </w:div>
    <w:div w:id="1181434044">
      <w:bodyDiv w:val="1"/>
      <w:marLeft w:val="0"/>
      <w:marRight w:val="0"/>
      <w:marTop w:val="0"/>
      <w:marBottom w:val="0"/>
      <w:divBdr>
        <w:top w:val="none" w:sz="0" w:space="0" w:color="auto"/>
        <w:left w:val="none" w:sz="0" w:space="0" w:color="auto"/>
        <w:bottom w:val="none" w:sz="0" w:space="0" w:color="auto"/>
        <w:right w:val="none" w:sz="0" w:space="0" w:color="auto"/>
      </w:divBdr>
    </w:div>
    <w:div w:id="1249847111">
      <w:bodyDiv w:val="1"/>
      <w:marLeft w:val="0"/>
      <w:marRight w:val="0"/>
      <w:marTop w:val="0"/>
      <w:marBottom w:val="0"/>
      <w:divBdr>
        <w:top w:val="none" w:sz="0" w:space="0" w:color="auto"/>
        <w:left w:val="none" w:sz="0" w:space="0" w:color="auto"/>
        <w:bottom w:val="none" w:sz="0" w:space="0" w:color="auto"/>
        <w:right w:val="none" w:sz="0" w:space="0" w:color="auto"/>
      </w:divBdr>
      <w:divsChild>
        <w:div w:id="1343821577">
          <w:marLeft w:val="0"/>
          <w:marRight w:val="0"/>
          <w:marTop w:val="0"/>
          <w:marBottom w:val="0"/>
          <w:divBdr>
            <w:top w:val="none" w:sz="0" w:space="0" w:color="auto"/>
            <w:left w:val="none" w:sz="0" w:space="0" w:color="auto"/>
            <w:bottom w:val="none" w:sz="0" w:space="0" w:color="auto"/>
            <w:right w:val="none" w:sz="0" w:space="0" w:color="auto"/>
          </w:divBdr>
        </w:div>
      </w:divsChild>
    </w:div>
    <w:div w:id="1250700061">
      <w:bodyDiv w:val="1"/>
      <w:marLeft w:val="0"/>
      <w:marRight w:val="0"/>
      <w:marTop w:val="0"/>
      <w:marBottom w:val="0"/>
      <w:divBdr>
        <w:top w:val="none" w:sz="0" w:space="0" w:color="auto"/>
        <w:left w:val="none" w:sz="0" w:space="0" w:color="auto"/>
        <w:bottom w:val="none" w:sz="0" w:space="0" w:color="auto"/>
        <w:right w:val="none" w:sz="0" w:space="0" w:color="auto"/>
      </w:divBdr>
    </w:div>
    <w:div w:id="1282492687">
      <w:bodyDiv w:val="1"/>
      <w:marLeft w:val="0"/>
      <w:marRight w:val="0"/>
      <w:marTop w:val="0"/>
      <w:marBottom w:val="0"/>
      <w:divBdr>
        <w:top w:val="none" w:sz="0" w:space="0" w:color="auto"/>
        <w:left w:val="none" w:sz="0" w:space="0" w:color="auto"/>
        <w:bottom w:val="none" w:sz="0" w:space="0" w:color="auto"/>
        <w:right w:val="none" w:sz="0" w:space="0" w:color="auto"/>
      </w:divBdr>
    </w:div>
    <w:div w:id="1370372073">
      <w:bodyDiv w:val="1"/>
      <w:marLeft w:val="0"/>
      <w:marRight w:val="0"/>
      <w:marTop w:val="0"/>
      <w:marBottom w:val="0"/>
      <w:divBdr>
        <w:top w:val="none" w:sz="0" w:space="0" w:color="auto"/>
        <w:left w:val="none" w:sz="0" w:space="0" w:color="auto"/>
        <w:bottom w:val="none" w:sz="0" w:space="0" w:color="auto"/>
        <w:right w:val="none" w:sz="0" w:space="0" w:color="auto"/>
      </w:divBdr>
    </w:div>
    <w:div w:id="1380981263">
      <w:bodyDiv w:val="1"/>
      <w:marLeft w:val="0"/>
      <w:marRight w:val="0"/>
      <w:marTop w:val="0"/>
      <w:marBottom w:val="0"/>
      <w:divBdr>
        <w:top w:val="none" w:sz="0" w:space="0" w:color="auto"/>
        <w:left w:val="none" w:sz="0" w:space="0" w:color="auto"/>
        <w:bottom w:val="none" w:sz="0" w:space="0" w:color="auto"/>
        <w:right w:val="none" w:sz="0" w:space="0" w:color="auto"/>
      </w:divBdr>
      <w:divsChild>
        <w:div w:id="782728963">
          <w:marLeft w:val="547"/>
          <w:marRight w:val="0"/>
          <w:marTop w:val="0"/>
          <w:marBottom w:val="0"/>
          <w:divBdr>
            <w:top w:val="none" w:sz="0" w:space="0" w:color="auto"/>
            <w:left w:val="none" w:sz="0" w:space="0" w:color="auto"/>
            <w:bottom w:val="none" w:sz="0" w:space="0" w:color="auto"/>
            <w:right w:val="none" w:sz="0" w:space="0" w:color="auto"/>
          </w:divBdr>
        </w:div>
      </w:divsChild>
    </w:div>
    <w:div w:id="1382512870">
      <w:bodyDiv w:val="1"/>
      <w:marLeft w:val="0"/>
      <w:marRight w:val="0"/>
      <w:marTop w:val="0"/>
      <w:marBottom w:val="0"/>
      <w:divBdr>
        <w:top w:val="none" w:sz="0" w:space="0" w:color="auto"/>
        <w:left w:val="none" w:sz="0" w:space="0" w:color="auto"/>
        <w:bottom w:val="none" w:sz="0" w:space="0" w:color="auto"/>
        <w:right w:val="none" w:sz="0" w:space="0" w:color="auto"/>
      </w:divBdr>
    </w:div>
    <w:div w:id="1409419817">
      <w:bodyDiv w:val="1"/>
      <w:marLeft w:val="0"/>
      <w:marRight w:val="0"/>
      <w:marTop w:val="0"/>
      <w:marBottom w:val="0"/>
      <w:divBdr>
        <w:top w:val="none" w:sz="0" w:space="0" w:color="auto"/>
        <w:left w:val="none" w:sz="0" w:space="0" w:color="auto"/>
        <w:bottom w:val="none" w:sz="0" w:space="0" w:color="auto"/>
        <w:right w:val="none" w:sz="0" w:space="0" w:color="auto"/>
      </w:divBdr>
    </w:div>
    <w:div w:id="1423187356">
      <w:bodyDiv w:val="1"/>
      <w:marLeft w:val="0"/>
      <w:marRight w:val="0"/>
      <w:marTop w:val="0"/>
      <w:marBottom w:val="0"/>
      <w:divBdr>
        <w:top w:val="none" w:sz="0" w:space="0" w:color="auto"/>
        <w:left w:val="none" w:sz="0" w:space="0" w:color="auto"/>
        <w:bottom w:val="none" w:sz="0" w:space="0" w:color="auto"/>
        <w:right w:val="none" w:sz="0" w:space="0" w:color="auto"/>
      </w:divBdr>
    </w:div>
    <w:div w:id="1439175869">
      <w:bodyDiv w:val="1"/>
      <w:marLeft w:val="0"/>
      <w:marRight w:val="0"/>
      <w:marTop w:val="0"/>
      <w:marBottom w:val="0"/>
      <w:divBdr>
        <w:top w:val="none" w:sz="0" w:space="0" w:color="auto"/>
        <w:left w:val="none" w:sz="0" w:space="0" w:color="auto"/>
        <w:bottom w:val="none" w:sz="0" w:space="0" w:color="auto"/>
        <w:right w:val="none" w:sz="0" w:space="0" w:color="auto"/>
      </w:divBdr>
      <w:divsChild>
        <w:div w:id="910188800">
          <w:marLeft w:val="547"/>
          <w:marRight w:val="0"/>
          <w:marTop w:val="0"/>
          <w:marBottom w:val="0"/>
          <w:divBdr>
            <w:top w:val="none" w:sz="0" w:space="0" w:color="auto"/>
            <w:left w:val="none" w:sz="0" w:space="0" w:color="auto"/>
            <w:bottom w:val="none" w:sz="0" w:space="0" w:color="auto"/>
            <w:right w:val="none" w:sz="0" w:space="0" w:color="auto"/>
          </w:divBdr>
        </w:div>
      </w:divsChild>
    </w:div>
    <w:div w:id="1439332378">
      <w:bodyDiv w:val="1"/>
      <w:marLeft w:val="0"/>
      <w:marRight w:val="0"/>
      <w:marTop w:val="0"/>
      <w:marBottom w:val="0"/>
      <w:divBdr>
        <w:top w:val="none" w:sz="0" w:space="0" w:color="auto"/>
        <w:left w:val="none" w:sz="0" w:space="0" w:color="auto"/>
        <w:bottom w:val="none" w:sz="0" w:space="0" w:color="auto"/>
        <w:right w:val="none" w:sz="0" w:space="0" w:color="auto"/>
      </w:divBdr>
      <w:divsChild>
        <w:div w:id="305623097">
          <w:marLeft w:val="547"/>
          <w:marRight w:val="0"/>
          <w:marTop w:val="0"/>
          <w:marBottom w:val="0"/>
          <w:divBdr>
            <w:top w:val="none" w:sz="0" w:space="0" w:color="auto"/>
            <w:left w:val="none" w:sz="0" w:space="0" w:color="auto"/>
            <w:bottom w:val="none" w:sz="0" w:space="0" w:color="auto"/>
            <w:right w:val="none" w:sz="0" w:space="0" w:color="auto"/>
          </w:divBdr>
        </w:div>
      </w:divsChild>
    </w:div>
    <w:div w:id="1443845349">
      <w:bodyDiv w:val="1"/>
      <w:marLeft w:val="0"/>
      <w:marRight w:val="0"/>
      <w:marTop w:val="0"/>
      <w:marBottom w:val="0"/>
      <w:divBdr>
        <w:top w:val="none" w:sz="0" w:space="0" w:color="auto"/>
        <w:left w:val="none" w:sz="0" w:space="0" w:color="auto"/>
        <w:bottom w:val="none" w:sz="0" w:space="0" w:color="auto"/>
        <w:right w:val="none" w:sz="0" w:space="0" w:color="auto"/>
      </w:divBdr>
    </w:div>
    <w:div w:id="1477798515">
      <w:bodyDiv w:val="1"/>
      <w:marLeft w:val="0"/>
      <w:marRight w:val="0"/>
      <w:marTop w:val="0"/>
      <w:marBottom w:val="0"/>
      <w:divBdr>
        <w:top w:val="none" w:sz="0" w:space="0" w:color="auto"/>
        <w:left w:val="none" w:sz="0" w:space="0" w:color="auto"/>
        <w:bottom w:val="none" w:sz="0" w:space="0" w:color="auto"/>
        <w:right w:val="none" w:sz="0" w:space="0" w:color="auto"/>
      </w:divBdr>
    </w:div>
    <w:div w:id="1484153583">
      <w:bodyDiv w:val="1"/>
      <w:marLeft w:val="0"/>
      <w:marRight w:val="0"/>
      <w:marTop w:val="0"/>
      <w:marBottom w:val="0"/>
      <w:divBdr>
        <w:top w:val="none" w:sz="0" w:space="0" w:color="auto"/>
        <w:left w:val="none" w:sz="0" w:space="0" w:color="auto"/>
        <w:bottom w:val="none" w:sz="0" w:space="0" w:color="auto"/>
        <w:right w:val="none" w:sz="0" w:space="0" w:color="auto"/>
      </w:divBdr>
    </w:div>
    <w:div w:id="1553619895">
      <w:bodyDiv w:val="1"/>
      <w:marLeft w:val="0"/>
      <w:marRight w:val="0"/>
      <w:marTop w:val="0"/>
      <w:marBottom w:val="0"/>
      <w:divBdr>
        <w:top w:val="none" w:sz="0" w:space="0" w:color="auto"/>
        <w:left w:val="none" w:sz="0" w:space="0" w:color="auto"/>
        <w:bottom w:val="none" w:sz="0" w:space="0" w:color="auto"/>
        <w:right w:val="none" w:sz="0" w:space="0" w:color="auto"/>
      </w:divBdr>
    </w:div>
    <w:div w:id="1553999563">
      <w:bodyDiv w:val="1"/>
      <w:marLeft w:val="0"/>
      <w:marRight w:val="0"/>
      <w:marTop w:val="0"/>
      <w:marBottom w:val="0"/>
      <w:divBdr>
        <w:top w:val="none" w:sz="0" w:space="0" w:color="auto"/>
        <w:left w:val="none" w:sz="0" w:space="0" w:color="auto"/>
        <w:bottom w:val="none" w:sz="0" w:space="0" w:color="auto"/>
        <w:right w:val="none" w:sz="0" w:space="0" w:color="auto"/>
      </w:divBdr>
    </w:div>
    <w:div w:id="1555001872">
      <w:bodyDiv w:val="1"/>
      <w:marLeft w:val="0"/>
      <w:marRight w:val="0"/>
      <w:marTop w:val="0"/>
      <w:marBottom w:val="0"/>
      <w:divBdr>
        <w:top w:val="none" w:sz="0" w:space="0" w:color="auto"/>
        <w:left w:val="none" w:sz="0" w:space="0" w:color="auto"/>
        <w:bottom w:val="none" w:sz="0" w:space="0" w:color="auto"/>
        <w:right w:val="none" w:sz="0" w:space="0" w:color="auto"/>
      </w:divBdr>
    </w:div>
    <w:div w:id="1558857408">
      <w:bodyDiv w:val="1"/>
      <w:marLeft w:val="0"/>
      <w:marRight w:val="0"/>
      <w:marTop w:val="0"/>
      <w:marBottom w:val="0"/>
      <w:divBdr>
        <w:top w:val="none" w:sz="0" w:space="0" w:color="auto"/>
        <w:left w:val="none" w:sz="0" w:space="0" w:color="auto"/>
        <w:bottom w:val="none" w:sz="0" w:space="0" w:color="auto"/>
        <w:right w:val="none" w:sz="0" w:space="0" w:color="auto"/>
      </w:divBdr>
    </w:div>
    <w:div w:id="1596940920">
      <w:bodyDiv w:val="1"/>
      <w:marLeft w:val="0"/>
      <w:marRight w:val="0"/>
      <w:marTop w:val="0"/>
      <w:marBottom w:val="0"/>
      <w:divBdr>
        <w:top w:val="none" w:sz="0" w:space="0" w:color="auto"/>
        <w:left w:val="none" w:sz="0" w:space="0" w:color="auto"/>
        <w:bottom w:val="none" w:sz="0" w:space="0" w:color="auto"/>
        <w:right w:val="none" w:sz="0" w:space="0" w:color="auto"/>
      </w:divBdr>
      <w:divsChild>
        <w:div w:id="1137604605">
          <w:marLeft w:val="547"/>
          <w:marRight w:val="0"/>
          <w:marTop w:val="0"/>
          <w:marBottom w:val="0"/>
          <w:divBdr>
            <w:top w:val="none" w:sz="0" w:space="0" w:color="auto"/>
            <w:left w:val="none" w:sz="0" w:space="0" w:color="auto"/>
            <w:bottom w:val="none" w:sz="0" w:space="0" w:color="auto"/>
            <w:right w:val="none" w:sz="0" w:space="0" w:color="auto"/>
          </w:divBdr>
        </w:div>
      </w:divsChild>
    </w:div>
    <w:div w:id="1599291167">
      <w:bodyDiv w:val="1"/>
      <w:marLeft w:val="0"/>
      <w:marRight w:val="0"/>
      <w:marTop w:val="0"/>
      <w:marBottom w:val="0"/>
      <w:divBdr>
        <w:top w:val="none" w:sz="0" w:space="0" w:color="auto"/>
        <w:left w:val="none" w:sz="0" w:space="0" w:color="auto"/>
        <w:bottom w:val="none" w:sz="0" w:space="0" w:color="auto"/>
        <w:right w:val="none" w:sz="0" w:space="0" w:color="auto"/>
      </w:divBdr>
    </w:div>
    <w:div w:id="1608004829">
      <w:bodyDiv w:val="1"/>
      <w:marLeft w:val="0"/>
      <w:marRight w:val="0"/>
      <w:marTop w:val="0"/>
      <w:marBottom w:val="0"/>
      <w:divBdr>
        <w:top w:val="none" w:sz="0" w:space="0" w:color="auto"/>
        <w:left w:val="none" w:sz="0" w:space="0" w:color="auto"/>
        <w:bottom w:val="none" w:sz="0" w:space="0" w:color="auto"/>
        <w:right w:val="none" w:sz="0" w:space="0" w:color="auto"/>
      </w:divBdr>
    </w:div>
    <w:div w:id="1609393330">
      <w:bodyDiv w:val="1"/>
      <w:marLeft w:val="0"/>
      <w:marRight w:val="0"/>
      <w:marTop w:val="0"/>
      <w:marBottom w:val="0"/>
      <w:divBdr>
        <w:top w:val="none" w:sz="0" w:space="0" w:color="auto"/>
        <w:left w:val="none" w:sz="0" w:space="0" w:color="auto"/>
        <w:bottom w:val="none" w:sz="0" w:space="0" w:color="auto"/>
        <w:right w:val="none" w:sz="0" w:space="0" w:color="auto"/>
      </w:divBdr>
    </w:div>
    <w:div w:id="1621034818">
      <w:bodyDiv w:val="1"/>
      <w:marLeft w:val="0"/>
      <w:marRight w:val="0"/>
      <w:marTop w:val="0"/>
      <w:marBottom w:val="0"/>
      <w:divBdr>
        <w:top w:val="none" w:sz="0" w:space="0" w:color="auto"/>
        <w:left w:val="none" w:sz="0" w:space="0" w:color="auto"/>
        <w:bottom w:val="none" w:sz="0" w:space="0" w:color="auto"/>
        <w:right w:val="none" w:sz="0" w:space="0" w:color="auto"/>
      </w:divBdr>
      <w:divsChild>
        <w:div w:id="108135760">
          <w:marLeft w:val="547"/>
          <w:marRight w:val="0"/>
          <w:marTop w:val="0"/>
          <w:marBottom w:val="0"/>
          <w:divBdr>
            <w:top w:val="none" w:sz="0" w:space="0" w:color="auto"/>
            <w:left w:val="none" w:sz="0" w:space="0" w:color="auto"/>
            <w:bottom w:val="none" w:sz="0" w:space="0" w:color="auto"/>
            <w:right w:val="none" w:sz="0" w:space="0" w:color="auto"/>
          </w:divBdr>
        </w:div>
      </w:divsChild>
    </w:div>
    <w:div w:id="1623220914">
      <w:bodyDiv w:val="1"/>
      <w:marLeft w:val="0"/>
      <w:marRight w:val="0"/>
      <w:marTop w:val="0"/>
      <w:marBottom w:val="0"/>
      <w:divBdr>
        <w:top w:val="none" w:sz="0" w:space="0" w:color="auto"/>
        <w:left w:val="none" w:sz="0" w:space="0" w:color="auto"/>
        <w:bottom w:val="none" w:sz="0" w:space="0" w:color="auto"/>
        <w:right w:val="none" w:sz="0" w:space="0" w:color="auto"/>
      </w:divBdr>
    </w:div>
    <w:div w:id="1624917923">
      <w:bodyDiv w:val="1"/>
      <w:marLeft w:val="0"/>
      <w:marRight w:val="0"/>
      <w:marTop w:val="0"/>
      <w:marBottom w:val="0"/>
      <w:divBdr>
        <w:top w:val="none" w:sz="0" w:space="0" w:color="auto"/>
        <w:left w:val="none" w:sz="0" w:space="0" w:color="auto"/>
        <w:bottom w:val="none" w:sz="0" w:space="0" w:color="auto"/>
        <w:right w:val="none" w:sz="0" w:space="0" w:color="auto"/>
      </w:divBdr>
    </w:div>
    <w:div w:id="1629626549">
      <w:bodyDiv w:val="1"/>
      <w:marLeft w:val="0"/>
      <w:marRight w:val="0"/>
      <w:marTop w:val="0"/>
      <w:marBottom w:val="0"/>
      <w:divBdr>
        <w:top w:val="none" w:sz="0" w:space="0" w:color="auto"/>
        <w:left w:val="none" w:sz="0" w:space="0" w:color="auto"/>
        <w:bottom w:val="none" w:sz="0" w:space="0" w:color="auto"/>
        <w:right w:val="none" w:sz="0" w:space="0" w:color="auto"/>
      </w:divBdr>
    </w:div>
    <w:div w:id="1643149990">
      <w:bodyDiv w:val="1"/>
      <w:marLeft w:val="0"/>
      <w:marRight w:val="0"/>
      <w:marTop w:val="0"/>
      <w:marBottom w:val="0"/>
      <w:divBdr>
        <w:top w:val="none" w:sz="0" w:space="0" w:color="auto"/>
        <w:left w:val="none" w:sz="0" w:space="0" w:color="auto"/>
        <w:bottom w:val="none" w:sz="0" w:space="0" w:color="auto"/>
        <w:right w:val="none" w:sz="0" w:space="0" w:color="auto"/>
      </w:divBdr>
    </w:div>
    <w:div w:id="1656572565">
      <w:bodyDiv w:val="1"/>
      <w:marLeft w:val="0"/>
      <w:marRight w:val="0"/>
      <w:marTop w:val="0"/>
      <w:marBottom w:val="0"/>
      <w:divBdr>
        <w:top w:val="none" w:sz="0" w:space="0" w:color="auto"/>
        <w:left w:val="none" w:sz="0" w:space="0" w:color="auto"/>
        <w:bottom w:val="none" w:sz="0" w:space="0" w:color="auto"/>
        <w:right w:val="none" w:sz="0" w:space="0" w:color="auto"/>
      </w:divBdr>
    </w:div>
    <w:div w:id="1664426462">
      <w:bodyDiv w:val="1"/>
      <w:marLeft w:val="0"/>
      <w:marRight w:val="0"/>
      <w:marTop w:val="0"/>
      <w:marBottom w:val="0"/>
      <w:divBdr>
        <w:top w:val="none" w:sz="0" w:space="0" w:color="auto"/>
        <w:left w:val="none" w:sz="0" w:space="0" w:color="auto"/>
        <w:bottom w:val="none" w:sz="0" w:space="0" w:color="auto"/>
        <w:right w:val="none" w:sz="0" w:space="0" w:color="auto"/>
      </w:divBdr>
    </w:div>
    <w:div w:id="1672444410">
      <w:bodyDiv w:val="1"/>
      <w:marLeft w:val="0"/>
      <w:marRight w:val="0"/>
      <w:marTop w:val="0"/>
      <w:marBottom w:val="0"/>
      <w:divBdr>
        <w:top w:val="none" w:sz="0" w:space="0" w:color="auto"/>
        <w:left w:val="none" w:sz="0" w:space="0" w:color="auto"/>
        <w:bottom w:val="none" w:sz="0" w:space="0" w:color="auto"/>
        <w:right w:val="none" w:sz="0" w:space="0" w:color="auto"/>
      </w:divBdr>
    </w:div>
    <w:div w:id="1673678283">
      <w:bodyDiv w:val="1"/>
      <w:marLeft w:val="0"/>
      <w:marRight w:val="0"/>
      <w:marTop w:val="0"/>
      <w:marBottom w:val="0"/>
      <w:divBdr>
        <w:top w:val="none" w:sz="0" w:space="0" w:color="auto"/>
        <w:left w:val="none" w:sz="0" w:space="0" w:color="auto"/>
        <w:bottom w:val="none" w:sz="0" w:space="0" w:color="auto"/>
        <w:right w:val="none" w:sz="0" w:space="0" w:color="auto"/>
      </w:divBdr>
    </w:div>
    <w:div w:id="1675915599">
      <w:bodyDiv w:val="1"/>
      <w:marLeft w:val="0"/>
      <w:marRight w:val="0"/>
      <w:marTop w:val="0"/>
      <w:marBottom w:val="0"/>
      <w:divBdr>
        <w:top w:val="none" w:sz="0" w:space="0" w:color="auto"/>
        <w:left w:val="none" w:sz="0" w:space="0" w:color="auto"/>
        <w:bottom w:val="none" w:sz="0" w:space="0" w:color="auto"/>
        <w:right w:val="none" w:sz="0" w:space="0" w:color="auto"/>
      </w:divBdr>
      <w:divsChild>
        <w:div w:id="1307322413">
          <w:marLeft w:val="547"/>
          <w:marRight w:val="0"/>
          <w:marTop w:val="0"/>
          <w:marBottom w:val="0"/>
          <w:divBdr>
            <w:top w:val="none" w:sz="0" w:space="0" w:color="auto"/>
            <w:left w:val="none" w:sz="0" w:space="0" w:color="auto"/>
            <w:bottom w:val="none" w:sz="0" w:space="0" w:color="auto"/>
            <w:right w:val="none" w:sz="0" w:space="0" w:color="auto"/>
          </w:divBdr>
        </w:div>
      </w:divsChild>
    </w:div>
    <w:div w:id="1688605140">
      <w:bodyDiv w:val="1"/>
      <w:marLeft w:val="0"/>
      <w:marRight w:val="0"/>
      <w:marTop w:val="0"/>
      <w:marBottom w:val="0"/>
      <w:divBdr>
        <w:top w:val="none" w:sz="0" w:space="0" w:color="auto"/>
        <w:left w:val="none" w:sz="0" w:space="0" w:color="auto"/>
        <w:bottom w:val="none" w:sz="0" w:space="0" w:color="auto"/>
        <w:right w:val="none" w:sz="0" w:space="0" w:color="auto"/>
      </w:divBdr>
      <w:divsChild>
        <w:div w:id="40397851">
          <w:marLeft w:val="547"/>
          <w:marRight w:val="0"/>
          <w:marTop w:val="0"/>
          <w:marBottom w:val="0"/>
          <w:divBdr>
            <w:top w:val="none" w:sz="0" w:space="0" w:color="auto"/>
            <w:left w:val="none" w:sz="0" w:space="0" w:color="auto"/>
            <w:bottom w:val="none" w:sz="0" w:space="0" w:color="auto"/>
            <w:right w:val="none" w:sz="0" w:space="0" w:color="auto"/>
          </w:divBdr>
        </w:div>
      </w:divsChild>
    </w:div>
    <w:div w:id="1693458092">
      <w:bodyDiv w:val="1"/>
      <w:marLeft w:val="0"/>
      <w:marRight w:val="0"/>
      <w:marTop w:val="0"/>
      <w:marBottom w:val="0"/>
      <w:divBdr>
        <w:top w:val="none" w:sz="0" w:space="0" w:color="auto"/>
        <w:left w:val="none" w:sz="0" w:space="0" w:color="auto"/>
        <w:bottom w:val="none" w:sz="0" w:space="0" w:color="auto"/>
        <w:right w:val="none" w:sz="0" w:space="0" w:color="auto"/>
      </w:divBdr>
    </w:div>
    <w:div w:id="1696224040">
      <w:bodyDiv w:val="1"/>
      <w:marLeft w:val="0"/>
      <w:marRight w:val="0"/>
      <w:marTop w:val="0"/>
      <w:marBottom w:val="0"/>
      <w:divBdr>
        <w:top w:val="none" w:sz="0" w:space="0" w:color="auto"/>
        <w:left w:val="none" w:sz="0" w:space="0" w:color="auto"/>
        <w:bottom w:val="none" w:sz="0" w:space="0" w:color="auto"/>
        <w:right w:val="none" w:sz="0" w:space="0" w:color="auto"/>
      </w:divBdr>
    </w:div>
    <w:div w:id="1736008087">
      <w:bodyDiv w:val="1"/>
      <w:marLeft w:val="0"/>
      <w:marRight w:val="0"/>
      <w:marTop w:val="0"/>
      <w:marBottom w:val="0"/>
      <w:divBdr>
        <w:top w:val="none" w:sz="0" w:space="0" w:color="auto"/>
        <w:left w:val="none" w:sz="0" w:space="0" w:color="auto"/>
        <w:bottom w:val="none" w:sz="0" w:space="0" w:color="auto"/>
        <w:right w:val="none" w:sz="0" w:space="0" w:color="auto"/>
      </w:divBdr>
    </w:div>
    <w:div w:id="1738241235">
      <w:bodyDiv w:val="1"/>
      <w:marLeft w:val="0"/>
      <w:marRight w:val="0"/>
      <w:marTop w:val="0"/>
      <w:marBottom w:val="0"/>
      <w:divBdr>
        <w:top w:val="none" w:sz="0" w:space="0" w:color="auto"/>
        <w:left w:val="none" w:sz="0" w:space="0" w:color="auto"/>
        <w:bottom w:val="none" w:sz="0" w:space="0" w:color="auto"/>
        <w:right w:val="none" w:sz="0" w:space="0" w:color="auto"/>
      </w:divBdr>
    </w:div>
    <w:div w:id="1755012116">
      <w:bodyDiv w:val="1"/>
      <w:marLeft w:val="0"/>
      <w:marRight w:val="0"/>
      <w:marTop w:val="0"/>
      <w:marBottom w:val="0"/>
      <w:divBdr>
        <w:top w:val="none" w:sz="0" w:space="0" w:color="auto"/>
        <w:left w:val="none" w:sz="0" w:space="0" w:color="auto"/>
        <w:bottom w:val="none" w:sz="0" w:space="0" w:color="auto"/>
        <w:right w:val="none" w:sz="0" w:space="0" w:color="auto"/>
      </w:divBdr>
    </w:div>
    <w:div w:id="1755319277">
      <w:bodyDiv w:val="1"/>
      <w:marLeft w:val="0"/>
      <w:marRight w:val="0"/>
      <w:marTop w:val="0"/>
      <w:marBottom w:val="0"/>
      <w:divBdr>
        <w:top w:val="none" w:sz="0" w:space="0" w:color="auto"/>
        <w:left w:val="none" w:sz="0" w:space="0" w:color="auto"/>
        <w:bottom w:val="none" w:sz="0" w:space="0" w:color="auto"/>
        <w:right w:val="none" w:sz="0" w:space="0" w:color="auto"/>
      </w:divBdr>
    </w:div>
    <w:div w:id="1757358132">
      <w:bodyDiv w:val="1"/>
      <w:marLeft w:val="0"/>
      <w:marRight w:val="0"/>
      <w:marTop w:val="0"/>
      <w:marBottom w:val="0"/>
      <w:divBdr>
        <w:top w:val="none" w:sz="0" w:space="0" w:color="auto"/>
        <w:left w:val="none" w:sz="0" w:space="0" w:color="auto"/>
        <w:bottom w:val="none" w:sz="0" w:space="0" w:color="auto"/>
        <w:right w:val="none" w:sz="0" w:space="0" w:color="auto"/>
      </w:divBdr>
    </w:div>
    <w:div w:id="1758669569">
      <w:bodyDiv w:val="1"/>
      <w:marLeft w:val="0"/>
      <w:marRight w:val="0"/>
      <w:marTop w:val="0"/>
      <w:marBottom w:val="0"/>
      <w:divBdr>
        <w:top w:val="none" w:sz="0" w:space="0" w:color="auto"/>
        <w:left w:val="none" w:sz="0" w:space="0" w:color="auto"/>
        <w:bottom w:val="none" w:sz="0" w:space="0" w:color="auto"/>
        <w:right w:val="none" w:sz="0" w:space="0" w:color="auto"/>
      </w:divBdr>
    </w:div>
    <w:div w:id="1788547163">
      <w:bodyDiv w:val="1"/>
      <w:marLeft w:val="0"/>
      <w:marRight w:val="0"/>
      <w:marTop w:val="0"/>
      <w:marBottom w:val="0"/>
      <w:divBdr>
        <w:top w:val="none" w:sz="0" w:space="0" w:color="auto"/>
        <w:left w:val="none" w:sz="0" w:space="0" w:color="auto"/>
        <w:bottom w:val="none" w:sz="0" w:space="0" w:color="auto"/>
        <w:right w:val="none" w:sz="0" w:space="0" w:color="auto"/>
      </w:divBdr>
    </w:div>
    <w:div w:id="1810782939">
      <w:bodyDiv w:val="1"/>
      <w:marLeft w:val="0"/>
      <w:marRight w:val="0"/>
      <w:marTop w:val="0"/>
      <w:marBottom w:val="0"/>
      <w:divBdr>
        <w:top w:val="none" w:sz="0" w:space="0" w:color="auto"/>
        <w:left w:val="none" w:sz="0" w:space="0" w:color="auto"/>
        <w:bottom w:val="none" w:sz="0" w:space="0" w:color="auto"/>
        <w:right w:val="none" w:sz="0" w:space="0" w:color="auto"/>
      </w:divBdr>
    </w:div>
    <w:div w:id="1825507649">
      <w:bodyDiv w:val="1"/>
      <w:marLeft w:val="0"/>
      <w:marRight w:val="0"/>
      <w:marTop w:val="0"/>
      <w:marBottom w:val="0"/>
      <w:divBdr>
        <w:top w:val="none" w:sz="0" w:space="0" w:color="auto"/>
        <w:left w:val="none" w:sz="0" w:space="0" w:color="auto"/>
        <w:bottom w:val="none" w:sz="0" w:space="0" w:color="auto"/>
        <w:right w:val="none" w:sz="0" w:space="0" w:color="auto"/>
      </w:divBdr>
    </w:div>
    <w:div w:id="1825579852">
      <w:bodyDiv w:val="1"/>
      <w:marLeft w:val="0"/>
      <w:marRight w:val="0"/>
      <w:marTop w:val="0"/>
      <w:marBottom w:val="0"/>
      <w:divBdr>
        <w:top w:val="none" w:sz="0" w:space="0" w:color="auto"/>
        <w:left w:val="none" w:sz="0" w:space="0" w:color="auto"/>
        <w:bottom w:val="none" w:sz="0" w:space="0" w:color="auto"/>
        <w:right w:val="none" w:sz="0" w:space="0" w:color="auto"/>
      </w:divBdr>
    </w:div>
    <w:div w:id="1831749021">
      <w:bodyDiv w:val="1"/>
      <w:marLeft w:val="0"/>
      <w:marRight w:val="0"/>
      <w:marTop w:val="0"/>
      <w:marBottom w:val="0"/>
      <w:divBdr>
        <w:top w:val="none" w:sz="0" w:space="0" w:color="auto"/>
        <w:left w:val="none" w:sz="0" w:space="0" w:color="auto"/>
        <w:bottom w:val="none" w:sz="0" w:space="0" w:color="auto"/>
        <w:right w:val="none" w:sz="0" w:space="0" w:color="auto"/>
      </w:divBdr>
    </w:div>
    <w:div w:id="1832719711">
      <w:bodyDiv w:val="1"/>
      <w:marLeft w:val="0"/>
      <w:marRight w:val="0"/>
      <w:marTop w:val="0"/>
      <w:marBottom w:val="0"/>
      <w:divBdr>
        <w:top w:val="none" w:sz="0" w:space="0" w:color="auto"/>
        <w:left w:val="none" w:sz="0" w:space="0" w:color="auto"/>
        <w:bottom w:val="none" w:sz="0" w:space="0" w:color="auto"/>
        <w:right w:val="none" w:sz="0" w:space="0" w:color="auto"/>
      </w:divBdr>
    </w:div>
    <w:div w:id="1893229003">
      <w:bodyDiv w:val="1"/>
      <w:marLeft w:val="0"/>
      <w:marRight w:val="0"/>
      <w:marTop w:val="0"/>
      <w:marBottom w:val="0"/>
      <w:divBdr>
        <w:top w:val="none" w:sz="0" w:space="0" w:color="auto"/>
        <w:left w:val="none" w:sz="0" w:space="0" w:color="auto"/>
        <w:bottom w:val="none" w:sz="0" w:space="0" w:color="auto"/>
        <w:right w:val="none" w:sz="0" w:space="0" w:color="auto"/>
      </w:divBdr>
    </w:div>
    <w:div w:id="1899122097">
      <w:bodyDiv w:val="1"/>
      <w:marLeft w:val="0"/>
      <w:marRight w:val="0"/>
      <w:marTop w:val="0"/>
      <w:marBottom w:val="0"/>
      <w:divBdr>
        <w:top w:val="none" w:sz="0" w:space="0" w:color="auto"/>
        <w:left w:val="none" w:sz="0" w:space="0" w:color="auto"/>
        <w:bottom w:val="none" w:sz="0" w:space="0" w:color="auto"/>
        <w:right w:val="none" w:sz="0" w:space="0" w:color="auto"/>
      </w:divBdr>
    </w:div>
    <w:div w:id="1903129886">
      <w:bodyDiv w:val="1"/>
      <w:marLeft w:val="0"/>
      <w:marRight w:val="0"/>
      <w:marTop w:val="0"/>
      <w:marBottom w:val="0"/>
      <w:divBdr>
        <w:top w:val="none" w:sz="0" w:space="0" w:color="auto"/>
        <w:left w:val="none" w:sz="0" w:space="0" w:color="auto"/>
        <w:bottom w:val="none" w:sz="0" w:space="0" w:color="auto"/>
        <w:right w:val="none" w:sz="0" w:space="0" w:color="auto"/>
      </w:divBdr>
      <w:divsChild>
        <w:div w:id="1775830800">
          <w:marLeft w:val="547"/>
          <w:marRight w:val="0"/>
          <w:marTop w:val="0"/>
          <w:marBottom w:val="0"/>
          <w:divBdr>
            <w:top w:val="none" w:sz="0" w:space="0" w:color="auto"/>
            <w:left w:val="none" w:sz="0" w:space="0" w:color="auto"/>
            <w:bottom w:val="none" w:sz="0" w:space="0" w:color="auto"/>
            <w:right w:val="none" w:sz="0" w:space="0" w:color="auto"/>
          </w:divBdr>
        </w:div>
      </w:divsChild>
    </w:div>
    <w:div w:id="1904215897">
      <w:bodyDiv w:val="1"/>
      <w:marLeft w:val="0"/>
      <w:marRight w:val="0"/>
      <w:marTop w:val="0"/>
      <w:marBottom w:val="0"/>
      <w:divBdr>
        <w:top w:val="none" w:sz="0" w:space="0" w:color="auto"/>
        <w:left w:val="none" w:sz="0" w:space="0" w:color="auto"/>
        <w:bottom w:val="none" w:sz="0" w:space="0" w:color="auto"/>
        <w:right w:val="none" w:sz="0" w:space="0" w:color="auto"/>
      </w:divBdr>
    </w:div>
    <w:div w:id="1907718150">
      <w:bodyDiv w:val="1"/>
      <w:marLeft w:val="0"/>
      <w:marRight w:val="0"/>
      <w:marTop w:val="0"/>
      <w:marBottom w:val="0"/>
      <w:divBdr>
        <w:top w:val="none" w:sz="0" w:space="0" w:color="auto"/>
        <w:left w:val="none" w:sz="0" w:space="0" w:color="auto"/>
        <w:bottom w:val="none" w:sz="0" w:space="0" w:color="auto"/>
        <w:right w:val="none" w:sz="0" w:space="0" w:color="auto"/>
      </w:divBdr>
    </w:div>
    <w:div w:id="1948196687">
      <w:bodyDiv w:val="1"/>
      <w:marLeft w:val="0"/>
      <w:marRight w:val="0"/>
      <w:marTop w:val="0"/>
      <w:marBottom w:val="0"/>
      <w:divBdr>
        <w:top w:val="none" w:sz="0" w:space="0" w:color="auto"/>
        <w:left w:val="none" w:sz="0" w:space="0" w:color="auto"/>
        <w:bottom w:val="none" w:sz="0" w:space="0" w:color="auto"/>
        <w:right w:val="none" w:sz="0" w:space="0" w:color="auto"/>
      </w:divBdr>
    </w:div>
    <w:div w:id="1959483430">
      <w:bodyDiv w:val="1"/>
      <w:marLeft w:val="0"/>
      <w:marRight w:val="0"/>
      <w:marTop w:val="0"/>
      <w:marBottom w:val="0"/>
      <w:divBdr>
        <w:top w:val="none" w:sz="0" w:space="0" w:color="auto"/>
        <w:left w:val="none" w:sz="0" w:space="0" w:color="auto"/>
        <w:bottom w:val="none" w:sz="0" w:space="0" w:color="auto"/>
        <w:right w:val="none" w:sz="0" w:space="0" w:color="auto"/>
      </w:divBdr>
      <w:divsChild>
        <w:div w:id="1981612575">
          <w:marLeft w:val="547"/>
          <w:marRight w:val="0"/>
          <w:marTop w:val="0"/>
          <w:marBottom w:val="0"/>
          <w:divBdr>
            <w:top w:val="none" w:sz="0" w:space="0" w:color="auto"/>
            <w:left w:val="none" w:sz="0" w:space="0" w:color="auto"/>
            <w:bottom w:val="none" w:sz="0" w:space="0" w:color="auto"/>
            <w:right w:val="none" w:sz="0" w:space="0" w:color="auto"/>
          </w:divBdr>
        </w:div>
      </w:divsChild>
    </w:div>
    <w:div w:id="1964269719">
      <w:bodyDiv w:val="1"/>
      <w:marLeft w:val="0"/>
      <w:marRight w:val="0"/>
      <w:marTop w:val="0"/>
      <w:marBottom w:val="0"/>
      <w:divBdr>
        <w:top w:val="none" w:sz="0" w:space="0" w:color="auto"/>
        <w:left w:val="none" w:sz="0" w:space="0" w:color="auto"/>
        <w:bottom w:val="none" w:sz="0" w:space="0" w:color="auto"/>
        <w:right w:val="none" w:sz="0" w:space="0" w:color="auto"/>
      </w:divBdr>
    </w:div>
    <w:div w:id="1970628460">
      <w:bodyDiv w:val="1"/>
      <w:marLeft w:val="0"/>
      <w:marRight w:val="0"/>
      <w:marTop w:val="0"/>
      <w:marBottom w:val="0"/>
      <w:divBdr>
        <w:top w:val="none" w:sz="0" w:space="0" w:color="auto"/>
        <w:left w:val="none" w:sz="0" w:space="0" w:color="auto"/>
        <w:bottom w:val="none" w:sz="0" w:space="0" w:color="auto"/>
        <w:right w:val="none" w:sz="0" w:space="0" w:color="auto"/>
      </w:divBdr>
    </w:div>
    <w:div w:id="1973250616">
      <w:bodyDiv w:val="1"/>
      <w:marLeft w:val="0"/>
      <w:marRight w:val="0"/>
      <w:marTop w:val="0"/>
      <w:marBottom w:val="0"/>
      <w:divBdr>
        <w:top w:val="none" w:sz="0" w:space="0" w:color="auto"/>
        <w:left w:val="none" w:sz="0" w:space="0" w:color="auto"/>
        <w:bottom w:val="none" w:sz="0" w:space="0" w:color="auto"/>
        <w:right w:val="none" w:sz="0" w:space="0" w:color="auto"/>
      </w:divBdr>
    </w:div>
    <w:div w:id="1975987110">
      <w:bodyDiv w:val="1"/>
      <w:marLeft w:val="0"/>
      <w:marRight w:val="0"/>
      <w:marTop w:val="0"/>
      <w:marBottom w:val="0"/>
      <w:divBdr>
        <w:top w:val="none" w:sz="0" w:space="0" w:color="auto"/>
        <w:left w:val="none" w:sz="0" w:space="0" w:color="auto"/>
        <w:bottom w:val="none" w:sz="0" w:space="0" w:color="auto"/>
        <w:right w:val="none" w:sz="0" w:space="0" w:color="auto"/>
      </w:divBdr>
    </w:div>
    <w:div w:id="2025479017">
      <w:bodyDiv w:val="1"/>
      <w:marLeft w:val="0"/>
      <w:marRight w:val="0"/>
      <w:marTop w:val="0"/>
      <w:marBottom w:val="0"/>
      <w:divBdr>
        <w:top w:val="none" w:sz="0" w:space="0" w:color="auto"/>
        <w:left w:val="none" w:sz="0" w:space="0" w:color="auto"/>
        <w:bottom w:val="none" w:sz="0" w:space="0" w:color="auto"/>
        <w:right w:val="none" w:sz="0" w:space="0" w:color="auto"/>
      </w:divBdr>
    </w:div>
    <w:div w:id="2038189601">
      <w:bodyDiv w:val="1"/>
      <w:marLeft w:val="0"/>
      <w:marRight w:val="0"/>
      <w:marTop w:val="0"/>
      <w:marBottom w:val="0"/>
      <w:divBdr>
        <w:top w:val="none" w:sz="0" w:space="0" w:color="auto"/>
        <w:left w:val="none" w:sz="0" w:space="0" w:color="auto"/>
        <w:bottom w:val="none" w:sz="0" w:space="0" w:color="auto"/>
        <w:right w:val="none" w:sz="0" w:space="0" w:color="auto"/>
      </w:divBdr>
    </w:div>
    <w:div w:id="2073455560">
      <w:bodyDiv w:val="1"/>
      <w:marLeft w:val="0"/>
      <w:marRight w:val="0"/>
      <w:marTop w:val="0"/>
      <w:marBottom w:val="0"/>
      <w:divBdr>
        <w:top w:val="none" w:sz="0" w:space="0" w:color="auto"/>
        <w:left w:val="none" w:sz="0" w:space="0" w:color="auto"/>
        <w:bottom w:val="none" w:sz="0" w:space="0" w:color="auto"/>
        <w:right w:val="none" w:sz="0" w:space="0" w:color="auto"/>
      </w:divBdr>
    </w:div>
    <w:div w:id="2102875908">
      <w:bodyDiv w:val="1"/>
      <w:marLeft w:val="0"/>
      <w:marRight w:val="0"/>
      <w:marTop w:val="0"/>
      <w:marBottom w:val="0"/>
      <w:divBdr>
        <w:top w:val="none" w:sz="0" w:space="0" w:color="auto"/>
        <w:left w:val="none" w:sz="0" w:space="0" w:color="auto"/>
        <w:bottom w:val="none" w:sz="0" w:space="0" w:color="auto"/>
        <w:right w:val="none" w:sz="0" w:space="0" w:color="auto"/>
      </w:divBdr>
      <w:divsChild>
        <w:div w:id="741441315">
          <w:marLeft w:val="547"/>
          <w:marRight w:val="0"/>
          <w:marTop w:val="0"/>
          <w:marBottom w:val="0"/>
          <w:divBdr>
            <w:top w:val="none" w:sz="0" w:space="0" w:color="auto"/>
            <w:left w:val="none" w:sz="0" w:space="0" w:color="auto"/>
            <w:bottom w:val="none" w:sz="0" w:space="0" w:color="auto"/>
            <w:right w:val="none" w:sz="0" w:space="0" w:color="auto"/>
          </w:divBdr>
        </w:div>
      </w:divsChild>
    </w:div>
    <w:div w:id="2109041210">
      <w:bodyDiv w:val="1"/>
      <w:marLeft w:val="0"/>
      <w:marRight w:val="0"/>
      <w:marTop w:val="0"/>
      <w:marBottom w:val="0"/>
      <w:divBdr>
        <w:top w:val="none" w:sz="0" w:space="0" w:color="auto"/>
        <w:left w:val="none" w:sz="0" w:space="0" w:color="auto"/>
        <w:bottom w:val="none" w:sz="0" w:space="0" w:color="auto"/>
        <w:right w:val="none" w:sz="0" w:space="0" w:color="auto"/>
      </w:divBdr>
    </w:div>
    <w:div w:id="2113545357">
      <w:bodyDiv w:val="1"/>
      <w:marLeft w:val="0"/>
      <w:marRight w:val="0"/>
      <w:marTop w:val="0"/>
      <w:marBottom w:val="0"/>
      <w:divBdr>
        <w:top w:val="none" w:sz="0" w:space="0" w:color="auto"/>
        <w:left w:val="none" w:sz="0" w:space="0" w:color="auto"/>
        <w:bottom w:val="none" w:sz="0" w:space="0" w:color="auto"/>
        <w:right w:val="none" w:sz="0" w:space="0" w:color="auto"/>
      </w:divBdr>
    </w:div>
    <w:div w:id="2123257108">
      <w:bodyDiv w:val="1"/>
      <w:marLeft w:val="0"/>
      <w:marRight w:val="0"/>
      <w:marTop w:val="0"/>
      <w:marBottom w:val="0"/>
      <w:divBdr>
        <w:top w:val="none" w:sz="0" w:space="0" w:color="auto"/>
        <w:left w:val="none" w:sz="0" w:space="0" w:color="auto"/>
        <w:bottom w:val="none" w:sz="0" w:space="0" w:color="auto"/>
        <w:right w:val="none" w:sz="0" w:space="0" w:color="auto"/>
      </w:divBdr>
    </w:div>
    <w:div w:id="212488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diagramLayout" Target="diagrams/layout1.xml"/><Relationship Id="rId26" Type="http://schemas.openxmlformats.org/officeDocument/2006/relationships/header" Target="header3.xml"/><Relationship Id="rId39" Type="http://schemas.openxmlformats.org/officeDocument/2006/relationships/theme" Target="theme/theme1.xml"/><Relationship Id="rId21" Type="http://schemas.microsoft.com/office/2007/relationships/diagramDrawing" Target="diagrams/drawing1.xm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diagramData" Target="diagrams/data1.xm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diagramColors" Target="diagrams/colors1.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2.xml"/><Relationship Id="rId32" Type="http://schemas.openxmlformats.org/officeDocument/2006/relationships/header" Target="header6.xml"/><Relationship Id="rId37"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7B396.DE280530"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upravazasume.gov.rs/wp-content/uploads/2015/12/Strategija-razvoja-sumarstva.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magnus\Dropbox\SerbiaCC_Administration\Administration_02\Working%20Group\WG%20list%20per%20organis.type_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118087379861263"/>
          <c:y val="0.12450991039913116"/>
          <c:w val="0.40558677988183262"/>
          <c:h val="0.64433777112885104"/>
        </c:manualLayout>
      </c:layout>
      <c:pieChart>
        <c:varyColors val="1"/>
        <c:ser>
          <c:idx val="0"/>
          <c:order val="0"/>
          <c:spPr>
            <a:scene3d>
              <a:camera prst="orthographicFront"/>
              <a:lightRig rig="threePt" dir="t"/>
            </a:scene3d>
            <a:sp3d>
              <a:bevelT/>
            </a:sp3d>
          </c:spPr>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c:spPr>
            <c:extLst>
              <c:ext xmlns:c16="http://schemas.microsoft.com/office/drawing/2014/chart" uri="{C3380CC4-5D6E-409C-BE32-E72D297353CC}">
                <c16:uniqueId val="{00000001-D883-4BD9-BA48-E59D22C0058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c:spPr>
            <c:extLst>
              <c:ext xmlns:c16="http://schemas.microsoft.com/office/drawing/2014/chart" uri="{C3380CC4-5D6E-409C-BE32-E72D297353CC}">
                <c16:uniqueId val="{00000003-D883-4BD9-BA48-E59D22C0058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c:spPr>
            <c:extLst>
              <c:ext xmlns:c16="http://schemas.microsoft.com/office/drawing/2014/chart" uri="{C3380CC4-5D6E-409C-BE32-E72D297353CC}">
                <c16:uniqueId val="{00000005-D883-4BD9-BA48-E59D22C0058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c:spPr>
            <c:extLst>
              <c:ext xmlns:c16="http://schemas.microsoft.com/office/drawing/2014/chart" uri="{C3380CC4-5D6E-409C-BE32-E72D297353CC}">
                <c16:uniqueId val="{00000007-D883-4BD9-BA48-E59D22C0058F}"/>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c:spPr>
            <c:extLst>
              <c:ext xmlns:c16="http://schemas.microsoft.com/office/drawing/2014/chart" uri="{C3380CC4-5D6E-409C-BE32-E72D297353CC}">
                <c16:uniqueId val="{00000009-D883-4BD9-BA48-E59D22C0058F}"/>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c:spPr>
            <c:extLst>
              <c:ext xmlns:c16="http://schemas.microsoft.com/office/drawing/2014/chart" uri="{C3380CC4-5D6E-409C-BE32-E72D297353CC}">
                <c16:uniqueId val="{0000000B-D883-4BD9-BA48-E59D22C0058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Sheet1!$U$18:$U$23</c:f>
              <c:strCache>
                <c:ptCount val="6"/>
                <c:pt idx="0">
                  <c:v>Државна управа</c:v>
                </c:pt>
                <c:pt idx="1">
                  <c:v>НВО у области животне средине</c:v>
                </c:pt>
                <c:pt idx="2">
                  <c:v>Јавна предузећа </c:v>
                </c:pt>
                <c:pt idx="3">
                  <c:v>Академска заједница. </c:v>
                </c:pt>
                <c:pt idx="4">
                  <c:v>Пословне НВО</c:v>
                </c:pt>
                <c:pt idx="5">
                  <c:v>Остали партнери</c:v>
                </c:pt>
              </c:strCache>
            </c:strRef>
          </c:cat>
          <c:val>
            <c:numRef>
              <c:f>Sheet1!$V$18:$V$23</c:f>
              <c:numCache>
                <c:formatCode>General</c:formatCode>
                <c:ptCount val="6"/>
                <c:pt idx="0">
                  <c:v>20</c:v>
                </c:pt>
                <c:pt idx="1">
                  <c:v>5</c:v>
                </c:pt>
                <c:pt idx="2">
                  <c:v>9</c:v>
                </c:pt>
                <c:pt idx="3">
                  <c:v>6</c:v>
                </c:pt>
                <c:pt idx="4">
                  <c:v>4</c:v>
                </c:pt>
                <c:pt idx="5">
                  <c:v>1</c:v>
                </c:pt>
              </c:numCache>
            </c:numRef>
          </c:val>
          <c:extLst>
            <c:ext xmlns:c16="http://schemas.microsoft.com/office/drawing/2014/chart" uri="{C3380CC4-5D6E-409C-BE32-E72D297353CC}">
              <c16:uniqueId val="{0000000C-D883-4BD9-BA48-E59D22C0058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3.6113047552655577E-5"/>
          <c:y val="0.80285585122703562"/>
          <c:w val="0.98540366630282827"/>
          <c:h val="0.197144148772964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953214-78A5-441C-A6CA-B1A2C5A7EAC6}"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pt-PT"/>
        </a:p>
      </dgm:t>
    </dgm:pt>
    <dgm:pt modelId="{A30CABCD-436B-469E-8B51-11C9F22F1EA0}">
      <dgm:prSet phldrT="[Texto]"/>
      <dgm:spPr/>
      <dgm:t>
        <a:bodyPr/>
        <a:lstStyle/>
        <a:p>
          <a:r>
            <a:rPr lang="pt-PT"/>
            <a:t>План </a:t>
          </a:r>
          <a:r>
            <a:rPr lang="sr-Cyrl-RS"/>
            <a:t>праћења</a:t>
          </a:r>
          <a:endParaRPr lang="pt-PT"/>
        </a:p>
      </dgm:t>
    </dgm:pt>
    <dgm:pt modelId="{EF92DC75-B969-43F4-B242-852341A786E8}" type="parTrans" cxnId="{E52CBA5A-A5B1-40FB-9171-61649876006E}">
      <dgm:prSet/>
      <dgm:spPr/>
      <dgm:t>
        <a:bodyPr/>
        <a:lstStyle/>
        <a:p>
          <a:endParaRPr lang="pt-PT"/>
        </a:p>
      </dgm:t>
    </dgm:pt>
    <dgm:pt modelId="{5436F192-3332-4E73-956A-D621CCF1C826}" type="sibTrans" cxnId="{E52CBA5A-A5B1-40FB-9171-61649876006E}">
      <dgm:prSet/>
      <dgm:spPr/>
      <dgm:t>
        <a:bodyPr/>
        <a:lstStyle/>
        <a:p>
          <a:endParaRPr lang="pt-PT"/>
        </a:p>
      </dgm:t>
    </dgm:pt>
    <dgm:pt modelId="{0A48365B-F9E8-45CE-9789-0199B798431C}">
      <dgm:prSet phldrT="[Texto]"/>
      <dgm:spPr/>
      <dgm:t>
        <a:bodyPr/>
        <a:lstStyle/>
        <a:p>
          <a:r>
            <a:rPr lang="sl-SI"/>
            <a:t>Инвентар </a:t>
          </a:r>
          <a:r>
            <a:rPr lang="pt-PT"/>
            <a:t>GHG</a:t>
          </a:r>
        </a:p>
      </dgm:t>
    </dgm:pt>
    <dgm:pt modelId="{F3E65C51-A23D-47DF-A443-51CA416D1C5B}" type="parTrans" cxnId="{67AFBCFC-32C1-40E0-9A9E-6C76B52CA894}">
      <dgm:prSet/>
      <dgm:spPr/>
      <dgm:t>
        <a:bodyPr/>
        <a:lstStyle/>
        <a:p>
          <a:endParaRPr lang="pt-PT"/>
        </a:p>
      </dgm:t>
    </dgm:pt>
    <dgm:pt modelId="{B41BAA18-61F7-4E51-B315-71433BE0D757}" type="sibTrans" cxnId="{67AFBCFC-32C1-40E0-9A9E-6C76B52CA894}">
      <dgm:prSet/>
      <dgm:spPr/>
      <dgm:t>
        <a:bodyPr/>
        <a:lstStyle/>
        <a:p>
          <a:endParaRPr lang="pt-PT"/>
        </a:p>
      </dgm:t>
    </dgm:pt>
    <dgm:pt modelId="{21E7F800-ED1F-42F4-9883-A10E0A57ABFE}">
      <dgm:prSet phldrT="[Texto]"/>
      <dgm:spPr/>
      <dgm:t>
        <a:bodyPr/>
        <a:lstStyle/>
        <a:p>
          <a:r>
            <a:rPr lang="sl-SI"/>
            <a:t>Показатељи учинка</a:t>
          </a:r>
          <a:endParaRPr lang="pt-PT"/>
        </a:p>
      </dgm:t>
    </dgm:pt>
    <dgm:pt modelId="{8B614E84-C99C-4E04-AA50-2C2B9D0EF342}" type="parTrans" cxnId="{8644EC41-E109-4FD9-938A-B9C67B447AC2}">
      <dgm:prSet/>
      <dgm:spPr/>
      <dgm:t>
        <a:bodyPr/>
        <a:lstStyle/>
        <a:p>
          <a:endParaRPr lang="pt-PT"/>
        </a:p>
      </dgm:t>
    </dgm:pt>
    <dgm:pt modelId="{CE2883B2-7EF4-4D14-973C-793B46497B55}" type="sibTrans" cxnId="{8644EC41-E109-4FD9-938A-B9C67B447AC2}">
      <dgm:prSet/>
      <dgm:spPr/>
      <dgm:t>
        <a:bodyPr/>
        <a:lstStyle/>
        <a:p>
          <a:endParaRPr lang="pt-PT"/>
        </a:p>
      </dgm:t>
    </dgm:pt>
    <dgm:pt modelId="{101CCD57-627C-466B-A785-2C4959E378AA}">
      <dgm:prSet phldrT="[Texto]"/>
      <dgm:spPr/>
      <dgm:t>
        <a:bodyPr/>
        <a:lstStyle/>
        <a:p>
          <a:r>
            <a:rPr lang="sl-SI"/>
            <a:t>Спровођење</a:t>
          </a:r>
          <a:endParaRPr lang="pt-PT"/>
        </a:p>
      </dgm:t>
    </dgm:pt>
    <dgm:pt modelId="{40D9F5A0-8A7E-4D73-81F7-D598B16E7784}" type="parTrans" cxnId="{B9E223A5-DFF6-4B64-B1D2-BE96EFCA24BA}">
      <dgm:prSet/>
      <dgm:spPr/>
      <dgm:t>
        <a:bodyPr/>
        <a:lstStyle/>
        <a:p>
          <a:endParaRPr lang="pt-PT"/>
        </a:p>
      </dgm:t>
    </dgm:pt>
    <dgm:pt modelId="{4BA28DC6-E83A-45AF-B3EB-478F3ED197DF}" type="sibTrans" cxnId="{B9E223A5-DFF6-4B64-B1D2-BE96EFCA24BA}">
      <dgm:prSet/>
      <dgm:spPr/>
      <dgm:t>
        <a:bodyPr/>
        <a:lstStyle/>
        <a:p>
          <a:endParaRPr lang="pt-PT"/>
        </a:p>
      </dgm:t>
    </dgm:pt>
    <dgm:pt modelId="{14CB94CD-5CF3-4BB8-A1ED-5A488C8FACCD}">
      <dgm:prSet phldrT="[Texto]"/>
      <dgm:spPr/>
      <dgm:t>
        <a:bodyPr/>
        <a:lstStyle/>
        <a:p>
          <a:r>
            <a:rPr lang="pt-PT"/>
            <a:t>Ре</a:t>
          </a:r>
          <a:r>
            <a:rPr lang="sl-SI"/>
            <a:t>зултати</a:t>
          </a:r>
          <a:endParaRPr lang="pt-PT"/>
        </a:p>
      </dgm:t>
    </dgm:pt>
    <dgm:pt modelId="{586B6C7B-3449-4E77-A62C-2EF8016494C7}" type="parTrans" cxnId="{13EF5792-35B7-471A-B964-68199C08F4EB}">
      <dgm:prSet/>
      <dgm:spPr/>
      <dgm:t>
        <a:bodyPr/>
        <a:lstStyle/>
        <a:p>
          <a:endParaRPr lang="pt-PT"/>
        </a:p>
      </dgm:t>
    </dgm:pt>
    <dgm:pt modelId="{8CDF7904-50A0-4066-B758-3674B98BD22E}" type="sibTrans" cxnId="{13EF5792-35B7-471A-B964-68199C08F4EB}">
      <dgm:prSet/>
      <dgm:spPr/>
      <dgm:t>
        <a:bodyPr/>
        <a:lstStyle/>
        <a:p>
          <a:endParaRPr lang="pt-PT"/>
        </a:p>
      </dgm:t>
    </dgm:pt>
    <dgm:pt modelId="{2F600157-264F-4207-A08A-21CDF94A8720}">
      <dgm:prSet phldrT="[Texto]"/>
      <dgm:spPr/>
      <dgm:t>
        <a:bodyPr/>
        <a:lstStyle/>
        <a:p>
          <a:r>
            <a:rPr lang="sl-SI"/>
            <a:t>Ниво посебних циљева</a:t>
          </a:r>
          <a:endParaRPr lang="pt-PT"/>
        </a:p>
      </dgm:t>
    </dgm:pt>
    <dgm:pt modelId="{1AC68833-9C14-42AE-8772-DD596A389AA3}" type="parTrans" cxnId="{F270FF9E-4082-4452-8D4E-EC97261AD059}">
      <dgm:prSet/>
      <dgm:spPr/>
      <dgm:t>
        <a:bodyPr/>
        <a:lstStyle/>
        <a:p>
          <a:endParaRPr lang="pt-PT"/>
        </a:p>
      </dgm:t>
    </dgm:pt>
    <dgm:pt modelId="{EBDD2B11-CE01-4B8B-8A43-1A762680F117}" type="sibTrans" cxnId="{F270FF9E-4082-4452-8D4E-EC97261AD059}">
      <dgm:prSet/>
      <dgm:spPr/>
      <dgm:t>
        <a:bodyPr/>
        <a:lstStyle/>
        <a:p>
          <a:endParaRPr lang="pt-PT"/>
        </a:p>
      </dgm:t>
    </dgm:pt>
    <dgm:pt modelId="{FBA4E7D2-C180-4434-A7EB-44A48683FA4B}">
      <dgm:prSet phldrT="[Texto]"/>
      <dgm:spPr/>
      <dgm:t>
        <a:bodyPr/>
        <a:lstStyle/>
        <a:p>
          <a:r>
            <a:rPr lang="sl-SI"/>
            <a:t>Ниво Мере</a:t>
          </a:r>
          <a:endParaRPr lang="pt-PT"/>
        </a:p>
      </dgm:t>
    </dgm:pt>
    <dgm:pt modelId="{9E0E3D06-E6AD-46CB-ABE6-29FC3EE9CAD4}" type="parTrans" cxnId="{D263D153-8C3E-45CE-9CB1-BDC77484BC87}">
      <dgm:prSet/>
      <dgm:spPr/>
      <dgm:t>
        <a:bodyPr/>
        <a:lstStyle/>
        <a:p>
          <a:endParaRPr lang="pt-PT"/>
        </a:p>
      </dgm:t>
    </dgm:pt>
    <dgm:pt modelId="{A5DD5F44-2419-4349-B1AE-537722A586A3}" type="sibTrans" cxnId="{D263D153-8C3E-45CE-9CB1-BDC77484BC87}">
      <dgm:prSet/>
      <dgm:spPr/>
      <dgm:t>
        <a:bodyPr/>
        <a:lstStyle/>
        <a:p>
          <a:endParaRPr lang="pt-PT"/>
        </a:p>
      </dgm:t>
    </dgm:pt>
    <dgm:pt modelId="{D873AE0A-57DC-4BFE-9D6A-8F24C6B5A9CA}" type="pres">
      <dgm:prSet presAssocID="{B5953214-78A5-441C-A6CA-B1A2C5A7EAC6}" presName="Name0" presStyleCnt="0">
        <dgm:presLayoutVars>
          <dgm:orgChart val="1"/>
          <dgm:chPref val="1"/>
          <dgm:dir/>
          <dgm:animOne val="branch"/>
          <dgm:animLvl val="lvl"/>
          <dgm:resizeHandles/>
        </dgm:presLayoutVars>
      </dgm:prSet>
      <dgm:spPr/>
    </dgm:pt>
    <dgm:pt modelId="{5B768E10-8898-42AA-9B8D-9BD554B7D02D}" type="pres">
      <dgm:prSet presAssocID="{A30CABCD-436B-469E-8B51-11C9F22F1EA0}" presName="hierRoot1" presStyleCnt="0">
        <dgm:presLayoutVars>
          <dgm:hierBranch val="init"/>
        </dgm:presLayoutVars>
      </dgm:prSet>
      <dgm:spPr/>
    </dgm:pt>
    <dgm:pt modelId="{B0C20EE5-9801-4B76-9B5E-B3F27DB29519}" type="pres">
      <dgm:prSet presAssocID="{A30CABCD-436B-469E-8B51-11C9F22F1EA0}" presName="rootComposite1" presStyleCnt="0"/>
      <dgm:spPr/>
    </dgm:pt>
    <dgm:pt modelId="{6C17D8F0-CFBE-4880-AF67-7BDB19F10816}" type="pres">
      <dgm:prSet presAssocID="{A30CABCD-436B-469E-8B51-11C9F22F1EA0}" presName="rootText1" presStyleLbl="alignAcc1" presStyleIdx="0" presStyleCnt="0">
        <dgm:presLayoutVars>
          <dgm:chPref val="3"/>
        </dgm:presLayoutVars>
      </dgm:prSet>
      <dgm:spPr/>
    </dgm:pt>
    <dgm:pt modelId="{EEF721E9-E9E7-41AA-B15B-5767CF807CE4}" type="pres">
      <dgm:prSet presAssocID="{A30CABCD-436B-469E-8B51-11C9F22F1EA0}" presName="topArc1" presStyleLbl="parChTrans1D1" presStyleIdx="0" presStyleCnt="14"/>
      <dgm:spPr/>
    </dgm:pt>
    <dgm:pt modelId="{68C24C07-EB2B-44E9-803D-1A4977F82DA6}" type="pres">
      <dgm:prSet presAssocID="{A30CABCD-436B-469E-8B51-11C9F22F1EA0}" presName="bottomArc1" presStyleLbl="parChTrans1D1" presStyleIdx="1" presStyleCnt="14"/>
      <dgm:spPr/>
    </dgm:pt>
    <dgm:pt modelId="{8F31BA08-D997-4AC8-83AD-CF1EE7B1F32E}" type="pres">
      <dgm:prSet presAssocID="{A30CABCD-436B-469E-8B51-11C9F22F1EA0}" presName="topConnNode1" presStyleLbl="node1" presStyleIdx="0" presStyleCnt="0"/>
      <dgm:spPr/>
    </dgm:pt>
    <dgm:pt modelId="{E52241D2-3E18-4FF4-838F-39CE17D1E0C6}" type="pres">
      <dgm:prSet presAssocID="{A30CABCD-436B-469E-8B51-11C9F22F1EA0}" presName="hierChild2" presStyleCnt="0"/>
      <dgm:spPr/>
    </dgm:pt>
    <dgm:pt modelId="{097DF936-7A0A-488C-89E5-5917AEEEC870}" type="pres">
      <dgm:prSet presAssocID="{F3E65C51-A23D-47DF-A443-51CA416D1C5B}" presName="Name28" presStyleLbl="parChTrans1D2" presStyleIdx="0" presStyleCnt="2"/>
      <dgm:spPr/>
    </dgm:pt>
    <dgm:pt modelId="{4D5B8D65-2018-457D-8914-DC1687FE4136}" type="pres">
      <dgm:prSet presAssocID="{0A48365B-F9E8-45CE-9789-0199B798431C}" presName="hierRoot2" presStyleCnt="0">
        <dgm:presLayoutVars>
          <dgm:hierBranch val="init"/>
        </dgm:presLayoutVars>
      </dgm:prSet>
      <dgm:spPr/>
    </dgm:pt>
    <dgm:pt modelId="{FE4562AA-8A2C-418A-AA16-1DC92E5B5611}" type="pres">
      <dgm:prSet presAssocID="{0A48365B-F9E8-45CE-9789-0199B798431C}" presName="rootComposite2" presStyleCnt="0"/>
      <dgm:spPr/>
    </dgm:pt>
    <dgm:pt modelId="{55438718-14EC-4ED0-868B-4F2F4733DD9A}" type="pres">
      <dgm:prSet presAssocID="{0A48365B-F9E8-45CE-9789-0199B798431C}" presName="rootText2" presStyleLbl="alignAcc1" presStyleIdx="0" presStyleCnt="0">
        <dgm:presLayoutVars>
          <dgm:chPref val="3"/>
        </dgm:presLayoutVars>
      </dgm:prSet>
      <dgm:spPr/>
    </dgm:pt>
    <dgm:pt modelId="{05612471-44D0-4ED2-B7D7-6698877486F2}" type="pres">
      <dgm:prSet presAssocID="{0A48365B-F9E8-45CE-9789-0199B798431C}" presName="topArc2" presStyleLbl="parChTrans1D1" presStyleIdx="2" presStyleCnt="14"/>
      <dgm:spPr/>
    </dgm:pt>
    <dgm:pt modelId="{924554A6-1567-438C-89C4-44D4DF01382C}" type="pres">
      <dgm:prSet presAssocID="{0A48365B-F9E8-45CE-9789-0199B798431C}" presName="bottomArc2" presStyleLbl="parChTrans1D1" presStyleIdx="3" presStyleCnt="14"/>
      <dgm:spPr/>
    </dgm:pt>
    <dgm:pt modelId="{39479FAE-5E3B-448D-B5FA-A7A61623A8C1}" type="pres">
      <dgm:prSet presAssocID="{0A48365B-F9E8-45CE-9789-0199B798431C}" presName="topConnNode2" presStyleLbl="node2" presStyleIdx="0" presStyleCnt="0"/>
      <dgm:spPr/>
    </dgm:pt>
    <dgm:pt modelId="{B04BD1C0-DC6C-46BC-84AB-9709E082B41B}" type="pres">
      <dgm:prSet presAssocID="{0A48365B-F9E8-45CE-9789-0199B798431C}" presName="hierChild4" presStyleCnt="0"/>
      <dgm:spPr/>
    </dgm:pt>
    <dgm:pt modelId="{AE19E34E-7E0C-431D-83D7-7FB87E9C7183}" type="pres">
      <dgm:prSet presAssocID="{0A48365B-F9E8-45CE-9789-0199B798431C}" presName="hierChild5" presStyleCnt="0"/>
      <dgm:spPr/>
    </dgm:pt>
    <dgm:pt modelId="{4980ADFB-6FD5-470C-A91C-47644FFC5624}" type="pres">
      <dgm:prSet presAssocID="{8B614E84-C99C-4E04-AA50-2C2B9D0EF342}" presName="Name28" presStyleLbl="parChTrans1D2" presStyleIdx="1" presStyleCnt="2"/>
      <dgm:spPr/>
    </dgm:pt>
    <dgm:pt modelId="{F3BB9024-B79B-4035-91A6-E4DCC6B60E92}" type="pres">
      <dgm:prSet presAssocID="{21E7F800-ED1F-42F4-9883-A10E0A57ABFE}" presName="hierRoot2" presStyleCnt="0">
        <dgm:presLayoutVars>
          <dgm:hierBranch val="init"/>
        </dgm:presLayoutVars>
      </dgm:prSet>
      <dgm:spPr/>
    </dgm:pt>
    <dgm:pt modelId="{F4090E01-BFD1-4078-AA19-48F22325130D}" type="pres">
      <dgm:prSet presAssocID="{21E7F800-ED1F-42F4-9883-A10E0A57ABFE}" presName="rootComposite2" presStyleCnt="0"/>
      <dgm:spPr/>
    </dgm:pt>
    <dgm:pt modelId="{08526FF3-E7F7-4675-92B8-2ED946BD86A2}" type="pres">
      <dgm:prSet presAssocID="{21E7F800-ED1F-42F4-9883-A10E0A57ABFE}" presName="rootText2" presStyleLbl="alignAcc1" presStyleIdx="0" presStyleCnt="0">
        <dgm:presLayoutVars>
          <dgm:chPref val="3"/>
        </dgm:presLayoutVars>
      </dgm:prSet>
      <dgm:spPr/>
    </dgm:pt>
    <dgm:pt modelId="{EE59E121-0709-4E82-AD5C-3CB47C118BAB}" type="pres">
      <dgm:prSet presAssocID="{21E7F800-ED1F-42F4-9883-A10E0A57ABFE}" presName="topArc2" presStyleLbl="parChTrans1D1" presStyleIdx="4" presStyleCnt="14"/>
      <dgm:spPr/>
    </dgm:pt>
    <dgm:pt modelId="{1DC3F627-4EDC-4F4E-99BB-F75F319C0D4B}" type="pres">
      <dgm:prSet presAssocID="{21E7F800-ED1F-42F4-9883-A10E0A57ABFE}" presName="bottomArc2" presStyleLbl="parChTrans1D1" presStyleIdx="5" presStyleCnt="14"/>
      <dgm:spPr/>
    </dgm:pt>
    <dgm:pt modelId="{7E97785B-7059-4A2D-A3D7-7DB18A9A4CFB}" type="pres">
      <dgm:prSet presAssocID="{21E7F800-ED1F-42F4-9883-A10E0A57ABFE}" presName="topConnNode2" presStyleLbl="node2" presStyleIdx="0" presStyleCnt="0"/>
      <dgm:spPr/>
    </dgm:pt>
    <dgm:pt modelId="{153ACBC2-9B33-4508-936C-7B985588B54F}" type="pres">
      <dgm:prSet presAssocID="{21E7F800-ED1F-42F4-9883-A10E0A57ABFE}" presName="hierChild4" presStyleCnt="0"/>
      <dgm:spPr/>
    </dgm:pt>
    <dgm:pt modelId="{4B12B161-2B30-4763-A28D-0997265BD948}" type="pres">
      <dgm:prSet presAssocID="{1AC68833-9C14-42AE-8772-DD596A389AA3}" presName="Name28" presStyleLbl="parChTrans1D3" presStyleIdx="0" presStyleCnt="2"/>
      <dgm:spPr/>
    </dgm:pt>
    <dgm:pt modelId="{84EC5D55-9896-4842-8DF9-A9B6CE5A5F26}" type="pres">
      <dgm:prSet presAssocID="{2F600157-264F-4207-A08A-21CDF94A8720}" presName="hierRoot2" presStyleCnt="0">
        <dgm:presLayoutVars>
          <dgm:hierBranch val="init"/>
        </dgm:presLayoutVars>
      </dgm:prSet>
      <dgm:spPr/>
    </dgm:pt>
    <dgm:pt modelId="{AB6C5650-48BE-489A-BCEA-DD1180919C5C}" type="pres">
      <dgm:prSet presAssocID="{2F600157-264F-4207-A08A-21CDF94A8720}" presName="rootComposite2" presStyleCnt="0"/>
      <dgm:spPr/>
    </dgm:pt>
    <dgm:pt modelId="{6B1A06C0-C9C2-4DA6-A215-4FF0BAFAECF7}" type="pres">
      <dgm:prSet presAssocID="{2F600157-264F-4207-A08A-21CDF94A8720}" presName="rootText2" presStyleLbl="alignAcc1" presStyleIdx="0" presStyleCnt="0">
        <dgm:presLayoutVars>
          <dgm:chPref val="3"/>
        </dgm:presLayoutVars>
      </dgm:prSet>
      <dgm:spPr/>
    </dgm:pt>
    <dgm:pt modelId="{A8558C7D-0087-4C03-8101-469D7608B7E8}" type="pres">
      <dgm:prSet presAssocID="{2F600157-264F-4207-A08A-21CDF94A8720}" presName="topArc2" presStyleLbl="parChTrans1D1" presStyleIdx="6" presStyleCnt="14"/>
      <dgm:spPr/>
    </dgm:pt>
    <dgm:pt modelId="{06F2EEFF-C0DE-4AEB-AA32-42815D13D0C2}" type="pres">
      <dgm:prSet presAssocID="{2F600157-264F-4207-A08A-21CDF94A8720}" presName="bottomArc2" presStyleLbl="parChTrans1D1" presStyleIdx="7" presStyleCnt="14"/>
      <dgm:spPr/>
    </dgm:pt>
    <dgm:pt modelId="{2DB13E38-3981-45B5-BD30-CA31D20A94CF}" type="pres">
      <dgm:prSet presAssocID="{2F600157-264F-4207-A08A-21CDF94A8720}" presName="topConnNode2" presStyleLbl="node3" presStyleIdx="0" presStyleCnt="0"/>
      <dgm:spPr/>
    </dgm:pt>
    <dgm:pt modelId="{5A966922-5E4F-48E4-A2B9-782BBC6A4164}" type="pres">
      <dgm:prSet presAssocID="{2F600157-264F-4207-A08A-21CDF94A8720}" presName="hierChild4" presStyleCnt="0"/>
      <dgm:spPr/>
    </dgm:pt>
    <dgm:pt modelId="{6DE04668-8121-4B9E-8895-B4734B4866CA}" type="pres">
      <dgm:prSet presAssocID="{2F600157-264F-4207-A08A-21CDF94A8720}" presName="hierChild5" presStyleCnt="0"/>
      <dgm:spPr/>
    </dgm:pt>
    <dgm:pt modelId="{39057811-966E-4800-B1C6-0E815A39A1DF}" type="pres">
      <dgm:prSet presAssocID="{9E0E3D06-E6AD-46CB-ABE6-29FC3EE9CAD4}" presName="Name28" presStyleLbl="parChTrans1D3" presStyleIdx="1" presStyleCnt="2"/>
      <dgm:spPr/>
    </dgm:pt>
    <dgm:pt modelId="{E5396025-8E56-48A7-8744-4A6026A8837C}" type="pres">
      <dgm:prSet presAssocID="{FBA4E7D2-C180-4434-A7EB-44A48683FA4B}" presName="hierRoot2" presStyleCnt="0">
        <dgm:presLayoutVars>
          <dgm:hierBranch val="init"/>
        </dgm:presLayoutVars>
      </dgm:prSet>
      <dgm:spPr/>
    </dgm:pt>
    <dgm:pt modelId="{1815713C-E92E-4D3B-B96D-859EA1CD8C55}" type="pres">
      <dgm:prSet presAssocID="{FBA4E7D2-C180-4434-A7EB-44A48683FA4B}" presName="rootComposite2" presStyleCnt="0"/>
      <dgm:spPr/>
    </dgm:pt>
    <dgm:pt modelId="{70B99088-1DD2-4D89-8572-E39C84785B74}" type="pres">
      <dgm:prSet presAssocID="{FBA4E7D2-C180-4434-A7EB-44A48683FA4B}" presName="rootText2" presStyleLbl="alignAcc1" presStyleIdx="0" presStyleCnt="0">
        <dgm:presLayoutVars>
          <dgm:chPref val="3"/>
        </dgm:presLayoutVars>
      </dgm:prSet>
      <dgm:spPr/>
    </dgm:pt>
    <dgm:pt modelId="{47795C8A-36B1-45E0-B88C-CC119160689D}" type="pres">
      <dgm:prSet presAssocID="{FBA4E7D2-C180-4434-A7EB-44A48683FA4B}" presName="topArc2" presStyleLbl="parChTrans1D1" presStyleIdx="8" presStyleCnt="14"/>
      <dgm:spPr/>
    </dgm:pt>
    <dgm:pt modelId="{A1285403-CCE7-4920-AFDD-34CD7DAF88ED}" type="pres">
      <dgm:prSet presAssocID="{FBA4E7D2-C180-4434-A7EB-44A48683FA4B}" presName="bottomArc2" presStyleLbl="parChTrans1D1" presStyleIdx="9" presStyleCnt="14"/>
      <dgm:spPr/>
    </dgm:pt>
    <dgm:pt modelId="{B9A36C74-EB36-44CA-B9F7-5A63D37D3647}" type="pres">
      <dgm:prSet presAssocID="{FBA4E7D2-C180-4434-A7EB-44A48683FA4B}" presName="topConnNode2" presStyleLbl="node3" presStyleIdx="0" presStyleCnt="0"/>
      <dgm:spPr/>
    </dgm:pt>
    <dgm:pt modelId="{DBF9BC16-D875-477C-9D4B-25E17FD732A8}" type="pres">
      <dgm:prSet presAssocID="{FBA4E7D2-C180-4434-A7EB-44A48683FA4B}" presName="hierChild4" presStyleCnt="0"/>
      <dgm:spPr/>
    </dgm:pt>
    <dgm:pt modelId="{DBBB616E-1702-4282-BF20-E97E3BB723C1}" type="pres">
      <dgm:prSet presAssocID="{40D9F5A0-8A7E-4D73-81F7-D598B16E7784}" presName="Name28" presStyleLbl="parChTrans1D4" presStyleIdx="0" presStyleCnt="2"/>
      <dgm:spPr/>
    </dgm:pt>
    <dgm:pt modelId="{0F68C86B-5788-493B-9A69-97E8F1688DDC}" type="pres">
      <dgm:prSet presAssocID="{101CCD57-627C-466B-A785-2C4959E378AA}" presName="hierRoot2" presStyleCnt="0">
        <dgm:presLayoutVars>
          <dgm:hierBranch val="init"/>
        </dgm:presLayoutVars>
      </dgm:prSet>
      <dgm:spPr/>
    </dgm:pt>
    <dgm:pt modelId="{6C194048-B407-4241-A8AE-24346D62DE53}" type="pres">
      <dgm:prSet presAssocID="{101CCD57-627C-466B-A785-2C4959E378AA}" presName="rootComposite2" presStyleCnt="0"/>
      <dgm:spPr/>
    </dgm:pt>
    <dgm:pt modelId="{BFE83A2C-7CD7-4A28-91FA-B56526B2AE30}" type="pres">
      <dgm:prSet presAssocID="{101CCD57-627C-466B-A785-2C4959E378AA}" presName="rootText2" presStyleLbl="alignAcc1" presStyleIdx="0" presStyleCnt="0">
        <dgm:presLayoutVars>
          <dgm:chPref val="3"/>
        </dgm:presLayoutVars>
      </dgm:prSet>
      <dgm:spPr/>
    </dgm:pt>
    <dgm:pt modelId="{1821BFBB-4F19-4ED0-805C-A41C1E842338}" type="pres">
      <dgm:prSet presAssocID="{101CCD57-627C-466B-A785-2C4959E378AA}" presName="topArc2" presStyleLbl="parChTrans1D1" presStyleIdx="10" presStyleCnt="14"/>
      <dgm:spPr/>
    </dgm:pt>
    <dgm:pt modelId="{4443890F-39C6-4065-82B2-81ADADB6A7F8}" type="pres">
      <dgm:prSet presAssocID="{101CCD57-627C-466B-A785-2C4959E378AA}" presName="bottomArc2" presStyleLbl="parChTrans1D1" presStyleIdx="11" presStyleCnt="14"/>
      <dgm:spPr/>
    </dgm:pt>
    <dgm:pt modelId="{5728441A-9E55-46D7-8619-755F26EFE673}" type="pres">
      <dgm:prSet presAssocID="{101CCD57-627C-466B-A785-2C4959E378AA}" presName="topConnNode2" presStyleLbl="node4" presStyleIdx="0" presStyleCnt="0"/>
      <dgm:spPr/>
    </dgm:pt>
    <dgm:pt modelId="{CA270E8F-E45A-445B-88E1-E71B880711AC}" type="pres">
      <dgm:prSet presAssocID="{101CCD57-627C-466B-A785-2C4959E378AA}" presName="hierChild4" presStyleCnt="0"/>
      <dgm:spPr/>
    </dgm:pt>
    <dgm:pt modelId="{3AB700AF-993F-4FD9-A909-A2118D00B291}" type="pres">
      <dgm:prSet presAssocID="{101CCD57-627C-466B-A785-2C4959E378AA}" presName="hierChild5" presStyleCnt="0"/>
      <dgm:spPr/>
    </dgm:pt>
    <dgm:pt modelId="{67AE7737-4A35-404D-ACF4-2ED837F0EAB6}" type="pres">
      <dgm:prSet presAssocID="{586B6C7B-3449-4E77-A62C-2EF8016494C7}" presName="Name28" presStyleLbl="parChTrans1D4" presStyleIdx="1" presStyleCnt="2"/>
      <dgm:spPr/>
    </dgm:pt>
    <dgm:pt modelId="{BA8C3C7D-1AF3-4135-BDE9-E4CB0B27FCAC}" type="pres">
      <dgm:prSet presAssocID="{14CB94CD-5CF3-4BB8-A1ED-5A488C8FACCD}" presName="hierRoot2" presStyleCnt="0">
        <dgm:presLayoutVars>
          <dgm:hierBranch val="init"/>
        </dgm:presLayoutVars>
      </dgm:prSet>
      <dgm:spPr/>
    </dgm:pt>
    <dgm:pt modelId="{B386FE69-88C6-4B69-A5AA-3841BB74231C}" type="pres">
      <dgm:prSet presAssocID="{14CB94CD-5CF3-4BB8-A1ED-5A488C8FACCD}" presName="rootComposite2" presStyleCnt="0"/>
      <dgm:spPr/>
    </dgm:pt>
    <dgm:pt modelId="{E8AF2F83-6ED6-4D55-AC88-5C4B76A5EF57}" type="pres">
      <dgm:prSet presAssocID="{14CB94CD-5CF3-4BB8-A1ED-5A488C8FACCD}" presName="rootText2" presStyleLbl="alignAcc1" presStyleIdx="0" presStyleCnt="0">
        <dgm:presLayoutVars>
          <dgm:chPref val="3"/>
        </dgm:presLayoutVars>
      </dgm:prSet>
      <dgm:spPr/>
    </dgm:pt>
    <dgm:pt modelId="{0958A437-9A4E-49F2-B199-A80E5293F8AB}" type="pres">
      <dgm:prSet presAssocID="{14CB94CD-5CF3-4BB8-A1ED-5A488C8FACCD}" presName="topArc2" presStyleLbl="parChTrans1D1" presStyleIdx="12" presStyleCnt="14"/>
      <dgm:spPr/>
    </dgm:pt>
    <dgm:pt modelId="{4CEEFA64-6E38-4B91-9B30-F756DD1657D8}" type="pres">
      <dgm:prSet presAssocID="{14CB94CD-5CF3-4BB8-A1ED-5A488C8FACCD}" presName="bottomArc2" presStyleLbl="parChTrans1D1" presStyleIdx="13" presStyleCnt="14"/>
      <dgm:spPr/>
    </dgm:pt>
    <dgm:pt modelId="{D9B219E3-0BFD-4758-A22B-3027DCAB4366}" type="pres">
      <dgm:prSet presAssocID="{14CB94CD-5CF3-4BB8-A1ED-5A488C8FACCD}" presName="topConnNode2" presStyleLbl="node4" presStyleIdx="0" presStyleCnt="0"/>
      <dgm:spPr/>
    </dgm:pt>
    <dgm:pt modelId="{2F8D39A8-3BF7-4366-AEB9-B15C9E63ECD9}" type="pres">
      <dgm:prSet presAssocID="{14CB94CD-5CF3-4BB8-A1ED-5A488C8FACCD}" presName="hierChild4" presStyleCnt="0"/>
      <dgm:spPr/>
    </dgm:pt>
    <dgm:pt modelId="{ED244315-3431-46C5-A51E-EF97A50AC58B}" type="pres">
      <dgm:prSet presAssocID="{14CB94CD-5CF3-4BB8-A1ED-5A488C8FACCD}" presName="hierChild5" presStyleCnt="0"/>
      <dgm:spPr/>
    </dgm:pt>
    <dgm:pt modelId="{34D64A1E-4546-4F6E-9437-02C51C977AE3}" type="pres">
      <dgm:prSet presAssocID="{FBA4E7D2-C180-4434-A7EB-44A48683FA4B}" presName="hierChild5" presStyleCnt="0"/>
      <dgm:spPr/>
    </dgm:pt>
    <dgm:pt modelId="{E5ECF2FE-EF00-4CD3-93A3-A943A8936232}" type="pres">
      <dgm:prSet presAssocID="{21E7F800-ED1F-42F4-9883-A10E0A57ABFE}" presName="hierChild5" presStyleCnt="0"/>
      <dgm:spPr/>
    </dgm:pt>
    <dgm:pt modelId="{458B0995-D4F7-4457-BCDF-8B20C0B61E53}" type="pres">
      <dgm:prSet presAssocID="{A30CABCD-436B-469E-8B51-11C9F22F1EA0}" presName="hierChild3" presStyleCnt="0"/>
      <dgm:spPr/>
    </dgm:pt>
  </dgm:ptLst>
  <dgm:cxnLst>
    <dgm:cxn modelId="{E1925602-BD93-4583-ABD8-5E5AD6B4E27E}" type="presOf" srcId="{21E7F800-ED1F-42F4-9883-A10E0A57ABFE}" destId="{7E97785B-7059-4A2D-A3D7-7DB18A9A4CFB}" srcOrd="1" destOrd="0" presId="urn:microsoft.com/office/officeart/2008/layout/HalfCircleOrganizationChart"/>
    <dgm:cxn modelId="{41578112-28BD-471A-82AA-3889C45CC5F5}" type="presOf" srcId="{586B6C7B-3449-4E77-A62C-2EF8016494C7}" destId="{67AE7737-4A35-404D-ACF4-2ED837F0EAB6}" srcOrd="0" destOrd="0" presId="urn:microsoft.com/office/officeart/2008/layout/HalfCircleOrganizationChart"/>
    <dgm:cxn modelId="{C6DA471C-A1DE-44EB-B2C7-2F28711D7C96}" type="presOf" srcId="{A30CABCD-436B-469E-8B51-11C9F22F1EA0}" destId="{6C17D8F0-CFBE-4880-AF67-7BDB19F10816}" srcOrd="0" destOrd="0" presId="urn:microsoft.com/office/officeart/2008/layout/HalfCircleOrganizationChart"/>
    <dgm:cxn modelId="{8644EC41-E109-4FD9-938A-B9C67B447AC2}" srcId="{A30CABCD-436B-469E-8B51-11C9F22F1EA0}" destId="{21E7F800-ED1F-42F4-9883-A10E0A57ABFE}" srcOrd="1" destOrd="0" parTransId="{8B614E84-C99C-4E04-AA50-2C2B9D0EF342}" sibTransId="{CE2883B2-7EF4-4D14-973C-793B46497B55}"/>
    <dgm:cxn modelId="{6F8FDB6B-EE9B-496C-B4D4-B9A336C8A497}" type="presOf" srcId="{40D9F5A0-8A7E-4D73-81F7-D598B16E7784}" destId="{DBBB616E-1702-4282-BF20-E97E3BB723C1}" srcOrd="0" destOrd="0" presId="urn:microsoft.com/office/officeart/2008/layout/HalfCircleOrganizationChart"/>
    <dgm:cxn modelId="{838C296F-350A-4A08-BF5F-5E781535CAF5}" type="presOf" srcId="{101CCD57-627C-466B-A785-2C4959E378AA}" destId="{5728441A-9E55-46D7-8619-755F26EFE673}" srcOrd="1" destOrd="0" presId="urn:microsoft.com/office/officeart/2008/layout/HalfCircleOrganizationChart"/>
    <dgm:cxn modelId="{CE456250-171C-4F45-8D1E-34822B77626F}" type="presOf" srcId="{B5953214-78A5-441C-A6CA-B1A2C5A7EAC6}" destId="{D873AE0A-57DC-4BFE-9D6A-8F24C6B5A9CA}" srcOrd="0" destOrd="0" presId="urn:microsoft.com/office/officeart/2008/layout/HalfCircleOrganizationChart"/>
    <dgm:cxn modelId="{BEA13E71-95AE-46C4-AF6E-AA54CC4EC276}" type="presOf" srcId="{1AC68833-9C14-42AE-8772-DD596A389AA3}" destId="{4B12B161-2B30-4763-A28D-0997265BD948}" srcOrd="0" destOrd="0" presId="urn:microsoft.com/office/officeart/2008/layout/HalfCircleOrganizationChart"/>
    <dgm:cxn modelId="{57254453-41CE-4833-A0E4-5712AEFF4CCE}" type="presOf" srcId="{FBA4E7D2-C180-4434-A7EB-44A48683FA4B}" destId="{B9A36C74-EB36-44CA-B9F7-5A63D37D3647}" srcOrd="1" destOrd="0" presId="urn:microsoft.com/office/officeart/2008/layout/HalfCircleOrganizationChart"/>
    <dgm:cxn modelId="{D263D153-8C3E-45CE-9CB1-BDC77484BC87}" srcId="{21E7F800-ED1F-42F4-9883-A10E0A57ABFE}" destId="{FBA4E7D2-C180-4434-A7EB-44A48683FA4B}" srcOrd="1" destOrd="0" parTransId="{9E0E3D06-E6AD-46CB-ABE6-29FC3EE9CAD4}" sibTransId="{A5DD5F44-2419-4349-B1AE-537722A586A3}"/>
    <dgm:cxn modelId="{0F76A955-CDD2-4851-B520-9367FF9A961A}" type="presOf" srcId="{0A48365B-F9E8-45CE-9789-0199B798431C}" destId="{39479FAE-5E3B-448D-B5FA-A7A61623A8C1}" srcOrd="1" destOrd="0" presId="urn:microsoft.com/office/officeart/2008/layout/HalfCircleOrganizationChart"/>
    <dgm:cxn modelId="{F6140959-A197-4437-83A7-D7D4B9312075}" type="presOf" srcId="{0A48365B-F9E8-45CE-9789-0199B798431C}" destId="{55438718-14EC-4ED0-868B-4F2F4733DD9A}" srcOrd="0" destOrd="0" presId="urn:microsoft.com/office/officeart/2008/layout/HalfCircleOrganizationChart"/>
    <dgm:cxn modelId="{E52CBA5A-A5B1-40FB-9171-61649876006E}" srcId="{B5953214-78A5-441C-A6CA-B1A2C5A7EAC6}" destId="{A30CABCD-436B-469E-8B51-11C9F22F1EA0}" srcOrd="0" destOrd="0" parTransId="{EF92DC75-B969-43F4-B242-852341A786E8}" sibTransId="{5436F192-3332-4E73-956A-D621CCF1C826}"/>
    <dgm:cxn modelId="{AD031D7B-F047-4D7A-9383-AE6577EDF718}" type="presOf" srcId="{F3E65C51-A23D-47DF-A443-51CA416D1C5B}" destId="{097DF936-7A0A-488C-89E5-5917AEEEC870}" srcOrd="0" destOrd="0" presId="urn:microsoft.com/office/officeart/2008/layout/HalfCircleOrganizationChart"/>
    <dgm:cxn modelId="{8F392D88-1352-46CE-B229-C40104319E23}" type="presOf" srcId="{21E7F800-ED1F-42F4-9883-A10E0A57ABFE}" destId="{08526FF3-E7F7-4675-92B8-2ED946BD86A2}" srcOrd="0" destOrd="0" presId="urn:microsoft.com/office/officeart/2008/layout/HalfCircleOrganizationChart"/>
    <dgm:cxn modelId="{28258D8E-606E-4FA0-A18B-B61429BB3057}" type="presOf" srcId="{9E0E3D06-E6AD-46CB-ABE6-29FC3EE9CAD4}" destId="{39057811-966E-4800-B1C6-0E815A39A1DF}" srcOrd="0" destOrd="0" presId="urn:microsoft.com/office/officeart/2008/layout/HalfCircleOrganizationChart"/>
    <dgm:cxn modelId="{13EF5792-35B7-471A-B964-68199C08F4EB}" srcId="{FBA4E7D2-C180-4434-A7EB-44A48683FA4B}" destId="{14CB94CD-5CF3-4BB8-A1ED-5A488C8FACCD}" srcOrd="1" destOrd="0" parTransId="{586B6C7B-3449-4E77-A62C-2EF8016494C7}" sibTransId="{8CDF7904-50A0-4066-B758-3674B98BD22E}"/>
    <dgm:cxn modelId="{C87B7B97-21DC-4367-A3E5-14E020C8B65F}" type="presOf" srcId="{8B614E84-C99C-4E04-AA50-2C2B9D0EF342}" destId="{4980ADFB-6FD5-470C-A91C-47644FFC5624}" srcOrd="0" destOrd="0" presId="urn:microsoft.com/office/officeart/2008/layout/HalfCircleOrganizationChart"/>
    <dgm:cxn modelId="{AAD59098-7D92-4F52-8C2D-A779725907E6}" type="presOf" srcId="{FBA4E7D2-C180-4434-A7EB-44A48683FA4B}" destId="{70B99088-1DD2-4D89-8572-E39C84785B74}" srcOrd="0" destOrd="0" presId="urn:microsoft.com/office/officeart/2008/layout/HalfCircleOrganizationChart"/>
    <dgm:cxn modelId="{5DBC959A-1A83-476F-98D4-E0AC752E29D5}" type="presOf" srcId="{2F600157-264F-4207-A08A-21CDF94A8720}" destId="{6B1A06C0-C9C2-4DA6-A215-4FF0BAFAECF7}" srcOrd="0" destOrd="0" presId="urn:microsoft.com/office/officeart/2008/layout/HalfCircleOrganizationChart"/>
    <dgm:cxn modelId="{F270FF9E-4082-4452-8D4E-EC97261AD059}" srcId="{21E7F800-ED1F-42F4-9883-A10E0A57ABFE}" destId="{2F600157-264F-4207-A08A-21CDF94A8720}" srcOrd="0" destOrd="0" parTransId="{1AC68833-9C14-42AE-8772-DD596A389AA3}" sibTransId="{EBDD2B11-CE01-4B8B-8A43-1A762680F117}"/>
    <dgm:cxn modelId="{B9E223A5-DFF6-4B64-B1D2-BE96EFCA24BA}" srcId="{FBA4E7D2-C180-4434-A7EB-44A48683FA4B}" destId="{101CCD57-627C-466B-A785-2C4959E378AA}" srcOrd="0" destOrd="0" parTransId="{40D9F5A0-8A7E-4D73-81F7-D598B16E7784}" sibTransId="{4BA28DC6-E83A-45AF-B3EB-478F3ED197DF}"/>
    <dgm:cxn modelId="{FA01A1A5-C946-4FDB-9715-46194391D0D1}" type="presOf" srcId="{2F600157-264F-4207-A08A-21CDF94A8720}" destId="{2DB13E38-3981-45B5-BD30-CA31D20A94CF}" srcOrd="1" destOrd="0" presId="urn:microsoft.com/office/officeart/2008/layout/HalfCircleOrganizationChart"/>
    <dgm:cxn modelId="{E96FADAE-1F4D-4281-B6CA-7230E1BB86FF}" type="presOf" srcId="{101CCD57-627C-466B-A785-2C4959E378AA}" destId="{BFE83A2C-7CD7-4A28-91FA-B56526B2AE30}" srcOrd="0" destOrd="0" presId="urn:microsoft.com/office/officeart/2008/layout/HalfCircleOrganizationChart"/>
    <dgm:cxn modelId="{DACA74BB-599C-45F6-8285-C7DA369BE2BA}" type="presOf" srcId="{14CB94CD-5CF3-4BB8-A1ED-5A488C8FACCD}" destId="{E8AF2F83-6ED6-4D55-AC88-5C4B76A5EF57}" srcOrd="0" destOrd="0" presId="urn:microsoft.com/office/officeart/2008/layout/HalfCircleOrganizationChart"/>
    <dgm:cxn modelId="{E5C128D5-9D7A-47F3-AE7A-841C36C5606F}" type="presOf" srcId="{14CB94CD-5CF3-4BB8-A1ED-5A488C8FACCD}" destId="{D9B219E3-0BFD-4758-A22B-3027DCAB4366}" srcOrd="1" destOrd="0" presId="urn:microsoft.com/office/officeart/2008/layout/HalfCircleOrganizationChart"/>
    <dgm:cxn modelId="{4BB113E8-F41F-4273-88F0-BCA7FA568C50}" type="presOf" srcId="{A30CABCD-436B-469E-8B51-11C9F22F1EA0}" destId="{8F31BA08-D997-4AC8-83AD-CF1EE7B1F32E}" srcOrd="1" destOrd="0" presId="urn:microsoft.com/office/officeart/2008/layout/HalfCircleOrganizationChart"/>
    <dgm:cxn modelId="{67AFBCFC-32C1-40E0-9A9E-6C76B52CA894}" srcId="{A30CABCD-436B-469E-8B51-11C9F22F1EA0}" destId="{0A48365B-F9E8-45CE-9789-0199B798431C}" srcOrd="0" destOrd="0" parTransId="{F3E65C51-A23D-47DF-A443-51CA416D1C5B}" sibTransId="{B41BAA18-61F7-4E51-B315-71433BE0D757}"/>
    <dgm:cxn modelId="{24831A81-4F7D-4EE5-970E-FA9140903DFB}" type="presParOf" srcId="{D873AE0A-57DC-4BFE-9D6A-8F24C6B5A9CA}" destId="{5B768E10-8898-42AA-9B8D-9BD554B7D02D}" srcOrd="0" destOrd="0" presId="urn:microsoft.com/office/officeart/2008/layout/HalfCircleOrganizationChart"/>
    <dgm:cxn modelId="{79E69204-4755-419D-9F00-E81F55915121}" type="presParOf" srcId="{5B768E10-8898-42AA-9B8D-9BD554B7D02D}" destId="{B0C20EE5-9801-4B76-9B5E-B3F27DB29519}" srcOrd="0" destOrd="0" presId="urn:microsoft.com/office/officeart/2008/layout/HalfCircleOrganizationChart"/>
    <dgm:cxn modelId="{DC5148D5-3255-4A2D-A882-6C25ADCD4454}" type="presParOf" srcId="{B0C20EE5-9801-4B76-9B5E-B3F27DB29519}" destId="{6C17D8F0-CFBE-4880-AF67-7BDB19F10816}" srcOrd="0" destOrd="0" presId="urn:microsoft.com/office/officeart/2008/layout/HalfCircleOrganizationChart"/>
    <dgm:cxn modelId="{66412E3E-CD1F-4E91-9525-C5EF015081F4}" type="presParOf" srcId="{B0C20EE5-9801-4B76-9B5E-B3F27DB29519}" destId="{EEF721E9-E9E7-41AA-B15B-5767CF807CE4}" srcOrd="1" destOrd="0" presId="urn:microsoft.com/office/officeart/2008/layout/HalfCircleOrganizationChart"/>
    <dgm:cxn modelId="{2EAB4345-CE20-43B4-A9C6-53E04CA98A90}" type="presParOf" srcId="{B0C20EE5-9801-4B76-9B5E-B3F27DB29519}" destId="{68C24C07-EB2B-44E9-803D-1A4977F82DA6}" srcOrd="2" destOrd="0" presId="urn:microsoft.com/office/officeart/2008/layout/HalfCircleOrganizationChart"/>
    <dgm:cxn modelId="{7E9590A3-C46F-4BF4-B2B0-16C00AB00FFE}" type="presParOf" srcId="{B0C20EE5-9801-4B76-9B5E-B3F27DB29519}" destId="{8F31BA08-D997-4AC8-83AD-CF1EE7B1F32E}" srcOrd="3" destOrd="0" presId="urn:microsoft.com/office/officeart/2008/layout/HalfCircleOrganizationChart"/>
    <dgm:cxn modelId="{1C067301-5B52-4353-86B7-729B54576654}" type="presParOf" srcId="{5B768E10-8898-42AA-9B8D-9BD554B7D02D}" destId="{E52241D2-3E18-4FF4-838F-39CE17D1E0C6}" srcOrd="1" destOrd="0" presId="urn:microsoft.com/office/officeart/2008/layout/HalfCircleOrganizationChart"/>
    <dgm:cxn modelId="{D2104D0A-8842-42C0-AB4F-1F054D9C82EE}" type="presParOf" srcId="{E52241D2-3E18-4FF4-838F-39CE17D1E0C6}" destId="{097DF936-7A0A-488C-89E5-5917AEEEC870}" srcOrd="0" destOrd="0" presId="urn:microsoft.com/office/officeart/2008/layout/HalfCircleOrganizationChart"/>
    <dgm:cxn modelId="{747BA20A-D888-4FE5-80CB-C48CBB7D95CE}" type="presParOf" srcId="{E52241D2-3E18-4FF4-838F-39CE17D1E0C6}" destId="{4D5B8D65-2018-457D-8914-DC1687FE4136}" srcOrd="1" destOrd="0" presId="urn:microsoft.com/office/officeart/2008/layout/HalfCircleOrganizationChart"/>
    <dgm:cxn modelId="{856A5CC7-17E1-4C21-BDDE-90508196B35B}" type="presParOf" srcId="{4D5B8D65-2018-457D-8914-DC1687FE4136}" destId="{FE4562AA-8A2C-418A-AA16-1DC92E5B5611}" srcOrd="0" destOrd="0" presId="urn:microsoft.com/office/officeart/2008/layout/HalfCircleOrganizationChart"/>
    <dgm:cxn modelId="{DCD9FF4F-4905-487A-83DF-95D584C0958F}" type="presParOf" srcId="{FE4562AA-8A2C-418A-AA16-1DC92E5B5611}" destId="{55438718-14EC-4ED0-868B-4F2F4733DD9A}" srcOrd="0" destOrd="0" presId="urn:microsoft.com/office/officeart/2008/layout/HalfCircleOrganizationChart"/>
    <dgm:cxn modelId="{2F80F252-369E-4239-BBB3-D3CFCF456B0A}" type="presParOf" srcId="{FE4562AA-8A2C-418A-AA16-1DC92E5B5611}" destId="{05612471-44D0-4ED2-B7D7-6698877486F2}" srcOrd="1" destOrd="0" presId="urn:microsoft.com/office/officeart/2008/layout/HalfCircleOrganizationChart"/>
    <dgm:cxn modelId="{EF54EEF0-68E2-453C-B909-1291DA7DB1EA}" type="presParOf" srcId="{FE4562AA-8A2C-418A-AA16-1DC92E5B5611}" destId="{924554A6-1567-438C-89C4-44D4DF01382C}" srcOrd="2" destOrd="0" presId="urn:microsoft.com/office/officeart/2008/layout/HalfCircleOrganizationChart"/>
    <dgm:cxn modelId="{8762444F-4F77-468A-99D9-CA737175FB33}" type="presParOf" srcId="{FE4562AA-8A2C-418A-AA16-1DC92E5B5611}" destId="{39479FAE-5E3B-448D-B5FA-A7A61623A8C1}" srcOrd="3" destOrd="0" presId="urn:microsoft.com/office/officeart/2008/layout/HalfCircleOrganizationChart"/>
    <dgm:cxn modelId="{55374227-9E7C-4D71-9A8C-0855EFCEF1ED}" type="presParOf" srcId="{4D5B8D65-2018-457D-8914-DC1687FE4136}" destId="{B04BD1C0-DC6C-46BC-84AB-9709E082B41B}" srcOrd="1" destOrd="0" presId="urn:microsoft.com/office/officeart/2008/layout/HalfCircleOrganizationChart"/>
    <dgm:cxn modelId="{455808C9-4A83-4EA4-8A45-5A321408773A}" type="presParOf" srcId="{4D5B8D65-2018-457D-8914-DC1687FE4136}" destId="{AE19E34E-7E0C-431D-83D7-7FB87E9C7183}" srcOrd="2" destOrd="0" presId="urn:microsoft.com/office/officeart/2008/layout/HalfCircleOrganizationChart"/>
    <dgm:cxn modelId="{4B1E53BD-CC53-4B53-9A07-B1C8DB4C8210}" type="presParOf" srcId="{E52241D2-3E18-4FF4-838F-39CE17D1E0C6}" destId="{4980ADFB-6FD5-470C-A91C-47644FFC5624}" srcOrd="2" destOrd="0" presId="urn:microsoft.com/office/officeart/2008/layout/HalfCircleOrganizationChart"/>
    <dgm:cxn modelId="{1CC342F1-0E98-4A5A-B915-83BD8B480E6A}" type="presParOf" srcId="{E52241D2-3E18-4FF4-838F-39CE17D1E0C6}" destId="{F3BB9024-B79B-4035-91A6-E4DCC6B60E92}" srcOrd="3" destOrd="0" presId="urn:microsoft.com/office/officeart/2008/layout/HalfCircleOrganizationChart"/>
    <dgm:cxn modelId="{55FF519F-43E6-4103-8451-5B63306320FB}" type="presParOf" srcId="{F3BB9024-B79B-4035-91A6-E4DCC6B60E92}" destId="{F4090E01-BFD1-4078-AA19-48F22325130D}" srcOrd="0" destOrd="0" presId="urn:microsoft.com/office/officeart/2008/layout/HalfCircleOrganizationChart"/>
    <dgm:cxn modelId="{478120CA-7AC9-4760-82FD-32867E6FA76D}" type="presParOf" srcId="{F4090E01-BFD1-4078-AA19-48F22325130D}" destId="{08526FF3-E7F7-4675-92B8-2ED946BD86A2}" srcOrd="0" destOrd="0" presId="urn:microsoft.com/office/officeart/2008/layout/HalfCircleOrganizationChart"/>
    <dgm:cxn modelId="{E3040DE9-BE24-4236-B950-ED904B0E9E22}" type="presParOf" srcId="{F4090E01-BFD1-4078-AA19-48F22325130D}" destId="{EE59E121-0709-4E82-AD5C-3CB47C118BAB}" srcOrd="1" destOrd="0" presId="urn:microsoft.com/office/officeart/2008/layout/HalfCircleOrganizationChart"/>
    <dgm:cxn modelId="{E9FA9F8F-871D-4A26-B3A5-47BFF2C1F057}" type="presParOf" srcId="{F4090E01-BFD1-4078-AA19-48F22325130D}" destId="{1DC3F627-4EDC-4F4E-99BB-F75F319C0D4B}" srcOrd="2" destOrd="0" presId="urn:microsoft.com/office/officeart/2008/layout/HalfCircleOrganizationChart"/>
    <dgm:cxn modelId="{49E8AD96-C306-45F5-A372-85148C4B823A}" type="presParOf" srcId="{F4090E01-BFD1-4078-AA19-48F22325130D}" destId="{7E97785B-7059-4A2D-A3D7-7DB18A9A4CFB}" srcOrd="3" destOrd="0" presId="urn:microsoft.com/office/officeart/2008/layout/HalfCircleOrganizationChart"/>
    <dgm:cxn modelId="{27343026-CFD9-4536-939A-A2A141C711AA}" type="presParOf" srcId="{F3BB9024-B79B-4035-91A6-E4DCC6B60E92}" destId="{153ACBC2-9B33-4508-936C-7B985588B54F}" srcOrd="1" destOrd="0" presId="urn:microsoft.com/office/officeart/2008/layout/HalfCircleOrganizationChart"/>
    <dgm:cxn modelId="{B537EB22-14E7-4B9F-BB40-5C4AFFE0D4A4}" type="presParOf" srcId="{153ACBC2-9B33-4508-936C-7B985588B54F}" destId="{4B12B161-2B30-4763-A28D-0997265BD948}" srcOrd="0" destOrd="0" presId="urn:microsoft.com/office/officeart/2008/layout/HalfCircleOrganizationChart"/>
    <dgm:cxn modelId="{54CFE05A-1239-4021-A855-FB631C7E7C16}" type="presParOf" srcId="{153ACBC2-9B33-4508-936C-7B985588B54F}" destId="{84EC5D55-9896-4842-8DF9-A9B6CE5A5F26}" srcOrd="1" destOrd="0" presId="urn:microsoft.com/office/officeart/2008/layout/HalfCircleOrganizationChart"/>
    <dgm:cxn modelId="{5D8FB59C-D828-4EA4-BEC8-3A6A887C7EA6}" type="presParOf" srcId="{84EC5D55-9896-4842-8DF9-A9B6CE5A5F26}" destId="{AB6C5650-48BE-489A-BCEA-DD1180919C5C}" srcOrd="0" destOrd="0" presId="urn:microsoft.com/office/officeart/2008/layout/HalfCircleOrganizationChart"/>
    <dgm:cxn modelId="{352CE21D-EA47-4ABD-831B-F63C81B31785}" type="presParOf" srcId="{AB6C5650-48BE-489A-BCEA-DD1180919C5C}" destId="{6B1A06C0-C9C2-4DA6-A215-4FF0BAFAECF7}" srcOrd="0" destOrd="0" presId="urn:microsoft.com/office/officeart/2008/layout/HalfCircleOrganizationChart"/>
    <dgm:cxn modelId="{AD6ABAF5-3ED6-4799-8ADC-E5FF61DCE265}" type="presParOf" srcId="{AB6C5650-48BE-489A-BCEA-DD1180919C5C}" destId="{A8558C7D-0087-4C03-8101-469D7608B7E8}" srcOrd="1" destOrd="0" presId="urn:microsoft.com/office/officeart/2008/layout/HalfCircleOrganizationChart"/>
    <dgm:cxn modelId="{F4575899-0157-4DE5-9A3B-634DF008ABBE}" type="presParOf" srcId="{AB6C5650-48BE-489A-BCEA-DD1180919C5C}" destId="{06F2EEFF-C0DE-4AEB-AA32-42815D13D0C2}" srcOrd="2" destOrd="0" presId="urn:microsoft.com/office/officeart/2008/layout/HalfCircleOrganizationChart"/>
    <dgm:cxn modelId="{0E817D24-68E6-40B0-9B26-83D6B6063718}" type="presParOf" srcId="{AB6C5650-48BE-489A-BCEA-DD1180919C5C}" destId="{2DB13E38-3981-45B5-BD30-CA31D20A94CF}" srcOrd="3" destOrd="0" presId="urn:microsoft.com/office/officeart/2008/layout/HalfCircleOrganizationChart"/>
    <dgm:cxn modelId="{01B107D1-A609-41D7-8649-661A7EE089FA}" type="presParOf" srcId="{84EC5D55-9896-4842-8DF9-A9B6CE5A5F26}" destId="{5A966922-5E4F-48E4-A2B9-782BBC6A4164}" srcOrd="1" destOrd="0" presId="urn:microsoft.com/office/officeart/2008/layout/HalfCircleOrganizationChart"/>
    <dgm:cxn modelId="{FDA3FCF3-1760-4C0A-9A8F-8083B834A812}" type="presParOf" srcId="{84EC5D55-9896-4842-8DF9-A9B6CE5A5F26}" destId="{6DE04668-8121-4B9E-8895-B4734B4866CA}" srcOrd="2" destOrd="0" presId="urn:microsoft.com/office/officeart/2008/layout/HalfCircleOrganizationChart"/>
    <dgm:cxn modelId="{7CAFB246-525B-4658-935F-BEC48BBF4240}" type="presParOf" srcId="{153ACBC2-9B33-4508-936C-7B985588B54F}" destId="{39057811-966E-4800-B1C6-0E815A39A1DF}" srcOrd="2" destOrd="0" presId="urn:microsoft.com/office/officeart/2008/layout/HalfCircleOrganizationChart"/>
    <dgm:cxn modelId="{AB863AB2-F12E-4274-A291-707556ACEBF5}" type="presParOf" srcId="{153ACBC2-9B33-4508-936C-7B985588B54F}" destId="{E5396025-8E56-48A7-8744-4A6026A8837C}" srcOrd="3" destOrd="0" presId="urn:microsoft.com/office/officeart/2008/layout/HalfCircleOrganizationChart"/>
    <dgm:cxn modelId="{34D48031-1DBC-45B4-8A27-04BCF2DBFA5A}" type="presParOf" srcId="{E5396025-8E56-48A7-8744-4A6026A8837C}" destId="{1815713C-E92E-4D3B-B96D-859EA1CD8C55}" srcOrd="0" destOrd="0" presId="urn:microsoft.com/office/officeart/2008/layout/HalfCircleOrganizationChart"/>
    <dgm:cxn modelId="{4E23D5BB-3B9C-4D6D-8EAA-159D21EB41C0}" type="presParOf" srcId="{1815713C-E92E-4D3B-B96D-859EA1CD8C55}" destId="{70B99088-1DD2-4D89-8572-E39C84785B74}" srcOrd="0" destOrd="0" presId="urn:microsoft.com/office/officeart/2008/layout/HalfCircleOrganizationChart"/>
    <dgm:cxn modelId="{7D33B6A4-CF6D-4D88-9018-D03939A4CAF9}" type="presParOf" srcId="{1815713C-E92E-4D3B-B96D-859EA1CD8C55}" destId="{47795C8A-36B1-45E0-B88C-CC119160689D}" srcOrd="1" destOrd="0" presId="urn:microsoft.com/office/officeart/2008/layout/HalfCircleOrganizationChart"/>
    <dgm:cxn modelId="{D9EDEE65-26D9-46B9-924C-5F83799EF1AA}" type="presParOf" srcId="{1815713C-E92E-4D3B-B96D-859EA1CD8C55}" destId="{A1285403-CCE7-4920-AFDD-34CD7DAF88ED}" srcOrd="2" destOrd="0" presId="urn:microsoft.com/office/officeart/2008/layout/HalfCircleOrganizationChart"/>
    <dgm:cxn modelId="{EE8737A4-0F3A-497E-AA00-C9EAE5DDBB3C}" type="presParOf" srcId="{1815713C-E92E-4D3B-B96D-859EA1CD8C55}" destId="{B9A36C74-EB36-44CA-B9F7-5A63D37D3647}" srcOrd="3" destOrd="0" presId="urn:microsoft.com/office/officeart/2008/layout/HalfCircleOrganizationChart"/>
    <dgm:cxn modelId="{542CE92D-725D-44B8-B9AC-D88B348EB01C}" type="presParOf" srcId="{E5396025-8E56-48A7-8744-4A6026A8837C}" destId="{DBF9BC16-D875-477C-9D4B-25E17FD732A8}" srcOrd="1" destOrd="0" presId="urn:microsoft.com/office/officeart/2008/layout/HalfCircleOrganizationChart"/>
    <dgm:cxn modelId="{D0AEA0F2-70F3-4A6D-B045-43148CC44410}" type="presParOf" srcId="{DBF9BC16-D875-477C-9D4B-25E17FD732A8}" destId="{DBBB616E-1702-4282-BF20-E97E3BB723C1}" srcOrd="0" destOrd="0" presId="urn:microsoft.com/office/officeart/2008/layout/HalfCircleOrganizationChart"/>
    <dgm:cxn modelId="{D13403EC-CCB7-42F6-8AD9-FF56543BB135}" type="presParOf" srcId="{DBF9BC16-D875-477C-9D4B-25E17FD732A8}" destId="{0F68C86B-5788-493B-9A69-97E8F1688DDC}" srcOrd="1" destOrd="0" presId="urn:microsoft.com/office/officeart/2008/layout/HalfCircleOrganizationChart"/>
    <dgm:cxn modelId="{CA34F79F-758C-4FD7-9EAD-1A95C8B3A9CB}" type="presParOf" srcId="{0F68C86B-5788-493B-9A69-97E8F1688DDC}" destId="{6C194048-B407-4241-A8AE-24346D62DE53}" srcOrd="0" destOrd="0" presId="urn:microsoft.com/office/officeart/2008/layout/HalfCircleOrganizationChart"/>
    <dgm:cxn modelId="{33140CDD-E484-4646-AF66-2E74DE8DBDDC}" type="presParOf" srcId="{6C194048-B407-4241-A8AE-24346D62DE53}" destId="{BFE83A2C-7CD7-4A28-91FA-B56526B2AE30}" srcOrd="0" destOrd="0" presId="urn:microsoft.com/office/officeart/2008/layout/HalfCircleOrganizationChart"/>
    <dgm:cxn modelId="{1F1B0EA5-D954-4A83-8ADD-71AEAF7DBF8F}" type="presParOf" srcId="{6C194048-B407-4241-A8AE-24346D62DE53}" destId="{1821BFBB-4F19-4ED0-805C-A41C1E842338}" srcOrd="1" destOrd="0" presId="urn:microsoft.com/office/officeart/2008/layout/HalfCircleOrganizationChart"/>
    <dgm:cxn modelId="{8D4763E9-1162-4180-8863-DA0FBFC5F96B}" type="presParOf" srcId="{6C194048-B407-4241-A8AE-24346D62DE53}" destId="{4443890F-39C6-4065-82B2-81ADADB6A7F8}" srcOrd="2" destOrd="0" presId="urn:microsoft.com/office/officeart/2008/layout/HalfCircleOrganizationChart"/>
    <dgm:cxn modelId="{E6B1E284-A441-4DE6-89DF-2C93F61E594E}" type="presParOf" srcId="{6C194048-B407-4241-A8AE-24346D62DE53}" destId="{5728441A-9E55-46D7-8619-755F26EFE673}" srcOrd="3" destOrd="0" presId="urn:microsoft.com/office/officeart/2008/layout/HalfCircleOrganizationChart"/>
    <dgm:cxn modelId="{4644A4AD-96C5-46EB-9577-6AD0B892E791}" type="presParOf" srcId="{0F68C86B-5788-493B-9A69-97E8F1688DDC}" destId="{CA270E8F-E45A-445B-88E1-E71B880711AC}" srcOrd="1" destOrd="0" presId="urn:microsoft.com/office/officeart/2008/layout/HalfCircleOrganizationChart"/>
    <dgm:cxn modelId="{C93F27A2-889E-4714-971D-9FBDBC3BBAC8}" type="presParOf" srcId="{0F68C86B-5788-493B-9A69-97E8F1688DDC}" destId="{3AB700AF-993F-4FD9-A909-A2118D00B291}" srcOrd="2" destOrd="0" presId="urn:microsoft.com/office/officeart/2008/layout/HalfCircleOrganizationChart"/>
    <dgm:cxn modelId="{37736719-6C4B-43A9-84D5-46864E27D7A1}" type="presParOf" srcId="{DBF9BC16-D875-477C-9D4B-25E17FD732A8}" destId="{67AE7737-4A35-404D-ACF4-2ED837F0EAB6}" srcOrd="2" destOrd="0" presId="urn:microsoft.com/office/officeart/2008/layout/HalfCircleOrganizationChart"/>
    <dgm:cxn modelId="{90C3C163-846A-45D3-AB6E-ECB46B7DB359}" type="presParOf" srcId="{DBF9BC16-D875-477C-9D4B-25E17FD732A8}" destId="{BA8C3C7D-1AF3-4135-BDE9-E4CB0B27FCAC}" srcOrd="3" destOrd="0" presId="urn:microsoft.com/office/officeart/2008/layout/HalfCircleOrganizationChart"/>
    <dgm:cxn modelId="{06061B4E-4886-4504-9A19-68907441F96E}" type="presParOf" srcId="{BA8C3C7D-1AF3-4135-BDE9-E4CB0B27FCAC}" destId="{B386FE69-88C6-4B69-A5AA-3841BB74231C}" srcOrd="0" destOrd="0" presId="urn:microsoft.com/office/officeart/2008/layout/HalfCircleOrganizationChart"/>
    <dgm:cxn modelId="{63AA4D1F-E67E-4D84-BF6E-C55C5F5633AA}" type="presParOf" srcId="{B386FE69-88C6-4B69-A5AA-3841BB74231C}" destId="{E8AF2F83-6ED6-4D55-AC88-5C4B76A5EF57}" srcOrd="0" destOrd="0" presId="urn:microsoft.com/office/officeart/2008/layout/HalfCircleOrganizationChart"/>
    <dgm:cxn modelId="{12E8E2D6-D3B0-42CC-A566-F959CD7B4052}" type="presParOf" srcId="{B386FE69-88C6-4B69-A5AA-3841BB74231C}" destId="{0958A437-9A4E-49F2-B199-A80E5293F8AB}" srcOrd="1" destOrd="0" presId="urn:microsoft.com/office/officeart/2008/layout/HalfCircleOrganizationChart"/>
    <dgm:cxn modelId="{C404ABD0-A481-401E-BF7C-33C542FC5614}" type="presParOf" srcId="{B386FE69-88C6-4B69-A5AA-3841BB74231C}" destId="{4CEEFA64-6E38-4B91-9B30-F756DD1657D8}" srcOrd="2" destOrd="0" presId="urn:microsoft.com/office/officeart/2008/layout/HalfCircleOrganizationChart"/>
    <dgm:cxn modelId="{0DDECB99-D49A-40D9-8993-FF84461D0C90}" type="presParOf" srcId="{B386FE69-88C6-4B69-A5AA-3841BB74231C}" destId="{D9B219E3-0BFD-4758-A22B-3027DCAB4366}" srcOrd="3" destOrd="0" presId="urn:microsoft.com/office/officeart/2008/layout/HalfCircleOrganizationChart"/>
    <dgm:cxn modelId="{1CEBD410-49E7-403F-B813-4430BF253642}" type="presParOf" srcId="{BA8C3C7D-1AF3-4135-BDE9-E4CB0B27FCAC}" destId="{2F8D39A8-3BF7-4366-AEB9-B15C9E63ECD9}" srcOrd="1" destOrd="0" presId="urn:microsoft.com/office/officeart/2008/layout/HalfCircleOrganizationChart"/>
    <dgm:cxn modelId="{BE012FE8-F157-4731-A67F-5EDAEE084044}" type="presParOf" srcId="{BA8C3C7D-1AF3-4135-BDE9-E4CB0B27FCAC}" destId="{ED244315-3431-46C5-A51E-EF97A50AC58B}" srcOrd="2" destOrd="0" presId="urn:microsoft.com/office/officeart/2008/layout/HalfCircleOrganizationChart"/>
    <dgm:cxn modelId="{3636F4DE-4FB0-44E1-BBBA-C8FCFF407BD3}" type="presParOf" srcId="{E5396025-8E56-48A7-8744-4A6026A8837C}" destId="{34D64A1E-4546-4F6E-9437-02C51C977AE3}" srcOrd="2" destOrd="0" presId="urn:microsoft.com/office/officeart/2008/layout/HalfCircleOrganizationChart"/>
    <dgm:cxn modelId="{64AC0FCC-76A8-4A22-A368-E2641E77E53C}" type="presParOf" srcId="{F3BB9024-B79B-4035-91A6-E4DCC6B60E92}" destId="{E5ECF2FE-EF00-4CD3-93A3-A943A8936232}" srcOrd="2" destOrd="0" presId="urn:microsoft.com/office/officeart/2008/layout/HalfCircleOrganizationChart"/>
    <dgm:cxn modelId="{0DFD0693-585F-479D-A7B8-97F9E3040201}" type="presParOf" srcId="{5B768E10-8898-42AA-9B8D-9BD554B7D02D}" destId="{458B0995-D4F7-4457-BCDF-8B20C0B61E53}" srcOrd="2" destOrd="0" presId="urn:microsoft.com/office/officeart/2008/layout/HalfCircleOrganizationChar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AE7737-4A35-404D-ACF4-2ED837F0EAB6}">
      <dsp:nvSpPr>
        <dsp:cNvPr id="0" name=""/>
        <dsp:cNvSpPr/>
      </dsp:nvSpPr>
      <dsp:spPr>
        <a:xfrm>
          <a:off x="2945657" y="1536906"/>
          <a:ext cx="367654" cy="807241"/>
        </a:xfrm>
        <a:custGeom>
          <a:avLst/>
          <a:gdLst/>
          <a:ahLst/>
          <a:cxnLst/>
          <a:rect l="0" t="0" r="0" b="0"/>
          <a:pathLst>
            <a:path>
              <a:moveTo>
                <a:pt x="0" y="0"/>
              </a:moveTo>
              <a:lnTo>
                <a:pt x="0" y="807241"/>
              </a:lnTo>
              <a:lnTo>
                <a:pt x="367654" y="8072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BB616E-1702-4282-BF20-E97E3BB723C1}">
      <dsp:nvSpPr>
        <dsp:cNvPr id="0" name=""/>
        <dsp:cNvSpPr/>
      </dsp:nvSpPr>
      <dsp:spPr>
        <a:xfrm>
          <a:off x="2945657" y="1536906"/>
          <a:ext cx="367654" cy="239774"/>
        </a:xfrm>
        <a:custGeom>
          <a:avLst/>
          <a:gdLst/>
          <a:ahLst/>
          <a:cxnLst/>
          <a:rect l="0" t="0" r="0" b="0"/>
          <a:pathLst>
            <a:path>
              <a:moveTo>
                <a:pt x="0" y="0"/>
              </a:moveTo>
              <a:lnTo>
                <a:pt x="0" y="239774"/>
              </a:lnTo>
              <a:lnTo>
                <a:pt x="367654" y="2397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057811-966E-4800-B1C6-0E815A39A1DF}">
      <dsp:nvSpPr>
        <dsp:cNvPr id="0" name=""/>
        <dsp:cNvSpPr/>
      </dsp:nvSpPr>
      <dsp:spPr>
        <a:xfrm>
          <a:off x="2462111" y="969439"/>
          <a:ext cx="483545" cy="167842"/>
        </a:xfrm>
        <a:custGeom>
          <a:avLst/>
          <a:gdLst/>
          <a:ahLst/>
          <a:cxnLst/>
          <a:rect l="0" t="0" r="0" b="0"/>
          <a:pathLst>
            <a:path>
              <a:moveTo>
                <a:pt x="0" y="0"/>
              </a:moveTo>
              <a:lnTo>
                <a:pt x="0" y="83921"/>
              </a:lnTo>
              <a:lnTo>
                <a:pt x="483545" y="83921"/>
              </a:lnTo>
              <a:lnTo>
                <a:pt x="483545" y="1678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12B161-2B30-4763-A28D-0997265BD948}">
      <dsp:nvSpPr>
        <dsp:cNvPr id="0" name=""/>
        <dsp:cNvSpPr/>
      </dsp:nvSpPr>
      <dsp:spPr>
        <a:xfrm>
          <a:off x="1978565" y="969439"/>
          <a:ext cx="483545" cy="167842"/>
        </a:xfrm>
        <a:custGeom>
          <a:avLst/>
          <a:gdLst/>
          <a:ahLst/>
          <a:cxnLst/>
          <a:rect l="0" t="0" r="0" b="0"/>
          <a:pathLst>
            <a:path>
              <a:moveTo>
                <a:pt x="483545" y="0"/>
              </a:moveTo>
              <a:lnTo>
                <a:pt x="483545" y="83921"/>
              </a:lnTo>
              <a:lnTo>
                <a:pt x="0" y="83921"/>
              </a:lnTo>
              <a:lnTo>
                <a:pt x="0" y="1678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80ADFB-6FD5-470C-A91C-47644FFC5624}">
      <dsp:nvSpPr>
        <dsp:cNvPr id="0" name=""/>
        <dsp:cNvSpPr/>
      </dsp:nvSpPr>
      <dsp:spPr>
        <a:xfrm>
          <a:off x="1978565" y="401972"/>
          <a:ext cx="483545" cy="167842"/>
        </a:xfrm>
        <a:custGeom>
          <a:avLst/>
          <a:gdLst/>
          <a:ahLst/>
          <a:cxnLst/>
          <a:rect l="0" t="0" r="0" b="0"/>
          <a:pathLst>
            <a:path>
              <a:moveTo>
                <a:pt x="0" y="0"/>
              </a:moveTo>
              <a:lnTo>
                <a:pt x="0" y="83921"/>
              </a:lnTo>
              <a:lnTo>
                <a:pt x="483545" y="83921"/>
              </a:lnTo>
              <a:lnTo>
                <a:pt x="483545" y="1678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7DF936-7A0A-488C-89E5-5917AEEEC870}">
      <dsp:nvSpPr>
        <dsp:cNvPr id="0" name=""/>
        <dsp:cNvSpPr/>
      </dsp:nvSpPr>
      <dsp:spPr>
        <a:xfrm>
          <a:off x="1495019" y="401972"/>
          <a:ext cx="483545" cy="167842"/>
        </a:xfrm>
        <a:custGeom>
          <a:avLst/>
          <a:gdLst/>
          <a:ahLst/>
          <a:cxnLst/>
          <a:rect l="0" t="0" r="0" b="0"/>
          <a:pathLst>
            <a:path>
              <a:moveTo>
                <a:pt x="483545" y="0"/>
              </a:moveTo>
              <a:lnTo>
                <a:pt x="483545" y="83921"/>
              </a:lnTo>
              <a:lnTo>
                <a:pt x="0" y="83921"/>
              </a:lnTo>
              <a:lnTo>
                <a:pt x="0" y="1678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F721E9-E9E7-41AA-B15B-5767CF807CE4}">
      <dsp:nvSpPr>
        <dsp:cNvPr id="0" name=""/>
        <dsp:cNvSpPr/>
      </dsp:nvSpPr>
      <dsp:spPr>
        <a:xfrm>
          <a:off x="1778753" y="2348"/>
          <a:ext cx="399624" cy="399624"/>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C24C07-EB2B-44E9-803D-1A4977F82DA6}">
      <dsp:nvSpPr>
        <dsp:cNvPr id="0" name=""/>
        <dsp:cNvSpPr/>
      </dsp:nvSpPr>
      <dsp:spPr>
        <a:xfrm>
          <a:off x="1778753" y="2348"/>
          <a:ext cx="399624" cy="399624"/>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17D8F0-CFBE-4880-AF67-7BDB19F10816}">
      <dsp:nvSpPr>
        <dsp:cNvPr id="0" name=""/>
        <dsp:cNvSpPr/>
      </dsp:nvSpPr>
      <dsp:spPr>
        <a:xfrm>
          <a:off x="1578941" y="74280"/>
          <a:ext cx="799249" cy="25575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PT" sz="800" kern="1200"/>
            <a:t>План </a:t>
          </a:r>
          <a:r>
            <a:rPr lang="sr-Cyrl-RS" sz="800" kern="1200"/>
            <a:t>праћења</a:t>
          </a:r>
          <a:endParaRPr lang="pt-PT" sz="800" kern="1200"/>
        </a:p>
      </dsp:txBody>
      <dsp:txXfrm>
        <a:off x="1578941" y="74280"/>
        <a:ext cx="799249" cy="255759"/>
      </dsp:txXfrm>
    </dsp:sp>
    <dsp:sp modelId="{05612471-44D0-4ED2-B7D7-6698877486F2}">
      <dsp:nvSpPr>
        <dsp:cNvPr id="0" name=""/>
        <dsp:cNvSpPr/>
      </dsp:nvSpPr>
      <dsp:spPr>
        <a:xfrm>
          <a:off x="1295207" y="569815"/>
          <a:ext cx="399624" cy="399624"/>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4554A6-1567-438C-89C4-44D4DF01382C}">
      <dsp:nvSpPr>
        <dsp:cNvPr id="0" name=""/>
        <dsp:cNvSpPr/>
      </dsp:nvSpPr>
      <dsp:spPr>
        <a:xfrm>
          <a:off x="1295207" y="569815"/>
          <a:ext cx="399624" cy="399624"/>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438718-14EC-4ED0-868B-4F2F4733DD9A}">
      <dsp:nvSpPr>
        <dsp:cNvPr id="0" name=""/>
        <dsp:cNvSpPr/>
      </dsp:nvSpPr>
      <dsp:spPr>
        <a:xfrm>
          <a:off x="1095395" y="641747"/>
          <a:ext cx="799249" cy="25575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t>Инвентар </a:t>
          </a:r>
          <a:r>
            <a:rPr lang="pt-PT" sz="800" kern="1200"/>
            <a:t>GHG</a:t>
          </a:r>
        </a:p>
      </dsp:txBody>
      <dsp:txXfrm>
        <a:off x="1095395" y="641747"/>
        <a:ext cx="799249" cy="255759"/>
      </dsp:txXfrm>
    </dsp:sp>
    <dsp:sp modelId="{EE59E121-0709-4E82-AD5C-3CB47C118BAB}">
      <dsp:nvSpPr>
        <dsp:cNvPr id="0" name=""/>
        <dsp:cNvSpPr/>
      </dsp:nvSpPr>
      <dsp:spPr>
        <a:xfrm>
          <a:off x="2262299" y="569815"/>
          <a:ext cx="399624" cy="399624"/>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C3F627-4EDC-4F4E-99BB-F75F319C0D4B}">
      <dsp:nvSpPr>
        <dsp:cNvPr id="0" name=""/>
        <dsp:cNvSpPr/>
      </dsp:nvSpPr>
      <dsp:spPr>
        <a:xfrm>
          <a:off x="2262299" y="569815"/>
          <a:ext cx="399624" cy="399624"/>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526FF3-E7F7-4675-92B8-2ED946BD86A2}">
      <dsp:nvSpPr>
        <dsp:cNvPr id="0" name=""/>
        <dsp:cNvSpPr/>
      </dsp:nvSpPr>
      <dsp:spPr>
        <a:xfrm>
          <a:off x="2062486" y="641747"/>
          <a:ext cx="799249" cy="25575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t>Показатељи учинка</a:t>
          </a:r>
          <a:endParaRPr lang="pt-PT" sz="800" kern="1200"/>
        </a:p>
      </dsp:txBody>
      <dsp:txXfrm>
        <a:off x="2062486" y="641747"/>
        <a:ext cx="799249" cy="255759"/>
      </dsp:txXfrm>
    </dsp:sp>
    <dsp:sp modelId="{A8558C7D-0087-4C03-8101-469D7608B7E8}">
      <dsp:nvSpPr>
        <dsp:cNvPr id="0" name=""/>
        <dsp:cNvSpPr/>
      </dsp:nvSpPr>
      <dsp:spPr>
        <a:xfrm>
          <a:off x="1778753" y="1137282"/>
          <a:ext cx="399624" cy="399624"/>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F2EEFF-C0DE-4AEB-AA32-42815D13D0C2}">
      <dsp:nvSpPr>
        <dsp:cNvPr id="0" name=""/>
        <dsp:cNvSpPr/>
      </dsp:nvSpPr>
      <dsp:spPr>
        <a:xfrm>
          <a:off x="1778753" y="1137282"/>
          <a:ext cx="399624" cy="399624"/>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1A06C0-C9C2-4DA6-A215-4FF0BAFAECF7}">
      <dsp:nvSpPr>
        <dsp:cNvPr id="0" name=""/>
        <dsp:cNvSpPr/>
      </dsp:nvSpPr>
      <dsp:spPr>
        <a:xfrm>
          <a:off x="1578941" y="1209214"/>
          <a:ext cx="799249" cy="25575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t>Ниво посебних циљева</a:t>
          </a:r>
          <a:endParaRPr lang="pt-PT" sz="800" kern="1200"/>
        </a:p>
      </dsp:txBody>
      <dsp:txXfrm>
        <a:off x="1578941" y="1209214"/>
        <a:ext cx="799249" cy="255759"/>
      </dsp:txXfrm>
    </dsp:sp>
    <dsp:sp modelId="{47795C8A-36B1-45E0-B88C-CC119160689D}">
      <dsp:nvSpPr>
        <dsp:cNvPr id="0" name=""/>
        <dsp:cNvSpPr/>
      </dsp:nvSpPr>
      <dsp:spPr>
        <a:xfrm>
          <a:off x="2745844" y="1137282"/>
          <a:ext cx="399624" cy="399624"/>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285403-CCE7-4920-AFDD-34CD7DAF88ED}">
      <dsp:nvSpPr>
        <dsp:cNvPr id="0" name=""/>
        <dsp:cNvSpPr/>
      </dsp:nvSpPr>
      <dsp:spPr>
        <a:xfrm>
          <a:off x="2745844" y="1137282"/>
          <a:ext cx="399624" cy="399624"/>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B99088-1DD2-4D89-8572-E39C84785B74}">
      <dsp:nvSpPr>
        <dsp:cNvPr id="0" name=""/>
        <dsp:cNvSpPr/>
      </dsp:nvSpPr>
      <dsp:spPr>
        <a:xfrm>
          <a:off x="2546032" y="1209214"/>
          <a:ext cx="799249" cy="25575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t>Ниво Мере</a:t>
          </a:r>
          <a:endParaRPr lang="pt-PT" sz="800" kern="1200"/>
        </a:p>
      </dsp:txBody>
      <dsp:txXfrm>
        <a:off x="2546032" y="1209214"/>
        <a:ext cx="799249" cy="255759"/>
      </dsp:txXfrm>
    </dsp:sp>
    <dsp:sp modelId="{1821BFBB-4F19-4ED0-805C-A41C1E842338}">
      <dsp:nvSpPr>
        <dsp:cNvPr id="0" name=""/>
        <dsp:cNvSpPr/>
      </dsp:nvSpPr>
      <dsp:spPr>
        <a:xfrm>
          <a:off x="3265356" y="1704749"/>
          <a:ext cx="399624" cy="399624"/>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43890F-39C6-4065-82B2-81ADADB6A7F8}">
      <dsp:nvSpPr>
        <dsp:cNvPr id="0" name=""/>
        <dsp:cNvSpPr/>
      </dsp:nvSpPr>
      <dsp:spPr>
        <a:xfrm>
          <a:off x="3265356" y="1704749"/>
          <a:ext cx="399624" cy="399624"/>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E83A2C-7CD7-4A28-91FA-B56526B2AE30}">
      <dsp:nvSpPr>
        <dsp:cNvPr id="0" name=""/>
        <dsp:cNvSpPr/>
      </dsp:nvSpPr>
      <dsp:spPr>
        <a:xfrm>
          <a:off x="3065544" y="1776681"/>
          <a:ext cx="799249" cy="25575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t>Спровођење</a:t>
          </a:r>
          <a:endParaRPr lang="pt-PT" sz="800" kern="1200"/>
        </a:p>
      </dsp:txBody>
      <dsp:txXfrm>
        <a:off x="3065544" y="1776681"/>
        <a:ext cx="799249" cy="255759"/>
      </dsp:txXfrm>
    </dsp:sp>
    <dsp:sp modelId="{0958A437-9A4E-49F2-B199-A80E5293F8AB}">
      <dsp:nvSpPr>
        <dsp:cNvPr id="0" name=""/>
        <dsp:cNvSpPr/>
      </dsp:nvSpPr>
      <dsp:spPr>
        <a:xfrm>
          <a:off x="3265356" y="2272216"/>
          <a:ext cx="399624" cy="399624"/>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EEFA64-6E38-4B91-9B30-F756DD1657D8}">
      <dsp:nvSpPr>
        <dsp:cNvPr id="0" name=""/>
        <dsp:cNvSpPr/>
      </dsp:nvSpPr>
      <dsp:spPr>
        <a:xfrm>
          <a:off x="3265356" y="2272216"/>
          <a:ext cx="399624" cy="399624"/>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AF2F83-6ED6-4D55-AC88-5C4B76A5EF57}">
      <dsp:nvSpPr>
        <dsp:cNvPr id="0" name=""/>
        <dsp:cNvSpPr/>
      </dsp:nvSpPr>
      <dsp:spPr>
        <a:xfrm>
          <a:off x="3065544" y="2344148"/>
          <a:ext cx="799249" cy="25575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PT" sz="800" kern="1200"/>
            <a:t>Ре</a:t>
          </a:r>
          <a:r>
            <a:rPr lang="sl-SI" sz="800" kern="1200"/>
            <a:t>зултати</a:t>
          </a:r>
          <a:endParaRPr lang="pt-PT" sz="800" kern="1200"/>
        </a:p>
      </dsp:txBody>
      <dsp:txXfrm>
        <a:off x="3065544" y="2344148"/>
        <a:ext cx="799249" cy="255759"/>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gfa">
  <a:themeElements>
    <a:clrScheme name="GFA neu">
      <a:dk1>
        <a:sysClr val="windowText" lastClr="000000"/>
      </a:dk1>
      <a:lt1>
        <a:sysClr val="window" lastClr="FFFFFF"/>
      </a:lt1>
      <a:dk2>
        <a:srgbClr val="1F497D"/>
      </a:dk2>
      <a:lt2>
        <a:srgbClr val="EEECE1"/>
      </a:lt2>
      <a:accent1>
        <a:srgbClr val="148DCD"/>
      </a:accent1>
      <a:accent2>
        <a:srgbClr val="94BAE3"/>
      </a:accent2>
      <a:accent3>
        <a:srgbClr val="00AE8E"/>
      </a:accent3>
      <a:accent4>
        <a:srgbClr val="72C8B4"/>
      </a:accent4>
      <a:accent5>
        <a:srgbClr val="1D1655"/>
      </a:accent5>
      <a:accent6>
        <a:srgbClr val="034EA2"/>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9EC7DED1563C4687BBC33DE1179ACE" ma:contentTypeVersion="2" ma:contentTypeDescription="Create a new document." ma:contentTypeScope="" ma:versionID="ea6f6f1ca631455b628560232dcdc7bf">
  <xsd:schema xmlns:xsd="http://www.w3.org/2001/XMLSchema" xmlns:xs="http://www.w3.org/2001/XMLSchema" xmlns:p="http://schemas.microsoft.com/office/2006/metadata/properties" xmlns:ns3="402b3d70-7846-4280-b328-cd899f7f35c9" targetNamespace="http://schemas.microsoft.com/office/2006/metadata/properties" ma:root="true" ma:fieldsID="12f5cc21b083bf112ca90fafe207b01b" ns3:_="">
    <xsd:import namespace="402b3d70-7846-4280-b328-cd899f7f35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b3d70-7846-4280-b328-cd899f7f3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416F8F-F88C-4AD0-A3A9-49074730782C}">
  <ds:schemaRefs>
    <ds:schemaRef ds:uri="http://schemas.microsoft.com/office/2006/metadata/properties"/>
  </ds:schemaRefs>
</ds:datastoreItem>
</file>

<file path=customXml/itemProps2.xml><?xml version="1.0" encoding="utf-8"?>
<ds:datastoreItem xmlns:ds="http://schemas.openxmlformats.org/officeDocument/2006/customXml" ds:itemID="{CA4B7A11-0800-4D72-B216-7527E62AD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b3d70-7846-4280-b328-cd899f7f3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0868C-621A-48AE-8042-38FCC8A9B2AB}">
  <ds:schemaRefs>
    <ds:schemaRef ds:uri="http://schemas.openxmlformats.org/officeDocument/2006/bibliography"/>
  </ds:schemaRefs>
</ds:datastoreItem>
</file>

<file path=customXml/itemProps4.xml><?xml version="1.0" encoding="utf-8"?>
<ds:datastoreItem xmlns:ds="http://schemas.openxmlformats.org/officeDocument/2006/customXml" ds:itemID="{8F4D8C25-E12A-47D7-8183-634DD1DBB1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72</Pages>
  <Words>24925</Words>
  <Characters>142076</Characters>
  <Application>Microsoft Office Word</Application>
  <DocSecurity>0</DocSecurity>
  <Lines>1183</Lines>
  <Paragraphs>333</Paragraphs>
  <ScaleCrop>false</ScaleCrop>
  <HeadingPairs>
    <vt:vector size="12" baseType="variant">
      <vt:variant>
        <vt:lpstr>Title</vt:lpstr>
      </vt:variant>
      <vt:variant>
        <vt:i4>1</vt:i4>
      </vt:variant>
      <vt:variant>
        <vt:lpstr>Titre</vt:lpstr>
      </vt:variant>
      <vt:variant>
        <vt:i4>1</vt:i4>
      </vt:variant>
      <vt:variant>
        <vt:lpstr>Naslov</vt:lpstr>
      </vt:variant>
      <vt:variant>
        <vt:i4>1</vt:i4>
      </vt:variant>
      <vt:variant>
        <vt:lpstr>Título</vt:lpstr>
      </vt:variant>
      <vt:variant>
        <vt:i4>1</vt:i4>
      </vt:variant>
      <vt:variant>
        <vt:lpstr>Titel</vt:lpstr>
      </vt:variant>
      <vt:variant>
        <vt:i4>1</vt:i4>
      </vt:variant>
      <vt:variant>
        <vt:lpstr>Überschriften</vt:lpstr>
      </vt:variant>
      <vt:variant>
        <vt:i4>48</vt:i4>
      </vt:variant>
    </vt:vector>
  </HeadingPairs>
  <TitlesOfParts>
    <vt:vector size="53" baseType="lpstr">
      <vt:lpstr/>
      <vt:lpstr/>
      <vt:lpstr/>
      <vt:lpstr/>
      <vt:lpstr/>
      <vt:lpstr>List of Tables</vt:lpstr>
      <vt:lpstr>Acronyms</vt:lpstr>
      <vt:lpstr>Summary for policy makers</vt:lpstr>
      <vt:lpstr>Executive Summary</vt:lpstr>
      <vt:lpstr>Introduction</vt:lpstr>
      <vt:lpstr>Key sectors and Greenhouse gas Emissions in Serbia </vt:lpstr>
      <vt:lpstr>    Overview of GHG inventory in the period 2010-2015</vt:lpstr>
      <vt:lpstr>    Key Sectors and Gases included in the modelling</vt:lpstr>
      <vt:lpstr>        Energy (CO2, CH4, N2O)  </vt:lpstr>
      <vt:lpstr>        Industrial Processes (CO2, CH4, N2O, HFC, PFC, SF6)   </vt:lpstr>
      <vt:lpstr>        Agriculture, Forestry and Land Use (CO2, CH4, N2O)</vt:lpstr>
      <vt:lpstr>        Waste (CO2, CH4, N2O)</vt:lpstr>
      <vt:lpstr>        Summary of emission trends (CO2, CH4, N2O, HFC, PFC, SF6)</vt:lpstr>
      <vt:lpstr>        Prospective emissions of pollutants (VOC, NOx, SO2, PM)</vt:lpstr>
      <vt:lpstr>Identification of relevant data sources and data gaps </vt:lpstr>
      <vt:lpstr>    Data requirements for the models</vt:lpstr>
      <vt:lpstr>        PRIMES/GEM-E3 Data Requirements </vt:lpstr>
      <vt:lpstr>        CAPRI Model Data Requirements</vt:lpstr>
      <vt:lpstr>    Overview of the use of the current available data sources</vt:lpstr>
      <vt:lpstr>    Identified data gaps and way forward</vt:lpstr>
      <vt:lpstr>Drivers of the baseline scenarios</vt:lpstr>
      <vt:lpstr>    Introduction</vt:lpstr>
      <vt:lpstr>    GEM-E3- Model Assumptions</vt:lpstr>
      <vt:lpstr>    PRIMES - Model Assumptions</vt:lpstr>
      <vt:lpstr>        Assumptions common to all scenarios</vt:lpstr>
      <vt:lpstr>        Assumptions on technologies and costs</vt:lpstr>
      <vt:lpstr>        Other scenario-specific assumptions </vt:lpstr>
      <vt:lpstr>        Used drivers, assumptions and constraints in the project </vt:lpstr>
      <vt:lpstr>    CAPRI - Model Assumptions</vt:lpstr>
      <vt:lpstr>        Assumptions common to all scenarios</vt:lpstr>
      <vt:lpstr>        Assumptions on technologies and costs</vt:lpstr>
      <vt:lpstr>        Other scenario-specific assumptions </vt:lpstr>
      <vt:lpstr>        Used drivers, assumptions and constraints in the project</vt:lpstr>
      <vt:lpstr>    Measures/Policies Incorporated in models used for the project</vt:lpstr>
      <vt:lpstr>MAIN UncertaintIES IN THE DRIVERS</vt:lpstr>
      <vt:lpstr>    Main considered uncertainties in the drivers (apart from uncertainties related t</vt:lpstr>
      <vt:lpstr>    Analysis of uncertainties regarding the effectiveness of implemented and adopted</vt:lpstr>
      <vt:lpstr>        List of policies and measures as input to the models </vt:lpstr>
      <vt:lpstr>BASELINE ScenarioS for 2020, 2025, 2030, 2050, with outlook to 2070</vt:lpstr>
      <vt:lpstr>    Without Measures</vt:lpstr>
      <vt:lpstr>        Energy &amp; Industrial Processes, including waste</vt:lpstr>
      <vt:lpstr>        Agriculture/Forestry.</vt:lpstr>
      <vt:lpstr>    With Measures</vt:lpstr>
      <vt:lpstr>        Energy &amp; Industrial Processes, including waste</vt:lpstr>
      <vt:lpstr>        Agriculture/Forestry</vt:lpstr>
      <vt:lpstr>    Summary</vt:lpstr>
      <vt:lpstr>Conclusions</vt:lpstr>
      <vt:lpstr>APPENDIX</vt:lpstr>
    </vt:vector>
  </TitlesOfParts>
  <Company>GFA</Company>
  <LinksUpToDate>false</LinksUpToDate>
  <CharactersWithSpaces>166668</CharactersWithSpaces>
  <SharedDoc>false</SharedDoc>
  <HLinks>
    <vt:vector size="234" baseType="variant">
      <vt:variant>
        <vt:i4>1769532</vt:i4>
      </vt:variant>
      <vt:variant>
        <vt:i4>215</vt:i4>
      </vt:variant>
      <vt:variant>
        <vt:i4>0</vt:i4>
      </vt:variant>
      <vt:variant>
        <vt:i4>5</vt:i4>
      </vt:variant>
      <vt:variant>
        <vt:lpwstr/>
      </vt:variant>
      <vt:variant>
        <vt:lpwstr>_Toc192397613</vt:lpwstr>
      </vt:variant>
      <vt:variant>
        <vt:i4>1769532</vt:i4>
      </vt:variant>
      <vt:variant>
        <vt:i4>209</vt:i4>
      </vt:variant>
      <vt:variant>
        <vt:i4>0</vt:i4>
      </vt:variant>
      <vt:variant>
        <vt:i4>5</vt:i4>
      </vt:variant>
      <vt:variant>
        <vt:lpwstr/>
      </vt:variant>
      <vt:variant>
        <vt:lpwstr>_Toc192397612</vt:lpwstr>
      </vt:variant>
      <vt:variant>
        <vt:i4>1769532</vt:i4>
      </vt:variant>
      <vt:variant>
        <vt:i4>203</vt:i4>
      </vt:variant>
      <vt:variant>
        <vt:i4>0</vt:i4>
      </vt:variant>
      <vt:variant>
        <vt:i4>5</vt:i4>
      </vt:variant>
      <vt:variant>
        <vt:lpwstr/>
      </vt:variant>
      <vt:variant>
        <vt:lpwstr>_Toc192397611</vt:lpwstr>
      </vt:variant>
      <vt:variant>
        <vt:i4>1769532</vt:i4>
      </vt:variant>
      <vt:variant>
        <vt:i4>197</vt:i4>
      </vt:variant>
      <vt:variant>
        <vt:i4>0</vt:i4>
      </vt:variant>
      <vt:variant>
        <vt:i4>5</vt:i4>
      </vt:variant>
      <vt:variant>
        <vt:lpwstr/>
      </vt:variant>
      <vt:variant>
        <vt:lpwstr>_Toc192397610</vt:lpwstr>
      </vt:variant>
      <vt:variant>
        <vt:i4>1703996</vt:i4>
      </vt:variant>
      <vt:variant>
        <vt:i4>191</vt:i4>
      </vt:variant>
      <vt:variant>
        <vt:i4>0</vt:i4>
      </vt:variant>
      <vt:variant>
        <vt:i4>5</vt:i4>
      </vt:variant>
      <vt:variant>
        <vt:lpwstr/>
      </vt:variant>
      <vt:variant>
        <vt:lpwstr>_Toc192397609</vt:lpwstr>
      </vt:variant>
      <vt:variant>
        <vt:i4>1703996</vt:i4>
      </vt:variant>
      <vt:variant>
        <vt:i4>185</vt:i4>
      </vt:variant>
      <vt:variant>
        <vt:i4>0</vt:i4>
      </vt:variant>
      <vt:variant>
        <vt:i4>5</vt:i4>
      </vt:variant>
      <vt:variant>
        <vt:lpwstr/>
      </vt:variant>
      <vt:variant>
        <vt:lpwstr>_Toc192397608</vt:lpwstr>
      </vt:variant>
      <vt:variant>
        <vt:i4>1703996</vt:i4>
      </vt:variant>
      <vt:variant>
        <vt:i4>179</vt:i4>
      </vt:variant>
      <vt:variant>
        <vt:i4>0</vt:i4>
      </vt:variant>
      <vt:variant>
        <vt:i4>5</vt:i4>
      </vt:variant>
      <vt:variant>
        <vt:lpwstr/>
      </vt:variant>
      <vt:variant>
        <vt:lpwstr>_Toc192397607</vt:lpwstr>
      </vt:variant>
      <vt:variant>
        <vt:i4>1703996</vt:i4>
      </vt:variant>
      <vt:variant>
        <vt:i4>173</vt:i4>
      </vt:variant>
      <vt:variant>
        <vt:i4>0</vt:i4>
      </vt:variant>
      <vt:variant>
        <vt:i4>5</vt:i4>
      </vt:variant>
      <vt:variant>
        <vt:lpwstr/>
      </vt:variant>
      <vt:variant>
        <vt:lpwstr>_Toc192397606</vt:lpwstr>
      </vt:variant>
      <vt:variant>
        <vt:i4>1703996</vt:i4>
      </vt:variant>
      <vt:variant>
        <vt:i4>167</vt:i4>
      </vt:variant>
      <vt:variant>
        <vt:i4>0</vt:i4>
      </vt:variant>
      <vt:variant>
        <vt:i4>5</vt:i4>
      </vt:variant>
      <vt:variant>
        <vt:lpwstr/>
      </vt:variant>
      <vt:variant>
        <vt:lpwstr>_Toc192397605</vt:lpwstr>
      </vt:variant>
      <vt:variant>
        <vt:i4>1703996</vt:i4>
      </vt:variant>
      <vt:variant>
        <vt:i4>161</vt:i4>
      </vt:variant>
      <vt:variant>
        <vt:i4>0</vt:i4>
      </vt:variant>
      <vt:variant>
        <vt:i4>5</vt:i4>
      </vt:variant>
      <vt:variant>
        <vt:lpwstr/>
      </vt:variant>
      <vt:variant>
        <vt:lpwstr>_Toc192397604</vt:lpwstr>
      </vt:variant>
      <vt:variant>
        <vt:i4>1703996</vt:i4>
      </vt:variant>
      <vt:variant>
        <vt:i4>155</vt:i4>
      </vt:variant>
      <vt:variant>
        <vt:i4>0</vt:i4>
      </vt:variant>
      <vt:variant>
        <vt:i4>5</vt:i4>
      </vt:variant>
      <vt:variant>
        <vt:lpwstr/>
      </vt:variant>
      <vt:variant>
        <vt:lpwstr>_Toc192397603</vt:lpwstr>
      </vt:variant>
      <vt:variant>
        <vt:i4>1703996</vt:i4>
      </vt:variant>
      <vt:variant>
        <vt:i4>149</vt:i4>
      </vt:variant>
      <vt:variant>
        <vt:i4>0</vt:i4>
      </vt:variant>
      <vt:variant>
        <vt:i4>5</vt:i4>
      </vt:variant>
      <vt:variant>
        <vt:lpwstr/>
      </vt:variant>
      <vt:variant>
        <vt:lpwstr>_Toc192397602</vt:lpwstr>
      </vt:variant>
      <vt:variant>
        <vt:i4>1703996</vt:i4>
      </vt:variant>
      <vt:variant>
        <vt:i4>143</vt:i4>
      </vt:variant>
      <vt:variant>
        <vt:i4>0</vt:i4>
      </vt:variant>
      <vt:variant>
        <vt:i4>5</vt:i4>
      </vt:variant>
      <vt:variant>
        <vt:lpwstr/>
      </vt:variant>
      <vt:variant>
        <vt:lpwstr>_Toc192397601</vt:lpwstr>
      </vt:variant>
      <vt:variant>
        <vt:i4>1703996</vt:i4>
      </vt:variant>
      <vt:variant>
        <vt:i4>137</vt:i4>
      </vt:variant>
      <vt:variant>
        <vt:i4>0</vt:i4>
      </vt:variant>
      <vt:variant>
        <vt:i4>5</vt:i4>
      </vt:variant>
      <vt:variant>
        <vt:lpwstr/>
      </vt:variant>
      <vt:variant>
        <vt:lpwstr>_Toc192397600</vt:lpwstr>
      </vt:variant>
      <vt:variant>
        <vt:i4>1245247</vt:i4>
      </vt:variant>
      <vt:variant>
        <vt:i4>131</vt:i4>
      </vt:variant>
      <vt:variant>
        <vt:i4>0</vt:i4>
      </vt:variant>
      <vt:variant>
        <vt:i4>5</vt:i4>
      </vt:variant>
      <vt:variant>
        <vt:lpwstr/>
      </vt:variant>
      <vt:variant>
        <vt:lpwstr>_Toc192397599</vt:lpwstr>
      </vt:variant>
      <vt:variant>
        <vt:i4>1245247</vt:i4>
      </vt:variant>
      <vt:variant>
        <vt:i4>125</vt:i4>
      </vt:variant>
      <vt:variant>
        <vt:i4>0</vt:i4>
      </vt:variant>
      <vt:variant>
        <vt:i4>5</vt:i4>
      </vt:variant>
      <vt:variant>
        <vt:lpwstr/>
      </vt:variant>
      <vt:variant>
        <vt:lpwstr>_Toc192397598</vt:lpwstr>
      </vt:variant>
      <vt:variant>
        <vt:i4>1245247</vt:i4>
      </vt:variant>
      <vt:variant>
        <vt:i4>119</vt:i4>
      </vt:variant>
      <vt:variant>
        <vt:i4>0</vt:i4>
      </vt:variant>
      <vt:variant>
        <vt:i4>5</vt:i4>
      </vt:variant>
      <vt:variant>
        <vt:lpwstr/>
      </vt:variant>
      <vt:variant>
        <vt:lpwstr>_Toc192397597</vt:lpwstr>
      </vt:variant>
      <vt:variant>
        <vt:i4>1245247</vt:i4>
      </vt:variant>
      <vt:variant>
        <vt:i4>113</vt:i4>
      </vt:variant>
      <vt:variant>
        <vt:i4>0</vt:i4>
      </vt:variant>
      <vt:variant>
        <vt:i4>5</vt:i4>
      </vt:variant>
      <vt:variant>
        <vt:lpwstr/>
      </vt:variant>
      <vt:variant>
        <vt:lpwstr>_Toc192397596</vt:lpwstr>
      </vt:variant>
      <vt:variant>
        <vt:i4>1245247</vt:i4>
      </vt:variant>
      <vt:variant>
        <vt:i4>107</vt:i4>
      </vt:variant>
      <vt:variant>
        <vt:i4>0</vt:i4>
      </vt:variant>
      <vt:variant>
        <vt:i4>5</vt:i4>
      </vt:variant>
      <vt:variant>
        <vt:lpwstr/>
      </vt:variant>
      <vt:variant>
        <vt:lpwstr>_Toc192397595</vt:lpwstr>
      </vt:variant>
      <vt:variant>
        <vt:i4>1245247</vt:i4>
      </vt:variant>
      <vt:variant>
        <vt:i4>101</vt:i4>
      </vt:variant>
      <vt:variant>
        <vt:i4>0</vt:i4>
      </vt:variant>
      <vt:variant>
        <vt:i4>5</vt:i4>
      </vt:variant>
      <vt:variant>
        <vt:lpwstr/>
      </vt:variant>
      <vt:variant>
        <vt:lpwstr>_Toc192397594</vt:lpwstr>
      </vt:variant>
      <vt:variant>
        <vt:i4>1245247</vt:i4>
      </vt:variant>
      <vt:variant>
        <vt:i4>95</vt:i4>
      </vt:variant>
      <vt:variant>
        <vt:i4>0</vt:i4>
      </vt:variant>
      <vt:variant>
        <vt:i4>5</vt:i4>
      </vt:variant>
      <vt:variant>
        <vt:lpwstr/>
      </vt:variant>
      <vt:variant>
        <vt:lpwstr>_Toc192397593</vt:lpwstr>
      </vt:variant>
      <vt:variant>
        <vt:i4>1245247</vt:i4>
      </vt:variant>
      <vt:variant>
        <vt:i4>89</vt:i4>
      </vt:variant>
      <vt:variant>
        <vt:i4>0</vt:i4>
      </vt:variant>
      <vt:variant>
        <vt:i4>5</vt:i4>
      </vt:variant>
      <vt:variant>
        <vt:lpwstr/>
      </vt:variant>
      <vt:variant>
        <vt:lpwstr>_Toc192397592</vt:lpwstr>
      </vt:variant>
      <vt:variant>
        <vt:i4>1245247</vt:i4>
      </vt:variant>
      <vt:variant>
        <vt:i4>83</vt:i4>
      </vt:variant>
      <vt:variant>
        <vt:i4>0</vt:i4>
      </vt:variant>
      <vt:variant>
        <vt:i4>5</vt:i4>
      </vt:variant>
      <vt:variant>
        <vt:lpwstr/>
      </vt:variant>
      <vt:variant>
        <vt:lpwstr>_Toc192397591</vt:lpwstr>
      </vt:variant>
      <vt:variant>
        <vt:i4>1245247</vt:i4>
      </vt:variant>
      <vt:variant>
        <vt:i4>77</vt:i4>
      </vt:variant>
      <vt:variant>
        <vt:i4>0</vt:i4>
      </vt:variant>
      <vt:variant>
        <vt:i4>5</vt:i4>
      </vt:variant>
      <vt:variant>
        <vt:lpwstr/>
      </vt:variant>
      <vt:variant>
        <vt:lpwstr>_Toc192397590</vt:lpwstr>
      </vt:variant>
      <vt:variant>
        <vt:i4>1179711</vt:i4>
      </vt:variant>
      <vt:variant>
        <vt:i4>71</vt:i4>
      </vt:variant>
      <vt:variant>
        <vt:i4>0</vt:i4>
      </vt:variant>
      <vt:variant>
        <vt:i4>5</vt:i4>
      </vt:variant>
      <vt:variant>
        <vt:lpwstr/>
      </vt:variant>
      <vt:variant>
        <vt:lpwstr>_Toc192397589</vt:lpwstr>
      </vt:variant>
      <vt:variant>
        <vt:i4>1179711</vt:i4>
      </vt:variant>
      <vt:variant>
        <vt:i4>65</vt:i4>
      </vt:variant>
      <vt:variant>
        <vt:i4>0</vt:i4>
      </vt:variant>
      <vt:variant>
        <vt:i4>5</vt:i4>
      </vt:variant>
      <vt:variant>
        <vt:lpwstr/>
      </vt:variant>
      <vt:variant>
        <vt:lpwstr>_Toc192397588</vt:lpwstr>
      </vt:variant>
      <vt:variant>
        <vt:i4>1179711</vt:i4>
      </vt:variant>
      <vt:variant>
        <vt:i4>59</vt:i4>
      </vt:variant>
      <vt:variant>
        <vt:i4>0</vt:i4>
      </vt:variant>
      <vt:variant>
        <vt:i4>5</vt:i4>
      </vt:variant>
      <vt:variant>
        <vt:lpwstr/>
      </vt:variant>
      <vt:variant>
        <vt:lpwstr>_Toc192397587</vt:lpwstr>
      </vt:variant>
      <vt:variant>
        <vt:i4>1179711</vt:i4>
      </vt:variant>
      <vt:variant>
        <vt:i4>53</vt:i4>
      </vt:variant>
      <vt:variant>
        <vt:i4>0</vt:i4>
      </vt:variant>
      <vt:variant>
        <vt:i4>5</vt:i4>
      </vt:variant>
      <vt:variant>
        <vt:lpwstr/>
      </vt:variant>
      <vt:variant>
        <vt:lpwstr>_Toc192397586</vt:lpwstr>
      </vt:variant>
      <vt:variant>
        <vt:i4>1179711</vt:i4>
      </vt:variant>
      <vt:variant>
        <vt:i4>47</vt:i4>
      </vt:variant>
      <vt:variant>
        <vt:i4>0</vt:i4>
      </vt:variant>
      <vt:variant>
        <vt:i4>5</vt:i4>
      </vt:variant>
      <vt:variant>
        <vt:lpwstr/>
      </vt:variant>
      <vt:variant>
        <vt:lpwstr>_Toc192397585</vt:lpwstr>
      </vt:variant>
      <vt:variant>
        <vt:i4>1179711</vt:i4>
      </vt:variant>
      <vt:variant>
        <vt:i4>41</vt:i4>
      </vt:variant>
      <vt:variant>
        <vt:i4>0</vt:i4>
      </vt:variant>
      <vt:variant>
        <vt:i4>5</vt:i4>
      </vt:variant>
      <vt:variant>
        <vt:lpwstr/>
      </vt:variant>
      <vt:variant>
        <vt:lpwstr>_Toc192397584</vt:lpwstr>
      </vt:variant>
      <vt:variant>
        <vt:i4>1179711</vt:i4>
      </vt:variant>
      <vt:variant>
        <vt:i4>35</vt:i4>
      </vt:variant>
      <vt:variant>
        <vt:i4>0</vt:i4>
      </vt:variant>
      <vt:variant>
        <vt:i4>5</vt:i4>
      </vt:variant>
      <vt:variant>
        <vt:lpwstr/>
      </vt:variant>
      <vt:variant>
        <vt:lpwstr>_Toc192397583</vt:lpwstr>
      </vt:variant>
      <vt:variant>
        <vt:i4>1179711</vt:i4>
      </vt:variant>
      <vt:variant>
        <vt:i4>29</vt:i4>
      </vt:variant>
      <vt:variant>
        <vt:i4>0</vt:i4>
      </vt:variant>
      <vt:variant>
        <vt:i4>5</vt:i4>
      </vt:variant>
      <vt:variant>
        <vt:lpwstr/>
      </vt:variant>
      <vt:variant>
        <vt:lpwstr>_Toc192397582</vt:lpwstr>
      </vt:variant>
      <vt:variant>
        <vt:i4>1179711</vt:i4>
      </vt:variant>
      <vt:variant>
        <vt:i4>23</vt:i4>
      </vt:variant>
      <vt:variant>
        <vt:i4>0</vt:i4>
      </vt:variant>
      <vt:variant>
        <vt:i4>5</vt:i4>
      </vt:variant>
      <vt:variant>
        <vt:lpwstr/>
      </vt:variant>
      <vt:variant>
        <vt:lpwstr>_Toc192397581</vt:lpwstr>
      </vt:variant>
      <vt:variant>
        <vt:i4>1179711</vt:i4>
      </vt:variant>
      <vt:variant>
        <vt:i4>17</vt:i4>
      </vt:variant>
      <vt:variant>
        <vt:i4>0</vt:i4>
      </vt:variant>
      <vt:variant>
        <vt:i4>5</vt:i4>
      </vt:variant>
      <vt:variant>
        <vt:lpwstr/>
      </vt:variant>
      <vt:variant>
        <vt:lpwstr>_Toc192397580</vt:lpwstr>
      </vt:variant>
      <vt:variant>
        <vt:i4>1900607</vt:i4>
      </vt:variant>
      <vt:variant>
        <vt:i4>11</vt:i4>
      </vt:variant>
      <vt:variant>
        <vt:i4>0</vt:i4>
      </vt:variant>
      <vt:variant>
        <vt:i4>5</vt:i4>
      </vt:variant>
      <vt:variant>
        <vt:lpwstr/>
      </vt:variant>
      <vt:variant>
        <vt:lpwstr>_Toc192397579</vt:lpwstr>
      </vt:variant>
      <vt:variant>
        <vt:i4>1900607</vt:i4>
      </vt:variant>
      <vt:variant>
        <vt:i4>5</vt:i4>
      </vt:variant>
      <vt:variant>
        <vt:i4>0</vt:i4>
      </vt:variant>
      <vt:variant>
        <vt:i4>5</vt:i4>
      </vt:variant>
      <vt:variant>
        <vt:lpwstr/>
      </vt:variant>
      <vt:variant>
        <vt:lpwstr>_Toc192397578</vt:lpwstr>
      </vt:variant>
      <vt:variant>
        <vt:i4>3604546</vt:i4>
      </vt:variant>
      <vt:variant>
        <vt:i4>0</vt:i4>
      </vt:variant>
      <vt:variant>
        <vt:i4>0</vt:i4>
      </vt:variant>
      <vt:variant>
        <vt:i4>5</vt:i4>
      </vt:variant>
      <vt:variant>
        <vt:lpwstr>mailto:harre@gfa-management.de</vt:lpwstr>
      </vt:variant>
      <vt:variant>
        <vt:lpwstr/>
      </vt:variant>
      <vt:variant>
        <vt:i4>6684683</vt:i4>
      </vt:variant>
      <vt:variant>
        <vt:i4>11194</vt:i4>
      </vt:variant>
      <vt:variant>
        <vt:i4>1028</vt:i4>
      </vt:variant>
      <vt:variant>
        <vt:i4>1</vt:i4>
      </vt:variant>
      <vt:variant>
        <vt:lpwstr>..\..\..\..\3_Angebote\2 Formales\LOGOS Partner\logo_bvvg.jpg</vt:lpwstr>
      </vt:variant>
      <vt:variant>
        <vt:lpwstr/>
      </vt:variant>
      <vt:variant>
        <vt:i4>4980863</vt:i4>
      </vt:variant>
      <vt:variant>
        <vt:i4>11616</vt:i4>
      </vt:variant>
      <vt:variant>
        <vt:i4>1025</vt:i4>
      </vt:variant>
      <vt:variant>
        <vt:i4>1</vt:i4>
      </vt:variant>
      <vt:variant>
        <vt:lpwstr>bro_rap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ESRA IR</dc:subject>
  <dc:creator>GFA Terra Systems GmbH</dc:creator>
  <cp:keywords/>
  <dc:description/>
  <cp:lastModifiedBy>Simonida Kiš</cp:lastModifiedBy>
  <cp:revision>2</cp:revision>
  <cp:lastPrinted>2023-06-02T07:09:00Z</cp:lastPrinted>
  <dcterms:created xsi:type="dcterms:W3CDTF">2023-06-06T13:08:00Z</dcterms:created>
  <dcterms:modified xsi:type="dcterms:W3CDTF">2023-06-06T13:08:00Z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0x010100CC9EC7DED1563C4687BBC33DE1179ACE</vt:lpwstr>
  </property>
  <property fmtid="{D5CDD505-2E9C-101B-9397-08002B2CF9AE}" pid="3" name="Process">
    <vt:lpwstr>Internal Administrative Management</vt:lpwstr>
  </property>
  <property fmtid="{D5CDD505-2E9C-101B-9397-08002B2CF9AE}" pid="4" name="File created">
    <vt:filetime>2013-07-08T14:09:00Z</vt:filetime>
  </property>
  <property fmtid="{D5CDD505-2E9C-101B-9397-08002B2CF9AE}" pid="5" name="File modified">
    <vt:filetime>2013-07-10T13:59:00Z</vt:filetime>
  </property>
  <property fmtid="{D5CDD505-2E9C-101B-9397-08002B2CF9AE}" pid="6" name="File modified by">
    <vt:lpwstr/>
  </property>
  <property fmtid="{D5CDD505-2E9C-101B-9397-08002B2CF9AE}" pid="7" name="Mail">
    <vt:lpwstr>ESRA IR_23_02_2012 09 39 33</vt:lpwstr>
  </property>
  <property fmtid="{D5CDD505-2E9C-101B-9397-08002B2CF9AE}" pid="8" name="AttachedFiles">
    <vt:lpwstr>Draft Inception Report 0312.docx; Final Table 1.4_over_plan_oper 0312.docx; Final Table 1.5_output_perf0312.docx; Final Table 1.6_plan_oper 0312.docx; Annex A1 - Presentation ESRA - MoE - 12.01.2012.pptx; Annex A2- Standard Project Leaflet-ENG.pdf; Annex </vt:lpwstr>
  </property>
  <property fmtid="{D5CDD505-2E9C-101B-9397-08002B2CF9AE}" pid="9" name="CC">
    <vt:lpwstr>Harre, Clarissa</vt:lpwstr>
  </property>
  <property fmtid="{D5CDD505-2E9C-101B-9397-08002B2CF9AE}" pid="10" name="AttachmentSize">
    <vt:lpwstr>306725</vt:lpwstr>
  </property>
  <property fmtid="{D5CDD505-2E9C-101B-9397-08002B2CF9AE}" pid="11" name="ConversationTopic">
    <vt:lpwstr>ESRA IR</vt:lpwstr>
  </property>
  <property fmtid="{D5CDD505-2E9C-101B-9397-08002B2CF9AE}" pid="12" name="FGUID">
    <vt:lpwstr>bce2cc5a-5e25-4ff6-a8f4-f09f05874b3e</vt:lpwstr>
  </property>
  <property fmtid="{D5CDD505-2E9C-101B-9397-08002B2CF9AE}" pid="13" name="Titel">
    <vt:lpwstr>Draft Inception Report 0312</vt:lpwstr>
  </property>
  <property fmtid="{D5CDD505-2E9C-101B-9397-08002B2CF9AE}" pid="14" name="To">
    <vt:lpwstr>Matzen, Kathrin</vt:lpwstr>
  </property>
  <property fmtid="{D5CDD505-2E9C-101B-9397-08002B2CF9AE}" pid="15" name="From">
    <vt:lpwstr>Santens, Philip</vt:lpwstr>
  </property>
  <property fmtid="{D5CDD505-2E9C-101B-9397-08002B2CF9AE}" pid="16" name="SentOn">
    <vt:filetime>2012-02-23T09:39:33Z</vt:filetime>
  </property>
  <property fmtid="{D5CDD505-2E9C-101B-9397-08002B2CF9AE}" pid="17" name="ReceivedTime">
    <vt:filetime>2012-02-23T09:39:39Z</vt:filetime>
  </property>
  <property fmtid="{D5CDD505-2E9C-101B-9397-08002B2CF9AE}" pid="18" name="Attach Count">
    <vt:lpwstr>22</vt:lpwstr>
  </property>
  <property fmtid="{D5CDD505-2E9C-101B-9397-08002B2CF9AE}" pid="19" name="Importance">
    <vt:lpwstr>olImportanceNormal</vt:lpwstr>
  </property>
  <property fmtid="{D5CDD505-2E9C-101B-9397-08002B2CF9AE}" pid="20" name="Donor">
    <vt:lpwstr>EU</vt:lpwstr>
  </property>
  <property fmtid="{D5CDD505-2E9C-101B-9397-08002B2CF9AE}" pid="21" name="Department">
    <vt:lpwstr>EMENA</vt:lpwstr>
  </property>
  <property fmtid="{D5CDD505-2E9C-101B-9397-08002B2CF9AE}" pid="22" name="Project ID">
    <vt:lpwstr>EMENA-LBN12EU0593</vt:lpwstr>
  </property>
  <property fmtid="{D5CDD505-2E9C-101B-9397-08002B2CF9AE}" pid="23" name="Country">
    <vt:lpwstr>Lebanon</vt:lpwstr>
  </property>
  <property fmtid="{D5CDD505-2E9C-101B-9397-08002B2CF9AE}" pid="24" name="Project Status">
    <vt:lpwstr>Project Implementation</vt:lpwstr>
  </property>
  <property fmtid="{D5CDD505-2E9C-101B-9397-08002B2CF9AE}" pid="25" name="Consortium">
    <vt:lpwstr>Altair Asesores|Deutsche Hochschule der Polizei (DHPol)|GFA|GIZ</vt:lpwstr>
  </property>
  <property fmtid="{D5CDD505-2E9C-101B-9397-08002B2CF9AE}" pid="26" name="SBF">
    <vt:lpwstr>DPSM</vt:lpwstr>
  </property>
  <property fmtid="{D5CDD505-2E9C-101B-9397-08002B2CF9AE}" pid="27" name="ActivityStatus">
    <vt:lpwstr>Active</vt:lpwstr>
  </property>
  <property fmtid="{D5CDD505-2E9C-101B-9397-08002B2CF9AE}" pid="28" name="FIP Cost Unit">
    <vt:lpwstr>7041790</vt:lpwstr>
  </property>
  <property fmtid="{D5CDD505-2E9C-101B-9397-08002B2CF9AE}" pid="29" name="GrammarlyDocumentId">
    <vt:lpwstr>5a6eed8bdad93008a7735c05f9dcc773bcb3c3520dfe5b26d4289507b96aad11</vt:lpwstr>
  </property>
</Properties>
</file>